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Inhoud</w:t>
          </w:r>
        </w:p>
        <w:p>
          <w:r>
            <w:fldChar w:fldCharType="begin" w:dirty="true"/>
            <w:instrText xml:space="preserve">TOC \o "1-2" \h \z \u</w:instrText>
            <w:fldChar w:fldCharType="separate"/>
            <w:fldChar w:fldCharType="end"/>
          </w:r>
        </w:p>
      </w:sdtContent>
    </w:sdt>
    <w:bookmarkStart w:id="20" w:name="colofon"/>
    <w:p>
      <w:pPr>
        <w:pStyle w:val="Heading1"/>
      </w:pPr>
      <w:r>
        <w:t xml:space="preserve">Colofon</w:t>
      </w:r>
    </w:p>
    <w:p>
      <w:pPr>
        <w:pStyle w:val="FirstParagraph"/>
      </w:pPr>
      <w:r>
        <w:rPr>
          <w:bCs/>
          <w:b/>
        </w:rPr>
        <w:t xml:space="preserve">Het peptidenhandboek</w:t>
      </w:r>
      <w:r>
        <w:t xml:space="preserve"> </w:t>
      </w:r>
      <w:r>
        <w:t xml:space="preserve">Alle studies bij mensen vergeleken – werking, risico’s, wetgeving en vooruitzichten</w:t>
      </w:r>
    </w:p>
    <w:p>
      <w:pPr>
        <w:pStyle w:val="BodyText"/>
      </w:pPr>
      <w:r>
        <w:t xml:space="preserve">© 2026 Josef Gallab. Alle rechten voorbehouden.</w:t>
      </w:r>
    </w:p>
    <w:p>
      <w:pPr>
        <w:pStyle w:val="BodyText"/>
      </w:pPr>
      <w:r>
        <w:t xml:space="preserve">Eerste druk. Stand van het onderzoek: oktober/november 2026. Vertaald uit het Duitse origineel.</w:t>
      </w:r>
    </w:p>
    <w:p>
      <w:pPr>
        <w:pStyle w:val="BodyText"/>
      </w:pPr>
      <w:r>
        <w:t xml:space="preserve">Dit boek dient uitsluitend ter informatie. Het vervangt geen medisch advies, diagnose of behandeling</w:t>
      </w:r>
      <w:r>
        <w:t xml:space="preserve"> </w:t>
      </w:r>
      <w:r>
        <w:t xml:space="preserve">en bevat geen gebruiksaanbevelingen. Veel van de beschreven stoffen zijn niet als geneesmiddel toegelaten.</w:t>
      </w:r>
    </w:p>
    <w:p>
      <w:pPr>
        <w:pStyle w:val="BodyText"/>
      </w:pPr>
      <w:r>
        <w:t xml:space="preserve">Omslag: Josef Gallab</w:t>
      </w:r>
    </w:p>
    <w:p>
      <w:pPr>
        <w:pStyle w:val="BodyText"/>
      </w:pPr>
      <w:r>
        <w:t xml:space="preserve">Informatie over registratie, juridische status en dopingstatus geeft de stand van oktober/november 2026 weer. Die kan op elk moment veranderen – controleer de actuele situatie vóór elke beslissing. De bronnen van elke bewering staan in de voetnoten en in het studieregister.</w:t>
      </w:r>
    </w:p>
    <w:p>
      <w:pPr>
        <w:pStyle w:val="BodyText"/>
      </w:pPr>
      <w:r>
        <w:t xml:space="preserve">Niets uit deze uitgave mag zonder schriftelijke toestemming van de auteur worden verveelvoudigd of verspreid.</w:t>
      </w:r>
    </w:p>
    <w:bookmarkEnd w:id="20"/>
    <w:bookmarkStart w:id="21" w:name="voorwoord"/>
    <w:p>
      <w:pPr>
        <w:pStyle w:val="Heading1"/>
      </w:pPr>
      <w:r>
        <w:t xml:space="preserve">Voorwoord</w:t>
      </w:r>
    </w:p>
    <w:p>
      <w:pPr>
        <w:pStyle w:val="FirstParagraph"/>
      </w:pPr>
      <w:r>
        <w:t xml:space="preserve">Al meer dan vijf jaar laten peptiden me niet meer los. Het begon zoals bij velen: met sport, met de wens om sneller te herstellen, meer te presteren en meer uit mijn lichaam te halen. Via biohacking stuitte ik op stoffen waarvan de meeste mensen nog nooit hebben gehoord – BPC-157, MOTS-c, Semax, GHK-Cu, later retatrutide. Ik heb me er intensief in verdiept, talloze ervaringsverhalen gelezen en met veel mensen gesproken die ze gebruiken.</w:t>
      </w:r>
    </w:p>
    <w:p>
      <w:pPr>
        <w:pStyle w:val="BodyText"/>
      </w:pPr>
      <w:r>
        <w:t xml:space="preserve">Wat me daarbij steeds weer stoorde: de informatie die je vindt, is óf reclame óf bangmakerij. Verkoopsites beloven wonderen, op fora wisselen enthousiasme en horrorverhalen elkaar af, en aan de andere kant staat vaak een botte afwijzing. Wat bijna altijd ontbreekt, is de nuchtere blik in de studies. Wat is er werkelijk onderzocht – bij mensen, niet alleen bij ratten? Hoe groot waren de studies? Wat weten we over de risico’s?</w:t>
      </w:r>
    </w:p>
    <w:p>
      <w:pPr>
        <w:pStyle w:val="BodyText"/>
      </w:pPr>
      <w:r>
        <w:t xml:space="preserve">Dit boek is het boek dat ik vijf jaar geleden zelf had willen hebben.</w:t>
      </w:r>
    </w:p>
    <w:p>
      <w:pPr>
        <w:pStyle w:val="BodyText"/>
      </w:pPr>
      <w:r>
        <w:t xml:space="preserve">Ik ben ervan overtuigd dat peptiden tot de spannendste ontwikkelingen in de geneeskunde behoren. De GLP-1-geneesmiddelen hebben in een paar jaar veranderd hoe we over overgewicht, diabetes en hartgezondheid denken. Veel andere peptiden laten in het laboratorium en in eerste studies een potentieel zien dat me enthousiast maakt. Ik geloof dat ze op een dag veel van onze gezondheidsproblemen kunnen oplossen en ons kunnen helpen het beste uit ons lichaam te halen.</w:t>
      </w:r>
    </w:p>
    <w:p>
      <w:pPr>
        <w:pStyle w:val="BodyText"/>
      </w:pPr>
      <w:r>
        <w:t xml:space="preserve">Maar – en juist daarom is dit boek geworden zoals het is – enthousiasme vervangt geen bewijs. Voor veel peptiden die op internet worden bejubeld, bestaat tot op vandaag geen enkele zeggingskrachtige studie bij mensen. Hoeveel ervaringsverhalen er ook zijn, het blijven losse gevallen en geen bewijs. Wie elke hype blind volgt, neemt risico’s die vaak niemand kent: verontreinigde producten van de grijze markt, onbekende langetermijngevolgen, juridische problemen.</w:t>
      </w:r>
    </w:p>
    <w:p>
      <w:pPr>
        <w:pStyle w:val="BodyText"/>
      </w:pPr>
      <w:r>
        <w:t xml:space="preserve">Daarom vind je in dit boek bij elk van de 58 peptiden allebei: het potentieel en de open vragen. Elke bewering is onderbouwd met een bron die je zelf kunt opzoeken. De bewijsniveaus van A tot D laten je in één oogopslag zien hoe zeker de kennis is. En waar de gegevens mager zijn, staat dat er uitdrukkelijk bij.</w:t>
      </w:r>
    </w:p>
    <w:p>
      <w:pPr>
        <w:pStyle w:val="BodyText"/>
      </w:pPr>
      <w:r>
        <w:t xml:space="preserve">Doseringen en verkooppunten zul je hier niet vinden. Dat is met opzet. Dit boek moet je helpen een eigen oordeel te vormen – en de juiste vragen te stellen wanneer je met je arts praat.</w:t>
      </w:r>
    </w:p>
    <w:p>
      <w:pPr>
        <w:pStyle w:val="BodyText"/>
      </w:pPr>
      <w:r>
        <w:t xml:space="preserve">Het onderzoek gaat sneller dan ooit. Veel van wat vandaag nog open is, zal over een paar jaar beantwoord zijn. Ik kijk ernaar uit – en ik hoop dat dit boek je daarbij vergezelt.</w:t>
      </w:r>
    </w:p>
    <w:p>
      <w:pPr>
        <w:pStyle w:val="BodyText"/>
      </w:pPr>
      <w:r>
        <w:rPr>
          <w:iCs/>
          <w:i/>
        </w:rPr>
        <w:t xml:space="preserve">Josef Gallab</w:t>
      </w:r>
    </w:p>
    <w:bookmarkEnd w:id="21"/>
    <w:bookmarkStart w:id="28" w:name="belangrijke-kennisgeving"/>
    <w:p>
      <w:pPr>
        <w:pStyle w:val="Heading1"/>
      </w:pPr>
      <w:r>
        <w:t xml:space="preserve">Belangrijke kennisgeving</w:t>
      </w:r>
    </w:p>
    <w:bookmarkStart w:id="22" w:name="geen-vervanging-voor-medisch-advies"/>
    <w:p>
      <w:pPr>
        <w:pStyle w:val="Heading3"/>
      </w:pPr>
      <w:r>
        <w:t xml:space="preserve">Geen vervanging voor medisch advies</w:t>
      </w:r>
    </w:p>
    <w:p>
      <w:pPr>
        <w:pStyle w:val="FirstParagraph"/>
      </w:pPr>
      <w:r>
        <w:t xml:space="preserve">Dit boek dient uitsluitend ter algemene informatie en educatie. Het vervangt geen medisch advies, diagnose of behandeling. Voordat je beslissingen over je gezondheid neemt of een geneesmiddel start, stopt of wijzigt, overleg je bij voorkeur met een arts of een apotheker. Bij acute klachten neem je contact op met de huisartsenpost of bel je het alarmnummer.</w:t>
      </w:r>
    </w:p>
    <w:bookmarkEnd w:id="22"/>
    <w:bookmarkStart w:id="23" w:name="geen-gebruiksadviezen"/>
    <w:p>
      <w:pPr>
        <w:pStyle w:val="Heading3"/>
      </w:pPr>
      <w:r>
        <w:t xml:space="preserve">Geen gebruiksadviezen</w:t>
      </w:r>
    </w:p>
    <w:p>
      <w:pPr>
        <w:pStyle w:val="FirstParagraph"/>
      </w:pPr>
      <w:r>
        <w:t xml:space="preserve">Dit boek bevat bewust geen adviezen over het gebruik van peptiden, geen doseringen, geen instructies voor inname of injectie, geen gebruikscycli en geen combinatieadviezen. Wanneer in de tekst een dosis wordt genoemd, beschrijft die uitsluitend wat in een bepaalde studie is onderzocht. Het is geen advies en laat zich niet vertalen naar jouw persoonlijke situatie. Voor geregistreerde geneesmiddelen zijn de productinformatie (SmPC), de bijsluiter en de begeleiding door een arts bepalend.</w:t>
      </w:r>
    </w:p>
    <w:bookmarkEnd w:id="23"/>
    <w:bookmarkStart w:id="24" w:name="veel-stoffen-zijn-niet-geregistreerd"/>
    <w:p>
      <w:pPr>
        <w:pStyle w:val="Heading3"/>
      </w:pPr>
      <w:r>
        <w:t xml:space="preserve">Veel stoffen zijn niet geregistreerd</w:t>
      </w:r>
    </w:p>
    <w:p>
      <w:pPr>
        <w:pStyle w:val="FirstParagraph"/>
      </w:pPr>
      <w:r>
        <w:t xml:space="preserve">Een groot deel van de in dit boek beschreven peptiden is in de Europese Unie, in Oostenrijk, in Duitsland en in de VS</w:t>
      </w:r>
      <w:r>
        <w:t xml:space="preserve"> </w:t>
      </w:r>
      <w:r>
        <w:rPr>
          <w:bCs/>
          <w:b/>
        </w:rPr>
        <w:t xml:space="preserve">niet</w:t>
      </w:r>
      <w:r>
        <w:t xml:space="preserve"> </w:t>
      </w:r>
      <w:r>
        <w:t xml:space="preserve">als geneesmiddel geregistreerd. Voor veel ervan zijn alleen dier- of laboratoriumstudies beschikbaar. De beschrijving van zulke stoffen in dit boek is geen uitspraak over hun werkzaamheid of veiligheid bij de mens en geen aansporing om ze te gebruiken. Producten die op internet als „research peptides” of „alleen voor onderzoeksdoeleinden” worden aangeboden, kunnen verkeerd gedoseerd, verontreinigd of vervalst zijn. Het gebruik ervan kan aanzienlijke gevolgen hebben voor je gezondheid en juridische gevolgen.</w:t>
      </w:r>
    </w:p>
    <w:bookmarkEnd w:id="24"/>
    <w:bookmarkStart w:id="25" w:name="doping"/>
    <w:p>
      <w:pPr>
        <w:pStyle w:val="Heading3"/>
      </w:pPr>
      <w:r>
        <w:t xml:space="preserve">Doping</w:t>
      </w:r>
    </w:p>
    <w:p>
      <w:pPr>
        <w:pStyle w:val="FirstParagraph"/>
      </w:pPr>
      <w:r>
        <w:t xml:space="preserve">Veel van de beschreven peptiden staan op de verboden lijst van het Wereld Anti-Doping Agentschap (WADA). Het gebruik ervan kan voor sporters die aan dopingcontroles onderworpen zijn tot een schorsing leiden. In Oostenrijk en Duitsland kunnen handel, doorgifte en in bepaalde gevallen ook bezit van dopingmiddelen strafbaar zijn.</w:t>
      </w:r>
    </w:p>
    <w:bookmarkEnd w:id="25"/>
    <w:bookmarkStart w:id="26" w:name="stand-van-zaken-en-aansprakelijkheid"/>
    <w:p>
      <w:pPr>
        <w:pStyle w:val="Heading3"/>
      </w:pPr>
      <w:r>
        <w:t xml:space="preserve">Stand van zaken en aansprakelijkheid</w:t>
      </w:r>
    </w:p>
    <w:p>
      <w:pPr>
        <w:pStyle w:val="FirstParagraph"/>
      </w:pPr>
      <w:r>
        <w:t xml:space="preserve">De informatie in dit boek geeft de</w:t>
      </w:r>
      <w:r>
        <w:t xml:space="preserve"> </w:t>
      </w:r>
      <w:r>
        <w:rPr>
          <w:bCs/>
          <w:b/>
        </w:rPr>
        <w:t xml:space="preserve">stand van november 2026</w:t>
      </w:r>
      <w:r>
        <w:t xml:space="preserve"> </w:t>
      </w:r>
      <w:r>
        <w:t xml:space="preserve">weer. Het onderzoek in de databases vond plaats in oktober 2026. Medische kennis, registraties, wetten en antidopingregels veranderen voortdurend. Alle gegevens zijn naar beste weten en met grote zorg samengesteld, maar zonder garantie voor juistheid, volledigheid en actualiteit. Aansprakelijkheid van de auteur voor schade die voortvloeit uit het gebruik van de informatie in dit boek is uitgesloten, voor zover de wet dat toestaat. De beschrijving van de juridische situatie is geen juridisch advies.</w:t>
      </w:r>
    </w:p>
    <w:bookmarkEnd w:id="26"/>
    <w:bookmarkStart w:id="27" w:name="hoe-dit-boek-tot-stand-is-gekomen"/>
    <w:p>
      <w:pPr>
        <w:pStyle w:val="Heading3"/>
      </w:pPr>
      <w:r>
        <w:t xml:space="preserve">Hoe dit boek tot stand is gekomen</w:t>
      </w:r>
    </w:p>
    <w:p>
      <w:pPr>
        <w:pStyle w:val="FirstParagraph"/>
      </w:pPr>
      <w:r>
        <w:t xml:space="preserve">Voor dit boek zijn de databases PubMed en ClinicalTrials.gov systematisch doorzocht en zijn de samenvattingen van de gevonden studies geanalyseerd.</w:t>
      </w:r>
    </w:p>
    <w:p>
      <w:pPr>
        <w:pStyle w:val="BodyText"/>
      </w:pPr>
      <w:r>
        <w:t xml:space="preserve">Om fouten te voorkomen gelden strikte regels: elke genoemde studie wordt vermeld met haar PubMed-nummer (PMID) of haar registratienummer bij ClinicalTrials.gov (NCT-nummer). Elk getal komt uit de samenvatting van de betreffende publicatie of uit de registratie. Alle geciteerde nummers zijn bovendien automatisch tegen de databases gecontroleerd. Zo kun je elke bron zelf opzoeken en de gegevens controleren. Hoe dat werkt, staat in de volgende paragraaf; details over het onderzoek vind je in de bijlage „Methodologie”.</w:t>
      </w:r>
    </w:p>
    <w:bookmarkEnd w:id="27"/>
    <w:bookmarkEnd w:id="28"/>
    <w:bookmarkStart w:id="37" w:name="over-dit-boek"/>
    <w:p>
      <w:pPr>
        <w:pStyle w:val="Heading1"/>
      </w:pPr>
      <w:r>
        <w:t xml:space="preserve">Over dit boek</w:t>
      </w:r>
    </w:p>
    <w:bookmarkStart w:id="29" w:name="waarvoor-dit-boek-bedoeld-is"/>
    <w:p>
      <w:pPr>
        <w:pStyle w:val="Heading3"/>
      </w:pPr>
      <w:r>
        <w:t xml:space="preserve">Waarvoor dit boek bedoeld is</w:t>
      </w:r>
    </w:p>
    <w:p>
      <w:pPr>
        <w:pStyle w:val="FirstParagraph"/>
      </w:pPr>
      <w:r>
        <w:t xml:space="preserve">Peptiden liggen op ieders lippen. Afslankinjecties zoals semaglutide en tirzepatide hebben de behandeling van overgewicht veranderd, en op internet worden tientallen andere peptiden aangeboden – voor sneller herstel, meer spieren, een betere huid, meer energie of een langer leven. Tussen de beloften op fora, sociale media en webwinkels en wat daadwerkelijk bij de mens is onderzocht, gaapt vaak een grote kloof.</w:t>
      </w:r>
    </w:p>
    <w:p>
      <w:pPr>
        <w:pStyle w:val="BodyText"/>
      </w:pPr>
      <w:r>
        <w:t xml:space="preserve">Dit boek wil die kloof zichtbaar maken. Het beschrijft voor elk behandeld peptide nuchter welke studies bij mensen er zijn, wat ze laten zien en wat niet, welke risico’s bekend zijn en hoe de juridische status eruitziet. Het vergelijkt de peptiden met elkaar en beoordeelt hoe solide het bewijs telkens is. Het moet je helpen beweringen kritisch te toetsen en geïnformeerde gesprekken te voeren met artsen en apotheken.</w:t>
      </w:r>
    </w:p>
    <w:bookmarkEnd w:id="29"/>
    <w:bookmarkStart w:id="30" w:name="voor-wie-dit-boek-geschreven-is"/>
    <w:p>
      <w:pPr>
        <w:pStyle w:val="Heading3"/>
      </w:pPr>
      <w:r>
        <w:t xml:space="preserve">Voor wie dit boek geschreven is</w:t>
      </w:r>
    </w:p>
    <w:p>
      <w:pPr>
        <w:numPr>
          <w:ilvl w:val="0"/>
          <w:numId w:val="1001"/>
        </w:numPr>
        <w:pStyle w:val="Compact"/>
      </w:pPr>
      <w:r>
        <w:t xml:space="preserve">Voor</w:t>
      </w:r>
      <w:r>
        <w:t xml:space="preserve"> </w:t>
      </w:r>
      <w:r>
        <w:rPr>
          <w:bCs/>
          <w:b/>
        </w:rPr>
        <w:t xml:space="preserve">geïnteresseerde leken</w:t>
      </w:r>
      <w:r>
        <w:t xml:space="preserve"> </w:t>
      </w:r>
      <w:r>
        <w:t xml:space="preserve">die willen weten wat er achter de peptidenhype zit.</w:t>
      </w:r>
    </w:p>
    <w:p>
      <w:pPr>
        <w:numPr>
          <w:ilvl w:val="0"/>
          <w:numId w:val="1001"/>
        </w:numPr>
        <w:pStyle w:val="Compact"/>
      </w:pPr>
      <w:r>
        <w:t xml:space="preserve">Voor mensen die een</w:t>
      </w:r>
      <w:r>
        <w:t xml:space="preserve"> </w:t>
      </w:r>
      <w:r>
        <w:rPr>
          <w:bCs/>
          <w:b/>
        </w:rPr>
        <w:t xml:space="preserve">geregistreerd peptidegeneesmiddel</w:t>
      </w:r>
      <w:r>
        <w:t xml:space="preserve"> </w:t>
      </w:r>
      <w:r>
        <w:t xml:space="preserve">voorgeschreven hebben gekregen of dat overwegen en de onderzoeksstand willen begrijpen.</w:t>
      </w:r>
    </w:p>
    <w:p>
      <w:pPr>
        <w:numPr>
          <w:ilvl w:val="0"/>
          <w:numId w:val="1001"/>
        </w:numPr>
        <w:pStyle w:val="Compact"/>
      </w:pPr>
      <w:r>
        <w:t xml:space="preserve">Voor</w:t>
      </w:r>
      <w:r>
        <w:t xml:space="preserve"> </w:t>
      </w:r>
      <w:r>
        <w:rPr>
          <w:bCs/>
          <w:b/>
        </w:rPr>
        <w:t xml:space="preserve">sporters</w:t>
      </w:r>
      <w:r>
        <w:t xml:space="preserve"> </w:t>
      </w:r>
      <w:r>
        <w:t xml:space="preserve">en trainers die reclamebeloften en dopingrisico’s willen inschatten.</w:t>
      </w:r>
    </w:p>
    <w:p>
      <w:pPr>
        <w:numPr>
          <w:ilvl w:val="0"/>
          <w:numId w:val="1001"/>
        </w:numPr>
        <w:pStyle w:val="Compact"/>
      </w:pPr>
      <w:r>
        <w:t xml:space="preserve">Voor</w:t>
      </w:r>
      <w:r>
        <w:t xml:space="preserve"> </w:t>
      </w:r>
      <w:r>
        <w:rPr>
          <w:bCs/>
          <w:b/>
        </w:rPr>
        <w:t xml:space="preserve">professionals</w:t>
      </w:r>
      <w:r>
        <w:t xml:space="preserve"> </w:t>
      </w:r>
      <w:r>
        <w:t xml:space="preserve">uit farmacie, geneeskunde, voedingsadvies, cosmetica en journalistiek die een snel, op bronnen gebaseerd overzicht zoeken.</w:t>
      </w:r>
    </w:p>
    <w:p>
      <w:pPr>
        <w:pStyle w:val="FirstParagraph"/>
      </w:pPr>
      <w:r>
        <w:t xml:space="preserve">Voorkennis is niet nodig. Vaktermen worden bij hun eerste vermelding uitgelegd en zijn bovendien te vinden in de woordenlijst.</w:t>
      </w:r>
    </w:p>
    <w:bookmarkEnd w:id="30"/>
    <w:bookmarkStart w:id="31" w:name="hoe-het-boek-is-opgebouwd"/>
    <w:p>
      <w:pPr>
        <w:pStyle w:val="Heading3"/>
      </w:pPr>
      <w:r>
        <w:t xml:space="preserve">Hoe het boek is opgebouwd</w:t>
      </w:r>
    </w:p>
    <w:p>
      <w:pPr>
        <w:pStyle w:val="FirstParagraph"/>
      </w:pPr>
      <w:r>
        <w:rPr>
          <w:bCs/>
          <w:b/>
        </w:rPr>
        <w:t xml:space="preserve">Deel I – Basis</w:t>
      </w:r>
      <w:r>
        <w:t xml:space="preserve"> </w:t>
      </w:r>
      <w:r>
        <w:t xml:space="preserve">legt uit wat peptiden zijn, hoe de peptidegeneeskunde zich heeft ontwikkeld, hoe peptiden in het lichaam terechtkomen, hoe je studies leest, wat er op de grijze markt gebeurt en welk juridisch kader geldt. Wie niet vertrouwd is met deze onderwerpen, kan het best hier beginnen.</w:t>
      </w:r>
    </w:p>
    <w:p>
      <w:pPr>
        <w:pStyle w:val="BodyText"/>
      </w:pPr>
      <w:r>
        <w:rPr>
          <w:bCs/>
          <w:b/>
        </w:rPr>
        <w:t xml:space="preserve">Deel II – De peptiden</w:t>
      </w:r>
      <w:r>
        <w:t xml:space="preserve"> </w:t>
      </w:r>
      <w:r>
        <w:t xml:space="preserve">stelt de afzonderlijke werkzame stoffen voor in zes groepen: stofwisseling en gewicht; herstel, regeneratie en immuunsysteem; groeihormoonas; hersenen, slaap en een lang leven; hormonen, seksualiteit en pigmentatie; collageen, voeding en cosmetica. Elk hoofdstuk volgt dezelfde opbouw: profiel, werkingsprincipe, studies bij mensen, dier- en laboratoriumstudies, risico’s en bijwerkingen, juridische status, lopende studies en vooruitzichten, conclusie. Zo kun je peptiden gemakkelijk met elkaar vergelijken en gericht opzoeken.</w:t>
      </w:r>
    </w:p>
    <w:p>
      <w:pPr>
        <w:pStyle w:val="BodyText"/>
      </w:pPr>
      <w:r>
        <w:rPr>
          <w:bCs/>
          <w:b/>
        </w:rPr>
        <w:t xml:space="preserve">Deel III – De grote vergelijking</w:t>
      </w:r>
      <w:r>
        <w:t xml:space="preserve"> </w:t>
      </w:r>
      <w:r>
        <w:t xml:space="preserve">zet alle peptiden naast elkaar en vergelijkt de GLP-1-geneesmiddelen rechtstreeks.</w:t>
      </w:r>
    </w:p>
    <w:p>
      <w:pPr>
        <w:pStyle w:val="BodyText"/>
      </w:pPr>
      <w:r>
        <w:rPr>
          <w:bCs/>
          <w:b/>
        </w:rPr>
        <w:t xml:space="preserve">Deel IV – Risico’s</w:t>
      </w:r>
      <w:r>
        <w:t xml:space="preserve"> </w:t>
      </w:r>
      <w:r>
        <w:t xml:space="preserve">vat bijwerkingen, kanker- en immuunrisico’s, problemen met producten van de grijze markt en bijzondere risicogroepen samen.</w:t>
      </w:r>
    </w:p>
    <w:p>
      <w:pPr>
        <w:pStyle w:val="BodyText"/>
      </w:pPr>
      <w:r>
        <w:rPr>
          <w:bCs/>
          <w:b/>
        </w:rPr>
        <w:t xml:space="preserve">Deel V – Toekomst</w:t>
      </w:r>
      <w:r>
        <w:t xml:space="preserve"> </w:t>
      </w:r>
      <w:r>
        <w:t xml:space="preserve">kijkt naar de ontwikkelingspijplijn, nieuwe toedieningsvormen, aflopende octrooien en prijzen. Vaststaande feiten en inschattingen worden daarbij duidelijk gescheiden.</w:t>
      </w:r>
    </w:p>
    <w:p>
      <w:pPr>
        <w:pStyle w:val="BodyText"/>
      </w:pPr>
      <w:r>
        <w:t xml:space="preserve">In de</w:t>
      </w:r>
      <w:r>
        <w:t xml:space="preserve"> </w:t>
      </w:r>
      <w:r>
        <w:rPr>
          <w:bCs/>
          <w:b/>
        </w:rPr>
        <w:t xml:space="preserve">bijlage</w:t>
      </w:r>
      <w:r>
        <w:t xml:space="preserve"> </w:t>
      </w:r>
      <w:r>
        <w:t xml:space="preserve">vind je de woordenlijst, de methodologie van het onderzoek en de lijst van geanalyseerde studies.</w:t>
      </w:r>
    </w:p>
    <w:bookmarkEnd w:id="31"/>
    <w:bookmarkStart w:id="32" w:name="de-bewijsniveaus"/>
    <w:p>
      <w:pPr>
        <w:pStyle w:val="Heading3"/>
      </w:pPr>
      <w:r>
        <w:t xml:space="preserve">De bewijsniveaus</w:t>
      </w:r>
    </w:p>
    <w:p>
      <w:pPr>
        <w:pStyle w:val="FirstParagraph"/>
      </w:pPr>
      <w:r>
        <w:t xml:space="preserve">Elk peptide krijgt in het profiel een bewijsniveau. Dat beschrijft hoe goed de gegevens</w:t>
      </w:r>
      <w:r>
        <w:t xml:space="preserve"> </w:t>
      </w:r>
      <w:r>
        <w:rPr>
          <w:bCs/>
          <w:b/>
        </w:rPr>
        <w:t xml:space="preserve">bij de mens</w:t>
      </w:r>
      <w:r>
        <w:t xml:space="preserve"> </w:t>
      </w:r>
      <w:r>
        <w:t xml:space="preserve">zijn: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Betekenis</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enkele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Het bewijsniveau is geen advies en geen uitspraak over de veiligheid van een stof. Ook een werkzame stof van niveau A heeft bijwerkingen, en een stof van niveau D is niet noodzakelijk werkingsloos – ze is alleen nog niet voldoende bij de mens onderzocht. Wat er achter de begrippen „gerandomiseerd”, „gecontroleerd” of „surrogaateindpunt” zit, legt het hoofdstuk „Studies goed lezen” uit.</w:t>
      </w:r>
    </w:p>
    <w:bookmarkEnd w:id="32"/>
    <w:bookmarkStart w:id="33" w:name="hoe-bronnen-worden-vermeld"/>
    <w:p>
      <w:pPr>
        <w:pStyle w:val="Heading3"/>
      </w:pPr>
      <w:r>
        <w:t xml:space="preserve">Hoe bronnen worden vermeld</w:t>
      </w:r>
    </w:p>
    <w:p>
      <w:pPr>
        <w:pStyle w:val="FirstParagraph"/>
      </w:pPr>
      <w:r>
        <w:t xml:space="preserve">Om de tekst goed leesbaar te houden, staan de bronnen in voetnoten. In het e-book verschijnt op de betreffende plek een klein superscriptcijfer; door erop te tikken zie je de bron. Elke voetnoot vermeldt de eerste auteur, het jaar van publicatie en het PubMed-nummer, bijvoorbeeld: Wilding 2021, PMID 33567185.</w:t>
      </w:r>
    </w:p>
    <w:p>
      <w:pPr>
        <w:pStyle w:val="BodyText"/>
      </w:pPr>
      <w:r>
        <w:t xml:space="preserve">Geregistreerde studies, vooral lopende, worden vermeld met hun nummer in het Amerikaanse studieregister ClinicalTrials.gov, bijvoorbeeld NCT03548935. In tabellen staan de bronnen direct in de eerste kolom.</w:t>
      </w:r>
    </w:p>
    <w:p>
      <w:pPr>
        <w:pStyle w:val="BodyText"/>
      </w:pPr>
      <w:r>
        <w:t xml:space="preserve">De voetnoten staan telkens aan het eind van het hoofdstuk; het volledige studieregister staat in de bijlage.</w:t>
      </w:r>
    </w:p>
    <w:bookmarkEnd w:id="33"/>
    <w:bookmarkStart w:id="34" w:name="zo-zoek-je-een-bron-op"/>
    <w:p>
      <w:pPr>
        <w:pStyle w:val="Heading3"/>
      </w:pPr>
      <w:r>
        <w:t xml:space="preserve">Zo zoek je een bron op</w:t>
      </w:r>
    </w:p>
    <w:p>
      <w:pPr>
        <w:pStyle w:val="FirstParagraph"/>
      </w:pPr>
      <w:r>
        <w:rPr>
          <w:bCs/>
          <w:b/>
        </w:rPr>
        <w:t xml:space="preserve">PMID</w:t>
      </w:r>
      <w:r>
        <w:t xml:space="preserve">: het PubMed-identificatienummer is een uniek nummer voor elke vermelding in PubMed, de vrij toegankelijke literatuurdatabase van de Amerikaanse National Library of Medicine.</w:t>
      </w:r>
    </w:p>
    <w:p>
      <w:pPr>
        <w:numPr>
          <w:ilvl w:val="0"/>
          <w:numId w:val="1002"/>
        </w:numPr>
        <w:pStyle w:val="Compact"/>
      </w:pPr>
      <w:r>
        <w:t xml:space="preserve">Open in je browser de pagina pubmed.ncbi.nlm.nih.gov.</w:t>
      </w:r>
    </w:p>
    <w:p>
      <w:pPr>
        <w:numPr>
          <w:ilvl w:val="0"/>
          <w:numId w:val="1002"/>
        </w:numPr>
        <w:pStyle w:val="Compact"/>
      </w:pPr>
      <w:r>
        <w:t xml:space="preserve">Voer het nummer in het zoekveld in, bijvoorbeeld 33567185, en start de zoekopdracht.</w:t>
      </w:r>
    </w:p>
    <w:p>
      <w:pPr>
        <w:numPr>
          <w:ilvl w:val="0"/>
          <w:numId w:val="1002"/>
        </w:numPr>
        <w:pStyle w:val="Compact"/>
      </w:pPr>
      <w:r>
        <w:t xml:space="preserve">Je komt direct bij de vermelding met titel, auteurs, vaktijdschrift en meestal een samenvatting (abstract).</w:t>
      </w:r>
    </w:p>
    <w:p>
      <w:pPr>
        <w:pStyle w:val="FirstParagraph"/>
      </w:pPr>
      <w:r>
        <w:t xml:space="preserve">Je kunt het nummer ook direct achter het adres plakken: pubmed.ncbi.nlm.nih.gov/33567185. Veel vermeldingen bevatten een link naar de volledige tekst, die deels gratis en deels alleen tegen betaling beschikbaar is.</w:t>
      </w:r>
    </w:p>
    <w:p>
      <w:pPr>
        <w:pStyle w:val="BodyText"/>
      </w:pPr>
      <w:r>
        <w:rPr>
          <w:bCs/>
          <w:b/>
        </w:rPr>
        <w:t xml:space="preserve">NCT-nummer</w:t>
      </w:r>
      <w:r>
        <w:t xml:space="preserve">: geregistreerde studies vind je op de pagina clinicaltrials.gov door het nummer in het zoekveld in te voeren of achter het adres clinicaltrials.gov/study/ te plakken, bijvoorbeeld clinicaltrials.gov/study/NCT03548935. Daar zie je studieopzet, aantal deelnemers, eindpunten en de actuele status.</w:t>
      </w:r>
    </w:p>
    <w:bookmarkEnd w:id="34"/>
    <w:bookmarkStart w:id="35" w:name="wat-dit-boek-bewust-niet-bevat"/>
    <w:p>
      <w:pPr>
        <w:pStyle w:val="Heading3"/>
      </w:pPr>
      <w:r>
        <w:t xml:space="preserve">Wat dit boek bewust niet bevat</w:t>
      </w:r>
    </w:p>
    <w:p>
      <w:pPr>
        <w:numPr>
          <w:ilvl w:val="0"/>
          <w:numId w:val="1003"/>
        </w:numPr>
        <w:pStyle w:val="Compact"/>
      </w:pPr>
      <w:r>
        <w:rPr>
          <w:bCs/>
          <w:b/>
        </w:rPr>
        <w:t xml:space="preserve">Geen doseringen en gebruiksinstructies.</w:t>
      </w:r>
      <w:r>
        <w:t xml:space="preserve"> </w:t>
      </w:r>
      <w:r>
        <w:t xml:space="preserve">Er staat niet in hoeveel, hoe vaak of hoe lang een peptide gebruikt moet worden, er zijn geen instructies voor oplossen of injecteren en geen combinaties van meerdere stoffen. Bij geregistreerde geneesmiddelen verwijst het boek naar de productinformatie en de begeleiding door een arts.</w:t>
      </w:r>
    </w:p>
    <w:p>
      <w:pPr>
        <w:numPr>
          <w:ilvl w:val="0"/>
          <w:numId w:val="1003"/>
        </w:numPr>
        <w:pStyle w:val="Compact"/>
      </w:pPr>
      <w:r>
        <w:rPr>
          <w:bCs/>
          <w:b/>
        </w:rPr>
        <w:t xml:space="preserve">Geen verkooppunten.</w:t>
      </w:r>
      <w:r>
        <w:t xml:space="preserve"> </w:t>
      </w:r>
      <w:r>
        <w:t xml:space="preserve">Er worden geen webwinkels, fabrikanten, apotheken of landen genoemd waar men peptiden kan kopen, en er worden geen aanwijzingen gegeven hoe men controles omzeilt.</w:t>
      </w:r>
    </w:p>
    <w:p>
      <w:pPr>
        <w:numPr>
          <w:ilvl w:val="0"/>
          <w:numId w:val="1003"/>
        </w:numPr>
        <w:pStyle w:val="Compact"/>
      </w:pPr>
      <w:r>
        <w:rPr>
          <w:bCs/>
          <w:b/>
        </w:rPr>
        <w:t xml:space="preserve">Geen genezingsbeloften.</w:t>
      </w:r>
      <w:r>
        <w:t xml:space="preserve"> </w:t>
      </w:r>
      <w:r>
        <w:t xml:space="preserve">Het boek beschrijft wat in studies is waargenomen – niet wat een stof bij jou teweeg zal brengen.</w:t>
      </w:r>
    </w:p>
    <w:p>
      <w:pPr>
        <w:numPr>
          <w:ilvl w:val="0"/>
          <w:numId w:val="1003"/>
        </w:numPr>
        <w:pStyle w:val="Compact"/>
      </w:pPr>
      <w:r>
        <w:rPr>
          <w:bCs/>
          <w:b/>
        </w:rPr>
        <w:t xml:space="preserve">Geen productaanbevelingen.</w:t>
      </w:r>
      <w:r>
        <w:t xml:space="preserve"> </w:t>
      </w:r>
      <w:r>
        <w:t xml:space="preserve">Er worden geen merken of aanbieders aanbevolen. Merknamen van geregistreerde geneesmiddelen worden alleen genoemd als dat nodig is voor het begrip.</w:t>
      </w:r>
    </w:p>
    <w:bookmarkEnd w:id="35"/>
    <w:bookmarkStart w:id="36" w:name="tot-slot"/>
    <w:p>
      <w:pPr>
        <w:pStyle w:val="Heading3"/>
      </w:pPr>
      <w:r>
        <w:t xml:space="preserve">Tot slot</w:t>
      </w:r>
    </w:p>
    <w:p>
      <w:pPr>
        <w:pStyle w:val="FirstParagraph"/>
      </w:pPr>
      <w:r>
        <w:t xml:space="preserve">Dit boek is een hulpmiddel om na te denken, geen gids voor zelfbehandeling. Als je na het lezen meer vragen hebt dan ervoor, is dat geen slecht teken: vaak is het eerlijkste antwoord op de vraag „Werkt dit peptide?” een „Dat weet nog niemand”.</w:t>
      </w:r>
    </w:p>
    <w:bookmarkEnd w:id="36"/>
    <w:bookmarkEnd w:id="37"/>
    <w:bookmarkStart w:id="231" w:name="deel-i-basis"/>
    <w:p>
      <w:pPr>
        <w:pStyle w:val="Heading1"/>
      </w:pPr>
      <w:r>
        <w:t xml:space="preserve">Deel I – Basis</w:t>
      </w:r>
    </w:p>
    <w:p>
      <w:pPr>
        <w:pStyle w:val="FirstParagraph"/>
      </w:pPr>
      <w:r>
        <w:t xml:space="preserve">Voordat het in deel II over afzonderlijke werkzame stoffen gaat, legt dit deel het fundament. Je leert wat een peptide chemisch eigenlijk is, hoe binnen een eeuw uit een extract van alvleesklieren van honden een van de best verkopende geneesmiddelgroepen ter wereld is ontstaan, waarom de meeste peptiden geïnjecteerd moeten worden, hoe je een studie leest zonder je door krantenkoppen te laten misleiden, wat er op de grijze markt werkelijk in de flesjes zit en welke juridische regels gelden.</w:t>
      </w:r>
    </w:p>
    <w:p>
      <w:pPr>
        <w:pStyle w:val="BodyText"/>
      </w:pPr>
      <w:r>
        <w:t xml:space="preserve">Wie alleen een bepaald peptide wil opzoeken, kan direct naar deel II springen. De hoofdstukken van dit deel leggen echter de begrippen en maatstaven uit die daar voortdurend worden gebruikt – zoals „gerandomiseerd”, „surrogaateindpunt”, „bewijsniveau B” of „research peptide”. Een korte blik loont daarom ook voor lezers met weinig tijd.</w:t>
      </w:r>
    </w:p>
    <w:bookmarkStart w:id="63" w:name="wat-peptiden-zijn-en-wat-niet"/>
    <w:p>
      <w:pPr>
        <w:pStyle w:val="Heading2"/>
      </w:pPr>
      <w:r>
        <w:t xml:space="preserve">Wat peptiden zijn – en wat niet</w:t>
      </w:r>
    </w:p>
    <w:p>
      <w:pPr>
        <w:pStyle w:val="FirstParagraph"/>
      </w:pPr>
      <w:r>
        <w:t xml:space="preserve">Het woord „peptide” heeft de afgelopen jaren een verbazingwekkende carrière gemaakt. Het staat op huidcrèmes en eiwitpoeders, in advertenties voor afslankinjecties en op online fora waar over „genezingspeptiden” wordt gediscussieerd. Toch duidt het begrip in de eerste plaats alleen een bepaalde chemische bouw aan – niet meer en niet minder. Het zegt niets over de vraag of een stof werkt, of ze veilig is of of ze überhaupt in het lichaam terechtkomt. Dit hoofdstuk verduidelijkt de basisbegrippen en rekent af met enkele wijdverbreide misverstanden.</w:t>
      </w:r>
    </w:p>
    <w:bookmarkStart w:id="38" w:name="aminozuren-de-bouwstenen"/>
    <w:p>
      <w:pPr>
        <w:pStyle w:val="Heading3"/>
      </w:pPr>
      <w:r>
        <w:t xml:space="preserve">Aminozuren: de bouwstenen</w:t>
      </w:r>
    </w:p>
    <w:p>
      <w:pPr>
        <w:pStyle w:val="FirstParagraph"/>
      </w:pPr>
      <w:r>
        <w:t xml:space="preserve">Alle peptiden en eiwitten bestaan uit aminozuren. Een aminozuur is een klein molecuul met twee typische onderdelen: een aminogroep (die stikstof bevat) en een zuurgroep (carboxylgroep). Daartussen zit een centraal koolstofatoom waaraan een zogeheten zijketen hangt. Die zijketen onderscheidt de aminozuren van elkaar: ze kan klein en onopvallend zijn zoals bij glycine, olieachtig en waterafstotend zoals bij leucine, elektrisch geladen zoals bij lysine of zwavelhoudend zoals bij cysteïne.</w:t>
      </w:r>
    </w:p>
    <w:p>
      <w:pPr>
        <w:pStyle w:val="BodyText"/>
      </w:pPr>
      <w:r>
        <w:t xml:space="preserve">Het menselijk lichaam bouwt zijn eiwitten in wezen op uit 20 standaardaminozuren. Sommige daarvan kan het zelf aanmaken, andere – de „essentiële” aminozuren – moet het via de voeding opnemen. Daarnaast bestaan er honderden andere aminozuren die in de natuur voorkomen of in het laboratorium worden gemaakt. Voor de ontwikkeling van geneesmiddelen zijn zulke „niet-natuurlijke” aminozuren belangrijk, omdat ze een peptide stabieler kunnen maken. Een voorbeeld vind je verderop bij semaglutide.</w:t>
      </w:r>
    </w:p>
    <w:p>
      <w:pPr>
        <w:pStyle w:val="BodyText"/>
      </w:pPr>
      <w:r>
        <w:t xml:space="preserve">Belangrijk om veel reclamebeloften te begrijpen: losse aminozuren zijn geen peptiden. Een voedingssupplement met arginine, glutamine of „BCAA” bevat vrije aminozuren, dus losse bouwstenen – geen peptide.</w:t>
      </w:r>
    </w:p>
    <w:bookmarkEnd w:id="38"/>
    <w:bookmarkStart w:id="39" w:name="de-peptidebinding"/>
    <w:p>
      <w:pPr>
        <w:pStyle w:val="Heading3"/>
      </w:pPr>
      <w:r>
        <w:t xml:space="preserve">De peptidebinding</w:t>
      </w:r>
    </w:p>
    <w:p>
      <w:pPr>
        <w:pStyle w:val="FirstParagraph"/>
      </w:pPr>
      <w:r>
        <w:t xml:space="preserve">Wanneer twee aminozuren zich met elkaar verbinden, reageert de zuurgroep van het ene met de aminogroep van het andere. Daarbij wordt een watermolecuul afgesplitst en ontstaat een stabiele verbinding: de peptidebinding. Het resultaat heet een dipeptide. Hangt men er nog een aminozuur aan, dan ontstaat een tripeptide, daarna een tetrapeptide enzovoort. Zo’n keten heeft altijd een richting: ze begint met een vrije aminogroep (de „N-terminus”) en eindigt met een vrije zuurgroep (de „C-terminus”). In vakartikelen worden aminozuren daarom altijd van links naar rechts, van het N- naar het C-uiteinde, opgeschreven – vaak met afkortingen van één letter. Het tripeptide „GHK” staat bijvoorbeeld voor glycine–histidine–lysine.</w:t>
      </w:r>
    </w:p>
    <w:p>
      <w:pPr>
        <w:pStyle w:val="BodyText"/>
      </w:pPr>
      <w:r>
        <w:t xml:space="preserve">De volgorde van de aminozuren noemt men sequentie of primaire structuur. Die is beslissend: twee peptiden uit dezelfde bouwstenen in een andere volgorde zijn verschillende stoffen met verschillende eigenschappen – zoals „roos” en „soor” uit dezelfde letters bestaan.</w:t>
      </w:r>
    </w:p>
    <w:bookmarkEnd w:id="39"/>
    <w:bookmarkStart w:id="42" w:name="peptide-of-eiwit-een-kwestie-van-lengte"/>
    <w:p>
      <w:pPr>
        <w:pStyle w:val="Heading3"/>
      </w:pPr>
      <w:r>
        <w:t xml:space="preserve">Peptide of eiwit? Een kwestie van lengte</w:t>
      </w:r>
    </w:p>
    <w:p>
      <w:pPr>
        <w:pStyle w:val="FirstParagraph"/>
      </w:pPr>
      <w:r>
        <w:t xml:space="preserve">Tussen peptiden en eiwitten bestaat geen scherpe natuurwetenschappelijke grens, maar een conventie. Grofweg geldt:</w:t>
      </w:r>
    </w:p>
    <w:p>
      <w:pPr>
        <w:numPr>
          <w:ilvl w:val="0"/>
          <w:numId w:val="1004"/>
        </w:numPr>
        <w:pStyle w:val="Compact"/>
      </w:pPr>
      <w:r>
        <w:rPr>
          <w:bCs/>
          <w:b/>
        </w:rPr>
        <w:t xml:space="preserve">Oligopeptiden</w:t>
      </w:r>
      <w:r>
        <w:t xml:space="preserve">: ongeveer 2 tot 10 aminozuren, bijvoorbeeld het tripeptide glutathion of het dipeptide carnosine.</w:t>
      </w:r>
    </w:p>
    <w:p>
      <w:pPr>
        <w:numPr>
          <w:ilvl w:val="0"/>
          <w:numId w:val="1004"/>
        </w:numPr>
        <w:pStyle w:val="Compact"/>
      </w:pPr>
      <w:r>
        <w:rPr>
          <w:bCs/>
          <w:b/>
        </w:rPr>
        <w:t xml:space="preserve">Polypeptiden</w:t>
      </w:r>
      <w:r>
        <w:t xml:space="preserve">: langere ketens tot ongeveer 50 aminozuren.</w:t>
      </w:r>
    </w:p>
    <w:p>
      <w:pPr>
        <w:numPr>
          <w:ilvl w:val="0"/>
          <w:numId w:val="1004"/>
        </w:numPr>
        <w:pStyle w:val="Compact"/>
      </w:pPr>
      <w:r>
        <w:rPr>
          <w:bCs/>
          <w:b/>
        </w:rPr>
        <w:t xml:space="preserve">Eiwitten (proteïnen)</w:t>
      </w:r>
      <w:r>
        <w:t xml:space="preserve">: grotere moleculen, meestal met meer dan 50 aminozuren en een vaste ruimtelijke vouwing.</w:t>
      </w:r>
    </w:p>
    <w:p>
      <w:pPr>
        <w:pStyle w:val="FirstParagraph"/>
      </w:pPr>
      <w:r>
        <w:t xml:space="preserve">Insuline ligt met 51 aminozuren precies op deze grens. Het bestaat uit twee ketens die via zwavelbruggen verbonden zijn, en wordt afhankelijk van het leerboek een peptide of een klein eiwit genoemd. Het menselijk groeihormoon is daarentegen duidelijk een eiwit: de meest voorkomende vorm bestaat uit 191 aminozuren en weegt ongeveer 22.000 dalton</w:t>
      </w:r>
      <w:r>
        <w:rPr>
          <w:rStyle w:val="FootnoteReference"/>
        </w:rPr>
        <w:footnoteReference w:id="40"/>
      </w:r>
      <w:r>
        <w:t xml:space="preserve">. Dalton is de eenheid voor de massa van moleculen; een gemiddeld aminozuur in een keten weegt iets meer dan 100 dalton.</w:t>
      </w:r>
    </w:p>
    <w:p>
      <w:pPr>
        <w:pStyle w:val="BodyText"/>
      </w:pPr>
      <w:r>
        <w:t xml:space="preserve">Enkele voorbeelden uit dit boek ter oriëntatie: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w:t>
            </w:r>
          </w:p>
        </w:tc>
        <w:tc>
          <w:tcPr/>
          <w:p>
            <w:pPr>
              <w:pStyle w:val="Compact"/>
              <w:jc w:val="left"/>
            </w:pPr>
            <w:r>
              <w:t xml:space="preserve">Lengte</w:t>
            </w:r>
          </w:p>
        </w:tc>
        <w:tc>
          <w:tcPr/>
          <w:p>
            <w:pPr>
              <w:pStyle w:val="Compact"/>
              <w:jc w:val="left"/>
            </w:pPr>
            <w:r>
              <w:t xml:space="preserve">Opmerking</w:t>
            </w:r>
          </w:p>
        </w:tc>
      </w:tr>
      <w:tr>
        <w:tc>
          <w:tcPr/>
          <w:p>
            <w:pPr>
              <w:pStyle w:val="Compact"/>
              <w:jc w:val="left"/>
            </w:pPr>
            <w:r>
              <w:t xml:space="preserve">Carnosine</w:t>
            </w:r>
          </w:p>
        </w:tc>
        <w:tc>
          <w:tcPr/>
          <w:p>
            <w:pPr>
              <w:pStyle w:val="Compact"/>
              <w:jc w:val="left"/>
            </w:pPr>
            <w:r>
              <w:t xml:space="preserve">2 aminozuren</w:t>
            </w:r>
          </w:p>
        </w:tc>
        <w:tc>
          <w:tcPr/>
          <w:p>
            <w:pPr>
              <w:pStyle w:val="Compact"/>
              <w:jc w:val="left"/>
            </w:pPr>
            <w:r>
              <w:t xml:space="preserve">komt voor in spieren</w:t>
            </w:r>
          </w:p>
        </w:tc>
      </w:tr>
      <w:tr>
        <w:tc>
          <w:tcPr/>
          <w:p>
            <w:pPr>
              <w:pStyle w:val="Compact"/>
              <w:jc w:val="left"/>
            </w:pPr>
            <w:r>
              <w:t xml:space="preserve">Glutathion</w:t>
            </w:r>
          </w:p>
        </w:tc>
        <w:tc>
          <w:tcPr/>
          <w:p>
            <w:pPr>
              <w:pStyle w:val="Compact"/>
              <w:jc w:val="left"/>
            </w:pPr>
            <w:r>
              <w:t xml:space="preserve">3 aminozuren</w:t>
            </w:r>
          </w:p>
        </w:tc>
        <w:tc>
          <w:tcPr/>
          <w:p>
            <w:pPr>
              <w:pStyle w:val="Compact"/>
              <w:jc w:val="left"/>
            </w:pPr>
            <w:r>
              <w:t xml:space="preserve">lichaamseigen beschermmolecuul</w:t>
            </w:r>
          </w:p>
        </w:tc>
      </w:tr>
      <w:tr>
        <w:tc>
          <w:tcPr/>
          <w:p>
            <w:pPr>
              <w:pStyle w:val="Compact"/>
              <w:jc w:val="left"/>
            </w:pPr>
            <w:r>
              <w:t xml:space="preserve">Oxytocine</w:t>
            </w:r>
          </w:p>
        </w:tc>
        <w:tc>
          <w:tcPr/>
          <w:p>
            <w:pPr>
              <w:pStyle w:val="Compact"/>
              <w:jc w:val="left"/>
            </w:pPr>
            <w:r>
              <w:t xml:space="preserve">9 aminozuren</w:t>
            </w:r>
          </w:p>
        </w:tc>
        <w:tc>
          <w:tcPr/>
          <w:p>
            <w:pPr>
              <w:pStyle w:val="Compact"/>
              <w:jc w:val="left"/>
            </w:pPr>
            <w:r>
              <w:t xml:space="preserve">hormoon, ringvormig gebouwd</w:t>
            </w:r>
          </w:p>
        </w:tc>
      </w:tr>
      <w:tr>
        <w:tc>
          <w:tcPr/>
          <w:p>
            <w:pPr>
              <w:pStyle w:val="Compact"/>
              <w:jc w:val="left"/>
            </w:pPr>
            <w:r>
              <w:t xml:space="preserve">GLP-1 (actieve vorm)</w:t>
            </w:r>
          </w:p>
        </w:tc>
        <w:tc>
          <w:tcPr/>
          <w:p>
            <w:pPr>
              <w:pStyle w:val="Compact"/>
              <w:jc w:val="left"/>
            </w:pPr>
            <w:r>
              <w:t xml:space="preserve">30 aminozuren</w:t>
            </w:r>
          </w:p>
        </w:tc>
        <w:tc>
          <w:tcPr/>
          <w:p>
            <w:pPr>
              <w:pStyle w:val="Compact"/>
              <w:jc w:val="left"/>
            </w:pPr>
            <w:r>
              <w:t xml:space="preserve">darmhormoon</w:t>
            </w:r>
          </w:p>
        </w:tc>
      </w:tr>
      <w:tr>
        <w:tc>
          <w:tcPr/>
          <w:p>
            <w:pPr>
              <w:pStyle w:val="Compact"/>
              <w:jc w:val="left"/>
            </w:pPr>
            <w:r>
              <w:t xml:space="preserve">Exendine-4 (exenatide)</w:t>
            </w:r>
          </w:p>
        </w:tc>
        <w:tc>
          <w:tcPr/>
          <w:p>
            <w:pPr>
              <w:pStyle w:val="Compact"/>
              <w:jc w:val="left"/>
            </w:pPr>
            <w:r>
              <w:t xml:space="preserve">39 aminozuren</w:t>
            </w:r>
          </w:p>
        </w:tc>
        <w:tc>
          <w:tcPr/>
          <w:p>
            <w:pPr>
              <w:pStyle w:val="Compact"/>
              <w:jc w:val="left"/>
            </w:pPr>
            <w:r>
              <w:t xml:space="preserve">uit hagedissengif</w:t>
            </w:r>
          </w:p>
        </w:tc>
      </w:tr>
      <w:tr>
        <w:tc>
          <w:tcPr/>
          <w:p>
            <w:pPr>
              <w:pStyle w:val="Compact"/>
              <w:jc w:val="left"/>
            </w:pPr>
            <w:r>
              <w:t xml:space="preserve">Insuline</w:t>
            </w:r>
          </w:p>
        </w:tc>
        <w:tc>
          <w:tcPr/>
          <w:p>
            <w:pPr>
              <w:pStyle w:val="Compact"/>
              <w:jc w:val="left"/>
            </w:pPr>
            <w:r>
              <w:t xml:space="preserve">51 aminozuren</w:t>
            </w:r>
          </w:p>
        </w:tc>
        <w:tc>
          <w:tcPr/>
          <w:p>
            <w:pPr>
              <w:pStyle w:val="Compact"/>
              <w:jc w:val="left"/>
            </w:pPr>
            <w:r>
              <w:t xml:space="preserve">twee ketens</w:t>
            </w:r>
          </w:p>
        </w:tc>
      </w:tr>
      <w:tr>
        <w:tc>
          <w:tcPr/>
          <w:p>
            <w:pPr>
              <w:pStyle w:val="Compact"/>
              <w:jc w:val="left"/>
            </w:pPr>
            <w:r>
              <w:t xml:space="preserve">Groeihormoon</w:t>
            </w:r>
          </w:p>
        </w:tc>
        <w:tc>
          <w:tcPr/>
          <w:p>
            <w:pPr>
              <w:pStyle w:val="Compact"/>
              <w:jc w:val="left"/>
            </w:pPr>
            <w:r>
              <w:t xml:space="preserve">191 aminozuren</w:t>
            </w:r>
          </w:p>
        </w:tc>
        <w:tc>
          <w:tcPr/>
          <w:p>
            <w:pPr>
              <w:pStyle w:val="Compact"/>
              <w:jc w:val="left"/>
            </w:pPr>
            <w:r>
              <w:t xml:space="preserve">eiwit</w:t>
            </w:r>
          </w:p>
        </w:tc>
      </w:tr>
    </w:tbl>
    <w:p>
      <w:pPr>
        <w:pStyle w:val="BodyText"/>
      </w:pPr>
      <w:r>
        <w:t xml:space="preserve">De lengte van exendine-4 wordt vermeld in de eerste beschrijving</w:t>
      </w:r>
      <w:r>
        <w:rPr>
          <w:rStyle w:val="FootnoteReference"/>
        </w:rPr>
        <w:footnoteReference w:id="41"/>
      </w:r>
      <w:r>
        <w:t xml:space="preserve">; de overige gegevens komen overeen met de leerboekkennis.</w:t>
      </w:r>
    </w:p>
    <w:p>
      <w:pPr>
        <w:pStyle w:val="BodyText"/>
      </w:pPr>
      <w:r>
        <w:t xml:space="preserve">In de praktijk is de lengte om meerdere redenen belangrijk. Korte peptiden zijn eenvoudiger en goedkoper chemisch te maken. Lange ketens vouwen zich tot complexe vormen die onmisbaar kunnen zijn voor de werking. En hoe groter een molecuul, hoe moeilijker het door de huid of de darmwand komt – daarover meer in het hoofdstuk over de toedieningsvormen.</w:t>
      </w:r>
    </w:p>
    <w:bookmarkEnd w:id="42"/>
    <w:bookmarkStart w:id="44" w:name="hoe-peptiden-in-het-lichaam-werken"/>
    <w:p>
      <w:pPr>
        <w:pStyle w:val="Heading3"/>
      </w:pPr>
      <w:r>
        <w:t xml:space="preserve">Hoe peptiden in het lichaam werken</w:t>
      </w:r>
    </w:p>
    <w:p>
      <w:pPr>
        <w:pStyle w:val="FirstParagraph"/>
      </w:pPr>
      <w:r>
        <w:t xml:space="preserve">Het menselijk lichaam gebruikt peptiden vooral als boodschapperstoffen. Een peptidehormoon wordt in een cel aangemaakt, aan het bloed of het weefsel afgegeven en koppelt bij een andere cel aan een passende receptor. Receptoren zijn eiwitmoleculen in de celwand die als een slot werken: alleen de passende sleutel zet in het celinnerste een signaal in gang.</w:t>
      </w:r>
    </w:p>
    <w:p>
      <w:pPr>
        <w:pStyle w:val="BodyText"/>
      </w:pPr>
      <w:r>
        <w:t xml:space="preserve">Omdat peptiden meestal te groot en te goed in water oplosbaar zijn om door de vettige celmembraan heen te glippen, werken de meeste via receptoren aan het celoppervlak. Veel daarvan behoren tot de grote familie van G-eiwitgekoppelde receptoren. De GLP-1-receptor, waarlangs semaglutide of liraglutide werken, is zo’n receptor. Hij komt niet alleen voor in de alvleesklier, maar ook in het maag-darmkanaal, het hart, de longen, de nieren en de hersenen</w:t>
      </w:r>
      <w:r>
        <w:rPr>
          <w:rStyle w:val="FootnoteReference"/>
        </w:rPr>
        <w:footnoteReference w:id="43"/>
      </w:r>
      <w:r>
        <w:t xml:space="preserve"> </w:t>
      </w:r>
      <w:r>
        <w:t xml:space="preserve">– dat verklaart waarom deze werkzame stoffen zoveel verschillende effecten hebben.</w:t>
      </w:r>
    </w:p>
    <w:p>
      <w:pPr>
        <w:pStyle w:val="BodyText"/>
      </w:pPr>
      <w:r>
        <w:t xml:space="preserve">Peptiden vervullen in het lichaam zeer uiteenlopende taken:</w:t>
      </w:r>
    </w:p>
    <w:p>
      <w:pPr>
        <w:numPr>
          <w:ilvl w:val="0"/>
          <w:numId w:val="1005"/>
        </w:numPr>
        <w:pStyle w:val="Compact"/>
      </w:pPr>
      <w:r>
        <w:rPr>
          <w:bCs/>
          <w:b/>
        </w:rPr>
        <w:t xml:space="preserve">Hormonen</w:t>
      </w:r>
      <w:r>
        <w:t xml:space="preserve"> </w:t>
      </w:r>
      <w:r>
        <w:t xml:space="preserve">zoals insuline, glucagon, GLP-1, oxytocine of vasopressine sturen de stofwisseling, de waterhuishouding en de voortplanting.</w:t>
      </w:r>
    </w:p>
    <w:p>
      <w:pPr>
        <w:numPr>
          <w:ilvl w:val="0"/>
          <w:numId w:val="1005"/>
        </w:numPr>
        <w:pStyle w:val="Compact"/>
      </w:pPr>
      <w:r>
        <w:rPr>
          <w:bCs/>
          <w:b/>
        </w:rPr>
        <w:t xml:space="preserve">Releasingfactoren</w:t>
      </w:r>
      <w:r>
        <w:t xml:space="preserve"> </w:t>
      </w:r>
      <w:r>
        <w:t xml:space="preserve">uit de hypothalamus, zoals het gonadotropine-releasing hormoon (GnRH), geven de hypofyse opdrachten.</w:t>
      </w:r>
    </w:p>
    <w:p>
      <w:pPr>
        <w:numPr>
          <w:ilvl w:val="0"/>
          <w:numId w:val="1005"/>
        </w:numPr>
        <w:pStyle w:val="Compact"/>
      </w:pPr>
      <w:r>
        <w:rPr>
          <w:bCs/>
          <w:b/>
        </w:rPr>
        <w:t xml:space="preserve">Neuropeptiden</w:t>
      </w:r>
      <w:r>
        <w:t xml:space="preserve"> </w:t>
      </w:r>
      <w:r>
        <w:t xml:space="preserve">zoals endorfines werken als signaalstoffen in het zenuwstelsel.</w:t>
      </w:r>
    </w:p>
    <w:p>
      <w:pPr>
        <w:numPr>
          <w:ilvl w:val="0"/>
          <w:numId w:val="1005"/>
        </w:numPr>
        <w:pStyle w:val="Compact"/>
      </w:pPr>
      <w:r>
        <w:rPr>
          <w:bCs/>
          <w:b/>
        </w:rPr>
        <w:t xml:space="preserve">Antimicrobiële peptiden</w:t>
      </w:r>
      <w:r>
        <w:t xml:space="preserve"> </w:t>
      </w:r>
      <w:r>
        <w:t xml:space="preserve">zoals LL-37 maken deel uit van de aangeboren afweer.</w:t>
      </w:r>
    </w:p>
    <w:p>
      <w:pPr>
        <w:numPr>
          <w:ilvl w:val="0"/>
          <w:numId w:val="1005"/>
        </w:numPr>
        <w:pStyle w:val="Compact"/>
      </w:pPr>
      <w:r>
        <w:rPr>
          <w:bCs/>
          <w:b/>
        </w:rPr>
        <w:t xml:space="preserve">Structuurbouwstenen en afbraakproducten</w:t>
      </w:r>
      <w:r>
        <w:t xml:space="preserve">: wanneer collageen of melkeiwit wordt verteerd, ontstaan korte peptiden, waarvan sommige in het bloed aantoonbaar zijn.</w:t>
      </w:r>
    </w:p>
    <w:p>
      <w:pPr>
        <w:pStyle w:val="FirstParagraph"/>
      </w:pPr>
      <w:r>
        <w:t xml:space="preserve">Deze verscheidenheid verklaart waarom onder het begrip „peptide” zulke verschillende stoffen worden samengebracht: een zeer werkzaam diabetesgeneesmiddel op recept net zo goed als een collageenpoeder uit de supermarkt.</w:t>
      </w:r>
    </w:p>
    <w:bookmarkEnd w:id="44"/>
    <w:bookmarkStart w:id="48" w:name="X1d0a827285dedf3bc8c2c210ea68b464cdb2c79"/>
    <w:p>
      <w:pPr>
        <w:pStyle w:val="Heading3"/>
      </w:pPr>
      <w:r>
        <w:t xml:space="preserve">Korte levensduur: het basisprobleem van natuurlijke peptiden</w:t>
      </w:r>
    </w:p>
    <w:p>
      <w:pPr>
        <w:pStyle w:val="FirstParagraph"/>
      </w:pPr>
      <w:r>
        <w:t xml:space="preserve">Lichaamseigen peptiden zijn meestal gebouwd voor een korte, precieze werking. Het lichaam beschikt over een groot aantal enzymen die peptidebindingen splitsen – zogeheten peptidasen of proteasen. Dat is zinvol: een hormoonsignaal moet na het eten komen en weer gaan.</w:t>
      </w:r>
    </w:p>
    <w:p>
      <w:pPr>
        <w:pStyle w:val="BodyText"/>
      </w:pPr>
      <w:r>
        <w:t xml:space="preserve">Voor een geneesmiddel is die korte levensduur echter een probleem. Het natuurlijke GLP-1 wordt door het enzym dipeptidylpeptidase-4 (DPP-4) snel in stukken geknipt. In menselijk bloedplasma in de reageerbuis bedroeg de halfwaardetijd ongeveer 20 minuten</w:t>
      </w:r>
      <w:r>
        <w:rPr>
          <w:rStyle w:val="FootnoteReference"/>
        </w:rPr>
        <w:footnoteReference w:id="45"/>
      </w:r>
      <w:r>
        <w:t xml:space="preserve">; in het lichaam wordt GLP-1 bovendien snel uit de circulatie verwijderd. Als geneesmiddel zou onveranderd GLP-1 daarom nauwelijks bruikbaar zijn.</w:t>
      </w:r>
    </w:p>
    <w:p>
      <w:pPr>
        <w:pStyle w:val="BodyText"/>
      </w:pPr>
      <w:r>
        <w:t xml:space="preserve">De oplossing van het farmaceutisch onderzoek bestond erin het molecuul gericht te veranderen. Bij semaglutide werden twee aminozuren van het natuurlijke GLP-1 vervangen – op positie 8 staat het niet-natuurlijke aminozuur Aib, dat het molecuul tegen DPP-4 beschermt – en aan de keten werd via een verbindingsstuk een vetzuur gehangen. Het vetzuur zorgt ervoor dat semaglutide in het bloed reversibel aan het transporteiwit albumine bindt</w:t>
      </w:r>
      <w:r>
        <w:rPr>
          <w:rStyle w:val="FootnoteReference"/>
        </w:rPr>
        <w:footnoteReference w:id="46"/>
      </w:r>
      <w:r>
        <w:t xml:space="preserve">. Zo ontstaat een depot waaruit de werkzame stof langzaam vrijkomt. De halfwaardetijd bij de mens bedraagt ongeveer een week</w:t>
      </w:r>
      <w:r>
        <w:rPr>
          <w:rStyle w:val="FootnoteReference"/>
        </w:rPr>
        <w:footnoteReference w:id="47"/>
      </w:r>
      <w:r>
        <w:t xml:space="preserve"> </w:t>
      </w:r>
      <w:r>
        <w:t xml:space="preserve">– daarom volstaat één injectie per week.</w:t>
      </w:r>
    </w:p>
    <w:p>
      <w:pPr>
        <w:pStyle w:val="BodyText"/>
      </w:pPr>
      <w:r>
        <w:t xml:space="preserve">Dit principe – natuurlijk voorbeeld, gericht gestabiliseerd – loopt als een rode draad door de moderne peptidegeneeskunde. Het betekent echter ook: een peptidegeneesmiddel is meestal</w:t>
      </w:r>
      <w:r>
        <w:t xml:space="preserve"> </w:t>
      </w:r>
      <w:r>
        <w:rPr>
          <w:bCs/>
          <w:b/>
        </w:rPr>
        <w:t xml:space="preserve">geen</w:t>
      </w:r>
      <w:r>
        <w:t xml:space="preserve"> </w:t>
      </w:r>
      <w:r>
        <w:t xml:space="preserve">„natuurlijke” stof in de zin van onveranderd lichaamseigen. Het is een molecuul dat door de natuur is geïnspireerd, maar in het laboratorium is geoptimaliseerd.</w:t>
      </w:r>
    </w:p>
    <w:bookmarkEnd w:id="48"/>
    <w:bookmarkStart w:id="52" w:name="hoe-peptiden-worden-gemaakt"/>
    <w:p>
      <w:pPr>
        <w:pStyle w:val="Heading3"/>
      </w:pPr>
      <w:r>
        <w:t xml:space="preserve">Hoe peptiden worden gemaakt</w:t>
      </w:r>
    </w:p>
    <w:p>
      <w:pPr>
        <w:pStyle w:val="FirstParagraph"/>
      </w:pPr>
      <w:r>
        <w:t xml:space="preserve">Er zijn drie fundamentele manieren om peptiden te verkrijgen:</w:t>
      </w:r>
    </w:p>
    <w:p>
      <w:pPr>
        <w:pStyle w:val="BodyText"/>
      </w:pPr>
      <w:r>
        <w:rPr>
          <w:bCs/>
          <w:b/>
        </w:rPr>
        <w:t xml:space="preserve">Chemische synthese.</w:t>
      </w:r>
      <w:r>
        <w:t xml:space="preserve"> </w:t>
      </w:r>
      <w:r>
        <w:t xml:space="preserve">Sinds de jaren 1960 worden peptiden bouwsteen voor bouwsteen op een vast dragermateriaal opgebouwd. Deze methode van vastefase-peptidesynthese werd ontwikkeld door Robert Bruce Merrifield</w:t>
      </w:r>
      <w:r>
        <w:rPr>
          <w:rStyle w:val="FootnoteReference"/>
        </w:rPr>
        <w:footnoteReference w:id="49"/>
      </w:r>
      <w:r>
        <w:t xml:space="preserve">, die daarvoor in 1984 de Nobelprijs voor de Scheikunde kreeg. Tegenwoordig verlopen zulke syntheses grotendeels automatisch. Ze vormen de basis van bijna alle korte peptiden, ook van die welke op de grijze markt worden aangeboden. Bij elke koppelingsstap kunnen echter fouten ontstaan – bijvoorbeeld ontbrekende of dubbele aminozuren. Een zorgvuldige zuiveringsstap is daarom onmisbaar.</w:t>
      </w:r>
    </w:p>
    <w:p>
      <w:pPr>
        <w:pStyle w:val="BodyText"/>
      </w:pPr>
      <w:r>
        <w:rPr>
          <w:bCs/>
          <w:b/>
        </w:rPr>
        <w:t xml:space="preserve">Genetisch gemodificeerde (recombinante) productie.</w:t>
      </w:r>
      <w:r>
        <w:t xml:space="preserve"> </w:t>
      </w:r>
      <w:r>
        <w:t xml:space="preserve">Daarbij wordt de bouwinstructie voor het peptide in bacteriën of gistcellen ingebracht, die het vervolgens in grote tanks produceren. Humane insuline was het eerste geneesmiddel dat zo werd gemaakt; in klinische studies bij mensen werd het vanaf 1980 gebruikt</w:t>
      </w:r>
      <w:r>
        <w:rPr>
          <w:rStyle w:val="FootnoteReference"/>
        </w:rPr>
        <w:footnoteReference w:id="50"/>
      </w:r>
      <w:r>
        <w:t xml:space="preserve">. Grotere peptiden en eiwitten worden tot op heden overwegend op deze manier verkregen, deels gecombineerd met chemische modificatiestappen.</w:t>
      </w:r>
    </w:p>
    <w:p>
      <w:pPr>
        <w:pStyle w:val="BodyText"/>
      </w:pPr>
      <w:r>
        <w:rPr>
          <w:bCs/>
          <w:b/>
        </w:rPr>
        <w:t xml:space="preserve">Winning uit natuurlijke bronnen.</w:t>
      </w:r>
      <w:r>
        <w:t xml:space="preserve"> </w:t>
      </w:r>
      <w:r>
        <w:t xml:space="preserve">Vroege insulines werden gewonnen uit alvleesklieren van runderen en varkens. Collageenpeptiden ontstaan tegenwoordig doordat collageen uit huid, botten of visschubben met enzymen in kleinere stukken wordt gesplitst (hydrolyse). Zulke hydrolysaten zijn mengsels van veel verschillende peptiden – geen uniforme werkzame stof.</w:t>
      </w:r>
    </w:p>
    <w:p>
      <w:pPr>
        <w:pStyle w:val="BodyText"/>
      </w:pPr>
      <w:r>
        <w:t xml:space="preserve">De productiewijze is van belang voor de veiligheid. Een onderzoek vergeleek namaakproducten van semaglutide en liraglutide met de originele preparaten en vond bij sommige werkzame stoffen van namaakproducten nieuwe verontreinigingen, waaronder eiwitten met een hoger moleculegewicht, sporenmetalen en resten van oplosmiddelen</w:t>
      </w:r>
      <w:r>
        <w:rPr>
          <w:rStyle w:val="FootnoteReference"/>
        </w:rPr>
        <w:footnoteReference w:id="51"/>
      </w:r>
      <w:r>
        <w:t xml:space="preserve">. Of zulke verschillen klinisch relevant zijn, is onduidelijk – ze laten echter zien dat „dezelfde werkzame stof” niet automatisch „hetzelfde product” betekent. Het onderzoek werd overigens uitgevoerd door de fabrikant van de originele preparaten, waarmee bij de beoordeling rekening moet worden gehouden.</w:t>
      </w:r>
    </w:p>
    <w:bookmarkEnd w:id="52"/>
    <w:bookmarkStart w:id="55" w:name="X18efa93daf1608cc322c55ee9de6aa97ff0b3d3"/>
    <w:p>
      <w:pPr>
        <w:pStyle w:val="Heading3"/>
      </w:pPr>
      <w:r>
        <w:t xml:space="preserve">Peptiden als geneesmiddel: een groeiende groep</w:t>
      </w:r>
    </w:p>
    <w:p>
      <w:pPr>
        <w:pStyle w:val="FirstParagraph"/>
      </w:pPr>
      <w:r>
        <w:t xml:space="preserve">Peptiden bezetten een niche tussen de klassieke „kleine moleculen” (zoals aspirine of metformine) en de grote biologische geneesmiddelen (zoals antilichamen). Ze kunnen zeer gericht aan een receptor binden, wat vaak leidt tot weinig ongewenste bijwerkingen op andere plaatsen. Tegelijk zijn ze moeilijker in tabletvorm te brengen en vaak duur om te maken.</w:t>
      </w:r>
    </w:p>
    <w:p>
      <w:pPr>
        <w:pStyle w:val="BodyText"/>
      </w:pPr>
      <w:r>
        <w:t xml:space="preserve">Volgens een overzichtsartikel hebben sinds de introductie van insuline meer dan 80 peptidegeneesmiddelen de markt bereikt, onder meer tegen diabetes, kanker, osteoporose, multiple sclerose, hiv-infectie en chronische pijn</w:t>
      </w:r>
      <w:r>
        <w:rPr>
          <w:rStyle w:val="FootnoteReference"/>
        </w:rPr>
        <w:footnoteReference w:id="53"/>
      </w:r>
      <w:r>
        <w:t xml:space="preserve">. Een andere analyse telde meer dan 150 peptiden in actieve klinische ontwikkeling</w:t>
      </w:r>
      <w:r>
        <w:rPr>
          <w:rStyle w:val="FootnoteReference"/>
        </w:rPr>
        <w:footnoteReference w:id="54"/>
      </w:r>
      <w:r>
        <w:t xml:space="preserve">. De aantallen verschillen afhankelijk van de telwijze, maar wijzen in dezelfde richting: peptiden zijn een vast en groeiend onderdeel van de geneeskunde.</w:t>
      </w:r>
    </w:p>
    <w:p>
      <w:pPr>
        <w:pStyle w:val="BodyText"/>
      </w:pPr>
      <w:r>
        <w:t xml:space="preserve">Veel geneesmiddelpeptiden ken je misschien zonder ze als peptiden te hebben herkend: insuline, het osteoporosemiddel teriparatide (een fragment van het bijschildklierhormoon van 34 aminozuren), werkzame stoffen tegen prostaatkanker die het GnRH-systeem beïnvloeden, het weeënmiddel oxytocine of het antibioticum vancomycine, een glycopeptide.</w:t>
      </w:r>
    </w:p>
    <w:bookmarkEnd w:id="55"/>
    <w:bookmarkStart w:id="57" w:name="wat-peptiden-niet-zijn"/>
    <w:p>
      <w:pPr>
        <w:pStyle w:val="Heading3"/>
      </w:pPr>
      <w:r>
        <w:t xml:space="preserve">Wat peptiden niet zijn</w:t>
      </w:r>
    </w:p>
    <w:p>
      <w:pPr>
        <w:pStyle w:val="FirstParagraph"/>
      </w:pPr>
      <w:r>
        <w:t xml:space="preserve">Juist omdat het begrip zo populair is geworden, loont een blik op wijdverbreide misverstanden.</w:t>
      </w:r>
    </w:p>
    <w:p>
      <w:pPr>
        <w:pStyle w:val="BodyText"/>
      </w:pPr>
      <w:r>
        <w:rPr>
          <w:bCs/>
          <w:b/>
        </w:rPr>
        <w:t xml:space="preserve">„Peptide” is geen kwaliteitskenmerk.</w:t>
      </w:r>
      <w:r>
        <w:t xml:space="preserve"> </w:t>
      </w:r>
      <w:r>
        <w:t xml:space="preserve">De chemische bouw zegt niets over nut of risico. Insuline redt dagelijks levens – in de verkeerde hoeveelheid kan het dodelijk zijn. Een peptide is niet automatisch milder dan een „chemisch” geneesmiddel.</w:t>
      </w:r>
    </w:p>
    <w:p>
      <w:pPr>
        <w:pStyle w:val="BodyText"/>
      </w:pPr>
      <w:r>
        <w:rPr>
          <w:bCs/>
          <w:b/>
        </w:rPr>
        <w:t xml:space="preserve">„Lichaamseigen” betekent niet „onschuldig”.</w:t>
      </w:r>
      <w:r>
        <w:t xml:space="preserve"> </w:t>
      </w:r>
      <w:r>
        <w:t xml:space="preserve">Veel peptiden van de grijze markt worden aangeprezen als „lichaamseigen” of „bio-identiek”. Maar ook lichaamseigen stoffen kunnen schade aanrichten in onnatuurlijk hoge hoeveelheden, op de verkeerde plaats of gedurende lange tijd. Een voorbeeld is het groeihormoonsysteem: een tekort maakt ziek, een blijvend teveel ook. Bovendien zijn veel zogenaamd lichaamseigen peptiden in werkelijkheid afgeleiden of fragmenten die in deze vorm helemaal niet in het lichaam voorkomen. BPC-157 is bijvoorbeeld een sequentie van 15 aminozuren</w:t>
      </w:r>
      <w:r>
        <w:rPr>
          <w:rStyle w:val="FootnoteReference"/>
        </w:rPr>
        <w:footnoteReference w:id="56"/>
      </w:r>
      <w:r>
        <w:t xml:space="preserve"> </w:t>
      </w:r>
      <w:r>
        <w:t xml:space="preserve">die door de ontdekkers werd afgeleid uit maagsap; als zelfstandig hormoon van de mens is ze niet erkend.</w:t>
      </w:r>
    </w:p>
    <w:p>
      <w:pPr>
        <w:pStyle w:val="BodyText"/>
      </w:pPr>
      <w:r>
        <w:rPr>
          <w:bCs/>
          <w:b/>
        </w:rPr>
        <w:t xml:space="preserve">Peptiden zijn geen steroïden.</w:t>
      </w:r>
      <w:r>
        <w:t xml:space="preserve"> </w:t>
      </w:r>
      <w:r>
        <w:t xml:space="preserve">Anabolica zoals testosteron zijn steroïdhormonen met een volledig ander chemisch skelet van koolstofringen. Ze werken via receptoren in het celinnerste. In de fitnesswereld worden beide groepen soms op één hoop gegooid; chemisch en farmacologisch hebben ze weinig gemeen.</w:t>
      </w:r>
    </w:p>
    <w:p>
      <w:pPr>
        <w:pStyle w:val="BodyText"/>
      </w:pPr>
      <w:r>
        <w:rPr>
          <w:bCs/>
          <w:b/>
        </w:rPr>
        <w:t xml:space="preserve">Niet alles wat vergelijkbaar werkt, is een peptide.</w:t>
      </w:r>
      <w:r>
        <w:t xml:space="preserve"> </w:t>
      </w:r>
      <w:r>
        <w:t xml:space="preserve">Orforglipron activeert bijvoorbeeld net als semaglutide de GLP-1-receptor, maar is een klein, niet-peptidisch molecuul. Ibutamoren (MK-677) stimuleert net als sommige peptiden de afgifte van groeihormoon, maar is zelf geen peptide. Beide worden in dit boek daarom alleen ter vergelijking behandeld.</w:t>
      </w:r>
    </w:p>
    <w:p>
      <w:pPr>
        <w:pStyle w:val="BodyText"/>
      </w:pPr>
      <w:r>
        <w:rPr>
          <w:bCs/>
          <w:b/>
        </w:rPr>
        <w:t xml:space="preserve">Een peptide in een crème is niet hetzelfde als een peptide in een injectie.</w:t>
      </w:r>
      <w:r>
        <w:t xml:space="preserve"> </w:t>
      </w:r>
      <w:r>
        <w:t xml:space="preserve">Cosmetische peptiden zoals palmitoyl-pentapeptide-4 zijn speciaal zo ontworpen dat ze in de bovenste huidlaag zouden moeten werken. Of en hoe diep ze binnendringen, is een aparte vraag. Omgekeerd komt een peptide dat als geneesmiddel wordt geïnjecteerd niet zomaar door de huid wanneer men het opsmeert.</w:t>
      </w:r>
    </w:p>
    <w:p>
      <w:pPr>
        <w:pStyle w:val="BodyText"/>
      </w:pPr>
      <w:r>
        <w:rPr>
          <w:bCs/>
          <w:b/>
        </w:rPr>
        <w:t xml:space="preserve">Ingenomen peptiden worden meestal verteerd.</w:t>
      </w:r>
      <w:r>
        <w:t xml:space="preserve"> </w:t>
      </w:r>
      <w:r>
        <w:t xml:space="preserve">Het maag-darmkanaal is erop ingericht eiwitten in aminozuren en zeer korte fragmenten te splitsen. Een peptidehormoon dat men doorslikt, wordt daarom in de regel afgebroken voordat het kan werken. Uitzonderingen – zoals zeer kleine peptiden uit collageen die in het bloed aantoonbaar zijn, of de semaglutidetablet met haar hulpstof – worden in het hoofdstuk na het volgende uitgelegd.</w:t>
      </w:r>
    </w:p>
    <w:bookmarkEnd w:id="57"/>
    <w:bookmarkStart w:id="58" w:name="natuurlijk-natuuridentiek-gemodificeerd"/>
    <w:p>
      <w:pPr>
        <w:pStyle w:val="Heading3"/>
      </w:pPr>
      <w:r>
        <w:t xml:space="preserve">Natuurlijk, natuuridentiek, gemodificeerd</w:t>
      </w:r>
    </w:p>
    <w:p>
      <w:pPr>
        <w:pStyle w:val="FirstParagraph"/>
      </w:pPr>
      <w:r>
        <w:t xml:space="preserve">Voor de indeling van de peptiden in deel II helpt een eenvoudig onderscheid:</w:t>
      </w:r>
    </w:p>
    <w:p>
      <w:pPr>
        <w:numPr>
          <w:ilvl w:val="0"/>
          <w:numId w:val="1006"/>
        </w:numPr>
        <w:pStyle w:val="Compact"/>
      </w:pPr>
      <w:r>
        <w:rPr>
          <w:bCs/>
          <w:b/>
        </w:rPr>
        <w:t xml:space="preserve">Natuuridentieke peptiden</w:t>
      </w:r>
      <w:r>
        <w:t xml:space="preserve"> </w:t>
      </w:r>
      <w:r>
        <w:t xml:space="preserve">komen exact overeen met een lichaamseigen molecuul, zoals oxytocine of glutathion.</w:t>
      </w:r>
    </w:p>
    <w:p>
      <w:pPr>
        <w:numPr>
          <w:ilvl w:val="0"/>
          <w:numId w:val="1006"/>
        </w:numPr>
        <w:pStyle w:val="Compact"/>
      </w:pPr>
      <w:r>
        <w:rPr>
          <w:bCs/>
          <w:b/>
        </w:rPr>
        <w:t xml:space="preserve">Gemodificeerde analogen</w:t>
      </w:r>
      <w:r>
        <w:t xml:space="preserve"> </w:t>
      </w:r>
      <w:r>
        <w:t xml:space="preserve">zijn afgeleid van het natuurlijke voorbeeld, maar gericht veranderd – door vervangen aminozuren, aangehangen vetzuren of ringvormige structuren. Bijna alle moderne peptidegeneesmiddelen behoren hiertoe.</w:t>
      </w:r>
    </w:p>
    <w:p>
      <w:pPr>
        <w:numPr>
          <w:ilvl w:val="0"/>
          <w:numId w:val="1006"/>
        </w:numPr>
        <w:pStyle w:val="Compact"/>
      </w:pPr>
      <w:r>
        <w:rPr>
          <w:bCs/>
          <w:b/>
        </w:rPr>
        <w:t xml:space="preserve">Lichaamsvreemde of nieuw ontworpen peptiden</w:t>
      </w:r>
      <w:r>
        <w:t xml:space="preserve"> </w:t>
      </w:r>
      <w:r>
        <w:t xml:space="preserve">zijn afkomstig van andere organismen (zoals exendine-4 uit het speeksel van het gilamonster) of werden in het laboratorium nieuw ontwikkeld (zoals de cosmetische peptiden of de dubbele en drievoudige agonisten tirzepatide en retatrutide).</w:t>
      </w:r>
    </w:p>
    <w:p>
      <w:pPr>
        <w:pStyle w:val="FirstParagraph"/>
      </w:pPr>
      <w:r>
        <w:t xml:space="preserve">Voor de veiligheid is deze indeling alleen niet beslissend. Ze helpt wel te begrijpen waarom studies bij mensen bij alle drie groepen onmisbaar zijn: zelfs een natuuridentiek molecuul gedraagt zich anders wanneer het in grote hoeveelheid van buitenaf wordt toegediend.</w:t>
      </w:r>
    </w:p>
    <w:bookmarkEnd w:id="58"/>
    <w:bookmarkStart w:id="61" w:name="Xaeef4e3281405ae541b245b1079c1947e44ac1c"/>
    <w:p>
      <w:pPr>
        <w:pStyle w:val="Heading3"/>
      </w:pPr>
      <w:r>
        <w:t xml:space="preserve">Waarom peptiden juist nu zoveel aandacht krijgen</w:t>
      </w:r>
    </w:p>
    <w:p>
      <w:pPr>
        <w:pStyle w:val="FirstParagraph"/>
      </w:pPr>
      <w:r>
        <w:t xml:space="preserve">Drie ontwikkelingen verklaren de hype van de afgelopen jaren:</w:t>
      </w:r>
    </w:p>
    <w:p>
      <w:pPr>
        <w:pStyle w:val="BodyText"/>
      </w:pPr>
      <w:r>
        <w:rPr>
          <w:bCs/>
          <w:b/>
        </w:rPr>
        <w:t xml:space="preserve">Ten eerste de GLP-1-geneesmiddelen.</w:t>
      </w:r>
      <w:r>
        <w:t xml:space="preserve"> </w:t>
      </w:r>
      <w:r>
        <w:t xml:space="preserve">De resultaten van werkzame stoffen zoals semaglutide en tirzepatide bij overgewicht hebben peptiden in het nieuws gebracht. In de registratiestudie STEP 1 verloren deelnemers met semaglutide gemiddeld 14,9% van hun lichaamsgewicht, met placebo 2,4%</w:t>
      </w:r>
      <w:r>
        <w:rPr>
          <w:rStyle w:val="FootnoteReference"/>
        </w:rPr>
        <w:footnoteReference w:id="59"/>
      </w:r>
      <w:r>
        <w:t xml:space="preserve">. Zulke cijfers waren met geneesmiddelen nooit eerder bereikt.</w:t>
      </w:r>
    </w:p>
    <w:p>
      <w:pPr>
        <w:pStyle w:val="BodyText"/>
      </w:pPr>
      <w:r>
        <w:rPr>
          <w:bCs/>
          <w:b/>
        </w:rPr>
        <w:t xml:space="preserve">Ten tweede de gemakkelijke beschikbaarheid.</w:t>
      </w:r>
      <w:r>
        <w:t xml:space="preserve"> </w:t>
      </w:r>
      <w:r>
        <w:t xml:space="preserve">Korte peptiden kunnen tegenwoordig in veel landen goedkoop worden gesynthetiseerd en worden via internet wereldwijd aangeboden – vaak met het etiket „alleen voor onderzoeksdoeleinden”. Wat dat betekent, behandelt het hoofdstuk over de grijze markt.</w:t>
      </w:r>
    </w:p>
    <w:p>
      <w:pPr>
        <w:pStyle w:val="BodyText"/>
      </w:pPr>
      <w:r>
        <w:rPr>
          <w:bCs/>
          <w:b/>
        </w:rPr>
        <w:t xml:space="preserve">Ten derde sociale media.</w:t>
      </w:r>
      <w:r>
        <w:t xml:space="preserve"> </w:t>
      </w:r>
      <w:r>
        <w:t xml:space="preserve">Ervaringsverhalen, voor-en-nafoto’s en aanbevelingen van influencers verspreiden zich sneller dan wetenschappelijke gegevens. Een overzichtsartikel beschrijft hoe digitale reclame, toegang tot de grijze markt en zelfinjectie samenwerken en producten normaliseren waarvan identiteit, zuiverheid en veiligheid onduidelijk zijn</w:t>
      </w:r>
      <w:r>
        <w:rPr>
          <w:rStyle w:val="FootnoteReference"/>
        </w:rPr>
        <w:footnoteReference w:id="60"/>
      </w:r>
      <w:r>
        <w:t xml:space="preserve">.</w:t>
      </w:r>
    </w:p>
    <w:p>
      <w:pPr>
        <w:pStyle w:val="BodyText"/>
      </w:pPr>
      <w:r>
        <w:t xml:space="preserve">Dit boek wil daar een nuchter tegenwicht bieden: voor elk peptide wordt nagegaan wat bij de mens werkelijk is onderzocht – en wat niet.</w:t>
      </w:r>
    </w:p>
    <w:bookmarkEnd w:id="61"/>
    <w:bookmarkStart w:id="62" w:name="het-belangrijkste-in-het-kort"/>
    <w:p>
      <w:pPr>
        <w:pStyle w:val="Heading3"/>
      </w:pPr>
      <w:r>
        <w:t xml:space="preserve">Het belangrijkste in het kort</w:t>
      </w:r>
    </w:p>
    <w:p>
      <w:pPr>
        <w:numPr>
          <w:ilvl w:val="0"/>
          <w:numId w:val="1007"/>
        </w:numPr>
        <w:pStyle w:val="Compact"/>
      </w:pPr>
      <w:r>
        <w:t xml:space="preserve">Peptiden zijn ketens van aminozuren, verbonden door peptidebindingen. Vanaf ongeveer 50 aminozuren spreekt men meestal van eiwitten.</w:t>
      </w:r>
    </w:p>
    <w:p>
      <w:pPr>
        <w:numPr>
          <w:ilvl w:val="0"/>
          <w:numId w:val="1007"/>
        </w:numPr>
        <w:pStyle w:val="Compact"/>
      </w:pPr>
      <w:r>
        <w:t xml:space="preserve">In het lichaam werken peptiden vooral als boodschapperstoffen via receptoren aan het celoppervlak.</w:t>
      </w:r>
    </w:p>
    <w:p>
      <w:pPr>
        <w:numPr>
          <w:ilvl w:val="0"/>
          <w:numId w:val="1007"/>
        </w:numPr>
        <w:pStyle w:val="Compact"/>
      </w:pPr>
      <w:r>
        <w:t xml:space="preserve">Natuurlijke peptiden worden snel afgebroken. Moderne peptidegeneesmiddelen zijn daarom bijna altijd gericht veranderde moleculen.</w:t>
      </w:r>
    </w:p>
    <w:p>
      <w:pPr>
        <w:numPr>
          <w:ilvl w:val="0"/>
          <w:numId w:val="1007"/>
        </w:numPr>
        <w:pStyle w:val="Compact"/>
      </w:pPr>
      <w:r>
        <w:t xml:space="preserve">Peptiden worden chemisch gesynthetiseerd, genetisch gemodificeerd geproduceerd of uit natuurlijke bronnen gewonnen. Productiewijze en zuiverheid beïnvloeden de veiligheid.</w:t>
      </w:r>
    </w:p>
    <w:p>
      <w:pPr>
        <w:numPr>
          <w:ilvl w:val="0"/>
          <w:numId w:val="1007"/>
        </w:numPr>
        <w:pStyle w:val="Compact"/>
      </w:pPr>
      <w:r>
        <w:t xml:space="preserve">„Peptide” is een chemische beschrijving, geen keurmerk. Of een bepaald peptide bij de mens werkt en veilig is, kunnen alleen goede studies aantonen.</w:t>
      </w:r>
    </w:p>
    <w:bookmarkEnd w:id="62"/>
    <w:bookmarkEnd w:id="63"/>
    <w:bookmarkStart w:id="100" w:name="X20daa4f9edd4207cafe74ef011f2a1006582a42"/>
    <w:p>
      <w:pPr>
        <w:pStyle w:val="Heading2"/>
      </w:pPr>
      <w:r>
        <w:t xml:space="preserve">Korte geschiedenis: van insuline tot de GLP-1-geneesmiddelen</w:t>
      </w:r>
    </w:p>
    <w:p>
      <w:pPr>
        <w:pStyle w:val="FirstParagraph"/>
      </w:pPr>
      <w:r>
        <w:t xml:space="preserve">De geschiedenis van de peptidegeneesmiddelen is een geschiedenis van doorbraken, dwaalwegen en verbazingwekkende toevalligheden. Ze begint met een wanhopig experiment in Toronto, loopt via het gif van een Amerikaanse woestijnhagedis en eindigt – voorlopig – bij afslankinjecties die tot de best verkochte geneesmiddelen ter wereld behoren. Dit hoofdstuk vertelt de belangrijkste etappes. Het moet je helpen de huidige opwinding rond peptiden in perspectief te plaatsen: veel van wat als revolutionair wordt verkocht, staat op de schouders van honderd jaar moeizaam onderzoek.</w:t>
      </w:r>
    </w:p>
    <w:bookmarkStart w:id="64" w:name="X5bc6ac1b15d3b23cf8e389915b5415d773ebf8e"/>
    <w:p>
      <w:pPr>
        <w:pStyle w:val="Heading3"/>
      </w:pPr>
      <w:r>
        <w:t xml:space="preserve">Vóór 1922: boodschapperstoffen worden ontdekt</w:t>
      </w:r>
    </w:p>
    <w:p>
      <w:pPr>
        <w:pStyle w:val="FirstParagraph"/>
      </w:pPr>
      <w:r>
        <w:t xml:space="preserve">Rond 1900 brak in de fysiologie een nieuw idee door: organen communiceren niet alleen via zenuwen, maar ook via chemische boodschapperstoffen in het bloed. De Britse fysiologen William Bayliss en Ernest Starling beschreven in 1902 secretine, een stof uit de darmwand die de alvleesklier aanzet tot sapproductie. Voor zulke boodschapperstoffen bedacht Starling kort daarna het begrip „hormoon”. Secretine is – zoals we nu weten – een peptide. Daarmee stond een peptide aan het begin van het hele hormoononderzoek.</w:t>
      </w:r>
    </w:p>
    <w:p>
      <w:pPr>
        <w:pStyle w:val="BodyText"/>
      </w:pPr>
      <w:r>
        <w:t xml:space="preserve">Tegelijk was bekend dat suikerziekte (diabetes mellitus) samenhangt met de alvleesklier. Honden bij wie men het orgaan verwijderde, kregen een dodelijke diabetes. Veel onderzoeksgroepen probeerden de vermoede bloedsuikerverlagende stof uit de klier te winnen. De extracten waren echter ofwel onwerkzaam, ofwel zo verontreinigd dat ze ernstige reacties veroorzaakten.</w:t>
      </w:r>
    </w:p>
    <w:bookmarkEnd w:id="64"/>
    <w:bookmarkStart w:id="68" w:name="insuline-het-eerste-peptidegeneesmiddel"/>
    <w:p>
      <w:pPr>
        <w:pStyle w:val="Heading3"/>
      </w:pPr>
      <w:r>
        <w:t xml:space="preserve">1922: insuline – het eerste peptidegeneesmiddel</w:t>
      </w:r>
    </w:p>
    <w:p>
      <w:pPr>
        <w:pStyle w:val="FirstParagraph"/>
      </w:pPr>
      <w:r>
        <w:t xml:space="preserve">In de zomer van 1921 zette een groep aan de Universiteit van Toronto de beslissende stap. Frederick Banting en Charles Best verkregen onder leiding van John Macleod een extract dat bij honden zonder alvleesklier de bloedsuiker verlaagde. De biochemicus James Collip verbeterde de zuivering zo ver dat het extract bij mensen kon worden uitgeprobeerd. In januari 1922 kreeg een 14-jarige jongen met ernstige diabetes in Toronto de eerste injecties. Nog in hetzelfde jaar rapporteerde de groep over haar ervaringen bij patiënten</w:t>
      </w:r>
      <w:r>
        <w:rPr>
          <w:rStyle w:val="FootnoteReference"/>
        </w:rPr>
        <w:footnoteReference w:id="65"/>
      </w:r>
      <w:r>
        <w:t xml:space="preserve">.</w:t>
      </w:r>
    </w:p>
    <w:p>
      <w:pPr>
        <w:pStyle w:val="BodyText"/>
      </w:pPr>
      <w:r>
        <w:t xml:space="preserve">Het effect was dramatisch: diabetes type 1, tot dan toe binnen korte tijd dodelijk, werd een behandelbare chronische ziekte. Een overzichtsartikel ter gelegenheid van het honderdjarig jubileum beschrijft precies deze omslag als de kern van de ontdekking</w:t>
      </w:r>
      <w:r>
        <w:rPr>
          <w:rStyle w:val="FootnoteReference"/>
        </w:rPr>
        <w:footnoteReference w:id="66"/>
      </w:r>
      <w:r>
        <w:t xml:space="preserve">. Banting en Macleod kregen in 1923 de Nobelprijs voor de Geneeskunde.</w:t>
      </w:r>
    </w:p>
    <w:p>
      <w:pPr>
        <w:pStyle w:val="BodyText"/>
      </w:pPr>
      <w:r>
        <w:t xml:space="preserve">De decennia daarna draaiden, zoals een historisch overzicht samenvat, om zeer praktische vragen: genoeg insuline produceren, het zuiverder maken om allergische reacties te voorkomen, standaarden vastleggen en de werkingsduur verlengen zodat er minder injecties nodig zijn</w:t>
      </w:r>
      <w:r>
        <w:rPr>
          <w:rStyle w:val="FootnoteReference"/>
        </w:rPr>
        <w:footnoteReference w:id="67"/>
      </w:r>
      <w:r>
        <w:t xml:space="preserve">. Precies deze thema’s – productie, zuiverheid, werkingsduur, toediening – begeleiden de peptidegeneeskunde tot op de dag van vandaag.</w:t>
      </w:r>
    </w:p>
    <w:bookmarkEnd w:id="68"/>
    <w:bookmarkStart w:id="71" w:name="X7053d6e571bbd5b19b77c595d4d8aee8bd1e3bf"/>
    <w:p>
      <w:pPr>
        <w:pStyle w:val="Heading3"/>
      </w:pPr>
      <w:r>
        <w:t xml:space="preserve">Jaren 1950: peptiden worden leesbaar en maakbaar</w:t>
      </w:r>
    </w:p>
    <w:p>
      <w:pPr>
        <w:pStyle w:val="FirstParagraph"/>
      </w:pPr>
      <w:r>
        <w:t xml:space="preserve">Lang was onduidelijk hoe insuline chemisch is opgebouwd. De Britse biochemicus Frederick Sanger ontrafelde begin jaren 1950 stap voor stap de volgorde van de aminozuren in de twee insulineketens</w:t>
      </w:r>
      <w:r>
        <w:rPr>
          <w:rStyle w:val="FootnoteReference"/>
        </w:rPr>
        <w:footnoteReference w:id="69"/>
      </w:r>
      <w:r>
        <w:t xml:space="preserve">. Insuline was daarmee het eerste eiwitmolecuul waarvan de volledige sequentie bekend was. Sanger kreeg daarvoor in 1958 de Nobelprijs voor de Scheikunde. Het inzicht dat eiwitten een vaste, precies bepaalde volgorde van bouwstenen hebben, was fundamenteel voor de hele moleculaire biologie.</w:t>
      </w:r>
    </w:p>
    <w:p>
      <w:pPr>
        <w:pStyle w:val="BodyText"/>
      </w:pPr>
      <w:r>
        <w:t xml:space="preserve">Vrijwel tegelijk slaagde de Amerikaanse chemicus Vincent du Vigneaud in de eerste chemische synthese van een peptidehormoon: oxytocine, een hormoon van negen aminozuren dat weeën en de melktoeschietreflex opwekt. Hij werd daarvoor in 1955 bekroond met de Nobelprijs voor de Scheikunde. Voor het eerst was een lichaamseigen hormoon in het laboratorium „nagebouwd” – synthetisch oxytocine wordt in de verloskunde nog altijd gebruikt.</w:t>
      </w:r>
    </w:p>
    <w:p>
      <w:pPr>
        <w:pStyle w:val="BodyText"/>
      </w:pPr>
      <w:r>
        <w:t xml:space="preserve">In de jaren 1960 ontwikkelde Robert Bruce Merrifield de vastefasesynthese, waarbij een peptideketen op een vaste drager bouwsteen voor bouwsteen wordt verlengd</w:t>
      </w:r>
      <w:r>
        <w:rPr>
          <w:rStyle w:val="FootnoteReference"/>
        </w:rPr>
        <w:footnoteReference w:id="70"/>
      </w:r>
      <w:r>
        <w:t xml:space="preserve">. De methode liet zich automatiseren en maakte de productie van willekeurige korte peptiden pas praktisch haalbaar. Merrifield kreeg in 1984 de Nobelprijs voor de Scheikunde. Zonder deze techniek zouden de meeste moderne peptidegeneesmiddelen niet bestaan, en evenmin de huidige grijze markt.</w:t>
      </w:r>
    </w:p>
    <w:bookmarkEnd w:id="71"/>
    <w:bookmarkStart w:id="73" w:name="jaren-1960-en-1970-meten-en-sturen"/>
    <w:p>
      <w:pPr>
        <w:pStyle w:val="Heading3"/>
      </w:pPr>
      <w:r>
        <w:t xml:space="preserve">Jaren 1960 en 1970: meten en sturen</w:t>
      </w:r>
    </w:p>
    <w:p>
      <w:pPr>
        <w:pStyle w:val="FirstParagraph"/>
      </w:pPr>
      <w:r>
        <w:t xml:space="preserve">Een ander obstakel was de meetbaarheid. Peptidehormonen komen in het bloed in minieme hoeveelheden voor. Rosalyn Yalow en Solomon Berson ontwikkelden een meetmethode met antilichamen en radioactief gemerkte moleculen, de radio-immunoassay, en bepaalden daarmee voor het eerst insuline in het bloed van mensen</w:t>
      </w:r>
      <w:r>
        <w:rPr>
          <w:rStyle w:val="FootnoteReference"/>
        </w:rPr>
        <w:footnoteReference w:id="72"/>
      </w:r>
      <w:r>
        <w:t xml:space="preserve">. Yalow kreeg in 1977 de Nobelprijs. Plotseling kon men volgen wanneer het lichaam welke peptidehormonen afgeeft.</w:t>
      </w:r>
    </w:p>
    <w:p>
      <w:pPr>
        <w:pStyle w:val="BodyText"/>
      </w:pPr>
      <w:r>
        <w:t xml:space="preserve">In hetzelfde jaar werden Roger Guillemin en Andrew Schally onderscheiden. Zij hadden de peptideboodschappers van de hypothalamus ontrafeld – het hersengebied dat de hypofyse opdrachten geeft. Uit deze ontdekkingen kwamen complete geneesmiddelklassen voort: afgeleiden van het gonadotropine-releasing hormoon (GnRH) worden bijvoorbeeld gebruikt bij prostaatkanker, endometriose en vruchtbaarheidsbehandelingen. Het hormoon somatostatine werd het voorbeeld voor octreotide, dat wordt gebruikt bij hormoonproducerende tumoren en acromegalie. Ook de groeihormoonvrijmakende peptiden, die in deel II uitgebreid aan bod komen, hebben hier hun wortels.</w:t>
      </w:r>
    </w:p>
    <w:bookmarkEnd w:id="73"/>
    <w:bookmarkStart w:id="77" w:name="X9904bba570be9b4ef0e5bf547297f52e676c4ae"/>
    <w:p>
      <w:pPr>
        <w:pStyle w:val="Heading3"/>
      </w:pPr>
      <w:r>
        <w:t xml:space="preserve">Jaren 1980: genetische modificatie verandert alles</w:t>
      </w:r>
    </w:p>
    <w:p>
      <w:pPr>
        <w:pStyle w:val="FirstParagraph"/>
      </w:pPr>
      <w:r>
        <w:t xml:space="preserve">Tot in de jaren 1980 kwam insuline uit alvleesklieren van slachtdieren. Het menselijk groeihormoon werd gewonnen uit de hypofysen van overledenen; deze periode liep van 1958 tot 1985</w:t>
      </w:r>
      <w:r>
        <w:rPr>
          <w:rStyle w:val="FootnoteReference"/>
        </w:rPr>
        <w:footnoteReference w:id="74"/>
      </w:r>
      <w:r>
        <w:t xml:space="preserve">. Deze winning had een tragische keerzijde: enkele kinderen die zulk hormoon hadden gekregen, kregen jaren later de ziekte van Creutzfeldt-Jakob, die door verontreinigde preparaten was overgedragen. De episode is tot op heden een waarschuwing over het belang van zuiverheid en herkomst bij biologische werkzame stoffen.</w:t>
      </w:r>
    </w:p>
    <w:p>
      <w:pPr>
        <w:pStyle w:val="BodyText"/>
      </w:pPr>
      <w:r>
        <w:t xml:space="preserve">Genetische modificatie bood een uitweg. Humane insuline, gemaakt in bacteriën, werd vanaf 1980 in klinische studies bij mensen gebruikt en was het eerste geneesmiddel uit recombinant-DNA-technologie</w:t>
      </w:r>
      <w:r>
        <w:rPr>
          <w:rStyle w:val="FootnoteReference"/>
        </w:rPr>
        <w:footnoteReference w:id="75"/>
      </w:r>
      <w:r>
        <w:t xml:space="preserve">. Enkele jaren later volgde recombinant groeihormoon. Voor het eerst waren menselijke peptiden en eiwitten in praktisch onbeperkte hoeveelheid beschikbaar.</w:t>
      </w:r>
    </w:p>
    <w:p>
      <w:pPr>
        <w:pStyle w:val="BodyText"/>
      </w:pPr>
      <w:r>
        <w:t xml:space="preserve">In de jaren 1990 gingen de fabrikanten een stap verder: ze veranderden de insulinemoleculen gericht, zodat ze sneller of langzamer werkten. Deze „insulineanalogen” waren een voorloper van het principe dat later de GLP-1-geneesmiddelen zo succesvol maakte: een natuurlijk voorbeeld, in het laboratorium geoptimaliseerd voor het gebruik.</w:t>
      </w:r>
    </w:p>
    <w:p>
      <w:pPr>
        <w:pStyle w:val="BodyText"/>
      </w:pPr>
      <w:r>
        <w:t xml:space="preserve">Ook andere peptidegeneesmiddelen vestigden zich. Een voorbeeld is teriparatide, een fragment van het bijschildklierhormoon. In een grote studie met 1.637 vrouwen na de overgang met osteoporose traden nieuwe wervelfracturen op bij 14% van de vrouwen met placebo, maar slechts bij 5% respectievelijk 4% in de twee teriparatidegroepen</w:t>
      </w:r>
      <w:r>
        <w:rPr>
          <w:rStyle w:val="FootnoteReference"/>
        </w:rPr>
        <w:footnoteReference w:id="76"/>
      </w:r>
      <w:r>
        <w:t xml:space="preserve">. Zulke studies met „harde” eindpunten zoals botbreuken legden de lat waaraan ook nieuwe peptiden zich moeten meten.</w:t>
      </w:r>
    </w:p>
    <w:bookmarkEnd w:id="77"/>
    <w:bookmarkStart w:id="80" w:name="Xd5b24baf2cf4b568d4fa555045f64892c80eaec"/>
    <w:p>
      <w:pPr>
        <w:pStyle w:val="Heading3"/>
      </w:pPr>
      <w:r>
        <w:t xml:space="preserve">De incretines: van de darm naar het geneesmiddel</w:t>
      </w:r>
    </w:p>
    <w:p>
      <w:pPr>
        <w:pStyle w:val="FirstParagraph"/>
      </w:pPr>
      <w:r>
        <w:t xml:space="preserve">De geschiedenis van de GLP-1-geneesmiddelen begint met een waarneming uit de jaren 1960: suiker die men doorslikt, veroorzaakt een veel sterkere insulineafgifte dan dezelfde hoeveelheid suiker die rechtstreeks in het bloed wordt gespoten. De darm moet dus bij het eten signalen naar de alvleesklier sturen. Deze signaalstoffen noemde men incretines.</w:t>
      </w:r>
    </w:p>
    <w:p>
      <w:pPr>
        <w:pStyle w:val="BodyText"/>
      </w:pPr>
      <w:r>
        <w:t xml:space="preserve">Het eerste bekende incretine was GIP (glucoseafhankelijk insulinotroop polypeptide). In de jaren 1980 stuitte men op een tweede: het glucagon-like peptide-1, kortweg GLP-1. Een Britse groep liet in 1987 zien dat GLP-1 bij de mens na een maaltijd in het bloed stijgt, dat het – geïnfundeerd in hoeveelheden zoals na het eten – bij zeven vrijwilligers de insulineafgifte verhoogde en de bloedsuiker verlaagde, en dat het daarbij werkzamer was dan GIP</w:t>
      </w:r>
      <w:r>
        <w:rPr>
          <w:rStyle w:val="FootnoteReference"/>
        </w:rPr>
        <w:footnoteReference w:id="78"/>
      </w:r>
      <w:r>
        <w:t xml:space="preserve">.</w:t>
      </w:r>
    </w:p>
    <w:p>
      <w:pPr>
        <w:pStyle w:val="BodyText"/>
      </w:pPr>
      <w:r>
        <w:t xml:space="preserve">Het probleem: natuurlijk GLP-1 wordt in het bloed binnen enkele minuten afgebroken door het enzym DPP-4</w:t>
      </w:r>
      <w:r>
        <w:rPr>
          <w:rStyle w:val="FootnoteReference"/>
        </w:rPr>
        <w:footnoteReference w:id="79"/>
      </w:r>
      <w:r>
        <w:t xml:space="preserve">. Als geneesmiddel was het zo nauwelijks bruikbaar. Er werden twee oplossingsrichtingen gevolgd: remmers van het afbraakenzym (de zogeheten gliptines, die als tabletten geregistreerd zijn en geen peptiden zijn) en stabiele nabootsingen van GLP-1 zelf.</w:t>
      </w:r>
    </w:p>
    <w:bookmarkEnd w:id="80"/>
    <w:bookmarkStart w:id="83" w:name="het-hagedissengif-exenatide"/>
    <w:p>
      <w:pPr>
        <w:pStyle w:val="Heading3"/>
      </w:pPr>
      <w:r>
        <w:t xml:space="preserve">Het hagedissengif: exenatide</w:t>
      </w:r>
    </w:p>
    <w:p>
      <w:pPr>
        <w:pStyle w:val="FirstParagraph"/>
      </w:pPr>
      <w:r>
        <w:t xml:space="preserve">De eerste stabiele nabootsing kwam uit een onverwachte hoek. De Amerikaanse endocrinoloog John Eng onderzocht begin jaren 1990 het gif van het gilamonster (Heloderma suspectum), een giftig reptiel uit het zuidwesten van de VS. Hij isoleerde daaruit een peptide van 39 aminozuren, dat hij exendine-4 noemde</w:t>
      </w:r>
      <w:r>
        <w:rPr>
          <w:rStyle w:val="FootnoteReference"/>
        </w:rPr>
        <w:footnoteReference w:id="81"/>
      </w:r>
      <w:r>
        <w:t xml:space="preserve">. Exendine-4 lijkt op het menselijke GLP-1, activeert dezelfde receptor, maar wordt door DPP-4 nauwelijks aangetast.</w:t>
      </w:r>
    </w:p>
    <w:p>
      <w:pPr>
        <w:pStyle w:val="BodyText"/>
      </w:pPr>
      <w:r>
        <w:t xml:space="preserve">Synthetisch exendine-4 kreeg de naam exenatide en werd in 2005 in de VS als eerste geneesmiddel van deze klasse geregistreerd. In een van de registratiestudies met 336 mensen met diabetes type 2 die al metformine gebruikten, daalde de langetermijnbloedsuikerwaarde HbA1c na 30 weken in de hogere dosisgroep met 0,78 procentpunt, onder placebo steeg hij licht met 0,08 procentpunt. Tegelijk vielen de deelnemers met exenatide af, bij de hogere dosis met 2,8 kg</w:t>
      </w:r>
      <w:r>
        <w:rPr>
          <w:rStyle w:val="FootnoteReference"/>
        </w:rPr>
        <w:footnoteReference w:id="82"/>
      </w:r>
      <w:r>
        <w:t xml:space="preserve">. Exenatide moest aanvankelijk twee keer per dag worden geïnjecteerd.</w:t>
      </w:r>
    </w:p>
    <w:p>
      <w:pPr>
        <w:pStyle w:val="BodyText"/>
      </w:pPr>
      <w:r>
        <w:t xml:space="preserve">Het gewichtsverlies gold toen als welkome bijwerking. Dat juist dit effect twee decennia later de hele klasse beroemd zou maken, vermoedden toen waarschijnlijk maar weinigen.</w:t>
      </w:r>
    </w:p>
    <w:bookmarkEnd w:id="83"/>
    <w:bookmarkStart w:id="88" w:name="X63982c816b96590a5403db2f3fbfeb6dfc1b84b"/>
    <w:p>
      <w:pPr>
        <w:pStyle w:val="Heading3"/>
      </w:pPr>
      <w:r>
        <w:t xml:space="preserve">Langer werkzaam: liraglutide en semaglutide</w:t>
      </w:r>
    </w:p>
    <w:p>
      <w:pPr>
        <w:pStyle w:val="FirstParagraph"/>
      </w:pPr>
      <w:r>
        <w:t xml:space="preserve">De Deense fabrikant Novo Nordisk koos een andere weg. In plaats van een lichaamsvreemd peptide te gebruiken, veranderde men het menselijke GLP-1 zodanig dat het in het bloed aan het transporteiwit albumine bindt en daardoor langzamer wordt afgebroken. Het resultaat was liraglutide, dat eenmaal per dag wordt geïnjecteerd en in 2009 in de EU werd geregistreerd. Een overzicht van de ontwikkelaars beschrijft hoe daarvoor passende combinaties van vetzuur en verbindingsstuk werden gezocht om de albuminebinding te maximaliseren zonder de werking op de receptor te verliezen</w:t>
      </w:r>
      <w:r>
        <w:rPr>
          <w:rStyle w:val="FootnoteReference"/>
        </w:rPr>
        <w:footnoteReference w:id="84"/>
      </w:r>
      <w:r>
        <w:t xml:space="preserve">.</w:t>
      </w:r>
    </w:p>
    <w:p>
      <w:pPr>
        <w:pStyle w:val="BodyText"/>
      </w:pPr>
      <w:r>
        <w:t xml:space="preserve">Liraglutide werd later in een hogere dosis ook voor gewichtsbehandeling getest. In de studie SCALE met 3.731 deelnemers zonder diabetes verloren mensen met liraglutide in 56 weken gemiddeld 8,4 kg, met placebo 2,8 kg</w:t>
      </w:r>
      <w:r>
        <w:rPr>
          <w:rStyle w:val="FootnoteReference"/>
        </w:rPr>
        <w:footnoteReference w:id="85"/>
      </w:r>
      <w:r>
        <w:t xml:space="preserve">.</w:t>
      </w:r>
    </w:p>
    <w:p>
      <w:pPr>
        <w:pStyle w:val="BodyText"/>
      </w:pPr>
      <w:r>
        <w:t xml:space="preserve">De volgende stap was semaglutide: een nog sterker aan albumine gebonden molecuul dat maar eenmaal per week hoeft te worden geïnjecteerd</w:t>
      </w:r>
      <w:r>
        <w:rPr>
          <w:rStyle w:val="FootnoteReference"/>
        </w:rPr>
        <w:footnoteReference w:id="86"/>
      </w:r>
      <w:r>
        <w:t xml:space="preserve">. In de registratiestudie STEP 1 met 1.961 volwassenen met overgewicht of obesitas daalde het lichaamsgewicht over 68 weken gemiddeld met 14,9%, onder placebo met 2,4%</w:t>
      </w:r>
      <w:r>
        <w:rPr>
          <w:rStyle w:val="FootnoteReference"/>
        </w:rPr>
        <w:footnoteReference w:id="87"/>
      </w:r>
      <w:r>
        <w:t xml:space="preserve">. Deze orde van grootte lag duidelijk boven alles wat eerdere afslankmiddelen hadden bereikt.</w:t>
      </w:r>
    </w:p>
    <w:bookmarkEnd w:id="88"/>
    <w:bookmarkStart w:id="92" w:name="van-bloedsuiker-naar-hart"/>
    <w:p>
      <w:pPr>
        <w:pStyle w:val="Heading3"/>
      </w:pPr>
      <w:r>
        <w:t xml:space="preserve">Van bloedsuiker naar hart</w:t>
      </w:r>
    </w:p>
    <w:p>
      <w:pPr>
        <w:pStyle w:val="FirstParagraph"/>
      </w:pPr>
      <w:r>
        <w:t xml:space="preserve">Een keerpunt kwam toen de autoriteiten na problemen met een ander diabetesmiddel vanaf 2008 van nieuwe diabetesgeneesmiddelen eisten dat ze hun cardiovasculaire veiligheid in grote studies aantoonden. Deze studies moesten eigenlijk alleen laten zien dat de middelen het hart niet in gevaar brengen. Bij de GLP-1-geneesmiddelen lieten ze meer zien.</w:t>
      </w:r>
    </w:p>
    <w:p>
      <w:pPr>
        <w:pStyle w:val="BodyText"/>
      </w:pPr>
      <w:r>
        <w:t xml:space="preserve">In de studie LEADER met 9.340 mensen met diabetes type 2 en een hoog cardiovasculair risico trad de gecombineerde gebeurtenis van cardiovasculaire dood, niet-fataal hartinfarct of beroerte onder liraglutide op bij 13,0%, onder placebo bij 14,9%</w:t>
      </w:r>
      <w:r>
        <w:rPr>
          <w:rStyle w:val="FootnoteReference"/>
        </w:rPr>
        <w:footnoteReference w:id="89"/>
      </w:r>
      <w:r>
        <w:t xml:space="preserve">. In de studie SUSTAIN-6 met 3.297 deelnemers was dat onder semaglutide 6,6%, onder placebo 8,9%; wel traden onder semaglutide vaker complicaties aan het netvlies op</w:t>
      </w:r>
      <w:r>
        <w:rPr>
          <w:rStyle w:val="FootnoteReference"/>
        </w:rPr>
        <w:footnoteReference w:id="90"/>
      </w:r>
      <w:r>
        <w:t xml:space="preserve">.</w:t>
      </w:r>
    </w:p>
    <w:p>
      <w:pPr>
        <w:pStyle w:val="BodyText"/>
      </w:pPr>
      <w:r>
        <w:t xml:space="preserve">In 2023 volgde de studie SELECT, die voor het eerst mensen met overgewicht en hart- en vaatziekte, maar zonder diabetes onderzocht. Bij 17.604 deelnemers trad de gecombineerde cardiovasculaire gebeurtenis over gemiddeld 39,8 maanden onder semaglutide op bij 6,5%, onder placebo bij 8,0%</w:t>
      </w:r>
      <w:r>
        <w:rPr>
          <w:rStyle w:val="FootnoteReference"/>
        </w:rPr>
        <w:footnoteReference w:id="91"/>
      </w:r>
      <w:r>
        <w:t xml:space="preserve">. Daarmee was aangetoond dat een peptidegeneesmiddel bij obesitas niet alleen het gewicht, maar ook harde gebeurtenissen zoals hartinfarcten kan beïnvloeden. Wat deze percentages betekenen – en waarom men onderscheid moet maken tussen relatieve en absolute verschillen –, legt het hoofdstuk „Studies goed lezen” uit.</w:t>
      </w:r>
    </w:p>
    <w:bookmarkEnd w:id="92"/>
    <w:bookmarkStart w:id="96" w:name="de-tablet-en-de-meervoudige-agonisten"/>
    <w:p>
      <w:pPr>
        <w:pStyle w:val="Heading3"/>
      </w:pPr>
      <w:r>
        <w:t xml:space="preserve">De tablet en de meervoudige agonisten</w:t>
      </w:r>
    </w:p>
    <w:p>
      <w:pPr>
        <w:pStyle w:val="FirstParagraph"/>
      </w:pPr>
      <w:r>
        <w:t xml:space="preserve">Twee andere ontwikkelingen bepaalden de afgelopen jaren.</w:t>
      </w:r>
    </w:p>
    <w:p>
      <w:pPr>
        <w:pStyle w:val="BodyText"/>
      </w:pPr>
      <w:r>
        <w:rPr>
          <w:bCs/>
          <w:b/>
        </w:rPr>
        <w:t xml:space="preserve">De eerste peptidetablet van deze klasse.</w:t>
      </w:r>
      <w:r>
        <w:t xml:space="preserve"> </w:t>
      </w:r>
      <w:r>
        <w:t xml:space="preserve">Met een speciale hulpstof lukte het semaglutide als tablet beschikbaar te maken. In de studie PIONEER 1 verlaagde oraal semaglutide de HbA1c-waarde bij mensen met diabetes type 2 duidelijk sterker dan placebo</w:t>
      </w:r>
      <w:r>
        <w:rPr>
          <w:rStyle w:val="FootnoteReference"/>
        </w:rPr>
        <w:footnoteReference w:id="93"/>
      </w:r>
      <w:r>
        <w:t xml:space="preserve">. Hoe dat technisch werkt, legt het volgende hoofdstuk uit.</w:t>
      </w:r>
    </w:p>
    <w:p>
      <w:pPr>
        <w:pStyle w:val="BodyText"/>
      </w:pPr>
      <w:r>
        <w:rPr>
          <w:bCs/>
          <w:b/>
        </w:rPr>
        <w:t xml:space="preserve">Gecombineerde werkzame stoffen.</w:t>
      </w:r>
      <w:r>
        <w:t xml:space="preserve"> </w:t>
      </w:r>
      <w:r>
        <w:t xml:space="preserve">Tirzepatide activeert tegelijk de GLP-1- en de GIP-receptor. In de studie SURMOUNT-1 met 2.539 volwassenen met obesitas bedroeg het gemiddelde gewichtsverlies na 72 weken afhankelijk van de dosis 15,0% tot 20,9%, onder placebo 3,1%</w:t>
      </w:r>
      <w:r>
        <w:rPr>
          <w:rStyle w:val="FootnoteReference"/>
        </w:rPr>
        <w:footnoteReference w:id="94"/>
      </w:r>
      <w:r>
        <w:t xml:space="preserve">. Inmiddels worden drievoudige agonisten zoals retatrutide en combinaties met het hormoon amyline in grote studies getest. Deel II stelt ze afzonderlijk voor, deel V werpt een blik op de pijplijn.</w:t>
      </w:r>
    </w:p>
    <w:p>
      <w:pPr>
        <w:pStyle w:val="BodyText"/>
      </w:pPr>
      <w:r>
        <w:t xml:space="preserve">Opmerkelijk is dat het incretine GIP, dat in de jaren 1980 als zwakker dan GLP-1 gold</w:t>
      </w:r>
      <w:r>
        <w:rPr>
          <w:rStyle w:val="FootnoteReference"/>
        </w:rPr>
        <w:footnoteReference w:id="95"/>
      </w:r>
      <w:r>
        <w:t xml:space="preserve">, in combinatie weer een rol speelt. Onderzoek verloopt zelden rechtlijnig.</w:t>
      </w:r>
    </w:p>
    <w:bookmarkEnd w:id="96"/>
    <w:bookmarkStart w:id="97" w:name="de-keerzijde-van-het-succes"/>
    <w:p>
      <w:pPr>
        <w:pStyle w:val="Heading3"/>
      </w:pPr>
      <w:r>
        <w:t xml:space="preserve">De keerzijde van het succes</w:t>
      </w:r>
    </w:p>
    <w:p>
      <w:pPr>
        <w:pStyle w:val="FirstParagraph"/>
      </w:pPr>
      <w:r>
        <w:t xml:space="preserve">Het enorme succes van de GLP-1-geneesmiddelen had bijwerkingen buiten de farmacologie. Leveringstekorten vanaf 2022 leidden ertoe dat mensen met diabetes hun geneesmiddelen tijdelijk niet kregen. In de VS gebruikten apotheken een uitzonderingsregel om namaakpreparaten te bereiden. Wereldwijd doken vervalsingen op die in sommige gevallen in plaats van semaglutide insuline bevatten. En de groeiende belangstelling voor „peptiden” in het algemeen opende een markt voor stoffen die nooit fatsoenlijk bij de mens zijn onderzocht. Het hoofdstuk over de grijze markt gaat daar uitgebreid op in.</w:t>
      </w:r>
    </w:p>
    <w:bookmarkEnd w:id="97"/>
    <w:bookmarkStart w:id="98" w:name="wat-de-geschiedenis-leert"/>
    <w:p>
      <w:pPr>
        <w:pStyle w:val="Heading3"/>
      </w:pPr>
      <w:r>
        <w:t xml:space="preserve">Wat de geschiedenis leert</w:t>
      </w:r>
    </w:p>
    <w:p>
      <w:pPr>
        <w:pStyle w:val="FirstParagraph"/>
      </w:pPr>
      <w:r>
        <w:t xml:space="preserve">Uit honderd jaar peptidegeneeskunde zijn enkele lessen te trekken die nuttig zijn voor de beoordeling van de stoffen in dit boek:</w:t>
      </w:r>
    </w:p>
    <w:p>
      <w:pPr>
        <w:numPr>
          <w:ilvl w:val="0"/>
          <w:numId w:val="1008"/>
        </w:numPr>
        <w:pStyle w:val="Compact"/>
      </w:pPr>
      <w:r>
        <w:rPr>
          <w:bCs/>
          <w:b/>
        </w:rPr>
        <w:t xml:space="preserve">Zuiverheid is geen detail.</w:t>
      </w:r>
      <w:r>
        <w:t xml:space="preserve"> </w:t>
      </w:r>
      <w:r>
        <w:t xml:space="preserve">Van de verontreinigde insuline-extracten uit de begintijd tot het groeihormoon uit hypofysen van overledenen laat de geschiedenis zien dat productiekwaliteit over leven en dood kan beslissen.</w:t>
      </w:r>
    </w:p>
    <w:p>
      <w:pPr>
        <w:numPr>
          <w:ilvl w:val="0"/>
          <w:numId w:val="1008"/>
        </w:numPr>
        <w:pStyle w:val="Compact"/>
      </w:pPr>
      <w:r>
        <w:rPr>
          <w:bCs/>
          <w:b/>
        </w:rPr>
        <w:t xml:space="preserve">Werkingsmechanisme is niet hetzelfde als nut.</w:t>
      </w:r>
      <w:r>
        <w:t xml:space="preserve"> </w:t>
      </w:r>
      <w:r>
        <w:t xml:space="preserve">Dat een peptide op een receptor werkt, betekent nog niet dat het mensen baat. Bij de GLP-1-geneesmiddelen waren daarvoor grote studies met duizenden deelnemers en jarenlange observatie nodig.</w:t>
      </w:r>
    </w:p>
    <w:p>
      <w:pPr>
        <w:numPr>
          <w:ilvl w:val="0"/>
          <w:numId w:val="1008"/>
        </w:numPr>
        <w:pStyle w:val="Compact"/>
      </w:pPr>
      <w:r>
        <w:rPr>
          <w:bCs/>
          <w:b/>
        </w:rPr>
        <w:t xml:space="preserve">Verrassingen zijn er in beide richtingen.</w:t>
      </w:r>
      <w:r>
        <w:t xml:space="preserve"> </w:t>
      </w:r>
      <w:r>
        <w:t xml:space="preserve">Het gewichtsverlies door exenatide was aanvankelijk een voetnoot, de hartbeschermende effecten werden in veiligheidsstudies ontdekt. Omgekeerd kwamen in grote studies ook onverwachte risico’s aan het licht, zoals de netvliescomplicaties in SUSTAIN-6.</w:t>
      </w:r>
    </w:p>
    <w:p>
      <w:pPr>
        <w:numPr>
          <w:ilvl w:val="0"/>
          <w:numId w:val="1008"/>
        </w:numPr>
        <w:pStyle w:val="Compact"/>
      </w:pPr>
      <w:r>
        <w:rPr>
          <w:bCs/>
          <w:b/>
        </w:rPr>
        <w:t xml:space="preserve">Goede ideeën hebben tijd nodig.</w:t>
      </w:r>
      <w:r>
        <w:t xml:space="preserve"> </w:t>
      </w:r>
      <w:r>
        <w:t xml:space="preserve">Tussen de beschrijving van GLP-1 bij de mens in 1987 en de registratie van semaglutide voor gewichtsbehandeling verstreken meer dan drie decennia. Peptiden die nu op internet als „doorbraak” worden aangeprezen, zonder dat er één gecontroleerde studie bij mensen bestaat, staan in het beste geval aan het begin van zo’n weg.</w:t>
      </w:r>
    </w:p>
    <w:bookmarkEnd w:id="98"/>
    <w:bookmarkStart w:id="99" w:name="tijdlijn"/>
    <w:p>
      <w:pPr>
        <w:pStyle w:val="Heading3"/>
      </w:pPr>
      <w:r>
        <w:t xml:space="preserve">Tijdlijn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Jaar</w:t>
            </w:r>
          </w:p>
        </w:tc>
        <w:tc>
          <w:tcPr/>
          <w:p>
            <w:pPr>
              <w:pStyle w:val="Compact"/>
              <w:jc w:val="left"/>
            </w:pPr>
            <w:r>
              <w:t xml:space="preserve">Gebeurtenis</w:t>
            </w:r>
          </w:p>
        </w:tc>
      </w:tr>
      <w:tr>
        <w:tc>
          <w:tcPr/>
          <w:p>
            <w:pPr>
              <w:pStyle w:val="Compact"/>
              <w:jc w:val="left"/>
            </w:pPr>
            <w:r>
              <w:t xml:space="preserve">1902</w:t>
            </w:r>
          </w:p>
        </w:tc>
        <w:tc>
          <w:tcPr/>
          <w:p>
            <w:pPr>
              <w:pStyle w:val="Compact"/>
              <w:jc w:val="left"/>
            </w:pPr>
            <w:r>
              <w:t xml:space="preserve">Secretine beschreven, eerste hormoon (een peptide)</w:t>
            </w:r>
          </w:p>
        </w:tc>
      </w:tr>
      <w:tr>
        <w:tc>
          <w:tcPr/>
          <w:p>
            <w:pPr>
              <w:pStyle w:val="Compact"/>
              <w:jc w:val="left"/>
            </w:pPr>
            <w:r>
              <w:t xml:space="preserve">1922</w:t>
            </w:r>
          </w:p>
        </w:tc>
        <w:tc>
          <w:tcPr/>
          <w:p>
            <w:pPr>
              <w:pStyle w:val="Compact"/>
              <w:jc w:val="left"/>
            </w:pPr>
            <w:r>
              <w:t xml:space="preserve">Eerste insulinebehandeling van een mens in Toronto</w:t>
            </w:r>
          </w:p>
        </w:tc>
      </w:tr>
      <w:tr>
        <w:tc>
          <w:tcPr/>
          <w:p>
            <w:pPr>
              <w:pStyle w:val="Compact"/>
              <w:jc w:val="left"/>
            </w:pPr>
            <w:r>
              <w:t xml:space="preserve">1951–1955</w:t>
            </w:r>
          </w:p>
        </w:tc>
        <w:tc>
          <w:tcPr/>
          <w:p>
            <w:pPr>
              <w:pStyle w:val="Compact"/>
              <w:jc w:val="left"/>
            </w:pPr>
            <w:r>
              <w:t xml:space="preserve">Sanger ontrafelt de insulinesequentie</w:t>
            </w:r>
          </w:p>
        </w:tc>
      </w:tr>
      <w:tr>
        <w:tc>
          <w:tcPr/>
          <w:p>
            <w:pPr>
              <w:pStyle w:val="Compact"/>
              <w:jc w:val="left"/>
            </w:pPr>
            <w:r>
              <w:t xml:space="preserve">1953</w:t>
            </w:r>
          </w:p>
        </w:tc>
        <w:tc>
          <w:tcPr/>
          <w:p>
            <w:pPr>
              <w:pStyle w:val="Compact"/>
              <w:jc w:val="left"/>
            </w:pPr>
            <w:r>
              <w:t xml:space="preserve">Eerste chemische synthese van een peptidehormoon (oxytocine)</w:t>
            </w:r>
          </w:p>
        </w:tc>
      </w:tr>
      <w:tr>
        <w:tc>
          <w:tcPr/>
          <w:p>
            <w:pPr>
              <w:pStyle w:val="Compact"/>
              <w:jc w:val="left"/>
            </w:pPr>
            <w:r>
              <w:t xml:space="preserve">jaren 1960</w:t>
            </w:r>
          </w:p>
        </w:tc>
        <w:tc>
          <w:tcPr/>
          <w:p>
            <w:pPr>
              <w:pStyle w:val="Compact"/>
              <w:jc w:val="left"/>
            </w:pPr>
            <w:r>
              <w:t xml:space="preserve">Vastefasesynthese (Merrifield), radio-immunoassay</w:t>
            </w:r>
          </w:p>
        </w:tc>
      </w:tr>
      <w:tr>
        <w:tc>
          <w:tcPr/>
          <w:p>
            <w:pPr>
              <w:pStyle w:val="Compact"/>
              <w:jc w:val="left"/>
            </w:pPr>
            <w:r>
              <w:t xml:space="preserve">1980</w:t>
            </w:r>
          </w:p>
        </w:tc>
        <w:tc>
          <w:tcPr/>
          <w:p>
            <w:pPr>
              <w:pStyle w:val="Compact"/>
              <w:jc w:val="left"/>
            </w:pPr>
            <w:r>
              <w:t xml:space="preserve">Humane insuline uit genetische modificatie in klinische studies</w:t>
            </w:r>
          </w:p>
        </w:tc>
      </w:tr>
      <w:tr>
        <w:tc>
          <w:tcPr/>
          <w:p>
            <w:pPr>
              <w:pStyle w:val="Compact"/>
              <w:jc w:val="left"/>
            </w:pPr>
            <w:r>
              <w:t xml:space="preserve">1985</w:t>
            </w:r>
          </w:p>
        </w:tc>
        <w:tc>
          <w:tcPr/>
          <w:p>
            <w:pPr>
              <w:pStyle w:val="Compact"/>
              <w:jc w:val="left"/>
            </w:pPr>
            <w:r>
              <w:t xml:space="preserve">Einde van de winning van groeihormoon uit hypofysen</w:t>
            </w:r>
          </w:p>
        </w:tc>
      </w:tr>
      <w:tr>
        <w:tc>
          <w:tcPr/>
          <w:p>
            <w:pPr>
              <w:pStyle w:val="Compact"/>
              <w:jc w:val="left"/>
            </w:pPr>
            <w:r>
              <w:t xml:space="preserve">1987</w:t>
            </w:r>
          </w:p>
        </w:tc>
        <w:tc>
          <w:tcPr/>
          <w:p>
            <w:pPr>
              <w:pStyle w:val="Compact"/>
              <w:jc w:val="left"/>
            </w:pPr>
            <w:r>
              <w:t xml:space="preserve">GLP-1 als incretine bij de mens beschreven</w:t>
            </w:r>
          </w:p>
        </w:tc>
      </w:tr>
      <w:tr>
        <w:tc>
          <w:tcPr/>
          <w:p>
            <w:pPr>
              <w:pStyle w:val="Compact"/>
              <w:jc w:val="left"/>
            </w:pPr>
            <w:r>
              <w:t xml:space="preserve">1992</w:t>
            </w:r>
          </w:p>
        </w:tc>
        <w:tc>
          <w:tcPr/>
          <w:p>
            <w:pPr>
              <w:pStyle w:val="Compact"/>
              <w:jc w:val="left"/>
            </w:pPr>
            <w:r>
              <w:t xml:space="preserve">Exendine-4 in hagedissengif ontdekt</w:t>
            </w:r>
          </w:p>
        </w:tc>
      </w:tr>
      <w:tr>
        <w:tc>
          <w:tcPr/>
          <w:p>
            <w:pPr>
              <w:pStyle w:val="Compact"/>
              <w:jc w:val="left"/>
            </w:pPr>
            <w:r>
              <w:t xml:space="preserve">2005</w:t>
            </w:r>
          </w:p>
        </w:tc>
        <w:tc>
          <w:tcPr/>
          <w:p>
            <w:pPr>
              <w:pStyle w:val="Compact"/>
              <w:jc w:val="left"/>
            </w:pPr>
            <w:r>
              <w:t xml:space="preserve">Exenatide in de VS geregistreerd</w:t>
            </w:r>
          </w:p>
        </w:tc>
      </w:tr>
      <w:tr>
        <w:tc>
          <w:tcPr/>
          <w:p>
            <w:pPr>
              <w:pStyle w:val="Compact"/>
              <w:jc w:val="left"/>
            </w:pPr>
            <w:r>
              <w:t xml:space="preserve">2009</w:t>
            </w:r>
          </w:p>
        </w:tc>
        <w:tc>
          <w:tcPr/>
          <w:p>
            <w:pPr>
              <w:pStyle w:val="Compact"/>
              <w:jc w:val="left"/>
            </w:pPr>
            <w:r>
              <w:t xml:space="preserve">Liraglutide in de EU geregistreerd</w:t>
            </w:r>
          </w:p>
        </w:tc>
      </w:tr>
      <w:tr>
        <w:tc>
          <w:tcPr/>
          <w:p>
            <w:pPr>
              <w:pStyle w:val="Compact"/>
              <w:jc w:val="left"/>
            </w:pPr>
            <w:r>
              <w:t xml:space="preserve">2016</w:t>
            </w:r>
          </w:p>
        </w:tc>
        <w:tc>
          <w:tcPr/>
          <w:p>
            <w:pPr>
              <w:pStyle w:val="Compact"/>
              <w:jc w:val="left"/>
            </w:pPr>
            <w:r>
              <w:t xml:space="preserve">LEADER en SUSTAIN-6: minder cardiovasculaire gebeurtenissen</w:t>
            </w:r>
          </w:p>
        </w:tc>
      </w:tr>
      <w:tr>
        <w:tc>
          <w:tcPr/>
          <w:p>
            <w:pPr>
              <w:pStyle w:val="Compact"/>
              <w:jc w:val="left"/>
            </w:pPr>
            <w:r>
              <w:t xml:space="preserve">2019</w:t>
            </w:r>
          </w:p>
        </w:tc>
        <w:tc>
          <w:tcPr/>
          <w:p>
            <w:pPr>
              <w:pStyle w:val="Compact"/>
              <w:jc w:val="left"/>
            </w:pPr>
            <w:r>
              <w:t xml:space="preserve">Eerste GLP-1-tablet (oraal semaglutide)</w:t>
            </w:r>
          </w:p>
        </w:tc>
      </w:tr>
      <w:tr>
        <w:tc>
          <w:tcPr/>
          <w:p>
            <w:pPr>
              <w:pStyle w:val="Compact"/>
              <w:jc w:val="left"/>
            </w:pPr>
            <w:r>
              <w:t xml:space="preserve">2021</w:t>
            </w:r>
          </w:p>
        </w:tc>
        <w:tc>
          <w:tcPr/>
          <w:p>
            <w:pPr>
              <w:pStyle w:val="Compact"/>
              <w:jc w:val="left"/>
            </w:pPr>
            <w:r>
              <w:t xml:space="preserve">Semaglutide voor gewichtsbehandeling (STEP-programma)</w:t>
            </w:r>
          </w:p>
        </w:tc>
      </w:tr>
      <w:tr>
        <w:tc>
          <w:tcPr/>
          <w:p>
            <w:pPr>
              <w:pStyle w:val="Compact"/>
              <w:jc w:val="left"/>
            </w:pPr>
            <w:r>
              <w:t xml:space="preserve">2022</w:t>
            </w:r>
          </w:p>
        </w:tc>
        <w:tc>
          <w:tcPr/>
          <w:p>
            <w:pPr>
              <w:pStyle w:val="Compact"/>
              <w:jc w:val="left"/>
            </w:pPr>
            <w:r>
              <w:t xml:space="preserve">Tirzepatide: eerste dubbele GIP/GLP-1-agonist</w:t>
            </w:r>
          </w:p>
        </w:tc>
      </w:tr>
      <w:tr>
        <w:tc>
          <w:tcPr/>
          <w:p>
            <w:pPr>
              <w:pStyle w:val="Compact"/>
              <w:jc w:val="left"/>
            </w:pPr>
            <w:r>
              <w:t xml:space="preserve">2023</w:t>
            </w:r>
          </w:p>
        </w:tc>
        <w:tc>
          <w:tcPr/>
          <w:p>
            <w:pPr>
              <w:pStyle w:val="Compact"/>
              <w:jc w:val="left"/>
            </w:pPr>
            <w:r>
              <w:t xml:space="preserve">SELECT: hartbescherming bij obesitas zonder diabetes</w:t>
            </w:r>
          </w:p>
        </w:tc>
      </w:tr>
    </w:tbl>
    <w:p>
      <w:pPr>
        <w:pStyle w:val="BodyText"/>
      </w:pPr>
      <w:r>
        <w:t xml:space="preserve">De registratiejaren hebben betrekking op de telkens eerste registratie; in andere landen en voor andere toepassingsgebieden gelden deels andere data. Stand 2026, actuele situatie zo nodig controleren.</w:t>
      </w:r>
    </w:p>
    <w:bookmarkEnd w:id="99"/>
    <w:bookmarkEnd w:id="100"/>
    <w:bookmarkStart w:id="135" w:name="X855f8eedb9c6dc8cc71de0c0b0c0c9ba917cd81"/>
    <w:p>
      <w:pPr>
        <w:pStyle w:val="Heading2"/>
      </w:pPr>
      <w:r>
        <w:t xml:space="preserve">Hoe peptiden in het lichaam komen – en waarom dat lastig is</w:t>
      </w:r>
    </w:p>
    <w:p>
      <w:pPr>
        <w:pStyle w:val="FirstParagraph"/>
      </w:pPr>
      <w:r>
        <w:t xml:space="preserve">Bijna elk peptidegeneesmiddel dat je kent, wordt geïnjecteerd: insuline, semaglutide, tirzepatide, teriparatide. Dat is geen toeval en geen voorkeur van de farmaceutische industrie, maar een gevolg van de biologie. Het menselijk lichaam is uitstekend in het afbreken van eiwitten en peptiden – het leeft er immers van de eiwitten uit de voeding in hun bouwstenen te splitsen. Dit hoofdstuk legt uit welke hindernissen een peptide op weg naar zijn werkingsplaats moet overwinnen, welke wegen de geneeskunde heeft gevonden en waarom veel beloften over druppels, capsules en crèmes met voorzichtigheid moeten worden bekeken.</w:t>
      </w:r>
    </w:p>
    <w:bookmarkStart w:id="102" w:name="X391cf1f1eb54dfb8f2aa3056fa08dd57d8955e9"/>
    <w:p>
      <w:pPr>
        <w:pStyle w:val="Heading3"/>
      </w:pPr>
      <w:r>
        <w:t xml:space="preserve">Het basisprobleem: biologische beschikbaarheid</w:t>
      </w:r>
    </w:p>
    <w:p>
      <w:pPr>
        <w:pStyle w:val="FirstParagraph"/>
      </w:pPr>
      <w:r>
        <w:t xml:space="preserve">Een centraal begrip in dit hoofdstuk is de</w:t>
      </w:r>
      <w:r>
        <w:t xml:space="preserve"> </w:t>
      </w:r>
      <w:r>
        <w:rPr>
          <w:bCs/>
          <w:b/>
        </w:rPr>
        <w:t xml:space="preserve">biologische beschikbaarheid</w:t>
      </w:r>
      <w:r>
        <w:t xml:space="preserve">. Die geeft aan welk deel van een toegediende hoeveelheid daadwerkelijk onveranderd in de bloedsomloop aankomt. Bij een infuus rechtstreeks in de ader is dat per definitie 100%. Bij alle andere wegen gaat een deel verloren – door afbraak, door barrières of doordat de stof eenvoudigweg weer wordt uitgescheiden.</w:t>
      </w:r>
    </w:p>
    <w:p>
      <w:pPr>
        <w:pStyle w:val="BodyText"/>
      </w:pPr>
      <w:r>
        <w:t xml:space="preserve">Voor peptiden is de biologische beschikbaarheid bijzonder kritisch, omdat drie eigenschappen samenkomen:</w:t>
      </w:r>
    </w:p>
    <w:p>
      <w:pPr>
        <w:numPr>
          <w:ilvl w:val="0"/>
          <w:numId w:val="1009"/>
        </w:numPr>
        <w:pStyle w:val="Compact"/>
      </w:pPr>
      <w:r>
        <w:rPr>
          <w:bCs/>
          <w:b/>
        </w:rPr>
        <w:t xml:space="preserve">Ze zijn gevoelig voor enzymen.</w:t>
      </w:r>
      <w:r>
        <w:t xml:space="preserve"> </w:t>
      </w:r>
      <w:r>
        <w:t xml:space="preserve">Peptidebindingen worden gericht gesplitst door verteringsenzymen zoals pepsine in de maag of trypsine in de dunne darm, en daarnaast door talrijke enzymen in het bloed en in weefsels.</w:t>
      </w:r>
    </w:p>
    <w:p>
      <w:pPr>
        <w:numPr>
          <w:ilvl w:val="0"/>
          <w:numId w:val="1009"/>
        </w:numPr>
        <w:pStyle w:val="Compact"/>
      </w:pPr>
      <w:r>
        <w:rPr>
          <w:bCs/>
          <w:b/>
        </w:rPr>
        <w:t xml:space="preserve">Ze zijn groot.</w:t>
      </w:r>
      <w:r>
        <w:t xml:space="preserve"> </w:t>
      </w:r>
      <w:r>
        <w:t xml:space="preserve">Vergeleken met klassieke geneesmiddelen zoals ibuprofen zijn de meeste peptiden reusachtig. Al een peptide van tien aminozuren weegt meer dan 1.000 dalton.</w:t>
      </w:r>
    </w:p>
    <w:p>
      <w:pPr>
        <w:numPr>
          <w:ilvl w:val="0"/>
          <w:numId w:val="1009"/>
        </w:numPr>
        <w:pStyle w:val="Compact"/>
      </w:pPr>
      <w:r>
        <w:rPr>
          <w:bCs/>
          <w:b/>
        </w:rPr>
        <w:t xml:space="preserve">Ze zijn meestal wateroplosbaar en vaak elektrisch geladen.</w:t>
      </w:r>
      <w:r>
        <w:t xml:space="preserve"> </w:t>
      </w:r>
      <w:r>
        <w:t xml:space="preserve">Daardoor komen ze moeilijk door de vethoudende membranen van cellen.</w:t>
      </w:r>
    </w:p>
    <w:p>
      <w:pPr>
        <w:pStyle w:val="FirstParagraph"/>
      </w:pPr>
      <w:r>
        <w:t xml:space="preserve">Elke toedieningsweg is een poging deze hindernissen te omzeilen. Een overzichtsartikel over orale peptiden vat samen dat eiwit- en peptidegeneesmiddelen in de regel buiten het maag-darmkanaal om moeten worden toegediend, wat de therapietrouw kan verminderen</w:t>
      </w:r>
      <w:r>
        <w:rPr>
          <w:rStyle w:val="FootnoteReference"/>
        </w:rPr>
        <w:footnoteReference w:id="101"/>
      </w:r>
      <w:r>
        <w:t xml:space="preserve">.</w:t>
      </w:r>
    </w:p>
    <w:bookmarkEnd w:id="102"/>
    <w:bookmarkStart w:id="106" w:name="de-injectie-standaardweg-met-nadelen"/>
    <w:p>
      <w:pPr>
        <w:pStyle w:val="Heading3"/>
      </w:pPr>
      <w:r>
        <w:t xml:space="preserve">De injectie: standaardweg met nadelen</w:t>
      </w:r>
    </w:p>
    <w:p>
      <w:pPr>
        <w:pStyle w:val="FirstParagraph"/>
      </w:pPr>
      <w:r>
        <w:t xml:space="preserve">De meeste peptidegeneesmiddelen worden</w:t>
      </w:r>
      <w:r>
        <w:t xml:space="preserve"> </w:t>
      </w:r>
      <w:r>
        <w:rPr>
          <w:bCs/>
          <w:b/>
        </w:rPr>
        <w:t xml:space="preserve">subcutaan</w:t>
      </w:r>
      <w:r>
        <w:t xml:space="preserve"> </w:t>
      </w:r>
      <w:r>
        <w:t xml:space="preserve">geïnjecteerd, dus in het onderhuidse vetweefsel – meestal in de buik, het bovenbeen of de bovenarm. Van daaruit komt de werkzame stof via kleine bloedvaten en lymfevaten in de circulatie. De biologische beschikbaarheid is hoog, en patiënten kunnen de injectie na instructie zelf toedienen. Minder vaak worden peptiden in de spier (</w:t>
      </w:r>
      <w:r>
        <w:rPr>
          <w:bCs/>
          <w:b/>
        </w:rPr>
        <w:t xml:space="preserve">intramusculair</w:t>
      </w:r>
      <w:r>
        <w:t xml:space="preserve">) of rechtstreeks in de ader (</w:t>
      </w:r>
      <w:r>
        <w:rPr>
          <w:bCs/>
          <w:b/>
        </w:rPr>
        <w:t xml:space="preserve">intraveneus</w:t>
      </w:r>
      <w:r>
        <w:t xml:space="preserve">) gegeven, bijvoorbeeld in het ziekenhuis.</w:t>
      </w:r>
    </w:p>
    <w:p>
      <w:pPr>
        <w:pStyle w:val="BodyText"/>
      </w:pPr>
      <w:r>
        <w:t xml:space="preserve">De injectie omzeilt weliswaar het maag-darmkanaal, maar niet de enzymen in het bloed. Daarom heeft het farmaceutisch onderzoek veel moeite gestoken in het langer houdbaar maken van peptiden:</w:t>
      </w:r>
    </w:p>
    <w:p>
      <w:pPr>
        <w:numPr>
          <w:ilvl w:val="0"/>
          <w:numId w:val="1010"/>
        </w:numPr>
        <w:pStyle w:val="Compact"/>
      </w:pPr>
      <w:r>
        <w:rPr>
          <w:bCs/>
          <w:b/>
        </w:rPr>
        <w:t xml:space="preserve">Vervangen van aminozuren</w:t>
      </w:r>
      <w:r>
        <w:t xml:space="preserve"> </w:t>
      </w:r>
      <w:r>
        <w:t xml:space="preserve">op de plaatsen waar enzymen aangrijpen.</w:t>
      </w:r>
    </w:p>
    <w:p>
      <w:pPr>
        <w:numPr>
          <w:ilvl w:val="0"/>
          <w:numId w:val="1010"/>
        </w:numPr>
        <w:pStyle w:val="Compact"/>
      </w:pPr>
      <w:r>
        <w:rPr>
          <w:bCs/>
          <w:b/>
        </w:rPr>
        <w:t xml:space="preserve">Aanhangen van vetzuren</w:t>
      </w:r>
      <w:r>
        <w:t xml:space="preserve">, zodat het peptide aan het bloedeiwit albumine bindt. Liraglutide en semaglutide gebruiken dit principe</w:t>
      </w:r>
      <w:r>
        <w:rPr>
          <w:rStyle w:val="FootnoteReference"/>
        </w:rPr>
        <w:footnoteReference w:id="103"/>
      </w:r>
      <w:r>
        <w:t xml:space="preserve">. Bij semaglutide levert dat een halfwaardetijd van ongeveer een week op</w:t>
      </w:r>
      <w:r>
        <w:rPr>
          <w:rStyle w:val="FootnoteReference"/>
        </w:rPr>
        <w:footnoteReference w:id="104"/>
      </w:r>
      <w:r>
        <w:t xml:space="preserve">.</w:t>
      </w:r>
    </w:p>
    <w:p>
      <w:pPr>
        <w:numPr>
          <w:ilvl w:val="0"/>
          <w:numId w:val="1010"/>
        </w:numPr>
        <w:pStyle w:val="Compact"/>
      </w:pPr>
      <w:r>
        <w:rPr>
          <w:bCs/>
          <w:b/>
        </w:rPr>
        <w:t xml:space="preserve">Koppeling aan grotere moleculen</w:t>
      </w:r>
      <w:r>
        <w:t xml:space="preserve">, bijvoorbeeld aan delen van antilichamen of aan polymeren zoals polyethyleenglycol. Dulaglutide is een voorbeeld van een GLP-1-molecuul dat aan een antilichaamfragment is gebonden.</w:t>
      </w:r>
    </w:p>
    <w:p>
      <w:pPr>
        <w:numPr>
          <w:ilvl w:val="0"/>
          <w:numId w:val="1010"/>
        </w:numPr>
        <w:pStyle w:val="Compact"/>
      </w:pPr>
      <w:r>
        <w:rPr>
          <w:bCs/>
          <w:b/>
        </w:rPr>
        <w:t xml:space="preserve">Depotvormen</w:t>
      </w:r>
      <w:r>
        <w:t xml:space="preserve">, waarbij de werkzame stof is ingebed in minuscule bolletjes of gels waaruit ze langzaam vrijkomt.</w:t>
      </w:r>
    </w:p>
    <w:p>
      <w:pPr>
        <w:pStyle w:val="FirstParagraph"/>
      </w:pPr>
      <w:r>
        <w:t xml:space="preserve">Voor de gebruikers brengt de injectie ook verplichtingen mee: het product moet steriel zijn, de naald mag maar één keer worden gebruikt, en veel preparaten moeten gekoeld worden bewaard. Voorgevulde pennen met ingestelde dosisstappen verkleinen het risico op fouten aanzienlijk. Hoe belangrijk dat is, laat een casusreeks van een Amerikaans vergiftigingeninformatiecentrum zien: bij semaglutide dat in apotheken als flesje met spuiten was afgegeven, kwamen tienvoudige overdoseringen voor, onder meer doordat milliliters, „eenheden” en milligrammen door elkaar werden gehaald</w:t>
      </w:r>
      <w:r>
        <w:rPr>
          <w:rStyle w:val="FootnoteReference"/>
        </w:rPr>
        <w:footnoteReference w:id="105"/>
      </w:r>
      <w:r>
        <w:t xml:space="preserve">. Meer daarover in het hoofdstuk over de grijze markt.</w:t>
      </w:r>
    </w:p>
    <w:bookmarkEnd w:id="106"/>
    <w:bookmarkStart w:id="108" w:name="de-tablet-de-moeilijkste-weg"/>
    <w:p>
      <w:pPr>
        <w:pStyle w:val="Heading3"/>
      </w:pPr>
      <w:r>
        <w:t xml:space="preserve">De tablet: de moeilijkste weg</w:t>
      </w:r>
    </w:p>
    <w:p>
      <w:pPr>
        <w:pStyle w:val="FirstParagraph"/>
      </w:pPr>
      <w:r>
        <w:t xml:space="preserve">Een tablet zou voor de meeste mensen de gemakkelijkste oplossing zijn. Voor peptiden is het tegelijk de meest veeleisende. Op de weg van mond naar bloed liggen meerdere hindernissen op de loer:</w:t>
      </w:r>
    </w:p>
    <w:p>
      <w:pPr>
        <w:numPr>
          <w:ilvl w:val="0"/>
          <w:numId w:val="1011"/>
        </w:numPr>
        <w:pStyle w:val="Compact"/>
      </w:pPr>
      <w:r>
        <w:rPr>
          <w:bCs/>
          <w:b/>
        </w:rPr>
        <w:t xml:space="preserve">Maagzuur</w:t>
      </w:r>
      <w:r>
        <w:t xml:space="preserve"> </w:t>
      </w:r>
      <w:r>
        <w:t xml:space="preserve">kan de ruimtelijke structuur van peptiden vernietigen.</w:t>
      </w:r>
    </w:p>
    <w:p>
      <w:pPr>
        <w:numPr>
          <w:ilvl w:val="0"/>
          <w:numId w:val="1011"/>
        </w:numPr>
        <w:pStyle w:val="Compact"/>
      </w:pPr>
      <w:r>
        <w:rPr>
          <w:bCs/>
          <w:b/>
        </w:rPr>
        <w:t xml:space="preserve">Pepsine</w:t>
      </w:r>
      <w:r>
        <w:t xml:space="preserve"> </w:t>
      </w:r>
      <w:r>
        <w:t xml:space="preserve">in de maag en</w:t>
      </w:r>
      <w:r>
        <w:t xml:space="preserve"> </w:t>
      </w:r>
      <w:r>
        <w:rPr>
          <w:bCs/>
          <w:b/>
        </w:rPr>
        <w:t xml:space="preserve">alvleesklierenzymen</w:t>
      </w:r>
      <w:r>
        <w:t xml:space="preserve"> </w:t>
      </w:r>
      <w:r>
        <w:t xml:space="preserve">in de dunne darm splitsen peptiden in kleine fragmenten.</w:t>
      </w:r>
    </w:p>
    <w:p>
      <w:pPr>
        <w:numPr>
          <w:ilvl w:val="0"/>
          <w:numId w:val="1011"/>
        </w:numPr>
        <w:pStyle w:val="Compact"/>
      </w:pPr>
      <w:r>
        <w:t xml:space="preserve">Een</w:t>
      </w:r>
      <w:r>
        <w:t xml:space="preserve"> </w:t>
      </w:r>
      <w:r>
        <w:rPr>
          <w:bCs/>
          <w:b/>
        </w:rPr>
        <w:t xml:space="preserve">slijmlaag</w:t>
      </w:r>
      <w:r>
        <w:t xml:space="preserve"> </w:t>
      </w:r>
      <w:r>
        <w:t xml:space="preserve">over het darmslijmvlies houdt grote moleculen tegen.</w:t>
      </w:r>
    </w:p>
    <w:p>
      <w:pPr>
        <w:numPr>
          <w:ilvl w:val="0"/>
          <w:numId w:val="1011"/>
        </w:numPr>
        <w:pStyle w:val="Compact"/>
      </w:pPr>
      <w:r>
        <w:t xml:space="preserve">De</w:t>
      </w:r>
      <w:r>
        <w:t xml:space="preserve"> </w:t>
      </w:r>
      <w:r>
        <w:rPr>
          <w:bCs/>
          <w:b/>
        </w:rPr>
        <w:t xml:space="preserve">darmcellen</w:t>
      </w:r>
      <w:r>
        <w:t xml:space="preserve"> </w:t>
      </w:r>
      <w:r>
        <w:t xml:space="preserve">zelf zijn nauw met elkaar verbonden. Grote, wateroplosbare moleculen komen noch door de cellen, noch tussen de cellen door.</w:t>
      </w:r>
    </w:p>
    <w:p>
      <w:pPr>
        <w:numPr>
          <w:ilvl w:val="0"/>
          <w:numId w:val="1011"/>
        </w:numPr>
        <w:pStyle w:val="Compact"/>
      </w:pPr>
      <w:r>
        <w:t xml:space="preserve">Wat toch in het bloed terechtkomt, passeert eerst de</w:t>
      </w:r>
      <w:r>
        <w:t xml:space="preserve"> </w:t>
      </w:r>
      <w:r>
        <w:rPr>
          <w:bCs/>
          <w:b/>
        </w:rPr>
        <w:t xml:space="preserve">lever</w:t>
      </w:r>
      <w:r>
        <w:t xml:space="preserve">, die nog een deel kan afbreken.</w:t>
      </w:r>
    </w:p>
    <w:p>
      <w:pPr>
        <w:pStyle w:val="FirstParagraph"/>
      </w:pPr>
      <w:r>
        <w:t xml:space="preserve">Het overzichtsartikel van Drucker noemt als oplossingsrichtingen stoffen die de doorlaatbaarheid verhogen, remmers van verteringsenzymen en dragerpeptiden die door slijm en cellen kunnen dringen. In klinische studies zijn orale vormen beproefd van onder meer insuline, calcitonine, bijschildklierhormoon en vasopressine</w:t>
      </w:r>
      <w:r>
        <w:rPr>
          <w:rStyle w:val="FootnoteReference"/>
        </w:rPr>
        <w:footnoteReference w:id="107"/>
      </w:r>
      <w:r>
        <w:t xml:space="preserve">. De doorbraak voor een breed gebruikte werkzame stof kwam echter pas met de semaglutidetablet.</w:t>
      </w:r>
    </w:p>
    <w:bookmarkEnd w:id="108"/>
    <w:bookmarkStart w:id="118" w:name="X44bbc389322b78f9c7f5d2637bca6f68a2e6122"/>
    <w:p>
      <w:pPr>
        <w:pStyle w:val="Heading3"/>
      </w:pPr>
      <w:r>
        <w:t xml:space="preserve">De SNAC-techniek: hoe de semaglutidetablet werkt</w:t>
      </w:r>
    </w:p>
    <w:p>
      <w:pPr>
        <w:pStyle w:val="FirstParagraph"/>
      </w:pPr>
      <w:r>
        <w:t xml:space="preserve">De semaglutidetablet bevat naast de werkzame stof een hulpstof genaamd</w:t>
      </w:r>
      <w:r>
        <w:t xml:space="preserve"> </w:t>
      </w:r>
      <w:r>
        <w:rPr>
          <w:bCs/>
          <w:b/>
        </w:rPr>
        <w:t xml:space="preserve">SNAC</w:t>
      </w:r>
      <w:r>
        <w:t xml:space="preserve"> </w:t>
      </w:r>
      <w:r>
        <w:t xml:space="preserve">(natrium-N-[8-(2-hydroxybenzoyl)amino]caprylaat). Een studie die gegevens uit onderzoek bij mensen en bij honden combineerde, verklaarde wat daarbij gebeurt</w:t>
      </w:r>
      <w:r>
        <w:rPr>
          <w:rStyle w:val="FootnoteReference"/>
        </w:rPr>
        <w:footnoteReference w:id="109"/>
      </w:r>
      <w:r>
        <w:t xml:space="preserve">:</w:t>
      </w:r>
    </w:p>
    <w:p>
      <w:pPr>
        <w:numPr>
          <w:ilvl w:val="0"/>
          <w:numId w:val="1012"/>
        </w:numPr>
        <w:pStyle w:val="Compact"/>
      </w:pPr>
      <w:r>
        <w:t xml:space="preserve">De opname vindt verrassend genoeg niet in de darm plaats, maar</w:t>
      </w:r>
      <w:r>
        <w:t xml:space="preserve"> </w:t>
      </w:r>
      <w:r>
        <w:rPr>
          <w:bCs/>
          <w:b/>
        </w:rPr>
        <w:t xml:space="preserve">in de maag</w:t>
      </w:r>
      <w:r>
        <w:t xml:space="preserve">.</w:t>
      </w:r>
    </w:p>
    <w:p>
      <w:pPr>
        <w:numPr>
          <w:ilvl w:val="0"/>
          <w:numId w:val="1012"/>
        </w:numPr>
        <w:pStyle w:val="Compact"/>
      </w:pPr>
      <w:r>
        <w:t xml:space="preserve">Ze is beperkt tot een klein gebied</w:t>
      </w:r>
      <w:r>
        <w:t xml:space="preserve"> </w:t>
      </w:r>
      <w:r>
        <w:rPr>
          <w:bCs/>
          <w:b/>
        </w:rPr>
        <w:t xml:space="preserve">direct aan het oppervlak van de tablet</w:t>
      </w:r>
      <w:r>
        <w:t xml:space="preserve">.</w:t>
      </w:r>
    </w:p>
    <w:p>
      <w:pPr>
        <w:numPr>
          <w:ilvl w:val="0"/>
          <w:numId w:val="1012"/>
        </w:numPr>
        <w:pStyle w:val="Compact"/>
      </w:pPr>
      <w:r>
        <w:t xml:space="preserve">SNAC buffert daar plaatselijk het maagzuur en</w:t>
      </w:r>
      <w:r>
        <w:t xml:space="preserve"> </w:t>
      </w:r>
      <w:r>
        <w:rPr>
          <w:bCs/>
          <w:b/>
        </w:rPr>
        <w:t xml:space="preserve">beschermt</w:t>
      </w:r>
      <w:r>
        <w:t xml:space="preserve"> </w:t>
      </w:r>
      <w:r>
        <w:t xml:space="preserve">semaglutide zo tegen afbraak door enzymen.</w:t>
      </w:r>
    </w:p>
    <w:p>
      <w:pPr>
        <w:numPr>
          <w:ilvl w:val="0"/>
          <w:numId w:val="1012"/>
        </w:numPr>
        <w:pStyle w:val="Compact"/>
      </w:pPr>
      <w:r>
        <w:t xml:space="preserve">SNAC verhoogt de doorlaatbaarheid van het maagslijmvlies slechts</w:t>
      </w:r>
      <w:r>
        <w:t xml:space="preserve"> </w:t>
      </w:r>
      <w:r>
        <w:rPr>
          <w:bCs/>
          <w:b/>
        </w:rPr>
        <w:t xml:space="preserve">kortstondig</w:t>
      </w:r>
      <w:r>
        <w:t xml:space="preserve">.</w:t>
      </w:r>
    </w:p>
    <w:p>
      <w:pPr>
        <w:numPr>
          <w:ilvl w:val="0"/>
          <w:numId w:val="1012"/>
        </w:numPr>
        <w:pStyle w:val="Compact"/>
      </w:pPr>
      <w:r>
        <w:t xml:space="preserve">Semaglutide komt</w:t>
      </w:r>
      <w:r>
        <w:t xml:space="preserve"> </w:t>
      </w:r>
      <w:r>
        <w:rPr>
          <w:bCs/>
          <w:b/>
        </w:rPr>
        <w:t xml:space="preserve">door de cellen heen</w:t>
      </w:r>
      <w:r>
        <w:t xml:space="preserve"> </w:t>
      </w:r>
      <w:r>
        <w:t xml:space="preserve">in het bloed, zonder dat de verbindingen tussen de cellen worden geopend.</w:t>
      </w:r>
    </w:p>
    <w:p>
      <w:pPr>
        <w:pStyle w:val="FirstParagraph"/>
      </w:pPr>
      <w:r>
        <w:t xml:space="preserve">Een recenter overzichtsartikel voegt toe dat SNAC de pH in de directe omgeving verhoogt, de activering van pepsine dempt en ertoe bijdraagt dat semaglutide als afzonderlijk molecuul aanwezig is, in plaats van zich samen te voegen tot grotere, slechter opneembare clusters</w:t>
      </w:r>
      <w:r>
        <w:rPr>
          <w:rStyle w:val="FootnoteReference"/>
        </w:rPr>
        <w:footnoteReference w:id="110"/>
      </w:r>
      <w:r>
        <w:t xml:space="preserve">.</w:t>
      </w:r>
    </w:p>
    <w:p>
      <w:pPr>
        <w:pStyle w:val="BodyText"/>
      </w:pPr>
      <w:r>
        <w:t xml:space="preserve">Ondanks deze techniek is de opbrengst gering. Hetzelfde overzicht geeft de absolute biologische beschikbaarheid van oraal semaglutide op als slechts ongeveer 0,4 tot 1% – en dat onder geoptimaliseerde omstandigheden: nuchter en met weinig water. Na een maaltijd is in het bloed praktisch geen semaglutide aantoonbaar</w:t>
      </w:r>
      <w:r>
        <w:rPr>
          <w:rStyle w:val="FootnoteReference"/>
        </w:rPr>
        <w:footnoteReference w:id="111"/>
      </w:r>
      <w:r>
        <w:t xml:space="preserve">. Daarom gelden voor de tablet strikte innameregels, die in de productinformatie zijn beschreven en met de behandelend arts moeten worden besproken.</w:t>
      </w:r>
    </w:p>
    <w:p>
      <w:pPr>
        <w:pStyle w:val="BodyText"/>
      </w:pPr>
      <w:r>
        <w:t xml:space="preserve">De geringe biologische beschikbaarheid heeft een praktisch gevolg: voor de tablet is een veelvoud aan werkzame stof nodig. In de studie SUSTAIN-6 kregen de deelnemers 0,5 of 1,0 mg semaglutide eenmaal per week als injectie</w:t>
      </w:r>
      <w:r>
        <w:rPr>
          <w:rStyle w:val="FootnoteReference"/>
        </w:rPr>
        <w:footnoteReference w:id="112"/>
      </w:r>
      <w:r>
        <w:t xml:space="preserve">. In de tabletstudie PIONEER 1 werden daarentegen dagelijks 3, 7 of 14 mg onderzocht</w:t>
      </w:r>
      <w:r>
        <w:rPr>
          <w:rStyle w:val="FootnoteReference"/>
        </w:rPr>
        <w:footnoteReference w:id="113"/>
      </w:r>
      <w:r>
        <w:t xml:space="preserve">. Dat de langetermijnwerking toch gelijkmatig is, komt door de lange halfwaardetijd: schommelingen in de opname van dag tot dag worden over de week grotendeels uitgevlakt</w:t>
      </w:r>
      <w:r>
        <w:rPr>
          <w:rStyle w:val="FootnoteReference"/>
        </w:rPr>
        <w:footnoteReference w:id="114"/>
      </w:r>
      <w:r>
        <w:t xml:space="preserve">.</w:t>
      </w:r>
    </w:p>
    <w:p>
      <w:pPr>
        <w:pStyle w:val="BodyText"/>
      </w:pPr>
      <w:r>
        <w:t xml:space="preserve">De tablet werkt, dat laten de studies zien. In PIONEER 1 met 703 mensen met diabetes type 2 daalde de HbA1c-waarde na 26 weken bij de hoogste dosis 1,1 procentpunt sterker dan onder placebo</w:t>
      </w:r>
      <w:r>
        <w:rPr>
          <w:rStyle w:val="FootnoteReference"/>
        </w:rPr>
        <w:footnoteReference w:id="115"/>
      </w:r>
      <w:r>
        <w:t xml:space="preserve">. In de studie OASIS 1 werd een hogere dosis van 50 mg per dag getest bij 667 volwassenen met overgewicht of obesitas zonder diabetes. Na 68 weken bedroeg het gemiddelde gewichtsverlies 15,1%, onder placebo 2,4%</w:t>
      </w:r>
      <w:r>
        <w:rPr>
          <w:rStyle w:val="FootnoteReference"/>
        </w:rPr>
        <w:footnoteReference w:id="116"/>
      </w:r>
      <w:r>
        <w:t xml:space="preserve">. Maag-darmklachten traden op bij 80% van de deelnemers met semaglutide en bij 46% met placebo.</w:t>
      </w:r>
    </w:p>
    <w:p>
      <w:pPr>
        <w:pStyle w:val="BodyText"/>
      </w:pPr>
      <w:r>
        <w:t xml:space="preserve">Een belangrijke opmerking voor de praktijk: de SNAC-techniek is gebonden aan de precieze samenstelling van de tablet. Een onderzoek naar namaakproducten vond bij meerdere orale semaglutidepreparaten duidelijk minder werkzame stof dan aangegeven en een ander afgiftegedrag van semaglutide en SNAC, wat de opname zou kunnen verminderen</w:t>
      </w:r>
      <w:r>
        <w:rPr>
          <w:rStyle w:val="FootnoteReference"/>
        </w:rPr>
        <w:footnoteReference w:id="117"/>
      </w:r>
      <w:r>
        <w:t xml:space="preserve">. Een tablet die „semaglutide” bevat, is dus niet automatisch even werkzaam als het geregistreerde preparaat.</w:t>
      </w:r>
    </w:p>
    <w:p>
      <w:pPr>
        <w:pStyle w:val="BodyText"/>
      </w:pPr>
      <w:r>
        <w:t xml:space="preserve">Parallel aan de peptidetabletten worden kleine, niet-peptidische moleculen ontwikkeld die dezelfde receptor activeren en als gewone tablet kunnen worden ingenomen, zoals orforglipron. Ze worden in deel II ter vergelijking voorgesteld en in deel V behandeld in samenhang met de toekomst van de tablettherapieën.</w:t>
      </w:r>
    </w:p>
    <w:bookmarkEnd w:id="118"/>
    <w:bookmarkStart w:id="120" w:name="Xbbf8cb8548b7be0f66e338b7b23b433f2d0bcd5"/>
    <w:p>
      <w:pPr>
        <w:pStyle w:val="Heading3"/>
      </w:pPr>
      <w:r>
        <w:t xml:space="preserve">Uitzondering voedingsmiddelen: korte peptiden uit collageen en melk</w:t>
      </w:r>
    </w:p>
    <w:p>
      <w:pPr>
        <w:pStyle w:val="FirstParagraph"/>
      </w:pPr>
      <w:r>
        <w:t xml:space="preserve">Als peptiden in het maag-darmkanaal worden afgebroken, hoe kunnen collageenpeptiden of melkpeptiden die als poeder of drank worden geconsumeerd dan werken? Het antwoord is genuanceerd.</w:t>
      </w:r>
    </w:p>
    <w:p>
      <w:pPr>
        <w:pStyle w:val="BodyText"/>
      </w:pPr>
      <w:r>
        <w:t xml:space="preserve">Bij de vertering ontstaan niet alleen afzonderlijke aminozuren, maar ook zeer korte fragmenten van twee of drie bouwstenen. Sommige daarvan zijn relatief bestand tegen enzymen en worden via eigen transportsystemen opgenomen. Zo werden na consumptie van collageenhydrolysaat bij vijf gezonde vrijwilligers de dipeptiden prolyl-hydroxyproline en hydroxyprolyl-glycine in het bloedplasma gemeten</w:t>
      </w:r>
      <w:r>
        <w:rPr>
          <w:rStyle w:val="FootnoteReference"/>
        </w:rPr>
        <w:footnoteReference w:id="119"/>
      </w:r>
      <w:r>
        <w:t xml:space="preserve">.</w:t>
      </w:r>
    </w:p>
    <w:p>
      <w:pPr>
        <w:pStyle w:val="BodyText"/>
      </w:pPr>
      <w:r>
        <w:t xml:space="preserve">Daaruit volgt echter niet automatisch dat deze fragmenten in het lichaam een bepaalde werking hebben – bijvoorbeeld op de huid of de gewrichten. Of dat zo is, kan alleen in gecontroleerde studies met klinische eindpunten worden vastgesteld. Deze gegevens worden in deel II besproken in het hoofdstuk over collageenpeptiden. Voor grotere peptiden zoals hormonen geldt daarentegen: doorgeslikt worden ze verteerd.</w:t>
      </w:r>
    </w:p>
    <w:bookmarkEnd w:id="120"/>
    <w:bookmarkStart w:id="122" w:name="onder-de-tong-weinig-bewijs"/>
    <w:p>
      <w:pPr>
        <w:pStyle w:val="Heading3"/>
      </w:pPr>
      <w:r>
        <w:t xml:space="preserve">Onder de tong: weinig bewijs</w:t>
      </w:r>
    </w:p>
    <w:p>
      <w:pPr>
        <w:pStyle w:val="FirstParagraph"/>
      </w:pPr>
      <w:r>
        <w:t xml:space="preserve">Het mondslijmvlies, vooral onder de tong, is goed doorbloed. Stoffen die hier worden opgenomen, omzeilen maag en lever. Voor sommige kleine geneesmiddelen werkt dat goed, voor peptiden is het slijmvlies echter een aanzienlijke barrière.</w:t>
      </w:r>
    </w:p>
    <w:p>
      <w:pPr>
        <w:pStyle w:val="BodyText"/>
      </w:pPr>
      <w:r>
        <w:t xml:space="preserve">Toch worden vooral in de VS semaglutide en tirzepatide als druppels of smelttabletten voor gebruik onder de tong aangeboden. Een analyse van aanbiedingen van Amerikaanse apotheken die zelf geneesmiddelen bereiden, vond 33 producten die afwijken van de geregistreerde preparaten. Van de 17 producten met slechts één werkzame stof was 82% bedoeld voor gebruik onder de tong, de overige als smelttablet. De auteurs vinden zo’n toedieningsvorm in principe begrijpelijk, maar stellen vast dat een voordeel ten opzichte van de geregistreerde preparaten niet is aangetoond en dat gegevens over veiligheid en werkzaamheid ontbreken</w:t>
      </w:r>
      <w:r>
        <w:rPr>
          <w:rStyle w:val="FootnoteReference"/>
        </w:rPr>
        <w:footnoteReference w:id="121"/>
      </w:r>
      <w:r>
        <w:t xml:space="preserve">.</w:t>
      </w:r>
    </w:p>
    <w:bookmarkEnd w:id="122"/>
    <w:bookmarkStart w:id="124" w:name="de-neusspray-snel-maar-beperkt"/>
    <w:p>
      <w:pPr>
        <w:pStyle w:val="Heading3"/>
      </w:pPr>
      <w:r>
        <w:t xml:space="preserve">De neusspray: snel, maar beperkt</w:t>
      </w:r>
    </w:p>
    <w:p>
      <w:pPr>
        <w:pStyle w:val="FirstParagraph"/>
      </w:pPr>
      <w:r>
        <w:t xml:space="preserve">Het neusslijmvlies heeft een groot, goed doorbloed oppervlak, en stoffen komen van daaruit rechtstreeks in het bloed. Sommige peptidegeneesmiddelen gebruiken deze weg al lang, bijvoorbeeld het vasopressine-analoog desmopressine. Ook oxytocine wordt als neusspray onderzocht.</w:t>
      </w:r>
    </w:p>
    <w:p>
      <w:pPr>
        <w:pStyle w:val="BodyText"/>
      </w:pPr>
      <w:r>
        <w:t xml:space="preserve">De grenzen zijn echter duidelijk:</w:t>
      </w:r>
    </w:p>
    <w:p>
      <w:pPr>
        <w:numPr>
          <w:ilvl w:val="0"/>
          <w:numId w:val="1013"/>
        </w:numPr>
        <w:pStyle w:val="Compact"/>
      </w:pPr>
      <w:r>
        <w:t xml:space="preserve">De opname is voor grotere peptiden gering en schommelt sterk – afhankelijk van de spuittechniek, verkoudheid of de hoeveelheid slijm.</w:t>
      </w:r>
    </w:p>
    <w:p>
      <w:pPr>
        <w:numPr>
          <w:ilvl w:val="0"/>
          <w:numId w:val="1013"/>
        </w:numPr>
        <w:pStyle w:val="Compact"/>
      </w:pPr>
      <w:r>
        <w:t xml:space="preserve">Een groot deel van de verstuiving wordt doorgeslikt of via de trilhaartjes afgevoerd.</w:t>
      </w:r>
    </w:p>
    <w:p>
      <w:pPr>
        <w:numPr>
          <w:ilvl w:val="0"/>
          <w:numId w:val="1013"/>
        </w:numPr>
        <w:pStyle w:val="Compact"/>
      </w:pPr>
      <w:r>
        <w:t xml:space="preserve">Vaak gebruikte prikkelende stoffen of hulpstoffen kunnen het slijmvlies belasten.</w:t>
      </w:r>
    </w:p>
    <w:p>
      <w:pPr>
        <w:pStyle w:val="FirstParagraph"/>
      </w:pPr>
      <w:r>
        <w:t xml:space="preserve">Bijzonder populair is het idee dat peptiden via de neus „rechtstreeks in de hersenen” zouden komen. Voor sommige stoffen zijn er aanwijzingen voor zulke routes via reuk- en aangezichtszenuwen, maar de gegevens zijn mager. Een veel geciteerd kritisch overzicht kwam voor oxytocine tot de conclusie dat slechts zeer weinig van het via de neus gegeven oxytocine in het hersenvocht aankomt, terwijl de concentraties in het bloed stijgen tot waarden boven het natuurlijke niveau – met mogelijke effecten op het maag-darmkanaal, het hart en de voortplantingsorganen</w:t>
      </w:r>
      <w:r>
        <w:rPr>
          <w:rStyle w:val="FootnoteReference"/>
        </w:rPr>
        <w:footnoteReference w:id="123"/>
      </w:r>
      <w:r>
        <w:t xml:space="preserve">. De auteurs manen tot scepsis tegenover studies met gedragseffecten en pleiten voor vooraf geregistreerde studies. Dat is relevant voor alle peptiden die als „neusspray voor de hersenen” worden aangeprezen, zoals semax of selank, die in deel II worden behandeld.</w:t>
      </w:r>
    </w:p>
    <w:bookmarkEnd w:id="124"/>
    <w:bookmarkStart w:id="126" w:name="inhalatie-een-leerzame-mislukking"/>
    <w:p>
      <w:pPr>
        <w:pStyle w:val="Heading3"/>
      </w:pPr>
      <w:r>
        <w:t xml:space="preserve">Inhalatie: een leerzame mislukking</w:t>
      </w:r>
    </w:p>
    <w:p>
      <w:pPr>
        <w:pStyle w:val="FirstParagraph"/>
      </w:pPr>
      <w:r>
        <w:t xml:space="preserve">De longen bieden een enorm oppervlak met een zeer dunne barrière naar het bloed. Daarom werd intensief gewerkt aan inhaleerbare insuline. Een eerste product kwam op de markt, maar werd al snel weer teruggetrokken; andere ontwikkelingen werden stopgezet. Een commentaar uit die tijd beschrijft voor- en nadelen vanuit het perspectief van patiënten, artsen, industrie en betalers – waaronder de grootte van de inhalatoren en de kosten</w:t>
      </w:r>
      <w:r>
        <w:rPr>
          <w:rStyle w:val="FootnoteReference"/>
        </w:rPr>
        <w:footnoteReference w:id="125"/>
      </w:r>
      <w:r>
        <w:t xml:space="preserve">. Later werd in de VS een andere inhaleerbare insuline geregistreerd. Voor de meeste andere peptiden speelt inhalatie tot nu toe geen rol.</w:t>
      </w:r>
    </w:p>
    <w:bookmarkEnd w:id="126"/>
    <w:bookmarkStart w:id="128" w:name="de-huid-een-zeer-goede-barrière"/>
    <w:p>
      <w:pPr>
        <w:pStyle w:val="Heading3"/>
      </w:pPr>
      <w:r>
        <w:t xml:space="preserve">De huid: een zeer goede barrière</w:t>
      </w:r>
    </w:p>
    <w:p>
      <w:pPr>
        <w:pStyle w:val="FirstParagraph"/>
      </w:pPr>
      <w:r>
        <w:t xml:space="preserve">De huid is een van de dichtste organen van het lichaam. De buitenste laag, de hoornlaag, bestaat uit afgestorven cellen die in vetten zijn ingebed – een soort metselwerk met mortel. Een bekende vuistregel uit de dermatologie zegt dat een stof kleiner moet zijn dan ongeveer 500 dalton om in noemenswaardige mate door de huid te komen. De auteurs onderbouwen dat onder meer met het feit dat praktisch alle bekende contactallergenen en alle geneesmiddelen die in pleisters voor afgifte van werkzame stoffen worden gebruikt onder deze grens liggen</w:t>
      </w:r>
      <w:r>
        <w:rPr>
          <w:rStyle w:val="FootnoteReference"/>
        </w:rPr>
        <w:footnoteReference w:id="127"/>
      </w:r>
      <w:r>
        <w:t xml:space="preserve">.</w:t>
      </w:r>
    </w:p>
    <w:p>
      <w:pPr>
        <w:pStyle w:val="BodyText"/>
      </w:pPr>
      <w:r>
        <w:t xml:space="preserve">Voor peptiden betekent dit: al vanaf ongeveer vier tot vijf aminozuren liggen ze in de regel boven deze grens. Een tripeptide zoals GHK kan eronder blijven, peptiden zoals palmitoyl-pentapeptide-4 of acetyl-hexapeptide-8 liggen er duidelijk boven. Cosmeticafabrikanten proberen het binnendringen te verbeteren met aangehangen vetzuren (zoals bij het „palmitoyl”-peptide) of speciale dragersystemen. Of de peptiden daarbij in voldoende hoeveelheid hun vermoedelijke doelcellen in diepere huidlagen bereiken, is een vraag die voor elk product afzonderlijk zou moeten worden onderzocht. De onderzoeksstand daarover wordt in deel II besproken.</w:t>
      </w:r>
    </w:p>
    <w:p>
      <w:pPr>
        <w:pStyle w:val="BodyText"/>
      </w:pPr>
      <w:r>
        <w:t xml:space="preserve">Een vuistregel blijft een vuistregel: er zijn uitzonderingen, en hulpmiddelen zoals microneedlepleisters kunnen de barrière overwinnen. Zulke pleisters dragen minuscule naaldjes die alleen de bovenste huidlaag doordringen. Voor peptiden zijn ze nog grotendeels in ontwikkeling.</w:t>
      </w:r>
    </w:p>
    <w:p>
      <w:pPr>
        <w:pStyle w:val="BodyText"/>
      </w:pPr>
      <w:r>
        <w:t xml:space="preserve">Voor geneesmiddelpeptiden zoals GLP-1-analogen, groeihormoonvrijmakers of melanotan geldt: een eenvoudige crème of gel brengt ze niet in noemenswaardige hoeveelheid in het bloed. Aanbiedingen op internet die het tegendeel beweren, moet je met grote scepsis bekijken.</w:t>
      </w:r>
    </w:p>
    <w:bookmarkEnd w:id="128"/>
    <w:bookmarkStart w:id="130" w:name="stabiliteit-het-onderschatte-probleem"/>
    <w:p>
      <w:pPr>
        <w:pStyle w:val="Heading3"/>
      </w:pPr>
      <w:r>
        <w:t xml:space="preserve">Stabiliteit: het onderschatte probleem</w:t>
      </w:r>
    </w:p>
    <w:p>
      <w:pPr>
        <w:pStyle w:val="FirstParagraph"/>
      </w:pPr>
      <w:r>
        <w:t xml:space="preserve">Ook buiten het lichaam zijn peptiden kwetsbaar. Ze kunnen uiteenvallen, chemisch veranderen (bijvoorbeeld door oxidatie) of samenklonteren tot grotere clusters. Zulke klonten – vakmensen spreken van aggregatie of fibrillevorming – kunnen de werking verminderen en het immuunsysteem prikkelen. Een onderzoek vond bij namaakpreparaten van liraglutide een sterkere neiging tot fibrillevorming en een geringere fysische stabiliteit dan bij het origineel</w:t>
      </w:r>
      <w:r>
        <w:rPr>
          <w:rStyle w:val="FootnoteReference"/>
        </w:rPr>
        <w:footnoteReference w:id="129"/>
      </w:r>
      <w:r>
        <w:t xml:space="preserve">.</w:t>
      </w:r>
    </w:p>
    <w:p>
      <w:pPr>
        <w:pStyle w:val="BodyText"/>
      </w:pPr>
      <w:r>
        <w:t xml:space="preserve">Daarom worden geregistreerde peptidegeneesmiddelen onder precies vastgelegde omstandigheden gemaakt, verpakt, gekoeld vervoerd en voorzien van houdbaarheidsdata. Peptiden van de grijze markt worden daarentegen meestal verkocht als gevriesdroogd poeder dat vóór gebruik zelf moet worden opgelost. Elk van deze stappen – vervoer zonder koeling, opslag, oplossen, opzuigen – is een mogelijke bron van fouten.</w:t>
      </w:r>
    </w:p>
    <w:bookmarkEnd w:id="130"/>
    <w:bookmarkStart w:id="132" w:name="immuunreacties"/>
    <w:p>
      <w:pPr>
        <w:pStyle w:val="Heading3"/>
      </w:pPr>
      <w:r>
        <w:t xml:space="preserve">Immuunreacties</w:t>
      </w:r>
    </w:p>
    <w:p>
      <w:pPr>
        <w:pStyle w:val="FirstParagraph"/>
      </w:pPr>
      <w:r>
        <w:t xml:space="preserve">Peptiden zijn eiwitstoffen en kunnen door het immuunsysteem als lichaamsvreemd worden herkend, vooral wanneer ze niet precies overeenkomen met een lichaamseigen molecuul of verontreinigingen bevatten. Mogelijke gevolgen zijn reacties op de injectieplaats, allergische reacties of de vorming van antilichamen die de werking kunnen afzwakken. In de analyse van namaaksemaglutide werden met computermodellen voorspelde nieuwe bindingsplaatsen voor het immuunsysteem gevonden, die wijzen op een mogelijk risico op immuunreacties</w:t>
      </w:r>
      <w:r>
        <w:rPr>
          <w:rStyle w:val="FootnoteReference"/>
        </w:rPr>
        <w:footnoteReference w:id="131"/>
      </w:r>
      <w:r>
        <w:t xml:space="preserve">. Deel IV behandelt immuunreacties uitgebreid.</w:t>
      </w:r>
    </w:p>
    <w:bookmarkEnd w:id="132"/>
    <w:bookmarkStart w:id="133" w:name="overzicht-toedieningswegen-vergeleken"/>
    <w:p>
      <w:pPr>
        <w:pStyle w:val="Heading3"/>
      </w:pPr>
      <w:r>
        <w:t xml:space="preserve">Overzicht: toedieningswegen vergeleken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Hoofdprobleem</w:t>
            </w:r>
          </w:p>
        </w:tc>
        <w:tc>
          <w:tcPr/>
          <w:p>
            <w:pPr>
              <w:pStyle w:val="Compact"/>
              <w:jc w:val="left"/>
            </w:pPr>
            <w:r>
              <w:t xml:space="preserve">Voorbeelden</w:t>
            </w:r>
          </w:p>
        </w:tc>
      </w:tr>
      <w:tr>
        <w:tc>
          <w:tcPr/>
          <w:p>
            <w:pPr>
              <w:pStyle w:val="Compact"/>
              <w:jc w:val="left"/>
            </w:pPr>
            <w:r>
              <w:t xml:space="preserve">Injectie onder de huid</w:t>
            </w:r>
          </w:p>
        </w:tc>
        <w:tc>
          <w:tcPr/>
          <w:p>
            <w:pPr>
              <w:pStyle w:val="Compact"/>
              <w:jc w:val="left"/>
            </w:pPr>
            <w:r>
              <w:t xml:space="preserve">naald, steriliteit, koeling</w:t>
            </w:r>
          </w:p>
        </w:tc>
        <w:tc>
          <w:tcPr/>
          <w:p>
            <w:pPr>
              <w:pStyle w:val="Compact"/>
              <w:jc w:val="left"/>
            </w:pPr>
            <w:r>
              <w:t xml:space="preserve">insuline, semaglutide, tirzepatide</w:t>
            </w:r>
          </w:p>
        </w:tc>
      </w:tr>
      <w:tr>
        <w:tc>
          <w:tcPr/>
          <w:p>
            <w:pPr>
              <w:pStyle w:val="Compact"/>
              <w:jc w:val="left"/>
            </w:pPr>
            <w:r>
              <w:t xml:space="preserve">Tablet</w:t>
            </w:r>
          </w:p>
        </w:tc>
        <w:tc>
          <w:tcPr/>
          <w:p>
            <w:pPr>
              <w:pStyle w:val="Compact"/>
              <w:jc w:val="left"/>
            </w:pPr>
            <w:r>
              <w:t xml:space="preserve">afbraak in het maag-darmkanaal</w:t>
            </w:r>
          </w:p>
        </w:tc>
        <w:tc>
          <w:tcPr/>
          <w:p>
            <w:pPr>
              <w:pStyle w:val="Compact"/>
              <w:jc w:val="left"/>
            </w:pPr>
            <w:r>
              <w:t xml:space="preserve">semaglutide met SNAC</w:t>
            </w:r>
          </w:p>
        </w:tc>
      </w:tr>
      <w:tr>
        <w:tc>
          <w:tcPr/>
          <w:p>
            <w:pPr>
              <w:pStyle w:val="Compact"/>
              <w:jc w:val="left"/>
            </w:pPr>
            <w:r>
              <w:t xml:space="preserve">Onder de tong</w:t>
            </w:r>
          </w:p>
        </w:tc>
        <w:tc>
          <w:tcPr/>
          <w:p>
            <w:pPr>
              <w:pStyle w:val="Compact"/>
              <w:jc w:val="left"/>
            </w:pPr>
            <w:r>
              <w:t xml:space="preserve">slijmvlies als barrière</w:t>
            </w:r>
          </w:p>
        </w:tc>
        <w:tc>
          <w:tcPr/>
          <w:p>
            <w:pPr>
              <w:pStyle w:val="Compact"/>
              <w:jc w:val="left"/>
            </w:pPr>
            <w:r>
              <w:t xml:space="preserve">geen betrouwbare gegevens</w:t>
            </w:r>
          </w:p>
        </w:tc>
      </w:tr>
      <w:tr>
        <w:tc>
          <w:tcPr/>
          <w:p>
            <w:pPr>
              <w:pStyle w:val="Compact"/>
              <w:jc w:val="left"/>
            </w:pPr>
            <w:r>
              <w:t xml:space="preserve">Neusspray</w:t>
            </w:r>
          </w:p>
        </w:tc>
        <w:tc>
          <w:tcPr/>
          <w:p>
            <w:pPr>
              <w:pStyle w:val="Compact"/>
              <w:jc w:val="left"/>
            </w:pPr>
            <w:r>
              <w:t xml:space="preserve">geringe, schommelende opname</w:t>
            </w:r>
          </w:p>
        </w:tc>
        <w:tc>
          <w:tcPr/>
          <w:p>
            <w:pPr>
              <w:pStyle w:val="Compact"/>
              <w:jc w:val="left"/>
            </w:pPr>
            <w:r>
              <w:t xml:space="preserve">desmopressine, oxytocine</w:t>
            </w:r>
          </w:p>
        </w:tc>
      </w:tr>
      <w:tr>
        <w:tc>
          <w:tcPr/>
          <w:p>
            <w:pPr>
              <w:pStyle w:val="Compact"/>
              <w:jc w:val="left"/>
            </w:pPr>
            <w:r>
              <w:t xml:space="preserve">Inhalatie</w:t>
            </w:r>
          </w:p>
        </w:tc>
        <w:tc>
          <w:tcPr/>
          <w:p>
            <w:pPr>
              <w:pStyle w:val="Compact"/>
              <w:jc w:val="left"/>
            </w:pPr>
            <w:r>
              <w:t xml:space="preserve">apparaten, veiligheid voor de longen</w:t>
            </w:r>
          </w:p>
        </w:tc>
        <w:tc>
          <w:tcPr/>
          <w:p>
            <w:pPr>
              <w:pStyle w:val="Compact"/>
              <w:jc w:val="left"/>
            </w:pPr>
            <w:r>
              <w:t xml:space="preserve">inhaleerbare insuline</w:t>
            </w:r>
          </w:p>
        </w:tc>
      </w:tr>
      <w:tr>
        <w:tc>
          <w:tcPr/>
          <w:p>
            <w:pPr>
              <w:pStyle w:val="Compact"/>
              <w:jc w:val="left"/>
            </w:pPr>
            <w:r>
              <w:t xml:space="preserve">Huid</w:t>
            </w:r>
          </w:p>
        </w:tc>
        <w:tc>
          <w:tcPr/>
          <w:p>
            <w:pPr>
              <w:pStyle w:val="Compact"/>
              <w:jc w:val="left"/>
            </w:pPr>
            <w:r>
              <w:t xml:space="preserve">hoornlaag, molecuulgrootte</w:t>
            </w:r>
          </w:p>
        </w:tc>
        <w:tc>
          <w:tcPr/>
          <w:p>
            <w:pPr>
              <w:pStyle w:val="Compact"/>
              <w:jc w:val="left"/>
            </w:pPr>
            <w:r>
              <w:t xml:space="preserve">cosmetische peptiden</w:t>
            </w:r>
          </w:p>
        </w:tc>
      </w:tr>
    </w:tbl>
    <w:bookmarkEnd w:id="133"/>
    <w:bookmarkStart w:id="134" w:name="het-belangrijkste-in-het-kort-1"/>
    <w:p>
      <w:pPr>
        <w:pStyle w:val="Heading3"/>
      </w:pPr>
      <w:r>
        <w:t xml:space="preserve">Het belangrijkste in het kort</w:t>
      </w:r>
    </w:p>
    <w:p>
      <w:pPr>
        <w:numPr>
          <w:ilvl w:val="0"/>
          <w:numId w:val="1014"/>
        </w:numPr>
        <w:pStyle w:val="Compact"/>
      </w:pPr>
      <w:r>
        <w:t xml:space="preserve">Peptiden worden in het maag-darmkanaal afgebroken, zijn groot en komen slecht door membranen. Daarom worden de meeste peptidegeneesmiddelen geïnjecteerd.</w:t>
      </w:r>
    </w:p>
    <w:p>
      <w:pPr>
        <w:numPr>
          <w:ilvl w:val="0"/>
          <w:numId w:val="1014"/>
        </w:numPr>
        <w:pStyle w:val="Compact"/>
      </w:pPr>
      <w:r>
        <w:t xml:space="preserve">Een lange werkingsduur bereikt men door gerichte veranderingen van het molecuul, bijvoorbeeld aangehangen vetzuren voor binding aan albumine.</w:t>
      </w:r>
    </w:p>
    <w:p>
      <w:pPr>
        <w:numPr>
          <w:ilvl w:val="0"/>
          <w:numId w:val="1014"/>
        </w:numPr>
        <w:pStyle w:val="Compact"/>
      </w:pPr>
      <w:r>
        <w:t xml:space="preserve">De semaglutidetablet gebruikt de hulpstof SNAC, die opname in de maag mogelijk maakt. De biologische beschikbaarheid blijft met ongeveer 0,4 tot 1% zeer laag.</w:t>
      </w:r>
    </w:p>
    <w:p>
      <w:pPr>
        <w:numPr>
          <w:ilvl w:val="0"/>
          <w:numId w:val="1014"/>
        </w:numPr>
        <w:pStyle w:val="Compact"/>
      </w:pPr>
      <w:r>
        <w:t xml:space="preserve">Bij neussprays en crèmes is de opname van grotere peptiden beperkt. Beloften als „rechtstreeks in de hersenen” of „via de huid in het bloed” zijn meestal niet onderbouwd.</w:t>
      </w:r>
    </w:p>
    <w:p>
      <w:pPr>
        <w:numPr>
          <w:ilvl w:val="0"/>
          <w:numId w:val="1014"/>
        </w:numPr>
        <w:pStyle w:val="Compact"/>
      </w:pPr>
      <w:r>
        <w:t xml:space="preserve">Stabiliteit, steriliteit en zuiverheid zijn bij peptiden geen bijzaak, maar een voorwaarde voor veiligheid en werking.</w:t>
      </w:r>
    </w:p>
    <w:bookmarkEnd w:id="134"/>
    <w:bookmarkEnd w:id="135"/>
    <w:bookmarkStart w:id="167" w:name="studies-goed-lezen"/>
    <w:p>
      <w:pPr>
        <w:pStyle w:val="Heading2"/>
      </w:pPr>
      <w:r>
        <w:t xml:space="preserve">Studies goed lezen</w:t>
      </w:r>
    </w:p>
    <w:p>
      <w:pPr>
        <w:pStyle w:val="FirstParagraph"/>
      </w:pPr>
      <w:r>
        <w:t xml:space="preserve">„Studies tonen aan …” – nauwelijks een formulering wordt in reclame voor peptiden zo vaak gebruikt. Daarmee kan van alles bedoeld zijn: een proef met cellen in een petrischaal, een experiment met twaalf ratten, een ervaringsverhaal van één patiënt of een studie met 17.000 deelnemers over meer dan drie jaar. Wie peptiden wil beoordelen, moet deze verschillen kennen. Dit hoofdstuk is een soort gereedschapskist. Het legt de belangrijkste soorten studies uit, de valkuilen bij het interpreteren van resultaten en hoe je zelf kunt nagaan wat er achter een bewering zit.</w:t>
      </w:r>
    </w:p>
    <w:bookmarkStart w:id="136" w:name="de-bewijspiramide"/>
    <w:p>
      <w:pPr>
        <w:pStyle w:val="Heading3"/>
      </w:pPr>
      <w:r>
        <w:t xml:space="preserve">De bewijspiramide</w:t>
      </w:r>
    </w:p>
    <w:p>
      <w:pPr>
        <w:pStyle w:val="FirstParagraph"/>
      </w:pPr>
      <w:r>
        <w:t xml:space="preserve">Vakmensen rangschikken soorten studies vaak in een piramide. Onderaan staan onderzoeksvormen die veel aanwijzingen, maar weinig zekerheid opleveren; bovenaan die welke het betrouwbaarst laten zien of een behandeling bij de mens werkt. Van onder naar boven:</w:t>
      </w:r>
    </w:p>
    <w:p>
      <w:pPr>
        <w:numPr>
          <w:ilvl w:val="0"/>
          <w:numId w:val="1015"/>
        </w:numPr>
        <w:pStyle w:val="Compact"/>
      </w:pPr>
      <w:r>
        <w:rPr>
          <w:bCs/>
          <w:b/>
        </w:rPr>
        <w:t xml:space="preserve">Laboratorium- en celstudies</w:t>
      </w:r>
      <w:r>
        <w:t xml:space="preserve"> </w:t>
      </w:r>
      <w:r>
        <w:t xml:space="preserve">(in vitro, „in glas”): cellen of weefsels worden in het laboratorium aan een stof blootgesteld.</w:t>
      </w:r>
    </w:p>
    <w:p>
      <w:pPr>
        <w:numPr>
          <w:ilvl w:val="0"/>
          <w:numId w:val="1015"/>
        </w:numPr>
        <w:pStyle w:val="Compact"/>
      </w:pPr>
      <w:r>
        <w:rPr>
          <w:bCs/>
          <w:b/>
        </w:rPr>
        <w:t xml:space="preserve">Dierstudies</w:t>
      </w:r>
      <w:r>
        <w:t xml:space="preserve"> </w:t>
      </w:r>
      <w:r>
        <w:t xml:space="preserve">(meestal bij muizen of ratten).</w:t>
      </w:r>
    </w:p>
    <w:p>
      <w:pPr>
        <w:numPr>
          <w:ilvl w:val="0"/>
          <w:numId w:val="1015"/>
        </w:numPr>
        <w:pStyle w:val="Compact"/>
      </w:pPr>
      <w:r>
        <w:rPr>
          <w:bCs/>
          <w:b/>
        </w:rPr>
        <w:t xml:space="preserve">Casusbeschrijvingen en casusreeksen</w:t>
      </w:r>
      <w:r>
        <w:t xml:space="preserve">: beschrijvingen van één of enkele patiënten.</w:t>
      </w:r>
    </w:p>
    <w:p>
      <w:pPr>
        <w:numPr>
          <w:ilvl w:val="0"/>
          <w:numId w:val="1015"/>
        </w:numPr>
        <w:pStyle w:val="Compact"/>
      </w:pPr>
      <w:r>
        <w:rPr>
          <w:bCs/>
          <w:b/>
        </w:rPr>
        <w:t xml:space="preserve">Observationele studies</w:t>
      </w:r>
      <w:r>
        <w:t xml:space="preserve">: men observeert mensen die een stof toch al wel of niet gebruiken en vergelijkt wat er met hen gebeurt.</w:t>
      </w:r>
    </w:p>
    <w:p>
      <w:pPr>
        <w:numPr>
          <w:ilvl w:val="0"/>
          <w:numId w:val="1015"/>
        </w:numPr>
        <w:pStyle w:val="Compact"/>
      </w:pPr>
      <w:r>
        <w:rPr>
          <w:bCs/>
          <w:b/>
        </w:rPr>
        <w:t xml:space="preserve">Gecontroleerde studies zonder willekeurige toewijzing</w:t>
      </w:r>
      <w:r>
        <w:t xml:space="preserve"> </w:t>
      </w:r>
      <w:r>
        <w:t xml:space="preserve">en</w:t>
      </w:r>
      <w:r>
        <w:t xml:space="preserve"> </w:t>
      </w:r>
      <w:r>
        <w:rPr>
          <w:bCs/>
          <w:b/>
        </w:rPr>
        <w:t xml:space="preserve">open studies</w:t>
      </w:r>
      <w:r>
        <w:t xml:space="preserve">.</w:t>
      </w:r>
    </w:p>
    <w:p>
      <w:pPr>
        <w:numPr>
          <w:ilvl w:val="0"/>
          <w:numId w:val="1015"/>
        </w:numPr>
        <w:pStyle w:val="Compact"/>
      </w:pPr>
      <w:r>
        <w:rPr>
          <w:bCs/>
          <w:b/>
        </w:rPr>
        <w:t xml:space="preserve">Gerandomiseerde gecontroleerde studies</w:t>
      </w:r>
      <w:r>
        <w:t xml:space="preserve"> </w:t>
      </w:r>
      <w:r>
        <w:t xml:space="preserve">(RCT).</w:t>
      </w:r>
    </w:p>
    <w:p>
      <w:pPr>
        <w:numPr>
          <w:ilvl w:val="0"/>
          <w:numId w:val="1015"/>
        </w:numPr>
        <w:pStyle w:val="Compact"/>
      </w:pPr>
      <w:r>
        <w:rPr>
          <w:bCs/>
          <w:b/>
        </w:rPr>
        <w:t xml:space="preserve">Systematische reviews en meta-analyses</w:t>
      </w:r>
      <w:r>
        <w:t xml:space="preserve">, die alle beschikbare goede studies over een vraag samenvatten.</w:t>
      </w:r>
    </w:p>
    <w:p>
      <w:pPr>
        <w:pStyle w:val="FirstParagraph"/>
      </w:pPr>
      <w:r>
        <w:t xml:space="preserve">De piramide is een vereenvoudiging. Een grote, zorgvuldige observationele studie kan zeggingskrachtiger zijn dan een piepkleine, slecht uitgevoerde RCT, en een meta-analyse is maar zo goed als de studies die erin worden opgenomen. Als grove oriëntatie is ze echter nuttig – vooral om te herkennen hoe laag in de piramide het bewijs voor veel peptiden van de grijze markt zich bevindt.</w:t>
      </w:r>
    </w:p>
    <w:bookmarkEnd w:id="136"/>
    <w:bookmarkStart w:id="137" w:name="X0c17498eacbbeda55bcd7a372cb5ab6ea349c28"/>
    <w:p>
      <w:pPr>
        <w:pStyle w:val="Heading3"/>
      </w:pPr>
      <w:r>
        <w:t xml:space="preserve">Laboratoriumstudies: wat er in de petrischaal gebeurt</w:t>
      </w:r>
    </w:p>
    <w:p>
      <w:pPr>
        <w:pStyle w:val="FirstParagraph"/>
      </w:pPr>
      <w:r>
        <w:t xml:space="preserve">In celkweken kunnen mechanismen goed worden onderzocht: welke receptor wordt geactiveerd? Welke genen worden afgelezen? Groeien of bewegen cellen sneller? Zulke studies zijn onmisbaar voor fundamenteel onderzoek.</w:t>
      </w:r>
    </w:p>
    <w:p>
      <w:pPr>
        <w:pStyle w:val="BodyText"/>
      </w:pPr>
      <w:r>
        <w:t xml:space="preserve">Hun beperkingen zijn echter groot. Cellen in een schaal hebben geen bloedsomloop, geen lever die stoffen afbreekt, geen immuunsysteem en geen spijsvertering. De concentraties die in het laboratorium worden gebruikt, zijn vaak veel hoger dan wat in het menselijk lichaam überhaupt haalbaar is. Een stof die in de petrischaal kankercellen doodt, kan in het lichaam werkingsloos of giftig zijn. Wanneer een reclametekst zich op „studies” beroept en het gaat om celkweken, is dat een aanwijzing voor een mogelijk mechanisme – niet voor een nut bij de mens.</w:t>
      </w:r>
    </w:p>
    <w:bookmarkEnd w:id="137"/>
    <w:bookmarkStart w:id="139" w:name="Xf934a5276a63c688526be91349f03cdd1120e29"/>
    <w:p>
      <w:pPr>
        <w:pStyle w:val="Heading3"/>
      </w:pPr>
      <w:r>
        <w:t xml:space="preserve">Dierstudies: belangrijk, maar niet overdraagbaar</w:t>
      </w:r>
    </w:p>
    <w:p>
      <w:pPr>
        <w:pStyle w:val="FirstParagraph"/>
      </w:pPr>
      <w:r>
        <w:t xml:space="preserve">Dierproeven maken het mogelijk effecten in een heel organisme te onderzoeken en veiligheidsvragen op te helderen voordat mensen aan een nieuwe stof worden blootgesteld. Tegelijk verschillen muizen en ratten in stofwisseling, levensduur, lichaamsgrootte en ziekteontstaan aanzienlijk van de mens. Bovendien worden ziekten bij dieren vaak kunstmatig opgewekt – bijvoorbeeld een peesletsel door een snede –, wat slechts ten dele overeenkomt met de situatie bij mensen.</w:t>
      </w:r>
    </w:p>
    <w:p>
      <w:pPr>
        <w:pStyle w:val="BodyText"/>
      </w:pPr>
      <w:r>
        <w:t xml:space="preserve">Hoe moeilijk de vertaling is, laat een systematische review zien die behandeleffecten in dierproeven vergeleek met die in klinische studies</w:t>
      </w:r>
      <w:r>
        <w:rPr>
          <w:rStyle w:val="FootnoteReference"/>
        </w:rPr>
        <w:footnoteReference w:id="138"/>
      </w:r>
      <w:r>
        <w:t xml:space="preserve">. Enkele voorbeelden daaruit:</w:t>
      </w:r>
    </w:p>
    <w:p>
      <w:pPr>
        <w:numPr>
          <w:ilvl w:val="0"/>
          <w:numId w:val="1016"/>
        </w:numPr>
        <w:pStyle w:val="Compact"/>
      </w:pPr>
      <w:r>
        <w:t xml:space="preserve">Corticosteroïden verbeterden bij hoofdletsel in diermodellen de uitkomsten, in klinische studies bij mensen bleek er geen nut.</w:t>
      </w:r>
    </w:p>
    <w:p>
      <w:pPr>
        <w:numPr>
          <w:ilvl w:val="0"/>
          <w:numId w:val="1016"/>
        </w:numPr>
        <w:pStyle w:val="Compact"/>
      </w:pPr>
      <w:r>
        <w:t xml:space="preserve">De werkzame stof tirilazad verkleinde bij dieren met een beroerte het beschadigde hersengebied met 29% en verbeterde neurologische scores met 48%. Bij mensen met een beroerte ging hij gepaard met een slechtere uitkomst.</w:t>
      </w:r>
    </w:p>
    <w:p>
      <w:pPr>
        <w:numPr>
          <w:ilvl w:val="0"/>
          <w:numId w:val="1016"/>
        </w:numPr>
        <w:pStyle w:val="Compact"/>
      </w:pPr>
      <w:r>
        <w:t xml:space="preserve">Andere behandelingen, zoals het oplossen van bloedstolsels bij een beroerte, werkten zowel bij dieren als bij mensen.</w:t>
      </w:r>
    </w:p>
    <w:p>
      <w:pPr>
        <w:pStyle w:val="FirstParagraph"/>
      </w:pPr>
      <w:r>
        <w:t xml:space="preserve">De auteurs schrijven de afwijkingen toe aan vertekeningen in de dierstudies en aan het feit dat diermodellen menselijke ziekten onvoldoende weergeven.</w:t>
      </w:r>
    </w:p>
    <w:p>
      <w:pPr>
        <w:pStyle w:val="BodyText"/>
      </w:pPr>
      <w:r>
        <w:t xml:space="preserve">Voor dit boek heeft dat een duidelijk gevolg: wanneer voor een peptide alleen dierdata beschikbaar zijn, krijgt het bewijsniveau D – ongeacht hoe indrukwekkend de resultaten bij ratten eruitzien. En in de tekst wordt steeds uitdrukkelijk vermeld wanneer een resultaat van dieren of uit het laboratorium afkomstig is.</w:t>
      </w:r>
    </w:p>
    <w:bookmarkEnd w:id="139"/>
    <w:bookmarkStart w:id="140" w:name="Xa8c1dd8e94a8fca6369edbbb3a36a9e48bc7542"/>
    <w:p>
      <w:pPr>
        <w:pStyle w:val="Heading3"/>
      </w:pPr>
      <w:r>
        <w:t xml:space="preserve">Casusbeschrijvingen en observationele studies</w:t>
      </w:r>
    </w:p>
    <w:p>
      <w:pPr>
        <w:pStyle w:val="FirstParagraph"/>
      </w:pPr>
      <w:r>
        <w:rPr>
          <w:bCs/>
          <w:b/>
        </w:rPr>
        <w:t xml:space="preserve">Casusbeschrijvingen</w:t>
      </w:r>
      <w:r>
        <w:t xml:space="preserve"> </w:t>
      </w:r>
      <w:r>
        <w:t xml:space="preserve">beschrijven afzonderlijke patiënten. Over werkzaamheid zeggen ze weinig, voor de veiligheid kunnen ze daarentegen zeer waardevol zijn: zeldzame of onverwachte bijwerkingen vallen vaak het eerst op in casusbeschrijvingen. In het hoofdstuk over de grijze markt leer je verscheidene van zulke verslagen kennen, bijvoorbeeld over ernstige hypoglykemieën door vervalste preparaten.</w:t>
      </w:r>
    </w:p>
    <w:p>
      <w:pPr>
        <w:pStyle w:val="BodyText"/>
      </w:pPr>
      <w:r>
        <w:rPr>
          <w:bCs/>
          <w:b/>
        </w:rPr>
        <w:t xml:space="preserve">Observationele studies</w:t>
      </w:r>
      <w:r>
        <w:t xml:space="preserve"> </w:t>
      </w:r>
      <w:r>
        <w:t xml:space="preserve">vergelijken mensen die een stof gebruiken met mensen die dat niet doen. Hun hoofdprobleem is de zogeheten</w:t>
      </w:r>
      <w:r>
        <w:t xml:space="preserve"> </w:t>
      </w:r>
      <w:r>
        <w:rPr>
          <w:bCs/>
          <w:b/>
        </w:rPr>
        <w:t xml:space="preserve">verstorende factor</w:t>
      </w:r>
      <w:r>
        <w:t xml:space="preserve"> </w:t>
      </w:r>
      <w:r>
        <w:t xml:space="preserve">(confounding): wie een bepaald preparaat gebruikt, verschilt vaak ook op andere punten – bijvoorbeeld in inkomen, gezondheidsbewustzijn of eerdere aandoeningen. Een gevonden verband hoeft daarom geen oorzaak-gevolgrelatie te zijn.</w:t>
      </w:r>
    </w:p>
    <w:p>
      <w:pPr>
        <w:pStyle w:val="BodyText"/>
      </w:pPr>
      <w:r>
        <w:t xml:space="preserve">Een bijzondere vorm zijn analyses van</w:t>
      </w:r>
      <w:r>
        <w:t xml:space="preserve"> </w:t>
      </w:r>
      <w:r>
        <w:rPr>
          <w:bCs/>
          <w:b/>
        </w:rPr>
        <w:t xml:space="preserve">meldsystemen voor bijwerkingen</w:t>
      </w:r>
      <w:r>
        <w:t xml:space="preserve"> </w:t>
      </w:r>
      <w:r>
        <w:t xml:space="preserve">zoals de Europese database EudraVigilance of het Amerikaanse FAERS. Die verzamelen vermoedelijke meldingen van artsen, patiënten en fabrikanten. Zulke gegevens tonen signalen die verder onderzocht moeten worden, maar ze bewijzen geen verband en zeggen niets over hoe vaak een bijwerking werkelijk voorkomt.</w:t>
      </w:r>
    </w:p>
    <w:bookmarkEnd w:id="140"/>
    <w:bookmarkStart w:id="141" w:name="X02f5ca5eff3cd081f01a3c45c9487b4a4f2dcda"/>
    <w:p>
      <w:pPr>
        <w:pStyle w:val="Heading3"/>
      </w:pPr>
      <w:r>
        <w:t xml:space="preserve">De gerandomiseerde gecontroleerde studie (RCT)</w:t>
      </w:r>
    </w:p>
    <w:p>
      <w:pPr>
        <w:pStyle w:val="FirstParagraph"/>
      </w:pPr>
      <w:r>
        <w:t xml:space="preserve">De RCT geldt als gouden standaard om de werking van een behandeling te toetsen. Drie elementen kenmerken haar:</w:t>
      </w:r>
    </w:p>
    <w:p>
      <w:pPr>
        <w:pStyle w:val="BodyText"/>
      </w:pPr>
      <w:r>
        <w:rPr>
          <w:bCs/>
          <w:b/>
        </w:rPr>
        <w:t xml:space="preserve">Controlegroep.</w:t>
      </w:r>
      <w:r>
        <w:t xml:space="preserve"> </w:t>
      </w:r>
      <w:r>
        <w:t xml:space="preserve">Naast de groep die de werkzame stof krijgt, is er een vergelijkingsgroep – met placebo, een standaardbehandeling of helemaal geen behandeling. Alleen zo kan men zeggen of een verandering aan de werkzame stof te danken is of ook zonder die stof zou zijn opgetreden.</w:t>
      </w:r>
    </w:p>
    <w:p>
      <w:pPr>
        <w:pStyle w:val="BodyText"/>
      </w:pPr>
      <w:r>
        <w:rPr>
          <w:bCs/>
          <w:b/>
        </w:rPr>
        <w:t xml:space="preserve">Randomisatie.</w:t>
      </w:r>
      <w:r>
        <w:t xml:space="preserve"> </w:t>
      </w:r>
      <w:r>
        <w:t xml:space="preserve">Wie in welke groep komt, bepaalt het toeval. Daardoor verdelen bekende en onbekende invloedsfactoren zich gelijkmatig over beide groepen. Verschillen in de uitkomst zijn dan met grote waarschijnlijkheid aan de behandeling toe te schrijven.</w:t>
      </w:r>
    </w:p>
    <w:p>
      <w:pPr>
        <w:pStyle w:val="BodyText"/>
      </w:pPr>
      <w:r>
        <w:rPr>
          <w:bCs/>
          <w:b/>
        </w:rPr>
        <w:t xml:space="preserve">Blindering.</w:t>
      </w:r>
      <w:r>
        <w:t xml:space="preserve"> </w:t>
      </w:r>
      <w:r>
        <w:t xml:space="preserve">Bij een</w:t>
      </w:r>
      <w:r>
        <w:t xml:space="preserve"> </w:t>
      </w:r>
      <w:r>
        <w:rPr>
          <w:bCs/>
          <w:b/>
        </w:rPr>
        <w:t xml:space="preserve">dubbelblinde</w:t>
      </w:r>
      <w:r>
        <w:t xml:space="preserve"> </w:t>
      </w:r>
      <w:r>
        <w:t xml:space="preserve">studie weten noch de deelnemers noch het studiepersoneel wie de werkzame stof en wie de placebo krijgt. Dat voorkomt dat verwachtingen de uitkomst beïnvloeden. In een</w:t>
      </w:r>
      <w:r>
        <w:t xml:space="preserve"> </w:t>
      </w:r>
      <w:r>
        <w:rPr>
          <w:bCs/>
          <w:b/>
        </w:rPr>
        <w:t xml:space="preserve">open</w:t>
      </w:r>
      <w:r>
        <w:t xml:space="preserve"> </w:t>
      </w:r>
      <w:r>
        <w:t xml:space="preserve">studie weten alle betrokkenen ervan; dat kan soms niet anders, maar maakt de resultaten gevoeliger voor vertekening, vooral bij subjectieve eindpunten zoals pijn, stemming of het uiterlijk van de huid.</w:t>
      </w:r>
    </w:p>
    <w:bookmarkEnd w:id="141"/>
    <w:bookmarkStart w:id="144" w:name="Xa6c3f7f74e9799e735a3ddab9837e6292aefc5b"/>
    <w:p>
      <w:pPr>
        <w:pStyle w:val="Heading3"/>
      </w:pPr>
      <w:r>
        <w:t xml:space="preserve">Het placebo-effect en waarom controlegroepen onmisbaar zijn</w:t>
      </w:r>
    </w:p>
    <w:p>
      <w:pPr>
        <w:pStyle w:val="FirstParagraph"/>
      </w:pPr>
      <w:r>
        <w:t xml:space="preserve">Mensen gaat het in studies vaak beter, ook als ze alleen een schijnpreparaat krijgen. Dat komt door verwachtingen, door de extra aandacht, door leefstijlveranderingen tijdens een studie en doordat veel klachten sowieso vanzelf verbeteren.</w:t>
      </w:r>
    </w:p>
    <w:p>
      <w:pPr>
        <w:pStyle w:val="BodyText"/>
      </w:pPr>
      <w:r>
        <w:t xml:space="preserve">Een sprekend voorbeeld levert de studie STEP 1: ook de placebogroep verloor over 68 weken gemiddeld 2,4% van het lichaamsgewicht, omdat alle deelnemers daarnaast leefstijladvies kregen</w:t>
      </w:r>
      <w:r>
        <w:rPr>
          <w:rStyle w:val="FootnoteReference"/>
        </w:rPr>
        <w:footnoteReference w:id="142"/>
      </w:r>
      <w:r>
        <w:t xml:space="preserve">. Het eigenlijke effect van de werkzame stof is het verschil tussen de groepen – in dit geval 12,4 procentpunten, niet 14,9%.</w:t>
      </w:r>
    </w:p>
    <w:p>
      <w:pPr>
        <w:pStyle w:val="BodyText"/>
      </w:pPr>
      <w:r>
        <w:t xml:space="preserve">Een overzichtsartikel over peptiden in de sportgeneeskunde wijst er uitdrukkelijk op dat het placebo-effect een deel van de gerapporteerde effecten van ongereguleerde peptiden zou kunnen verklaren en dat sociale media dit effect versterken</w:t>
      </w:r>
      <w:r>
        <w:rPr>
          <w:rStyle w:val="FootnoteReference"/>
        </w:rPr>
        <w:footnoteReference w:id="143"/>
      </w:r>
      <w:r>
        <w:t xml:space="preserve">. Ervaringsverhalen van fora zijn daarom geen vervanging voor gecontroleerde studies.</w:t>
      </w:r>
    </w:p>
    <w:bookmarkEnd w:id="144"/>
    <w:bookmarkStart w:id="145" w:name="studiefasen"/>
    <w:p>
      <w:pPr>
        <w:pStyle w:val="Heading3"/>
      </w:pPr>
      <w:r>
        <w:t xml:space="preserve">Studiefasen</w:t>
      </w:r>
    </w:p>
    <w:p>
      <w:pPr>
        <w:pStyle w:val="FirstParagraph"/>
      </w:pPr>
      <w:r>
        <w:t xml:space="preserve">Nieuwe geneesmiddelen doorlopen bij de mens doorgaans vier fasen: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Doel</w:t>
            </w:r>
          </w:p>
        </w:tc>
        <w:tc>
          <w:tcPr/>
          <w:p>
            <w:pPr>
              <w:pStyle w:val="Compact"/>
              <w:jc w:val="left"/>
            </w:pPr>
            <w:r>
              <w:t xml:space="preserve">Typische omvang</w:t>
            </w:r>
          </w:p>
        </w:tc>
      </w:tr>
      <w:tr>
        <w:tc>
          <w:tcPr/>
          <w:p>
            <w:pPr>
              <w:pStyle w:val="Compact"/>
              <w:jc w:val="left"/>
            </w:pPr>
            <w:r>
              <w:t xml:space="preserve">Fase 1</w:t>
            </w:r>
          </w:p>
        </w:tc>
        <w:tc>
          <w:tcPr/>
          <w:p>
            <w:pPr>
              <w:pStyle w:val="Compact"/>
              <w:jc w:val="left"/>
            </w:pPr>
            <w:r>
              <w:t xml:space="preserve">verdraagbaarheid, gedrag in het lichaam</w:t>
            </w:r>
          </w:p>
        </w:tc>
        <w:tc>
          <w:tcPr/>
          <w:p>
            <w:pPr>
              <w:pStyle w:val="Compact"/>
              <w:jc w:val="left"/>
            </w:pPr>
            <w:r>
              <w:t xml:space="preserve">enkele tientallen gezonde mensen</w:t>
            </w:r>
          </w:p>
        </w:tc>
      </w:tr>
      <w:tr>
        <w:tc>
          <w:tcPr/>
          <w:p>
            <w:pPr>
              <w:pStyle w:val="Compact"/>
              <w:jc w:val="left"/>
            </w:pPr>
            <w:r>
              <w:t xml:space="preserve">Fase 2</w:t>
            </w:r>
          </w:p>
        </w:tc>
        <w:tc>
          <w:tcPr/>
          <w:p>
            <w:pPr>
              <w:pStyle w:val="Compact"/>
              <w:jc w:val="left"/>
            </w:pPr>
            <w:r>
              <w:t xml:space="preserve">eerste werkzaamheid, dosisbepaling</w:t>
            </w:r>
          </w:p>
        </w:tc>
        <w:tc>
          <w:tcPr/>
          <w:p>
            <w:pPr>
              <w:pStyle w:val="Compact"/>
              <w:jc w:val="left"/>
            </w:pPr>
            <w:r>
              <w:t xml:space="preserve">ongeveer 100 tot enkele honderden</w:t>
            </w:r>
          </w:p>
        </w:tc>
      </w:tr>
      <w:tr>
        <w:tc>
          <w:tcPr/>
          <w:p>
            <w:pPr>
              <w:pStyle w:val="Compact"/>
              <w:jc w:val="left"/>
            </w:pPr>
            <w:r>
              <w:t xml:space="preserve">Fase 3</w:t>
            </w:r>
          </w:p>
        </w:tc>
        <w:tc>
          <w:tcPr/>
          <w:p>
            <w:pPr>
              <w:pStyle w:val="Compact"/>
              <w:jc w:val="left"/>
            </w:pPr>
            <w:r>
              <w:t xml:space="preserve">werkzaamheid en veiligheid in vergelijking</w:t>
            </w:r>
          </w:p>
        </w:tc>
        <w:tc>
          <w:tcPr/>
          <w:p>
            <w:pPr>
              <w:pStyle w:val="Compact"/>
              <w:jc w:val="left"/>
            </w:pPr>
            <w:r>
              <w:t xml:space="preserve">honderden tot duizenden</w:t>
            </w:r>
          </w:p>
        </w:tc>
      </w:tr>
      <w:tr>
        <w:tc>
          <w:tcPr/>
          <w:p>
            <w:pPr>
              <w:pStyle w:val="Compact"/>
              <w:jc w:val="left"/>
            </w:pPr>
            <w:r>
              <w:t xml:space="preserve">Fase 4</w:t>
            </w:r>
          </w:p>
        </w:tc>
        <w:tc>
          <w:tcPr/>
          <w:p>
            <w:pPr>
              <w:pStyle w:val="Compact"/>
              <w:jc w:val="left"/>
            </w:pPr>
            <w:r>
              <w:t xml:space="preserve">observatie na registratie</w:t>
            </w:r>
          </w:p>
        </w:tc>
        <w:tc>
          <w:tcPr/>
          <w:p>
            <w:pPr>
              <w:pStyle w:val="Compact"/>
              <w:jc w:val="left"/>
            </w:pPr>
            <w:r>
              <w:t xml:space="preserve">vaak zeer groot</w:t>
            </w:r>
          </w:p>
        </w:tc>
      </w:tr>
    </w:tbl>
    <w:p>
      <w:pPr>
        <w:pStyle w:val="BodyText"/>
      </w:pPr>
      <w:r>
        <w:t xml:space="preserve">Veel werkzame stoffen stranden tussen fase 2 en fase 3. Een veelbelovend fase 2-resultaat is daarom nog geen garantie voor een latere registratie.</w:t>
      </w:r>
    </w:p>
    <w:bookmarkEnd w:id="145"/>
    <w:bookmarkStart w:id="147" w:name="X4a0cdaab5b9e66a0bc9c88df4cbc18d6782fb10"/>
    <w:p>
      <w:pPr>
        <w:pStyle w:val="Heading3"/>
      </w:pPr>
      <w:r>
        <w:t xml:space="preserve">Eindpunten: wat wordt er eigenlijk gemeten?</w:t>
      </w:r>
    </w:p>
    <w:p>
      <w:pPr>
        <w:pStyle w:val="FirstParagraph"/>
      </w:pPr>
      <w:r>
        <w:t xml:space="preserve">Elke studie legt vooraf een</w:t>
      </w:r>
      <w:r>
        <w:t xml:space="preserve"> </w:t>
      </w:r>
      <w:r>
        <w:rPr>
          <w:bCs/>
          <w:b/>
        </w:rPr>
        <w:t xml:space="preserve">primair eindpunt</w:t>
      </w:r>
      <w:r>
        <w:t xml:space="preserve"> </w:t>
      </w:r>
      <w:r>
        <w:t xml:space="preserve">vast – het hoofddoel waaraan het succes wordt afgemeten. Daarnaast zijn er secundaire eindpunten. Wordt een resultaat pas achteraf als belangrijk naar voren gehaald, dan is voorzichtigheid geboden: wie veel eindpunten meet, vindt bijna altijd wel ergens een „significant” verschil.</w:t>
      </w:r>
    </w:p>
    <w:p>
      <w:pPr>
        <w:pStyle w:val="BodyText"/>
      </w:pPr>
      <w:r>
        <w:t xml:space="preserve">Bijzonder belangrijk is het onderscheid tussen</w:t>
      </w:r>
      <w:r>
        <w:t xml:space="preserve"> </w:t>
      </w:r>
      <w:r>
        <w:rPr>
          <w:bCs/>
          <w:b/>
        </w:rPr>
        <w:t xml:space="preserve">harde eindpunten</w:t>
      </w:r>
      <w:r>
        <w:t xml:space="preserve"> </w:t>
      </w:r>
      <w:r>
        <w:t xml:space="preserve">en</w:t>
      </w:r>
      <w:r>
        <w:t xml:space="preserve"> </w:t>
      </w:r>
      <w:r>
        <w:rPr>
          <w:bCs/>
          <w:b/>
        </w:rPr>
        <w:t xml:space="preserve">surrogaateindpunten</w:t>
      </w:r>
      <w:r>
        <w:t xml:space="preserve">:</w:t>
      </w:r>
    </w:p>
    <w:p>
      <w:pPr>
        <w:numPr>
          <w:ilvl w:val="0"/>
          <w:numId w:val="1017"/>
        </w:numPr>
        <w:pStyle w:val="Compact"/>
      </w:pPr>
      <w:r>
        <w:rPr>
          <w:bCs/>
          <w:b/>
        </w:rPr>
        <w:t xml:space="preserve">Harde eindpunten</w:t>
      </w:r>
      <w:r>
        <w:t xml:space="preserve"> </w:t>
      </w:r>
      <w:r>
        <w:t xml:space="preserve">zijn gebeurtenissen die voor patiënten direct tellen: overlijden, hartinfarct, beroerte, botbreuk, blindheid, kwaliteit van leven.</w:t>
      </w:r>
    </w:p>
    <w:p>
      <w:pPr>
        <w:numPr>
          <w:ilvl w:val="0"/>
          <w:numId w:val="1017"/>
        </w:numPr>
        <w:pStyle w:val="Compact"/>
      </w:pPr>
      <w:r>
        <w:rPr>
          <w:bCs/>
          <w:b/>
        </w:rPr>
        <w:t xml:space="preserve">Surrogaateindpunten</w:t>
      </w:r>
      <w:r>
        <w:t xml:space="preserve"> </w:t>
      </w:r>
      <w:r>
        <w:t xml:space="preserve">(vervangende eindpunten) zijn meetwaarden waarvan men aanneemt dat ze samenhangen met harde eindpunten: bloedsuiker, HbA1c, cholesterol, bloeddruk, botdichtheid, lichaamsgewicht of laboratoriumwaarden zoals IGF-1.</w:t>
      </w:r>
    </w:p>
    <w:p>
      <w:pPr>
        <w:pStyle w:val="FirstParagraph"/>
      </w:pPr>
      <w:r>
        <w:t xml:space="preserve">Surrogaateindpunten zijn praktisch, omdat ze sneller en met minder deelnemers te meten zijn. Maar ze kunnen misleiden. Het bekendste voorbeeld is de Cardiac Arrhythmia Suppression Trial (CAST) uit de late jaren 1980. Men ging ervan uit dat geneesmiddelen die bepaalde hartritmestoornissen na een hartinfarct onderdrukken, ook sterfgevallen voorkomen. De geneesmiddelen onderdrukten de ritmestoornissen inderdaad – het surrogaateindpunt was bereikt. Maar in de gerandomiseerde studie stierven onder twee van deze geneesmiddelen meer mensen dan onder placebo: aan ritmestoornissen stierven 43 deelnemers met werkzame stof tegenover 16 met placebo</w:t>
      </w:r>
      <w:r>
        <w:rPr>
          <w:rStyle w:val="FootnoteReference"/>
        </w:rPr>
        <w:footnoteReference w:id="146"/>
      </w:r>
      <w:r>
        <w:t xml:space="preserve">.</w:t>
      </w:r>
    </w:p>
    <w:p>
      <w:pPr>
        <w:pStyle w:val="BodyText"/>
      </w:pPr>
      <w:r>
        <w:t xml:space="preserve">Bij peptiden kom je surrogaateindpunten voortdurend tegen. Bij groeihormoonvrijmakers wordt vaak alleen gemeten of de spiegel van groeihormoon of IGF-1 stijgt – niet of mensen daardoor gezonder of sterker worden of langer leven. Bij de GLP-1-geneesmiddelen zijn er daarentegen inmiddels grote studies met harde eindpunten zoals hartinfarct en beroerte. Dat is een van de redenen waarom ze in dit boek het hoogste bewijsniveau krijgen.</w:t>
      </w:r>
    </w:p>
    <w:bookmarkEnd w:id="147"/>
    <w:bookmarkStart w:id="150" w:name="relatieve-en-absolute-risicos"/>
    <w:p>
      <w:pPr>
        <w:pStyle w:val="Heading3"/>
      </w:pPr>
      <w:r>
        <w:t xml:space="preserve">Relatieve en absolute risico’s</w:t>
      </w:r>
    </w:p>
    <w:p>
      <w:pPr>
        <w:pStyle w:val="FirstParagraph"/>
      </w:pPr>
      <w:r>
        <w:t xml:space="preserve">Nauwelijks een statistisch detail wordt zo vaak verkeerd begrepen als dit. Neem de studie SELECT: over gemiddeld 39,8 maanden trad de gecombineerde cardiovasculaire gebeurtenis op bij 6,5% van de deelnemers met semaglutide en bij 8,0% met placebo. De hazard ratio – een maat voor het relatieve risico in de tijd – bedroeg 0,80</w:t>
      </w:r>
      <w:r>
        <w:rPr>
          <w:rStyle w:val="FootnoteReference"/>
        </w:rPr>
        <w:footnoteReference w:id="148"/>
      </w:r>
      <w:r>
        <w:t xml:space="preserve">.</w:t>
      </w:r>
    </w:p>
    <w:p>
      <w:pPr>
        <w:pStyle w:val="BodyText"/>
      </w:pPr>
      <w:r>
        <w:t xml:space="preserve">Daaruit zijn twee uitspraken af te leiden die allebei juist zijn:</w:t>
      </w:r>
    </w:p>
    <w:p>
      <w:pPr>
        <w:numPr>
          <w:ilvl w:val="0"/>
          <w:numId w:val="1018"/>
        </w:numPr>
        <w:pStyle w:val="Compact"/>
      </w:pPr>
      <w:r>
        <w:rPr>
          <w:bCs/>
          <w:b/>
        </w:rPr>
        <w:t xml:space="preserve">Relatief:</w:t>
      </w:r>
      <w:r>
        <w:t xml:space="preserve"> </w:t>
      </w:r>
      <w:r>
        <w:t xml:space="preserve">het risico was ongeveer 20% lager.</w:t>
      </w:r>
    </w:p>
    <w:p>
      <w:pPr>
        <w:numPr>
          <w:ilvl w:val="0"/>
          <w:numId w:val="1018"/>
        </w:numPr>
        <w:pStyle w:val="Compact"/>
      </w:pPr>
      <w:r>
        <w:rPr>
          <w:bCs/>
          <w:b/>
        </w:rPr>
        <w:t xml:space="preserve">Absoluut:</w:t>
      </w:r>
      <w:r>
        <w:t xml:space="preserve"> </w:t>
      </w:r>
      <w:r>
        <w:t xml:space="preserve">het aandeel getroffenen daalde met 1,5 procentpunt – van 8,0 naar 6,5 op de 100 mensen.</w:t>
      </w:r>
    </w:p>
    <w:p>
      <w:pPr>
        <w:pStyle w:val="FirstParagraph"/>
      </w:pPr>
      <w:r>
        <w:t xml:space="preserve">Uit het absolute verschil kan de</w:t>
      </w:r>
      <w:r>
        <w:t xml:space="preserve"> </w:t>
      </w:r>
      <w:r>
        <w:rPr>
          <w:bCs/>
          <w:b/>
        </w:rPr>
        <w:t xml:space="preserve">number needed to treat (NNT)</w:t>
      </w:r>
      <w:r>
        <w:t xml:space="preserve"> </w:t>
      </w:r>
      <w:r>
        <w:t xml:space="preserve">worden berekend: hoeveel mensen behandeld moeten worden opdat één persoon een gebeurtenis bespaard blijft. Hier zijn dat rekenkundig ongeveer 67 mensen over ruim drie jaar. Dat betekent niet dat de behandeling onbelangrijk is – bij miljoenen getroffenen is het effect aanzienlijk. Maar het laat zien dat de meeste behandelden ook zonder geneesmiddel geen gebeurtenis zouden hebben gehad, en dat sommigen er ondanks het geneesmiddel toch een krijgen.</w:t>
      </w:r>
    </w:p>
    <w:p>
      <w:pPr>
        <w:pStyle w:val="BodyText"/>
      </w:pPr>
      <w:r>
        <w:t xml:space="preserve">Reclame en krantenkoppen geven de voorkeur aan relatieve cijfers, omdat die groter klinken. Goede studieverslagen noemen beide. Let daarom altijd op de uitgangsfrequentie: een „halvering” van het risico van 2 naar 1 op de 10.000 is iets heel anders dan van 20 naar 10 op de 100.</w:t>
      </w:r>
    </w:p>
    <w:p>
      <w:pPr>
        <w:pStyle w:val="BodyText"/>
      </w:pPr>
      <w:r>
        <w:t xml:space="preserve">Hetzelfde geldt voor bijwerkingen. In SELECT stopte 16,6% van de deelnemers met semaglutide met de behandeling vanwege ongewenste voorvallen, tegenover 8,2% met placebo</w:t>
      </w:r>
      <w:r>
        <w:rPr>
          <w:rStyle w:val="FootnoteReference"/>
        </w:rPr>
        <w:footnoteReference w:id="149"/>
      </w:r>
      <w:r>
        <w:t xml:space="preserve">. Relatief is dat een verdubbeling, absoluut een verschil van 8,4 procentpunten.</w:t>
      </w:r>
    </w:p>
    <w:bookmarkEnd w:id="150"/>
    <w:bookmarkStart w:id="152" w:name="X984cdcda867a49aa7287db90b70f62935fe451c"/>
    <w:p>
      <w:pPr>
        <w:pStyle w:val="Heading3"/>
      </w:pPr>
      <w:r>
        <w:t xml:space="preserve">Statistische significantie en betrouwbaarheidsintervallen</w:t>
      </w:r>
    </w:p>
    <w:p>
      <w:pPr>
        <w:pStyle w:val="FirstParagraph"/>
      </w:pPr>
      <w:r>
        <w:t xml:space="preserve">Een</w:t>
      </w:r>
      <w:r>
        <w:t xml:space="preserve"> </w:t>
      </w:r>
      <w:r>
        <w:rPr>
          <w:bCs/>
          <w:b/>
        </w:rPr>
        <w:t xml:space="preserve">p-waarde</w:t>
      </w:r>
      <w:r>
        <w:t xml:space="preserve"> </w:t>
      </w:r>
      <w:r>
        <w:t xml:space="preserve">geeft aan hoe waarschijnlijk een minstens zo groot verschil zou zijn als er in werkelijkheid geen effect bestond. Is ze kleiner dan 0,05, dan geldt een resultaat gewoonlijk als „statistisch significant”. Dat betekent niet dat het effect groot of betekenisvol is – bij zeer grote studies worden ook minieme verschillen significant.</w:t>
      </w:r>
    </w:p>
    <w:p>
      <w:pPr>
        <w:pStyle w:val="BodyText"/>
      </w:pPr>
      <w:r>
        <w:t xml:space="preserve">Zeggingskrachtiger is vaak het</w:t>
      </w:r>
      <w:r>
        <w:t xml:space="preserve"> </w:t>
      </w:r>
      <w:r>
        <w:rPr>
          <w:bCs/>
          <w:b/>
        </w:rPr>
        <w:t xml:space="preserve">95%-betrouwbaarheidsinterval</w:t>
      </w:r>
      <w:r>
        <w:t xml:space="preserve">. Het geeft een bereik aan waarbinnen het ware effect met grote waarschijnlijkheid ligt. In STEP 1 bedroeg het verschil in lichaamsgewicht tussen semaglutide en placebo 12,4 procentpunten, met een betrouwbaarheidsinterval van 11,5 tot 13,4</w:t>
      </w:r>
      <w:r>
        <w:rPr>
          <w:rStyle w:val="FootnoteReference"/>
        </w:rPr>
        <w:footnoteReference w:id="151"/>
      </w:r>
      <w:r>
        <w:t xml:space="preserve">. Zo’n smal interval wijst op een precieze schatting. Bij kleine studies zijn de intervallen vaak zeer breed – een teken dat het ware effect groot, klein of zelfs nul zou kunnen zijn.</w:t>
      </w:r>
    </w:p>
    <w:bookmarkEnd w:id="152"/>
    <w:bookmarkStart w:id="154" w:name="Xb88ee1321147aaffc0741b78c764ce07a92566f"/>
    <w:p>
      <w:pPr>
        <w:pStyle w:val="Heading3"/>
      </w:pPr>
      <w:r>
        <w:t xml:space="preserve">Hoe er geteld wordt: de vraag naar de schatter</w:t>
      </w:r>
    </w:p>
    <w:p>
      <w:pPr>
        <w:pStyle w:val="FirstParagraph"/>
      </w:pPr>
      <w:r>
        <w:t xml:space="preserve">Een detail dat in recentere studies belangrijk is geworden: hoe worden mensen geteld die met de behandeling stoppen of aanvullende geneesmiddelen gebruiken? In de studie PIONEER 1 werden twee analyses gerapporteerd. Analyseert men alle deelnemers, ongeacht of ze de tabletten bleven innemen, dan daalde de HbA1c-waarde bij de hoogste dosis 1,1 procentpunt sterker dan onder placebo. Bekijkt men alleen de tijd waarin de tabletten daadwerkelijk werden ingenomen, dan was dat 1,4 procentpunt</w:t>
      </w:r>
      <w:r>
        <w:rPr>
          <w:rStyle w:val="FootnoteReference"/>
        </w:rPr>
        <w:footnoteReference w:id="153"/>
      </w:r>
      <w:r>
        <w:t xml:space="preserve">. Beide cijfers zijn correct, maar beantwoorden verschillende vragen. Het eerste is meestal realistischer voor het dagelijks leven.</w:t>
      </w:r>
    </w:p>
    <w:bookmarkEnd w:id="154"/>
    <w:bookmarkStart w:id="156" w:name="duur-en-omvang"/>
    <w:p>
      <w:pPr>
        <w:pStyle w:val="Heading3"/>
      </w:pPr>
      <w:r>
        <w:t xml:space="preserve">Duur en omvang</w:t>
      </w:r>
    </w:p>
    <w:p>
      <w:pPr>
        <w:pStyle w:val="FirstParagraph"/>
      </w:pPr>
      <w:r>
        <w:t xml:space="preserve">Veel peptidestudies zijn kort. Een verandering van laboratoriumwaarden na twee weken zegt weinig over wat er na twee jaar gebeurt – niet over het nut en niet over risico’s zoals kanker, die vaak pas na jaren zichtbaar worden. Even belangrijk is de omvang: zeldzame bijwerkingen die één op de duizend mensen treffen, blijven in een studie met 40 deelnemers onvermijdelijk onopgemerkt. Het ontbreken van bijwerkingen in een kleine studie is geen bewijs van veiligheid.</w:t>
      </w:r>
    </w:p>
    <w:p>
      <w:pPr>
        <w:pStyle w:val="BodyText"/>
      </w:pPr>
      <w:r>
        <w:t xml:space="preserve">Op basis van theoretische overwegingen en simulaties leidde de epidemioloog John Ioannidis af dat onderzoeksresultaten onbetrouwbaarder zijn naarmate de studies en de effecten kleiner zijn, naarmate meer vraagstellingen zonder voorselectie worden getest, naarmate opzet en analyse flexibeler zijn en naarmate financiële belangen en vooroordelen in een vakgebied groter zijn</w:t>
      </w:r>
      <w:r>
        <w:rPr>
          <w:rStyle w:val="FootnoteReference"/>
        </w:rPr>
        <w:footnoteReference w:id="155"/>
      </w:r>
      <w:r>
        <w:t xml:space="preserve">. Veel van deze kenmerken gelden voor het onderzoek naar weinig onderzochte peptiden.</w:t>
      </w:r>
    </w:p>
    <w:bookmarkEnd w:id="156"/>
    <w:bookmarkStart w:id="158" w:name="belangenconflicten"/>
    <w:p>
      <w:pPr>
        <w:pStyle w:val="Heading3"/>
      </w:pPr>
      <w:r>
        <w:t xml:space="preserve">Belangenconflicten</w:t>
      </w:r>
    </w:p>
    <w:p>
      <w:pPr>
        <w:pStyle w:val="FirstParagraph"/>
      </w:pPr>
      <w:r>
        <w:t xml:space="preserve">De grote registratiestudies worden bijna altijd door de fabrikanten gefinancierd. Dat is wettelijk zo voorzien en niet automatisch een smet – deze studies zijn aan strenge regels gebonden, worden vooraf geregistreerd en door autoriteiten gecontroleerd. Toch loont een blik op de financiering. Een Cochrane-review kwam tot de conclusie dat door de industrie gesponsorde studies vaker gunstige werkzaamheidsresultaten (relatief risico 1,27) en vaker gunstige conclusies (relatief risico 1,34) rapporteerden dan studies met andere financiering</w:t>
      </w:r>
      <w:r>
        <w:rPr>
          <w:rStyle w:val="FootnoteReference"/>
        </w:rPr>
        <w:footnoteReference w:id="157"/>
      </w:r>
      <w:r>
        <w:t xml:space="preserve">.</w:t>
      </w:r>
    </w:p>
    <w:p>
      <w:pPr>
        <w:pStyle w:val="BodyText"/>
      </w:pPr>
      <w:r>
        <w:t xml:space="preserve">Belangenconflicten bestaan niet alleen bij farmaceutische concerns. Ook onderzoekers die een stof hebben ontdekt en octrooien bezitten, klinieken die peptidetherapieën verkopen of influencers met kortingscodes hebben belang bij positieve resultaten. Een waarschuwingssignaal is het wanneer bijna alle studies over een stof van één enkele onderzoeksgroep komen en niet door onafhankelijke teams zijn bevestigd.</w:t>
      </w:r>
    </w:p>
    <w:bookmarkEnd w:id="158"/>
    <w:bookmarkStart w:id="160" w:name="het-probleem-van-de-verdwenen-studies"/>
    <w:p>
      <w:pPr>
        <w:pStyle w:val="Heading3"/>
      </w:pPr>
      <w:r>
        <w:t xml:space="preserve">Het probleem van de verdwenen studies</w:t>
      </w:r>
    </w:p>
    <w:p>
      <w:pPr>
        <w:pStyle w:val="FirstParagraph"/>
      </w:pPr>
      <w:r>
        <w:t xml:space="preserve">Niet elke studie wordt gepubliceerd – en het zijn vooral de teleurstellende die verdwijnen. Hoe sterk dat kan vertekenen, liet een onderzoek naar antidepressiva zien. Van 74 bij de Amerikaanse geneesmiddelenautoriteit FDA geregistreerde studies werd 31% niet gepubliceerd. Volgens de gepubliceerde literatuur was 94% van de studies positief, volgens de analyse van de FDA slechts 51%</w:t>
      </w:r>
      <w:r>
        <w:rPr>
          <w:rStyle w:val="FootnoteReference"/>
        </w:rPr>
        <w:footnoteReference w:id="159"/>
      </w:r>
      <w:r>
        <w:t xml:space="preserve">. Wie alleen de vaktijdschriften leest, krijgt een te rooskleurig beeld.</w:t>
      </w:r>
    </w:p>
    <w:bookmarkEnd w:id="160"/>
    <w:bookmarkStart w:id="162" w:name="studieregisters"/>
    <w:p>
      <w:pPr>
        <w:pStyle w:val="Heading3"/>
      </w:pPr>
      <w:r>
        <w:t xml:space="preserve">Studieregisters</w:t>
      </w:r>
    </w:p>
    <w:p>
      <w:pPr>
        <w:pStyle w:val="FirstParagraph"/>
      </w:pPr>
      <w:r>
        <w:t xml:space="preserve">Als reactie op zulke bevindingen verklaarde het internationale comité van redacteuren van medische vaktijdschriften in 2004 dat klinische studies vóór de start in een openbaar register moeten zijn ingeschreven om later gepubliceerd te kunnen worden</w:t>
      </w:r>
      <w:r>
        <w:rPr>
          <w:rStyle w:val="FootnoteReference"/>
        </w:rPr>
        <w:footnoteReference w:id="161"/>
      </w:r>
      <w:r>
        <w:t xml:space="preserve">. Tegenwoordig zijn registers een centraal hulpmiddel:</w:t>
      </w:r>
    </w:p>
    <w:p>
      <w:pPr>
        <w:numPr>
          <w:ilvl w:val="0"/>
          <w:numId w:val="1019"/>
        </w:numPr>
        <w:pStyle w:val="Compact"/>
      </w:pPr>
      <w:r>
        <w:rPr>
          <w:bCs/>
          <w:b/>
        </w:rPr>
        <w:t xml:space="preserve">ClinicalTrials.gov</w:t>
      </w:r>
      <w:r>
        <w:t xml:space="preserve"> </w:t>
      </w:r>
      <w:r>
        <w:t xml:space="preserve">(VS) is het grootste register. Elke studie krijgt een nummer in het formaat „NCT” plus acht cijfers. De studie SELECT heeft bijvoorbeeld het nummer NCT03574597.</w:t>
      </w:r>
    </w:p>
    <w:p>
      <w:pPr>
        <w:numPr>
          <w:ilvl w:val="0"/>
          <w:numId w:val="1019"/>
        </w:numPr>
        <w:pStyle w:val="Compact"/>
      </w:pPr>
      <w:r>
        <w:t xml:space="preserve">In de</w:t>
      </w:r>
      <w:r>
        <w:t xml:space="preserve"> </w:t>
      </w:r>
      <w:r>
        <w:rPr>
          <w:bCs/>
          <w:b/>
        </w:rPr>
        <w:t xml:space="preserve">EU</w:t>
      </w:r>
      <w:r>
        <w:t xml:space="preserve"> </w:t>
      </w:r>
      <w:r>
        <w:t xml:space="preserve">worden klinische proeven vastgelegd in het Clinical Trials Information System (CTIS) van het Europees Geneesmiddelenbureau; oudere studies staan in het EU Clinical Trials Register.</w:t>
      </w:r>
    </w:p>
    <w:p>
      <w:pPr>
        <w:numPr>
          <w:ilvl w:val="0"/>
          <w:numId w:val="1019"/>
        </w:numPr>
        <w:pStyle w:val="Compact"/>
      </w:pPr>
      <w:r>
        <w:t xml:space="preserve">De</w:t>
      </w:r>
      <w:r>
        <w:t xml:space="preserve"> </w:t>
      </w:r>
      <w:r>
        <w:rPr>
          <w:bCs/>
          <w:b/>
        </w:rPr>
        <w:t xml:space="preserve">Wereldgezondheidsorganisatie</w:t>
      </w:r>
      <w:r>
        <w:t xml:space="preserve"> </w:t>
      </w:r>
      <w:r>
        <w:t xml:space="preserve">bundelt veel nationale registers in een zoekportaal (ICTRP).</w:t>
      </w:r>
    </w:p>
    <w:p>
      <w:pPr>
        <w:pStyle w:val="FirstParagraph"/>
      </w:pPr>
      <w:r>
        <w:t xml:space="preserve">In het register staan onder meer de geplande studieopzet, het aantal deelnemers, het primaire eindpunt en de status. Zo kan worden nagegaan of een gepubliceerde studie haar oorspronkelijk geplande eindpunten rapporteert – en of er over een stof studies zijn gestart maar nooit gepubliceerd. Voor dit boek zijn registers vooral gebruikt om lopende studies te vinden. Belangrijk: een registratie is geen resultaat. Dat een studie geregistreerd is, zegt niets over de vraag of de stof werkt.</w:t>
      </w:r>
    </w:p>
    <w:bookmarkEnd w:id="162"/>
    <w:bookmarkStart w:id="163" w:name="andere-waarschuwingssignalen"/>
    <w:p>
      <w:pPr>
        <w:pStyle w:val="Heading3"/>
      </w:pPr>
      <w:r>
        <w:t xml:space="preserve">Andere waarschuwingssignalen</w:t>
      </w:r>
    </w:p>
    <w:p>
      <w:pPr>
        <w:numPr>
          <w:ilvl w:val="0"/>
          <w:numId w:val="1020"/>
        </w:numPr>
        <w:pStyle w:val="Compact"/>
      </w:pPr>
      <w:r>
        <w:rPr>
          <w:bCs/>
          <w:b/>
        </w:rPr>
        <w:t xml:space="preserve">Alleen een congresabstract of een preprint.</w:t>
      </w:r>
      <w:r>
        <w:t xml:space="preserve"> </w:t>
      </w:r>
      <w:r>
        <w:t xml:space="preserve">Voorpublicaties (bijvoorbeeld op medRxiv) en congresbijdragen zijn nog niet volledig beoordeeld.</w:t>
      </w:r>
    </w:p>
    <w:p>
      <w:pPr>
        <w:numPr>
          <w:ilvl w:val="0"/>
          <w:numId w:val="1020"/>
        </w:numPr>
        <w:pStyle w:val="Compact"/>
      </w:pPr>
      <w:r>
        <w:rPr>
          <w:bCs/>
          <w:b/>
        </w:rPr>
        <w:t xml:space="preserve">Vaktijdschriften met twijfelachtige normen.</w:t>
      </w:r>
      <w:r>
        <w:t xml:space="preserve"> </w:t>
      </w:r>
      <w:r>
        <w:t xml:space="preserve">Sommige tijdschriften publiceren tegen betaling bijna alles.</w:t>
      </w:r>
    </w:p>
    <w:p>
      <w:pPr>
        <w:numPr>
          <w:ilvl w:val="0"/>
          <w:numId w:val="1020"/>
        </w:numPr>
        <w:pStyle w:val="Compact"/>
      </w:pPr>
      <w:r>
        <w:rPr>
          <w:bCs/>
          <w:b/>
        </w:rPr>
        <w:t xml:space="preserve">Studies die niet te vinden zijn.</w:t>
      </w:r>
      <w:r>
        <w:t xml:space="preserve"> </w:t>
      </w:r>
      <w:r>
        <w:t xml:space="preserve">Als een geciteerde studie niet in PubMed of een register te vinden is, is voorzichtigheid geboden.</w:t>
      </w:r>
    </w:p>
    <w:p>
      <w:pPr>
        <w:numPr>
          <w:ilvl w:val="0"/>
          <w:numId w:val="1020"/>
        </w:numPr>
        <w:pStyle w:val="Compact"/>
      </w:pPr>
      <w:r>
        <w:rPr>
          <w:bCs/>
          <w:b/>
        </w:rPr>
        <w:t xml:space="preserve">Vertaling van zieken naar gezonden.</w:t>
      </w:r>
      <w:r>
        <w:t xml:space="preserve"> </w:t>
      </w:r>
      <w:r>
        <w:t xml:space="preserve">Een stof die bij een bepaalde ziekte helpt, hoeft bij gezonde mensen geen nut te hebben – de verhouding tussen risico en nut is daar een heel andere.</w:t>
      </w:r>
    </w:p>
    <w:p>
      <w:pPr>
        <w:numPr>
          <w:ilvl w:val="0"/>
          <w:numId w:val="1020"/>
        </w:numPr>
        <w:pStyle w:val="Compact"/>
      </w:pPr>
      <w:r>
        <w:rPr>
          <w:bCs/>
          <w:b/>
        </w:rPr>
        <w:t xml:space="preserve">Vertaling van de ene stof naar de andere.</w:t>
      </w:r>
      <w:r>
        <w:t xml:space="preserve"> </w:t>
      </w:r>
      <w:r>
        <w:t xml:space="preserve">Resultaten over semaglutide gelden niet automatisch voor een product van de grijze markt waarop „semaglutide” staat – en studies over thymosine bèta-4 niet automatisch voor het fragment „TB-500”.</w:t>
      </w:r>
    </w:p>
    <w:bookmarkEnd w:id="163"/>
    <w:bookmarkStart w:id="164" w:name="tien-vragen-bij-elke-studie"/>
    <w:p>
      <w:pPr>
        <w:pStyle w:val="Heading3"/>
      </w:pPr>
      <w:r>
        <w:t xml:space="preserve">Tien vragen bij elke studie</w:t>
      </w:r>
    </w:p>
    <w:p>
      <w:pPr>
        <w:numPr>
          <w:ilvl w:val="0"/>
          <w:numId w:val="1021"/>
        </w:numPr>
        <w:pStyle w:val="Compact"/>
      </w:pPr>
      <w:r>
        <w:t xml:space="preserve">Zijn er mensen onderzocht – of dieren of cellen?</w:t>
      </w:r>
    </w:p>
    <w:p>
      <w:pPr>
        <w:numPr>
          <w:ilvl w:val="0"/>
          <w:numId w:val="1021"/>
        </w:numPr>
        <w:pStyle w:val="Compact"/>
      </w:pPr>
      <w:r>
        <w:t xml:space="preserve">Was er een controlegroep, en werd er willekeurig toegewezen?</w:t>
      </w:r>
    </w:p>
    <w:p>
      <w:pPr>
        <w:numPr>
          <w:ilvl w:val="0"/>
          <w:numId w:val="1021"/>
        </w:numPr>
        <w:pStyle w:val="Compact"/>
      </w:pPr>
      <w:r>
        <w:t xml:space="preserve">Was de studie geblindeerd?</w:t>
      </w:r>
    </w:p>
    <w:p>
      <w:pPr>
        <w:numPr>
          <w:ilvl w:val="0"/>
          <w:numId w:val="1021"/>
        </w:numPr>
        <w:pStyle w:val="Compact"/>
      </w:pPr>
      <w:r>
        <w:t xml:space="preserve">Hoeveel deelnemers waren er, en hoe lang werden ze gevolgd?</w:t>
      </w:r>
    </w:p>
    <w:p>
      <w:pPr>
        <w:numPr>
          <w:ilvl w:val="0"/>
          <w:numId w:val="1021"/>
        </w:numPr>
        <w:pStyle w:val="Compact"/>
      </w:pPr>
      <w:r>
        <w:t xml:space="preserve">Wie werd onderzocht – zieken of gezonden, jongeren of ouderen?</w:t>
      </w:r>
    </w:p>
    <w:p>
      <w:pPr>
        <w:numPr>
          <w:ilvl w:val="0"/>
          <w:numId w:val="1021"/>
        </w:numPr>
        <w:pStyle w:val="Compact"/>
      </w:pPr>
      <w:r>
        <w:t xml:space="preserve">Wat was het primaire eindpunt: een hard eindpunt of een surrogaat?</w:t>
      </w:r>
    </w:p>
    <w:p>
      <w:pPr>
        <w:numPr>
          <w:ilvl w:val="0"/>
          <w:numId w:val="1021"/>
        </w:numPr>
        <w:pStyle w:val="Compact"/>
      </w:pPr>
      <w:r>
        <w:t xml:space="preserve">Hoe groot was het verschil absoluut, niet alleen relatief?</w:t>
      </w:r>
    </w:p>
    <w:p>
      <w:pPr>
        <w:numPr>
          <w:ilvl w:val="0"/>
          <w:numId w:val="1021"/>
        </w:numPr>
        <w:pStyle w:val="Compact"/>
      </w:pPr>
      <w:r>
        <w:t xml:space="preserve">Hoeveel deelnemers stopten, en welke bijwerkingen traden op?</w:t>
      </w:r>
    </w:p>
    <w:p>
      <w:pPr>
        <w:numPr>
          <w:ilvl w:val="0"/>
          <w:numId w:val="1021"/>
        </w:numPr>
        <w:pStyle w:val="Compact"/>
      </w:pPr>
      <w:r>
        <w:t xml:space="preserve">Wie heeft de studie betaald, en zijn de resultaten onafhankelijk bevestigd?</w:t>
      </w:r>
    </w:p>
    <w:p>
      <w:pPr>
        <w:numPr>
          <w:ilvl w:val="0"/>
          <w:numId w:val="1021"/>
        </w:numPr>
        <w:pStyle w:val="Compact"/>
      </w:pPr>
      <w:r>
        <w:t xml:space="preserve">Was de studie vooraf geregistreerd, en komen de gerapporteerde eindpunten overeen met het register?</w:t>
      </w:r>
    </w:p>
    <w:bookmarkEnd w:id="164"/>
    <w:bookmarkStart w:id="165" w:name="hoe-dit-boek-het-bewijs-indeelt"/>
    <w:p>
      <w:pPr>
        <w:pStyle w:val="Heading3"/>
      </w:pPr>
      <w:r>
        <w:t xml:space="preserve">Hoe dit boek het bewijs indeelt</w:t>
      </w:r>
    </w:p>
    <w:p>
      <w:pPr>
        <w:pStyle w:val="FirstParagraph"/>
      </w:pPr>
      <w:r>
        <w:t xml:space="preserve">Elk peptide in deel II krijgt een bewijsniveau:</w:t>
      </w:r>
    </w:p>
    <w:p>
      <w:pPr>
        <w:numPr>
          <w:ilvl w:val="0"/>
          <w:numId w:val="1022"/>
        </w:numPr>
        <w:pStyle w:val="Compact"/>
      </w:pPr>
      <w:r>
        <w:rPr>
          <w:bCs/>
          <w:b/>
        </w:rPr>
        <w:t xml:space="preserve">A</w:t>
      </w:r>
      <w:r>
        <w:t xml:space="preserve">: meerdere grote gerandomiseerde studies bij mensen, registratie als geneesmiddel.</w:t>
      </w:r>
    </w:p>
    <w:p>
      <w:pPr>
        <w:numPr>
          <w:ilvl w:val="0"/>
          <w:numId w:val="1022"/>
        </w:numPr>
        <w:pStyle w:val="Compact"/>
      </w:pPr>
      <w:r>
        <w:rPr>
          <w:bCs/>
          <w:b/>
        </w:rPr>
        <w:t xml:space="preserve">B</w:t>
      </w:r>
      <w:r>
        <w:t xml:space="preserve">: enkele gerandomiseerde studies bij mensen.</w:t>
      </w:r>
    </w:p>
    <w:p>
      <w:pPr>
        <w:numPr>
          <w:ilvl w:val="0"/>
          <w:numId w:val="1022"/>
        </w:numPr>
        <w:pStyle w:val="Compact"/>
      </w:pPr>
      <w:r>
        <w:rPr>
          <w:bCs/>
          <w:b/>
        </w:rPr>
        <w:t xml:space="preserve">C</w:t>
      </w:r>
      <w:r>
        <w:t xml:space="preserve">: alleen kleine of ongecontroleerde studies bij mensen.</w:t>
      </w:r>
    </w:p>
    <w:p>
      <w:pPr>
        <w:numPr>
          <w:ilvl w:val="0"/>
          <w:numId w:val="1022"/>
        </w:numPr>
        <w:pStyle w:val="Compact"/>
      </w:pPr>
      <w:r>
        <w:rPr>
          <w:bCs/>
          <w:b/>
        </w:rPr>
        <w:t xml:space="preserve">D</w:t>
      </w:r>
      <w:r>
        <w:t xml:space="preserve">: alleen dier- en laboratoriumstudies.</w:t>
      </w:r>
    </w:p>
    <w:p>
      <w:pPr>
        <w:pStyle w:val="FirstParagraph"/>
      </w:pPr>
      <w:r>
        <w:t xml:space="preserve">Het niveau beoordeelt de</w:t>
      </w:r>
      <w:r>
        <w:t xml:space="preserve"> </w:t>
      </w:r>
      <w:r>
        <w:rPr>
          <w:bCs/>
          <w:b/>
        </w:rPr>
        <w:t xml:space="preserve">hoeveelheid en kwaliteit van de gegevens bij de mens</w:t>
      </w:r>
      <w:r>
        <w:t xml:space="preserve">, niet of een stof „goed” of „slecht” is. Een peptide met niveau A kan aanzienlijke bijwerkingen hebben, en een peptide met niveau D kan in de toekomst wel degelijk nuttig blijken – het is alleen nog niet voldoende onderzocht. De indeling geldt bovendien voor een bepaalde toepassing: een stof kan voor de ene ziekte goed onderbouwd zijn en voor een andere helemaal niet.</w:t>
      </w:r>
    </w:p>
    <w:bookmarkEnd w:id="165"/>
    <w:bookmarkStart w:id="166" w:name="het-belangrijkste-in-het-kort-2"/>
    <w:p>
      <w:pPr>
        <w:pStyle w:val="Heading3"/>
      </w:pPr>
      <w:r>
        <w:t xml:space="preserve">Het belangrijkste in het kort</w:t>
      </w:r>
    </w:p>
    <w:p>
      <w:pPr>
        <w:numPr>
          <w:ilvl w:val="0"/>
          <w:numId w:val="1023"/>
        </w:numPr>
        <w:pStyle w:val="Compact"/>
      </w:pPr>
      <w:r>
        <w:t xml:space="preserve">Laboratorium- en dierstudies leveren aanwijzingen voor mechanismen, maar geen bewijs voor een nut bij de mens.</w:t>
      </w:r>
    </w:p>
    <w:p>
      <w:pPr>
        <w:numPr>
          <w:ilvl w:val="0"/>
          <w:numId w:val="1023"/>
        </w:numPr>
        <w:pStyle w:val="Compact"/>
      </w:pPr>
      <w:r>
        <w:t xml:space="preserve">De gerandomiseerde, gecontroleerde, geblindeerde vergelijking is de betrouwbaarste manier om een werking aan te tonen.</w:t>
      </w:r>
    </w:p>
    <w:p>
      <w:pPr>
        <w:numPr>
          <w:ilvl w:val="0"/>
          <w:numId w:val="1023"/>
        </w:numPr>
        <w:pStyle w:val="Compact"/>
      </w:pPr>
      <w:r>
        <w:t xml:space="preserve">Surrogaateindpunten zoals laboratoriumwaarden kunnen misleiden; harde eindpunten tellen.</w:t>
      </w:r>
    </w:p>
    <w:p>
      <w:pPr>
        <w:numPr>
          <w:ilvl w:val="0"/>
          <w:numId w:val="1023"/>
        </w:numPr>
        <w:pStyle w:val="Compact"/>
      </w:pPr>
      <w:r>
        <w:t xml:space="preserve">Relatieve cijfers klinken groter dan absolute. Vraag altijd naar de uitgangsfrequentie.</w:t>
      </w:r>
    </w:p>
    <w:p>
      <w:pPr>
        <w:numPr>
          <w:ilvl w:val="0"/>
          <w:numId w:val="1023"/>
        </w:numPr>
        <w:pStyle w:val="Compact"/>
      </w:pPr>
      <w:r>
        <w:t xml:space="preserve">Financiering, publicatiebias en ontbrekende bevestiging door onafhankelijke groepen kunnen het beeld vertekenen. Studieregisters helpen dat na te gaan.</w:t>
      </w:r>
    </w:p>
    <w:bookmarkEnd w:id="166"/>
    <w:bookmarkEnd w:id="167"/>
    <w:bookmarkStart w:id="212" w:name="de-grijze-markt"/>
    <w:p>
      <w:pPr>
        <w:pStyle w:val="Heading2"/>
      </w:pPr>
      <w:r>
        <w:t xml:space="preserve">De grijze markt</w:t>
      </w:r>
    </w:p>
    <w:p>
      <w:pPr>
        <w:pStyle w:val="FirstParagraph"/>
      </w:pPr>
      <w:r>
        <w:t xml:space="preserve">Wie op internet naar peptiden zoekt, komt al snel terecht bij webwinkels met professioneel ogende pagina’s, laboratoriumfoto’s en zuiverheidscertificaten. Aangeboden worden flesjes met wit poeder: BPC-157, TB-500, ipamorelin, melanotan II – en steeds vaker ook semaglutide, tirzepatide of nog helemaal niet geregistreerde werkzame stoffen zoals retatrutide. Bijna altijd staat ergens de vermelding „Research Use Only” of „not for human consumption” – alleen voor onderzoeksdoeleinden, niet voor gebruik bij de mens.</w:t>
      </w:r>
    </w:p>
    <w:p>
      <w:pPr>
        <w:pStyle w:val="BodyText"/>
      </w:pPr>
      <w:r>
        <w:t xml:space="preserve">Dit hoofdstuk beschrijft wat er over deze markt bekend is: uit laboratoriumanalyses van gekochte en in beslag genomen producten, uit casusbeschrijvingen van vergiftigingen en uit analyses van bijwerkingsmeldingen. Het moet je helpen de risico’s realistisch in te schatten. Verkooppunten worden in dit boek principieel niet genoemd.</w:t>
      </w:r>
    </w:p>
    <w:bookmarkStart w:id="170" w:name="wat-research-peptides-zijn"/>
    <w:p>
      <w:pPr>
        <w:pStyle w:val="Heading3"/>
      </w:pPr>
      <w:r>
        <w:t xml:space="preserve">Wat „research peptides” zijn</w:t>
      </w:r>
    </w:p>
    <w:p>
      <w:pPr>
        <w:pStyle w:val="FirstParagraph"/>
      </w:pPr>
      <w:r>
        <w:t xml:space="preserve">Als „research peptides” of „research chemicals” worden stoffen aangeduid die officieel alleen voor onderzoeksdoeleinden aan laboratoria worden verkocht. De opdruk „niet voor gebruik bij de mens” moet de verkoop juridisch afdekken: een product dat niet als geneesmiddel wordt aangeboden, hoeft – zo luidt de redenering van de aanbieders – ook geen registratie als geneesmiddel te hebben. In de praktijk richten veel van deze webwinkels zich echter herkenbaar op particulieren die de stoffen zelf willen injecteren. Of deze constructie juridisch standhoudt, wordt in het volgende hoofdstuk besproken; in veel gevallen doet ze dat niet.</w:t>
      </w:r>
    </w:p>
    <w:p>
      <w:pPr>
        <w:pStyle w:val="BodyText"/>
      </w:pPr>
      <w:r>
        <w:t xml:space="preserve">Een overzicht beschrijft het patroon aan de hand van semaglutide en tirzepatide: fabrikanten verkopen flesjes „alleen voor onderzoeksdoeleinden” of „niet voor menselijke consumptie” rechtstreeks aan consumenten, vaak zonder de materialen en de kennis die nodig zijn om de werkzame stof op te lossen, op te zuigen en te injecteren. Daarmee worden artsen en apotheken omzeild – en met hen de controle op wisselwerkingen en het medisch toezicht</w:t>
      </w:r>
      <w:r>
        <w:rPr>
          <w:rStyle w:val="FootnoteReference"/>
        </w:rPr>
        <w:footnoteReference w:id="168"/>
      </w:r>
      <w:r>
        <w:t xml:space="preserve">.</w:t>
      </w:r>
    </w:p>
    <w:p>
      <w:pPr>
        <w:pStyle w:val="BodyText"/>
      </w:pPr>
      <w:r>
        <w:t xml:space="preserve">Hoe moeilijk het gebruik voor leken is, onderzocht een kleine studie aan een Amerikaanse universiteit. 20 volwassenen moesten aan de hand van informatie van internet de nodige stappen uitvoeren om zo’n semaglutidepoeder op te lossen en een injectiespuit klaar te maken. Van 34 handelingen voerden ze er gemiddeld 15 correct uit. De onderzoekers zagen fouten die tot een verkeerde dosering, prikaccidenten of infecties zouden kunnen leiden</w:t>
      </w:r>
      <w:r>
        <w:rPr>
          <w:rStyle w:val="FootnoteReference"/>
        </w:rPr>
        <w:footnoteReference w:id="169"/>
      </w:r>
      <w:r>
        <w:t xml:space="preserve">.</w:t>
      </w:r>
    </w:p>
    <w:bookmarkEnd w:id="170"/>
    <w:bookmarkStart w:id="185" w:name="X3493dedb17fa86e15644295c526bb2284d61e5a"/>
    <w:p>
      <w:pPr>
        <w:pStyle w:val="Heading3"/>
      </w:pPr>
      <w:r>
        <w:t xml:space="preserve">Wat er in de flesjes zit: laboratoriumanalyses</w:t>
      </w:r>
    </w:p>
    <w:p>
      <w:pPr>
        <w:pStyle w:val="FirstParagraph"/>
      </w:pPr>
      <w:r>
        <w:t xml:space="preserve">De betrouwbaarste informatie over producten van de grijze markt komt uit laboratoriumanalyses. Die worden vooral uitgevoerd door antidopinglaboratoria, geneesmiddelenautoriteiten en afzonderlijke onderzoeksgroepen die producten gericht kopen of van douane en politie ontvangen.</w:t>
      </w:r>
    </w:p>
    <w:bookmarkStart w:id="172" w:name="Xda643b1c4957690026e695d10ff93ffaec99f7d"/>
    <w:p>
      <w:pPr>
        <w:pStyle w:val="Heading4"/>
      </w:pPr>
      <w:r>
        <w:t xml:space="preserve">Semaglutide uit illegale online apotheken</w:t>
      </w:r>
    </w:p>
    <w:p>
      <w:pPr>
        <w:pStyle w:val="FirstParagraph"/>
      </w:pPr>
      <w:r>
        <w:t xml:space="preserve">Een bijzonder grondig onderzoek combineerde een marktanalyse met proefaankopen</w:t>
      </w:r>
      <w:r>
        <w:rPr>
          <w:rStyle w:val="FootnoteReference"/>
        </w:rPr>
        <w:footnoteReference w:id="171"/>
      </w:r>
      <w:r>
        <w:t xml:space="preserve">. De onderzoekers analyseerden 1.080 links uit zoekmachines. 317 leidden naar online apotheken, waarvan 134 naar 59 verschillende illegale websites. De 30 belangrijkste domeinen met een verbinding naar illegale apotheken registreerden in drie maanden van 2023 meer dan 4,7 miljoen bezoeken.</w:t>
      </w:r>
    </w:p>
    <w:p>
      <w:pPr>
        <w:pStyle w:val="BodyText"/>
      </w:pPr>
      <w:r>
        <w:t xml:space="preserve">Bij zes illegale aanbieders werden proefaankopen gedaan. De resultaten:</w:t>
      </w:r>
    </w:p>
    <w:p>
      <w:pPr>
        <w:numPr>
          <w:ilvl w:val="0"/>
          <w:numId w:val="1024"/>
        </w:numPr>
        <w:pStyle w:val="Compact"/>
      </w:pPr>
      <w:r>
        <w:t xml:space="preserve">Drie bestelde voorgevulde Ozempic-pennen kwamen nooit aan – het ging om oplichting zonder levering.</w:t>
      </w:r>
    </w:p>
    <w:p>
      <w:pPr>
        <w:numPr>
          <w:ilvl w:val="0"/>
          <w:numId w:val="1024"/>
        </w:numPr>
        <w:pStyle w:val="Compact"/>
      </w:pPr>
      <w:r>
        <w:t xml:space="preserve">Drie flesjes met poeder werden geleverd. Alle golden als waarschijnlijk ondermaats of vervalst; bij de visuele controle voldeden ze aan 59 tot 63% van de criteria niet.</w:t>
      </w:r>
    </w:p>
    <w:p>
      <w:pPr>
        <w:numPr>
          <w:ilvl w:val="0"/>
          <w:numId w:val="1024"/>
        </w:numPr>
        <w:pStyle w:val="Compact"/>
      </w:pPr>
      <w:r>
        <w:t xml:space="preserve">Het semaglutidegehalte lag 28,6 tot 38,7%</w:t>
      </w:r>
      <w:r>
        <w:t xml:space="preserve"> </w:t>
      </w:r>
      <w:r>
        <w:rPr>
          <w:bCs/>
          <w:b/>
        </w:rPr>
        <w:t xml:space="preserve">boven</w:t>
      </w:r>
      <w:r>
        <w:t xml:space="preserve"> </w:t>
      </w:r>
      <w:r>
        <w:t xml:space="preserve">de opgegeven hoeveelheid.</w:t>
      </w:r>
    </w:p>
    <w:p>
      <w:pPr>
        <w:numPr>
          <w:ilvl w:val="0"/>
          <w:numId w:val="1024"/>
        </w:numPr>
        <w:pStyle w:val="Compact"/>
      </w:pPr>
      <w:r>
        <w:t xml:space="preserve">De gemeten zuiverheid bedroeg slechts 7,7 tot 14,4% – in plaats van de op het etiket beloofde 99%.</w:t>
      </w:r>
    </w:p>
    <w:p>
      <w:pPr>
        <w:numPr>
          <w:ilvl w:val="0"/>
          <w:numId w:val="1024"/>
        </w:numPr>
        <w:pStyle w:val="Compact"/>
      </w:pPr>
      <w:r>
        <w:t xml:space="preserve">Levende kiemen werden niet gevonden, maar in</w:t>
      </w:r>
      <w:r>
        <w:t xml:space="preserve"> </w:t>
      </w:r>
      <w:r>
        <w:rPr>
          <w:bCs/>
          <w:b/>
        </w:rPr>
        <w:t xml:space="preserve">alle</w:t>
      </w:r>
      <w:r>
        <w:t xml:space="preserve"> </w:t>
      </w:r>
      <w:r>
        <w:t xml:space="preserve">monsters waren endotoxinen aantoonbaar.</w:t>
      </w:r>
    </w:p>
    <w:p>
      <w:pPr>
        <w:pStyle w:val="FirstParagraph"/>
      </w:pPr>
      <w:r>
        <w:t xml:space="preserve">Deze studie laat meerdere typische problemen tegelijk zien: verkeerde hoeveelheden, geringe zuiverheid, verontreiniging en regelrechte oplichting.</w:t>
      </w:r>
    </w:p>
    <w:bookmarkEnd w:id="172"/>
    <w:bookmarkStart w:id="174" w:name="X1963585812944d09a75558b67f3eec16e9bc083"/>
    <w:p>
      <w:pPr>
        <w:pStyle w:val="Heading4"/>
      </w:pPr>
      <w:r>
        <w:t xml:space="preserve">Namaakproducten vergeleken met het origineel</w:t>
      </w:r>
    </w:p>
    <w:p>
      <w:pPr>
        <w:pStyle w:val="FirstParagraph"/>
      </w:pPr>
      <w:r>
        <w:t xml:space="preserve">Een ander onderzoek analyseerde 16 injecteerbare en 8 orale semaglutide-namaakproducten en 2 liraglutide-namaakproducten en vergeleek ze met de originele preparaten</w:t>
      </w:r>
      <w:r>
        <w:rPr>
          <w:rStyle w:val="FootnoteReference"/>
        </w:rPr>
        <w:footnoteReference w:id="173"/>
      </w:r>
      <w:r>
        <w:t xml:space="preserve">. Er werden nieuwe verontreinigingen gevonden, waaronder grotere eiwitmoleculen, sporenmetalen en resten van oplosmiddelen. Meerdere orale preparaten bevatten duidelijk minder semaglutide dan aangegeven. Bovendien werden structuren gevonden die volgens computervoorspelling door het immuunsysteem herkend zouden kunnen worden. Omdat de studie van de fabrikant van de originele preparaten afkomstig is, moet ze met de nodige voorzichtigheid worden gelezen; de beschreven problemen komen echter overeen met onafhankelijke bevindingen.</w:t>
      </w:r>
    </w:p>
    <w:bookmarkEnd w:id="174"/>
    <w:bookmarkStart w:id="176" w:name="melanotan-ii-uit-webwinkels"/>
    <w:p>
      <w:pPr>
        <w:pStyle w:val="Heading4"/>
      </w:pPr>
      <w:r>
        <w:t xml:space="preserve">Melanotan II uit webwinkels</w:t>
      </w:r>
    </w:p>
    <w:p>
      <w:pPr>
        <w:pStyle w:val="FirstParagraph"/>
      </w:pPr>
      <w:r>
        <w:t xml:space="preserve">Voor het bruiningspeptide melanotan II onderzocht een onderzoeksgroep flesjes uit drie webwinkels. Alle winkels gaven 10 mg per flesje op; in werkelijkheid bevatten de flesjes tussen 4,32 en 8,84 mg. In producten van twee winkels werden onbekende verontreinigingen van 4,1 tot 5,9% gevonden</w:t>
      </w:r>
      <w:r>
        <w:rPr>
          <w:rStyle w:val="FootnoteReference"/>
        </w:rPr>
        <w:footnoteReference w:id="175"/>
      </w:r>
      <w:r>
        <w:t xml:space="preserve">.</w:t>
      </w:r>
    </w:p>
    <w:bookmarkEnd w:id="176"/>
    <w:bookmarkStart w:id="184" w:name="X28ead64ad93dcbbb5f481aaa9347db1384cdcc0"/>
    <w:p>
      <w:pPr>
        <w:pStyle w:val="Heading4"/>
      </w:pPr>
      <w:r>
        <w:t xml:space="preserve">In beslag genomen producten uit de dopingwereld</w:t>
      </w:r>
    </w:p>
    <w:p>
      <w:pPr>
        <w:pStyle w:val="FirstParagraph"/>
      </w:pPr>
      <w:r>
        <w:t xml:space="preserve">Het antidopinglaboratorium in Keulen analyseert al jaren in beslag genomen producten. In een rapport over het jaar 2009 beschreef het onder meer als groeihormoon gelabelde flesjes zonder enige farmacologisch actieve inhoud, ongezuiverd long-R3-IGF-1 en voedingssupplementen die het groeihormoonvrijmakende peptide GHRP-2 bevatten</w:t>
      </w:r>
      <w:r>
        <w:rPr>
          <w:rStyle w:val="FootnoteReference"/>
        </w:rPr>
        <w:footnoteReference w:id="177"/>
      </w:r>
      <w:r>
        <w:t xml:space="preserve">. In tabletten die als vrij verkrijgbaar voedingssupplement werden aangeboden, werd ongeveer 50 microgram GHRP-2 per tablet gemeten</w:t>
      </w:r>
      <w:r>
        <w:rPr>
          <w:rStyle w:val="FootnoteReference"/>
        </w:rPr>
        <w:footnoteReference w:id="178"/>
      </w:r>
      <w:r>
        <w:t xml:space="preserve"> </w:t>
      </w:r>
      <w:r>
        <w:t xml:space="preserve">– een stof die in de sport verboden is en waarvoor geen registratie bestaat.</w:t>
      </w:r>
    </w:p>
    <w:p>
      <w:pPr>
        <w:pStyle w:val="BodyText"/>
      </w:pPr>
      <w:r>
        <w:t xml:space="preserve">Tussen 2010 en 2013 analyseerde hetzelfde laboratorium 337 andere producten. Peptidehormonen en groeifactoren maakten 12,8% uit, vooral groeihormoon en groeihormoonvrijmakende peptiden. Tot de opvallende vondsten behoorden thymosine bèta-4 en een fusie-eiwit met onbekende biologische werking</w:t>
      </w:r>
      <w:r>
        <w:rPr>
          <w:rStyle w:val="FootnoteReference"/>
        </w:rPr>
        <w:footnoteReference w:id="179"/>
      </w:r>
      <w:r>
        <w:t xml:space="preserve">. In Noorwegen bevatte 28% van de tussen 2011 en 2014 in beslag genomen en geanalyseerde producten op peptiden of eiwitten gebaseerde dopingmiddelen</w:t>
      </w:r>
      <w:r>
        <w:rPr>
          <w:rStyle w:val="FootnoteReference"/>
        </w:rPr>
        <w:footnoteReference w:id="180"/>
      </w:r>
      <w:r>
        <w:t xml:space="preserve">.</w:t>
      </w:r>
    </w:p>
    <w:p>
      <w:pPr>
        <w:pStyle w:val="BodyText"/>
      </w:pPr>
      <w:r>
        <w:t xml:space="preserve">Een later rapport uit Keulen beschrijft afgeleide varianten van bekende peptiden die niet als geneesmiddel bestaan: Gly-GHRP-6, Gly-GHRP-2 en Gly-ipamorelin – dus de betreffende peptiden met een extra aminozuur glycine aan het begin – en een licht veranderde vorm van groeihormoon</w:t>
      </w:r>
      <w:r>
        <w:rPr>
          <w:rStyle w:val="FootnoteReference"/>
        </w:rPr>
        <w:footnoteReference w:id="181"/>
      </w:r>
      <w:r>
        <w:t xml:space="preserve">. Zulke afgeleiden zijn mogelijk pogingen om dopingtests te omzeilen; hun werking en veiligheid bij de mens zijn onbekend.</w:t>
      </w:r>
    </w:p>
    <w:p>
      <w:pPr>
        <w:pStyle w:val="BodyText"/>
      </w:pPr>
      <w:r>
        <w:t xml:space="preserve">Ook BPC-157 werd in in beslag genomen flesjes geïdentificeerd. Een onderzoeksgroep ontwikkelde daarop een detectiemethode voor urinemonsters</w:t>
      </w:r>
      <w:r>
        <w:rPr>
          <w:rStyle w:val="FootnoteReference"/>
        </w:rPr>
        <w:footnoteReference w:id="182"/>
      </w:r>
      <w:r>
        <w:t xml:space="preserve">.</w:t>
      </w:r>
    </w:p>
    <w:p>
      <w:pPr>
        <w:pStyle w:val="BodyText"/>
      </w:pPr>
      <w:r>
        <w:t xml:space="preserve">Een overzichtsartikel vat samen dat bij vervalste peptide- en eiwitgeneesmiddelen telkens weer de verkeerde werkzame stof, de verkeerde hoeveelheid of helemaal geen werkzame stof werd gevonden, dat giftige verontreinigingen en bijproducten van de productie tot gezondheidsschade leidden en dat bij inbeslagnames ook stoffen opdoken die in klinische studies waren mislukt of zich nog in de fase van dierproeven bevonden</w:t>
      </w:r>
      <w:r>
        <w:rPr>
          <w:rStyle w:val="FootnoteReference"/>
        </w:rPr>
        <w:footnoteReference w:id="183"/>
      </w:r>
      <w:r>
        <w:t xml:space="preserve">.</w:t>
      </w:r>
    </w:p>
    <w:bookmarkEnd w:id="184"/>
    <w:bookmarkEnd w:id="185"/>
    <w:bookmarkStart w:id="186" w:name="X473fcc769ed3587ebd5b2ab84f361b5edfe04f5"/>
    <w:p>
      <w:pPr>
        <w:pStyle w:val="Heading3"/>
      </w:pPr>
      <w:r>
        <w:t xml:space="preserve">De typische kwaliteitsproblemen in overzicht</w:t>
      </w:r>
    </w:p>
    <w:p>
      <w:pPr>
        <w:pStyle w:val="FirstParagraph"/>
      </w:pPr>
      <w:r>
        <w:t xml:space="preserve">Uit deze analyses ontstaat een terugkerend beeld: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Probleem</w:t>
            </w:r>
          </w:p>
        </w:tc>
        <w:tc>
          <w:tcPr/>
          <w:p>
            <w:pPr>
              <w:pStyle w:val="Compact"/>
              <w:jc w:val="left"/>
            </w:pPr>
            <w:r>
              <w:t xml:space="preserve">Gevolg</w:t>
            </w:r>
          </w:p>
        </w:tc>
        <w:tc>
          <w:tcPr/>
          <w:p>
            <w:pPr>
              <w:pStyle w:val="Compact"/>
              <w:jc w:val="left"/>
            </w:pPr>
            <w:r>
              <w:t xml:space="preserve">Voorbeeld</w:t>
            </w:r>
          </w:p>
        </w:tc>
      </w:tr>
      <w:tr>
        <w:tc>
          <w:tcPr/>
          <w:p>
            <w:pPr>
              <w:pStyle w:val="Compact"/>
              <w:jc w:val="left"/>
            </w:pPr>
            <w:r>
              <w:t xml:space="preserve">Te veel werkzame stof</w:t>
            </w:r>
          </w:p>
        </w:tc>
        <w:tc>
          <w:tcPr/>
          <w:p>
            <w:pPr>
              <w:pStyle w:val="Compact"/>
              <w:jc w:val="left"/>
            </w:pPr>
            <w:r>
              <w:t xml:space="preserve">overdosering, meer bijwerkingen</w:t>
            </w:r>
          </w:p>
        </w:tc>
        <w:tc>
          <w:tcPr/>
          <w:p>
            <w:pPr>
              <w:pStyle w:val="Compact"/>
              <w:jc w:val="left"/>
            </w:pPr>
            <w:r>
              <w:t xml:space="preserve">semaglutide tot 38,7% boven opgave</w:t>
            </w:r>
          </w:p>
        </w:tc>
      </w:tr>
      <w:tr>
        <w:tc>
          <w:tcPr/>
          <w:p>
            <w:pPr>
              <w:pStyle w:val="Compact"/>
              <w:jc w:val="left"/>
            </w:pPr>
            <w:r>
              <w:t xml:space="preserve">Te weinig werkzame stof</w:t>
            </w:r>
          </w:p>
        </w:tc>
        <w:tc>
          <w:tcPr/>
          <w:p>
            <w:pPr>
              <w:pStyle w:val="Compact"/>
              <w:jc w:val="left"/>
            </w:pPr>
            <w:r>
              <w:t xml:space="preserve">geen werking</w:t>
            </w:r>
          </w:p>
        </w:tc>
        <w:tc>
          <w:tcPr/>
          <w:p>
            <w:pPr>
              <w:pStyle w:val="Compact"/>
              <w:jc w:val="left"/>
            </w:pPr>
            <w:r>
              <w:t xml:space="preserve">melanotan II 4,32 in plaats van 10 mg</w:t>
            </w:r>
          </w:p>
        </w:tc>
      </w:tr>
      <w:tr>
        <w:tc>
          <w:tcPr/>
          <w:p>
            <w:pPr>
              <w:pStyle w:val="Compact"/>
              <w:jc w:val="left"/>
            </w:pPr>
            <w:r>
              <w:t xml:space="preserve">Verkeerde werkzame stof</w:t>
            </w:r>
          </w:p>
        </w:tc>
        <w:tc>
          <w:tcPr/>
          <w:p>
            <w:pPr>
              <w:pStyle w:val="Compact"/>
              <w:jc w:val="left"/>
            </w:pPr>
            <w:r>
              <w:t xml:space="preserve">onvoorspelbare, deels levensgevaarlijke werking</w:t>
            </w:r>
          </w:p>
        </w:tc>
        <w:tc>
          <w:tcPr/>
          <w:p>
            <w:pPr>
              <w:pStyle w:val="Compact"/>
              <w:jc w:val="left"/>
            </w:pPr>
            <w:r>
              <w:t xml:space="preserve">insuline in plaats van semaglutide</w:t>
            </w:r>
          </w:p>
        </w:tc>
      </w:tr>
      <w:tr>
        <w:tc>
          <w:tcPr/>
          <w:p>
            <w:pPr>
              <w:pStyle w:val="Compact"/>
              <w:jc w:val="left"/>
            </w:pPr>
            <w:r>
              <w:t xml:space="preserve">Geen werkzame stof</w:t>
            </w:r>
          </w:p>
        </w:tc>
        <w:tc>
          <w:tcPr/>
          <w:p>
            <w:pPr>
              <w:pStyle w:val="Compact"/>
              <w:jc w:val="left"/>
            </w:pPr>
            <w:r>
              <w:t xml:space="preserve">oplichting, geen werking</w:t>
            </w:r>
          </w:p>
        </w:tc>
        <w:tc>
          <w:tcPr/>
          <w:p>
            <w:pPr>
              <w:pStyle w:val="Compact"/>
              <w:jc w:val="left"/>
            </w:pPr>
            <w:r>
              <w:t xml:space="preserve">lege „groeihormoon”-flesjes</w:t>
            </w:r>
          </w:p>
        </w:tc>
      </w:tr>
      <w:tr>
        <w:tc>
          <w:tcPr/>
          <w:p>
            <w:pPr>
              <w:pStyle w:val="Compact"/>
              <w:jc w:val="left"/>
            </w:pPr>
            <w:r>
              <w:t xml:space="preserve">Verontreinigingen</w:t>
            </w:r>
          </w:p>
        </w:tc>
        <w:tc>
          <w:tcPr/>
          <w:p>
            <w:pPr>
              <w:pStyle w:val="Compact"/>
              <w:jc w:val="left"/>
            </w:pPr>
            <w:r>
              <w:t xml:space="preserve">immuunreacties, giftige werking</w:t>
            </w:r>
          </w:p>
        </w:tc>
        <w:tc>
          <w:tcPr/>
          <w:p>
            <w:pPr>
              <w:pStyle w:val="Compact"/>
              <w:jc w:val="left"/>
            </w:pPr>
            <w:r>
              <w:t xml:space="preserve">bijproducten van de synthese</w:t>
            </w:r>
          </w:p>
        </w:tc>
      </w:tr>
      <w:tr>
        <w:tc>
          <w:tcPr/>
          <w:p>
            <w:pPr>
              <w:pStyle w:val="Compact"/>
              <w:jc w:val="left"/>
            </w:pPr>
            <w:r>
              <w:t xml:space="preserve">Endotoxinen</w:t>
            </w:r>
          </w:p>
        </w:tc>
        <w:tc>
          <w:tcPr/>
          <w:p>
            <w:pPr>
              <w:pStyle w:val="Compact"/>
              <w:jc w:val="left"/>
            </w:pPr>
            <w:r>
              <w:t xml:space="preserve">koorts, ontsteking, circulatiereacties</w:t>
            </w:r>
          </w:p>
        </w:tc>
        <w:tc>
          <w:tcPr/>
          <w:p>
            <w:pPr>
              <w:pStyle w:val="Compact"/>
              <w:jc w:val="left"/>
            </w:pPr>
            <w:r>
              <w:t xml:space="preserve">in alle proefaankopen van semaglutide</w:t>
            </w:r>
          </w:p>
        </w:tc>
      </w:tr>
    </w:tbl>
    <w:bookmarkEnd w:id="186"/>
    <w:bookmarkStart w:id="188" w:name="Xcf40747c9f70cc574d8659efdfcf8addbe8e114"/>
    <w:p>
      <w:pPr>
        <w:pStyle w:val="Heading3"/>
      </w:pPr>
      <w:r>
        <w:t xml:space="preserve">Zuiverheid: wat het percentage betekent – en wat niet</w:t>
      </w:r>
    </w:p>
    <w:p>
      <w:pPr>
        <w:pStyle w:val="FirstParagraph"/>
      </w:pPr>
      <w:r>
        <w:t xml:space="preserve">Veel aanbieders adverteren met „99% zuiverheid” en voegen analysecertificaten bij. Daarover enkele opmerkingen:</w:t>
      </w:r>
    </w:p>
    <w:p>
      <w:pPr>
        <w:numPr>
          <w:ilvl w:val="0"/>
          <w:numId w:val="1025"/>
        </w:numPr>
        <w:pStyle w:val="Compact"/>
      </w:pPr>
      <w:r>
        <w:rPr>
          <w:bCs/>
          <w:b/>
        </w:rPr>
        <w:t xml:space="preserve">Zuiverheid meet alleen bepaalde verontreinigingen.</w:t>
      </w:r>
      <w:r>
        <w:t xml:space="preserve"> </w:t>
      </w:r>
      <w:r>
        <w:t xml:space="preserve">Een typische meting (hogedrukvloeistofchromatografie, HPLC) laat zien welk percentage van de meetbare peptidesignalen aan de gewenste stof toe te schrijven is. Vaak worden zouten, water, resten van oplosmiddelen, metalen of endotoxinen niet gemeten.</w:t>
      </w:r>
    </w:p>
    <w:p>
      <w:pPr>
        <w:numPr>
          <w:ilvl w:val="0"/>
          <w:numId w:val="1025"/>
        </w:numPr>
        <w:pStyle w:val="Compact"/>
      </w:pPr>
      <w:r>
        <w:rPr>
          <w:bCs/>
          <w:b/>
        </w:rPr>
        <w:t xml:space="preserve">Zuiverheid zegt niets over de hoeveelheid.</w:t>
      </w:r>
      <w:r>
        <w:t xml:space="preserve"> </w:t>
      </w:r>
      <w:r>
        <w:t xml:space="preserve">Een flesje kan een zeer zuivere stof bevatten, maar in de verkeerde hoeveelheid.</w:t>
      </w:r>
    </w:p>
    <w:p>
      <w:pPr>
        <w:numPr>
          <w:ilvl w:val="0"/>
          <w:numId w:val="1025"/>
        </w:numPr>
        <w:pStyle w:val="Compact"/>
      </w:pPr>
      <w:r>
        <w:rPr>
          <w:bCs/>
          <w:b/>
        </w:rPr>
        <w:t xml:space="preserve">Zuiverheid zegt niets over steriliteit.</w:t>
      </w:r>
      <w:r>
        <w:t xml:space="preserve"> </w:t>
      </w:r>
      <w:r>
        <w:t xml:space="preserve">Een poeder kan chemisch zuiver zijn en toch verontreinigd met bacteriën of bacteriële bestanddelen.</w:t>
      </w:r>
    </w:p>
    <w:p>
      <w:pPr>
        <w:numPr>
          <w:ilvl w:val="0"/>
          <w:numId w:val="1025"/>
        </w:numPr>
        <w:pStyle w:val="Compact"/>
      </w:pPr>
      <w:r>
        <w:rPr>
          <w:bCs/>
          <w:b/>
        </w:rPr>
        <w:t xml:space="preserve">Certificaten zijn niet controleerbaar.</w:t>
      </w:r>
      <w:r>
        <w:t xml:space="preserve"> </w:t>
      </w:r>
      <w:r>
        <w:t xml:space="preserve">Of een bijgevoegd certificaat werkelijk bij het geleverde flesje hoort, kun je als koper niet vaststellen. De proefaankopen van semaglutide lieten een zuiverheid van 7,7 tot 14,4% zien, ondanks een etiket met 99%</w:t>
      </w:r>
      <w:r>
        <w:rPr>
          <w:rStyle w:val="FootnoteReference"/>
        </w:rPr>
        <w:footnoteReference w:id="187"/>
      </w:r>
      <w:r>
        <w:t xml:space="preserve">.</w:t>
      </w:r>
    </w:p>
    <w:p>
      <w:pPr>
        <w:pStyle w:val="FirstParagraph"/>
      </w:pPr>
      <w:r>
        <w:t xml:space="preserve">Daar komen verontreinigingen bij die typisch bij de chemische synthese ontstaan: peptiden met ontbrekende of dubbele bouwstenen, verkeerd gevouwen of chemisch veranderde varianten, resten van beschermgroepen en reagentia. Voor geregistreerde geneesmiddelen zijn grenswaarden voor zulke verontreinigingen vastgelegd en worden die regelmatig gecontroleerd.</w:t>
      </w:r>
    </w:p>
    <w:bookmarkEnd w:id="188"/>
    <w:bookmarkStart w:id="190" w:name="endotoxinen-onzichtbaar-en-gevaarlijk"/>
    <w:p>
      <w:pPr>
        <w:pStyle w:val="Heading3"/>
      </w:pPr>
      <w:r>
        <w:t xml:space="preserve">Endotoxinen: onzichtbaar en gevaarlijk</w:t>
      </w:r>
    </w:p>
    <w:p>
      <w:pPr>
        <w:pStyle w:val="FirstParagraph"/>
      </w:pPr>
      <w:r>
        <w:t xml:space="preserve">Endotoxinen zijn bestanddelen van de celwand van bepaalde bacteriën. Ze blijven bestaan, ook als de bacteriën gedood zijn, en zijn zeer hittebestendig. Komen ze in het bloed, dan kunnen ze koorts, koude rillingen, bloeddrukdaling en in grotere hoeveelheden een levensbedreigende shock veroorzaken. Daarom gelden voor injecties en infusen strenge grenswaarden, en geneesmiddelenfabrikanten controleren elke partij.</w:t>
      </w:r>
    </w:p>
    <w:p>
      <w:pPr>
        <w:pStyle w:val="BodyText"/>
      </w:pPr>
      <w:r>
        <w:t xml:space="preserve">Een poeder dat „steriel” of „kiemvrij” is, kan toch endotoxinen bevatten – precies dat lieten de proefaankopen van semaglutide zien: geen levende kiemen, maar endotoxinen in alle monsters</w:t>
      </w:r>
      <w:r>
        <w:rPr>
          <w:rStyle w:val="FootnoteReference"/>
        </w:rPr>
        <w:footnoteReference w:id="189"/>
      </w:r>
      <w:r>
        <w:t xml:space="preserve">. Ook het oplossen met niet-steriel water, het meermaals opzuigen uit hetzelfde flesje of het hergebruiken van naalden kan kiemen binnenbrengen.</w:t>
      </w:r>
    </w:p>
    <w:bookmarkEnd w:id="190"/>
    <w:bookmarkStart w:id="192" w:name="doseringsfouten"/>
    <w:p>
      <w:pPr>
        <w:pStyle w:val="Heading3"/>
      </w:pPr>
      <w:r>
        <w:t xml:space="preserve">Doseringsfouten</w:t>
      </w:r>
    </w:p>
    <w:p>
      <w:pPr>
        <w:pStyle w:val="FirstParagraph"/>
      </w:pPr>
      <w:r>
        <w:t xml:space="preserve">Zelfs als een product precies bevat wat erop staat, is de juiste dosering op de grijze markt lastig. Poeder moet met een bepaalde hoeveelheid vloeistof worden opgelost; de dosis volgt dan uit een omrekening. Wie zich verrekent of eenheden verwisselt, kan gemakkelijk een veelvoud van de bedoelde hoeveelheid injecteren.</w:t>
      </w:r>
    </w:p>
    <w:p>
      <w:pPr>
        <w:pStyle w:val="BodyText"/>
      </w:pPr>
      <w:r>
        <w:t xml:space="preserve">Een casusreeks van een Amerikaans vergiftigingeninformatiecentrum beschrijft drie gevallen met semaglutide uit apotheken en een schoonheidssalon. Twee personen hadden zich per ongeluk de tienvoudige hoeveelheid geïnjecteerd. Allen hadden dagenlang misselijkheid, braken en buikpijn. Eén persoon had een flesje met spuiten gekregen zonder enige uitleg, een ander verwisselde milliliters, „eenheden” en milligrammen</w:t>
      </w:r>
      <w:r>
        <w:rPr>
          <w:rStyle w:val="FootnoteReference"/>
        </w:rPr>
        <w:footnoteReference w:id="191"/>
      </w:r>
      <w:r>
        <w:t xml:space="preserve">. De auteurs benadrukken dat flesjes, anders dan voorgevulde pennen, geen veiligheidsmechanismen tegen zulke fouten bieden.</w:t>
      </w:r>
    </w:p>
    <w:bookmarkEnd w:id="192"/>
    <w:bookmarkStart w:id="197" w:name="X5c74339c13a3765a6965a062b7ea71f13c45435"/>
    <w:p>
      <w:pPr>
        <w:pStyle w:val="Heading3"/>
      </w:pPr>
      <w:r>
        <w:t xml:space="preserve">Vervalsingen van Ozempic en andere GLP-1-geneesmiddelen</w:t>
      </w:r>
    </w:p>
    <w:p>
      <w:pPr>
        <w:pStyle w:val="FirstParagraph"/>
      </w:pPr>
      <w:r>
        <w:t xml:space="preserve">Met de enorme vraag naar semaglutide doken wereldwijd vervalsingen op. De Wereldgezondheidsorganisatie waarschuwde in 2024 voor vervalste Ozempic in de wereldwijde toeleveringsketen</w:t>
      </w:r>
      <w:r>
        <w:rPr>
          <w:rStyle w:val="FootnoteReference"/>
        </w:rPr>
        <w:footnoteReference w:id="193"/>
      </w:r>
      <w:r>
        <w:t xml:space="preserve">.</w:t>
      </w:r>
    </w:p>
    <w:p>
      <w:pPr>
        <w:pStyle w:val="BodyText"/>
      </w:pPr>
      <w:r>
        <w:t xml:space="preserve">Bijzonder gevaarlijk zijn vervalsingen die een andere werkzame stof bevatten. In Italië werd een 31-jarige vrouw in hypoglykemisch coma naar de spoedeisende hulp gebracht nadat ze zich vermeende Ozempic van internet had geïnjecteerd. De toxicologische analyse wees uit dat het flesje insuline in plaats van semaglutide bevatte</w:t>
      </w:r>
      <w:r>
        <w:rPr>
          <w:rStyle w:val="FootnoteReference"/>
        </w:rPr>
        <w:footnoteReference w:id="194"/>
      </w:r>
      <w:r>
        <w:t xml:space="preserve">. Uit Nederland werden twee vergelijkbare gevallen gemeld: twee mensen zonder diabetes en zonder obesitas hadden zich zonder recept verkregen semaglutide geïnjecteerd en lagen met ernstige hypoglykemie, kaliumtekort en onderkoeling in coma. Oorzaak was een vergiftiging met synthetische insuline. Om de bloedsuiker stabiel te houden, was tot twee dagen een continu glucose-infuus nodig</w:t>
      </w:r>
      <w:r>
        <w:rPr>
          <w:rStyle w:val="FootnoteReference"/>
        </w:rPr>
        <w:footnoteReference w:id="195"/>
      </w:r>
      <w:r>
        <w:t xml:space="preserve">.</w:t>
      </w:r>
    </w:p>
    <w:p>
      <w:pPr>
        <w:pStyle w:val="BodyText"/>
      </w:pPr>
      <w:r>
        <w:t xml:space="preserve">Deze gevallen zijn zo belangrijk omdat echt semaglutide bij gezonde mensen op zichzelf nauwelijks een noemenswaardige hypoglykemie veroorzaakt. Een hypoglykemie na een „afslankinjectie” is daarom een waarschuwingssignaal voor een vervalst product.</w:t>
      </w:r>
    </w:p>
    <w:p>
      <w:pPr>
        <w:pStyle w:val="BodyText"/>
      </w:pPr>
      <w:r>
        <w:t xml:space="preserve">Een analyse van de Europese bijwerkingendatabase EudraVigilance vond van 2018 tot 2025 in totaal 234 meldingen over mogelijk vervalste semaglutide. 73,5% betrof vrouwen, en 89,3% van de gemelde bijwerkingen was ernstig. Het vaakst werden braken, misselijkheid en hypoglykemie gemeld. Vergeleken met echt semaglutide werden hypoglykemie, gebruik buiten de geregistreerde indicatie, malaise en gebrek aan werking onevenredig vaak gemeld</w:t>
      </w:r>
      <w:r>
        <w:rPr>
          <w:rStyle w:val="FootnoteReference"/>
        </w:rPr>
        <w:footnoteReference w:id="196"/>
      </w:r>
      <w:r>
        <w:t xml:space="preserve">. Zoals bij alle meldgegevens geldt: ze tonen signalen, geen frequenties.</w:t>
      </w:r>
    </w:p>
    <w:bookmarkEnd w:id="197"/>
    <w:bookmarkStart w:id="200" w:name="X6ce472ccd45184db3bf7b742c16e7685ad27c9e"/>
    <w:p>
      <w:pPr>
        <w:pStyle w:val="Heading3"/>
      </w:pPr>
      <w:r>
        <w:t xml:space="preserve">Niet-geregistreerde GLP-1-werkzame stoffen</w:t>
      </w:r>
    </w:p>
    <w:p>
      <w:pPr>
        <w:pStyle w:val="FirstParagraph"/>
      </w:pPr>
      <w:r>
        <w:t xml:space="preserve">Inmiddels worden op de grijze markt ook werkzame stoffen aangeboden die nog helemaal niet geregistreerd zijn, zoals de drievoudige agonist retatrutide. Voor zulke stoffen zijn er weliswaar studies van de fabrikanten, maar geen gecontroleerde producten – wat er in een flesje met het opschrift „retatrutide” werkelijk zit, is onbekend. Een vaktijdschrift wijdde in 2026 een eigen artikel aan deze zwarte markt</w:t>
      </w:r>
      <w:r>
        <w:rPr>
          <w:rStyle w:val="FootnoteReference"/>
        </w:rPr>
        <w:footnoteReference w:id="198"/>
      </w:r>
      <w:r>
        <w:t xml:space="preserve">.</w:t>
      </w:r>
    </w:p>
    <w:p>
      <w:pPr>
        <w:pStyle w:val="BodyText"/>
      </w:pPr>
      <w:r>
        <w:t xml:space="preserve">Een casusbeschrijving gaat over een vrouw van midden twintig die met vijf dagen aanhoudende misselijkheid, herhaaldelijk braken en diarree in het ziekenhuis kwam. De klachten verbeterden ondanks meerdere middelen tegen misselijkheid aanvankelijk niet. Pas door herhaaldelijk doorvragen kwam aan het licht dat een zelfbenoemde lifecoach zonder medische kwalificatie haar vier wekelijkse injecties had gegeven van een product dat zogenaamd retatrutide bevatte. Zelf had ze de injecties niet als geneesmiddel beschouwd</w:t>
      </w:r>
      <w:r>
        <w:rPr>
          <w:rStyle w:val="FootnoteReference"/>
        </w:rPr>
        <w:footnoteReference w:id="199"/>
      </w:r>
      <w:r>
        <w:t xml:space="preserve">. De casus laat nog een probleem zien: wie peptiden niet als geneesmiddel ziet, vermeldt ze ook niet bij artsen.</w:t>
      </w:r>
    </w:p>
    <w:bookmarkEnd w:id="200"/>
    <w:bookmarkStart w:id="204" w:name="gevaren-buiten-verontreiniging"/>
    <w:p>
      <w:pPr>
        <w:pStyle w:val="Heading3"/>
      </w:pPr>
      <w:r>
        <w:t xml:space="preserve">Gevaren buiten verontreiniging</w:t>
      </w:r>
    </w:p>
    <w:p>
      <w:pPr>
        <w:pStyle w:val="FirstParagraph"/>
      </w:pPr>
      <w:r>
        <w:t xml:space="preserve">Ook een volkomen zuiver peptide van de grijze markt kan gevaarlijk zijn als de stof zelf nooit voldoende bij de mens is onderzocht. Een casusbeschrijving gaat over een 39-jarige man die zich melanotan II van internet injecteerde – naar eigen zeggen zes keer de starthoeveelheid die hem was aangeraden. Hij kreeg hartkloppingen, onrust, zweetaanvallen en een massale spierafbraak (rabdomyolyse) met nierfunctiestoornis en moest op de intensive care worden behandeld. De analyse bevestigde dat het product inderdaad melanotan II bevatte</w:t>
      </w:r>
      <w:r>
        <w:rPr>
          <w:rStyle w:val="FootnoteReference"/>
        </w:rPr>
        <w:footnoteReference w:id="201"/>
      </w:r>
      <w:r>
        <w:t xml:space="preserve">.</w:t>
      </w:r>
    </w:p>
    <w:p>
      <w:pPr>
        <w:pStyle w:val="BodyText"/>
      </w:pPr>
      <w:r>
        <w:t xml:space="preserve">Overzichtsartikelen noemen als mogelijke risico’s van ongereguleerde peptiden onder meer verontreinigingen, onnauwkeurige dosering, pathologische vaatnieuwvorming, het ontstaan van kanker, belasting van het hart- en vaatstelsel en overmatige hormoonsignalen</w:t>
      </w:r>
      <w:r>
        <w:rPr>
          <w:rStyle w:val="FootnoteReference"/>
        </w:rPr>
        <w:footnoteReference w:id="202"/>
      </w:r>
      <w:r>
        <w:t xml:space="preserve">. Veel van deze risico’s zijn theoretisch afgeleid, juist omdat er nauwelijks studies bij mensen zijn. Een sportgeneeskundig overzicht concludeert dat veel niet-geregistreerde peptiden in diermodellen gunstige effecten laten zien, maar dat betrouwbare veiligheidsgegevens bij de mens schaars zijn en ernstige schade mogelijk is</w:t>
      </w:r>
      <w:r>
        <w:rPr>
          <w:rStyle w:val="FootnoteReference"/>
        </w:rPr>
        <w:footnoteReference w:id="203"/>
      </w:r>
      <w:r>
        <w:t xml:space="preserve">.</w:t>
      </w:r>
    </w:p>
    <w:bookmarkEnd w:id="204"/>
    <w:bookmarkStart w:id="207" w:name="compounding-in-de-vs"/>
    <w:p>
      <w:pPr>
        <w:pStyle w:val="Heading3"/>
      </w:pPr>
      <w:r>
        <w:t xml:space="preserve">Compounding in de VS</w:t>
      </w:r>
    </w:p>
    <w:p>
      <w:pPr>
        <w:pStyle w:val="FirstParagraph"/>
      </w:pPr>
      <w:r>
        <w:t xml:space="preserve">Een bijzonderheid van de Amerikaanse markt is</w:t>
      </w:r>
      <w:r>
        <w:t xml:space="preserve"> </w:t>
      </w:r>
      <w:r>
        <w:rPr>
          <w:bCs/>
          <w:b/>
        </w:rPr>
        <w:t xml:space="preserve">compounding</w:t>
      </w:r>
      <w:r>
        <w:t xml:space="preserve">: apotheken mogen onder bepaalde voorwaarden zelf geneesmiddelen bereiden, bijvoorbeeld wanneer een geregistreerd preparaat niet leverbaar is. Tijdens de leveringstekorten van semaglutide en tirzepatide ontstond zo een grote markt voor namaakpreparaten, die vaak via telegeneeskundige aanbieders werden verkocht. Deze preparaten zijn geen geregistreerde geneesmiddelen; hun werkzaamheid en veiligheid zijn niet in studies getoetst.</w:t>
      </w:r>
    </w:p>
    <w:p>
      <w:pPr>
        <w:pStyle w:val="BodyText"/>
      </w:pPr>
      <w:r>
        <w:t xml:space="preserve">Een analyse van de Amerikaanse bijwerkingendatabase FAERS vergeleek meldingen over zelf bereide en geregistreerde GLP-1-preparaten. Van 81.078 meldingen betroffen er 707 zelf bereide producten. Bij deze werden onder meer buikpijn, galblaasontstekingen, bereidingsfouten en verontreinigingen onevenredig vaak gemeld, evenals ziekenhuisopnames; gebruiks- en doseringsfouten werden daarentegen minder vaak gemeld</w:t>
      </w:r>
      <w:r>
        <w:rPr>
          <w:rStyle w:val="FootnoteReference"/>
        </w:rPr>
        <w:footnoteReference w:id="205"/>
      </w:r>
      <w:r>
        <w:t xml:space="preserve">. De auteurs benadrukken dat zulke gegevens geen oorzaak-gevolgrelatie aantonen.</w:t>
      </w:r>
    </w:p>
    <w:p>
      <w:pPr>
        <w:pStyle w:val="BodyText"/>
      </w:pPr>
      <w:r>
        <w:t xml:space="preserve">Na het einde van de leveringstekorten mogen apotheken volgens het Amerikaanse recht alleen nog preparaten maken die verschillen van de geregistreerde – bijvoorbeeld door een andere toedieningsvorm of toevoegingen. Een onderzoek vond 33 van zulke producten, waaronder combinaties met vitamine B12, glycine, niacinamide, een laxeermiddel of een middel tegen misselijkheid, en druppels en smelttabletten voor gebruik onder de tong. Voor vitaminen en het laxeermiddel vonden de auteurs nauwelijks een onderbouwing. Voor de toevoeging van het middel tegen misselijkheid en voor de nieuwe toedieningsvormen zien ze weliswaar een begrijpelijk idee, maar geen bewijs voor werkzaamheid en veiligheid</w:t>
      </w:r>
      <w:r>
        <w:rPr>
          <w:rStyle w:val="FootnoteReference"/>
        </w:rPr>
        <w:footnoteReference w:id="206"/>
      </w:r>
      <w:r>
        <w:t xml:space="preserve">.</w:t>
      </w:r>
    </w:p>
    <w:p>
      <w:pPr>
        <w:pStyle w:val="BodyText"/>
      </w:pPr>
      <w:r>
        <w:t xml:space="preserve">Compounding is geen grijze markt in strikte zin: de apotheken hebben een vergunning en staan onder toezicht. Voor patiënten vervaagt de grens echter wanneer producten via online platforms met weinig medische begeleiding worden verkocht. In Europa bestaat geen vergelijkbaar systeem; hier is de bereiding in de apotheek aan duidelijk strengere voorwaarden gebonden (meer daarover in het volgende hoofdstuk).</w:t>
      </w:r>
    </w:p>
    <w:bookmarkEnd w:id="207"/>
    <w:bookmarkStart w:id="209" w:name="wie-de-grijze-markt-gebruikt-en-waarom"/>
    <w:p>
      <w:pPr>
        <w:pStyle w:val="Heading3"/>
      </w:pPr>
      <w:r>
        <w:t xml:space="preserve">Wie de grijze markt gebruikt – en waarom</w:t>
      </w:r>
    </w:p>
    <w:p>
      <w:pPr>
        <w:pStyle w:val="FirstParagraph"/>
      </w:pPr>
      <w:r>
        <w:t xml:space="preserve">De redenen om naar de grijze markt te grijpen zijn uiteenlopend: hoge prijzen en geen vergoeding voor geregistreerde geneesmiddelen, leveringstekorten, de wens om af te vallen zonder medische indicatie, prestatieverbetering in de sport, hoop op sneller herstel van blessures of op een langer leven. Een overzichtsartikel beschrijft hoe online reclame, ervaringsverhalen op sociale media, zelfinjectie, combinaties van meerdere stoffen en zwakke bewaking van bijwerkingen samenwerken en onduidelijke producten normaliseren</w:t>
      </w:r>
      <w:r>
        <w:rPr>
          <w:rStyle w:val="FootnoteReference"/>
        </w:rPr>
        <w:footnoteReference w:id="208"/>
      </w:r>
      <w:r>
        <w:t xml:space="preserve">.</w:t>
      </w:r>
    </w:p>
    <w:p>
      <w:pPr>
        <w:pStyle w:val="BodyText"/>
      </w:pPr>
      <w:r>
        <w:t xml:space="preserve">Deze motieven zijn begrijpelijk. De analyses in dit hoofdstuk laten echter zien dat kopers op de grijze markt niet kunnen weten wat ze werkelijk krijgen.</w:t>
      </w:r>
    </w:p>
    <w:bookmarkEnd w:id="209"/>
    <w:bookmarkStart w:id="210" w:name="X227d22374438dafadc401baff39acae68ec7259"/>
    <w:p>
      <w:pPr>
        <w:pStyle w:val="Heading3"/>
      </w:pPr>
      <w:r>
        <w:t xml:space="preserve">Als je al peptiden van de grijze markt hebt gebruikt</w:t>
      </w:r>
    </w:p>
    <w:p>
      <w:pPr>
        <w:pStyle w:val="FirstParagraph"/>
      </w:pPr>
      <w:r>
        <w:t xml:space="preserve">Dit boek geeft geen gebruiksaanwijzingen. Enkele algemene punten zijn om veiligheidsredenen echter belangrijk:</w:t>
      </w:r>
    </w:p>
    <w:p>
      <w:pPr>
        <w:numPr>
          <w:ilvl w:val="0"/>
          <w:numId w:val="1026"/>
        </w:numPr>
        <w:pStyle w:val="Compact"/>
      </w:pPr>
      <w:r>
        <w:t xml:space="preserve">Informeer je arts over alle injecties, peptiden en „onderzoekschemicaliën” die je gebruikt – ook als je ze niet als geneesmiddel beschouwt.</w:t>
      </w:r>
    </w:p>
    <w:p>
      <w:pPr>
        <w:numPr>
          <w:ilvl w:val="0"/>
          <w:numId w:val="1026"/>
        </w:numPr>
        <w:pStyle w:val="Compact"/>
      </w:pPr>
      <w:r>
        <w:t xml:space="preserve">Onverwachte klachten zoals trillen, zweten, verwardheid of bewustzijnsstoornissen na een injectie kunnen wijzen op een hypoglykemie en zijn een noodgeval.</w:t>
      </w:r>
    </w:p>
    <w:p>
      <w:pPr>
        <w:numPr>
          <w:ilvl w:val="0"/>
          <w:numId w:val="1026"/>
        </w:numPr>
        <w:pStyle w:val="Compact"/>
      </w:pPr>
      <w:r>
        <w:t xml:space="preserve">Verdachte producten en bijwerkingen kunnen aan de autoriteiten worden gemeld: in Duitsland bij het Bundesinstitut für Arzneimittel und Medizinprodukte (BfArM), in Oostenrijk bij het Bundesamt für Sicherheit im Gesundheitswesen (BASG).</w:t>
      </w:r>
    </w:p>
    <w:bookmarkEnd w:id="210"/>
    <w:bookmarkStart w:id="211" w:name="het-belangrijkste-in-het-kort-3"/>
    <w:p>
      <w:pPr>
        <w:pStyle w:val="Heading3"/>
      </w:pPr>
      <w:r>
        <w:t xml:space="preserve">Het belangrijkste in het kort</w:t>
      </w:r>
    </w:p>
    <w:p>
      <w:pPr>
        <w:numPr>
          <w:ilvl w:val="0"/>
          <w:numId w:val="1027"/>
        </w:numPr>
        <w:pStyle w:val="Compact"/>
      </w:pPr>
      <w:r>
        <w:t xml:space="preserve">De vermelding „alleen voor onderzoeksdoeleinden” beschermt niet tegen risico’s; ze verschuift de verantwoordelijkheid naar de kopers.</w:t>
      </w:r>
    </w:p>
    <w:p>
      <w:pPr>
        <w:numPr>
          <w:ilvl w:val="0"/>
          <w:numId w:val="1027"/>
        </w:numPr>
        <w:pStyle w:val="Compact"/>
      </w:pPr>
      <w:r>
        <w:t xml:space="preserve">Laboratoriumanalyses vonden bij peptiden van de grijze markt te veel, te weinig, de verkeerde of helemaal geen werkzame stof, en daarnaast verontreinigingen en endotoxinen.</w:t>
      </w:r>
    </w:p>
    <w:p>
      <w:pPr>
        <w:numPr>
          <w:ilvl w:val="0"/>
          <w:numId w:val="1027"/>
        </w:numPr>
        <w:pStyle w:val="Compact"/>
      </w:pPr>
      <w:r>
        <w:t xml:space="preserve">Vervalste semaglutideproducten die insuline bevatten, leidden tot levensgevaarlijke hypoglykemieën.</w:t>
      </w:r>
    </w:p>
    <w:p>
      <w:pPr>
        <w:numPr>
          <w:ilvl w:val="0"/>
          <w:numId w:val="1027"/>
        </w:numPr>
        <w:pStyle w:val="Compact"/>
      </w:pPr>
      <w:r>
        <w:t xml:space="preserve">Ook zelf bereide preparaten uit Amerikaanse apotheken zijn niet getoetst zoals geregistreerde geneesmiddelen.</w:t>
      </w:r>
    </w:p>
    <w:p>
      <w:pPr>
        <w:numPr>
          <w:ilvl w:val="0"/>
          <w:numId w:val="1027"/>
        </w:numPr>
        <w:pStyle w:val="Compact"/>
      </w:pPr>
      <w:r>
        <w:t xml:space="preserve">Zelfs een zuiver product blijft riskant als de werkzame stof nooit voldoende bij de mens is onderzocht.</w:t>
      </w:r>
    </w:p>
    <w:bookmarkEnd w:id="211"/>
    <w:bookmarkEnd w:id="212"/>
    <w:bookmarkStart w:id="230" w:name="juridisch-kader"/>
    <w:p>
      <w:pPr>
        <w:pStyle w:val="Heading2"/>
      </w:pPr>
      <w:r>
        <w:t xml:space="preserve">Juridisch kader</w:t>
      </w:r>
    </w:p>
    <w:p>
      <w:pPr>
        <w:pStyle w:val="FirstParagraph"/>
      </w:pPr>
      <w:r>
        <w:t xml:space="preserve">Of een peptide een geneesmiddel op recept, een voedingssupplement, een cosmetisch product of een verboden dopingmiddel is, hangt niet alleen af van het molecuul. Beslissend is ook waarvoor het bestemd is, hoe het wordt aangeboden en hoe het in het lichaam werkt. Hetzelfde collageenpeptide kan als levensmiddel in het supermarktschap staan; een peptide met aantoonbare hormoonachtige werking is daarentegen bijna altijd een geneesmiddel – wat er ook op het etiket staat. Dit hoofdstuk geeft een overzicht van de regels in de Europese Unie, in Oostenrijk, in Duitsland en in de VS en van de antidopingbepalingen.</w:t>
      </w:r>
    </w:p>
    <w:p>
      <w:pPr>
        <w:pStyle w:val="BlockText"/>
      </w:pPr>
      <w:r>
        <w:rPr>
          <w:bCs/>
          <w:b/>
        </w:rPr>
        <w:t xml:space="preserve">Belangrijke opmerking:</w:t>
      </w:r>
      <w:r>
        <w:t xml:space="preserve"> </w:t>
      </w:r>
      <w:r>
        <w:t xml:space="preserve">dit hoofdstuk geeft de stand van 2026 naar beste weten weer en is geen juridisch advies. Wetten, verordeningen, de praktijk van autoriteiten en de verboden lijst van het Wereld Anti-Doping Agentschap veranderen regelmatig. Controleer in elk afzonderlijk geval de actuele juridische situatie en wend je bij concrete vragen tot een advocaat of de bevoegde autoriteit.</w:t>
      </w:r>
    </w:p>
    <w:bookmarkStart w:id="213" w:name="X821a2e5bdfcc7ac12a3cbf74faa8252f01dd378"/>
    <w:p>
      <w:pPr>
        <w:pStyle w:val="Heading3"/>
      </w:pPr>
      <w:r>
        <w:t xml:space="preserve">Drie laden: geneesmiddel, levensmiddel, cosmetica</w:t>
      </w:r>
    </w:p>
    <w:p>
      <w:pPr>
        <w:pStyle w:val="FirstParagraph"/>
      </w:pPr>
      <w:r>
        <w:t xml:space="preserve">Het Europese recht onderscheidt in wezen drie productcategorieën waaronder peptiden kunnen vallen. Elke categorie heeft eigen regels: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Categorie</w:t>
            </w:r>
          </w:p>
        </w:tc>
        <w:tc>
          <w:tcPr/>
          <w:p>
            <w:pPr>
              <w:pStyle w:val="Compact"/>
              <w:jc w:val="left"/>
            </w:pPr>
            <w:r>
              <w:t xml:space="preserve">Controle door autoriteiten vóór verkoop</w:t>
            </w:r>
          </w:p>
        </w:tc>
        <w:tc>
          <w:tcPr/>
          <w:p>
            <w:pPr>
              <w:pStyle w:val="Compact"/>
              <w:jc w:val="left"/>
            </w:pPr>
            <w:r>
              <w:t xml:space="preserve">Typische peptiden</w:t>
            </w:r>
          </w:p>
        </w:tc>
      </w:tr>
      <w:tr>
        <w:tc>
          <w:tcPr/>
          <w:p>
            <w:pPr>
              <w:pStyle w:val="Compact"/>
              <w:jc w:val="left"/>
            </w:pPr>
            <w:r>
              <w:t xml:space="preserve">Geneesmiddel</w:t>
            </w:r>
          </w:p>
        </w:tc>
        <w:tc>
          <w:tcPr/>
          <w:p>
            <w:pPr>
              <w:pStyle w:val="Compact"/>
              <w:jc w:val="left"/>
            </w:pPr>
            <w:r>
              <w:t xml:space="preserve">registratie met bewijs van werkzaamheid en veiligheid</w:t>
            </w:r>
          </w:p>
        </w:tc>
        <w:tc>
          <w:tcPr/>
          <w:p>
            <w:pPr>
              <w:pStyle w:val="Compact"/>
              <w:jc w:val="left"/>
            </w:pPr>
            <w:r>
              <w:t xml:space="preserve">insuline, semaglutide, oxytocine</w:t>
            </w:r>
          </w:p>
        </w:tc>
      </w:tr>
      <w:tr>
        <w:tc>
          <w:tcPr/>
          <w:p>
            <w:pPr>
              <w:pStyle w:val="Compact"/>
              <w:jc w:val="left"/>
            </w:pPr>
            <w:r>
              <w:t xml:space="preserve">Levensmiddel en voedingssupplement</w:t>
            </w:r>
          </w:p>
        </w:tc>
        <w:tc>
          <w:tcPr/>
          <w:p>
            <w:pPr>
              <w:pStyle w:val="Compact"/>
              <w:jc w:val="left"/>
            </w:pPr>
            <w:r>
              <w:t xml:space="preserve">geen registratie, fabrikant verantwoordelijk</w:t>
            </w:r>
          </w:p>
        </w:tc>
        <w:tc>
          <w:tcPr/>
          <w:p>
            <w:pPr>
              <w:pStyle w:val="Compact"/>
              <w:jc w:val="left"/>
            </w:pPr>
            <w:r>
              <w:t xml:space="preserve">collageenpeptiden, melkpeptiden</w:t>
            </w:r>
          </w:p>
        </w:tc>
      </w:tr>
      <w:tr>
        <w:tc>
          <w:tcPr/>
          <w:p>
            <w:pPr>
              <w:pStyle w:val="Compact"/>
              <w:jc w:val="left"/>
            </w:pPr>
            <w:r>
              <w:t xml:space="preserve">Cosmetica</w:t>
            </w:r>
          </w:p>
        </w:tc>
        <w:tc>
          <w:tcPr/>
          <w:p>
            <w:pPr>
              <w:pStyle w:val="Compact"/>
              <w:jc w:val="left"/>
            </w:pPr>
            <w:r>
              <w:t xml:space="preserve">geen registratie, veiligheidsbeoordeling door fabrikant</w:t>
            </w:r>
          </w:p>
        </w:tc>
        <w:tc>
          <w:tcPr/>
          <w:p>
            <w:pPr>
              <w:pStyle w:val="Compact"/>
              <w:jc w:val="left"/>
            </w:pPr>
            <w:r>
              <w:t xml:space="preserve">palmitoyl-pentapeptide-4, argireline</w:t>
            </w:r>
          </w:p>
        </w:tc>
      </w:tr>
    </w:tbl>
    <w:p>
      <w:pPr>
        <w:pStyle w:val="BodyText"/>
      </w:pPr>
      <w:r>
        <w:t xml:space="preserve">Daarnaast zijn er stoffen die rechtmatig in geen van deze categorieën passen – bijvoorbeeld niet-geregistreerde werkzame stoffen met farmacologische werking die als „onderzoekschemicaliën” worden verkocht. Voor deze stoffen bestaat geen legale weg naar de handel als product voor gebruik bij de mens.</w:t>
      </w:r>
    </w:p>
    <w:bookmarkEnd w:id="213"/>
    <w:bookmarkStart w:id="214" w:name="wat-een-geneesmiddel-is"/>
    <w:p>
      <w:pPr>
        <w:pStyle w:val="Heading3"/>
      </w:pPr>
      <w:r>
        <w:t xml:space="preserve">Wat een geneesmiddel is</w:t>
      </w:r>
    </w:p>
    <w:p>
      <w:pPr>
        <w:pStyle w:val="FirstParagraph"/>
      </w:pPr>
      <w:r>
        <w:t xml:space="preserve">De definitie van een geneesmiddel is in de EU vastgelegd in een richtlijn (Richtlijn 2001/83/EG) en omgezet in de nationale geneesmiddelenwetten. Ze heeft twee kanten:</w:t>
      </w:r>
    </w:p>
    <w:p>
      <w:pPr>
        <w:numPr>
          <w:ilvl w:val="0"/>
          <w:numId w:val="1028"/>
        </w:numPr>
        <w:pStyle w:val="Compact"/>
      </w:pPr>
      <w:r>
        <w:rPr>
          <w:bCs/>
          <w:b/>
        </w:rPr>
        <w:t xml:space="preserve">Geneesmiddel naar presentatie</w:t>
      </w:r>
      <w:r>
        <w:t xml:space="preserve">: een product is een geneesmiddel wanneer het wordt</w:t>
      </w:r>
      <w:r>
        <w:t xml:space="preserve"> </w:t>
      </w:r>
      <w:r>
        <w:rPr>
          <w:bCs/>
          <w:b/>
        </w:rPr>
        <w:t xml:space="preserve">voorgesteld</w:t>
      </w:r>
      <w:r>
        <w:t xml:space="preserve"> </w:t>
      </w:r>
      <w:r>
        <w:t xml:space="preserve">als middel om ziekten te genezen of te voorkomen. Alleen al reclame met uitspraken als „versnelt het herstel van peesblessures” kan van een product een geneesmiddel maken.</w:t>
      </w:r>
    </w:p>
    <w:p>
      <w:pPr>
        <w:numPr>
          <w:ilvl w:val="0"/>
          <w:numId w:val="1028"/>
        </w:numPr>
        <w:pStyle w:val="Compact"/>
      </w:pPr>
      <w:r>
        <w:rPr>
          <w:bCs/>
          <w:b/>
        </w:rPr>
        <w:t xml:space="preserve">Geneesmiddel naar functie</w:t>
      </w:r>
      <w:r>
        <w:t xml:space="preserve">: een product is een geneesmiddel wanneer het de menselijke lichaamsfuncties door een</w:t>
      </w:r>
      <w:r>
        <w:t xml:space="preserve"> </w:t>
      </w:r>
      <w:r>
        <w:rPr>
          <w:bCs/>
          <w:b/>
        </w:rPr>
        <w:t xml:space="preserve">farmacologische, immunologische of metabole werking</w:t>
      </w:r>
      <w:r>
        <w:t xml:space="preserve"> </w:t>
      </w:r>
      <w:r>
        <w:t xml:space="preserve">kan herstellen, corrigeren of beïnvloeden – ongeacht hoe het wordt aangeprezen.</w:t>
      </w:r>
    </w:p>
    <w:p>
      <w:pPr>
        <w:pStyle w:val="FirstParagraph"/>
      </w:pPr>
      <w:r>
        <w:t xml:space="preserve">Valt een product zowel onder de definitie van een geneesmiddel als onder die van een ander product, dan heeft volgens deze richtlijn in geval van twijfel het geneesmiddelenrecht voorrang. Voor peptiden met hormoonachtige werking – zoals groeihormoonvrijmakers, GLP-1-analogen of melanotan – betekent dit: ze zijn in de regel geneesmiddelen, ook als ze als voedingssupplement, cosmetica of „onderzoekschemicalie” worden aangeduid.</w:t>
      </w:r>
    </w:p>
    <w:bookmarkEnd w:id="214"/>
    <w:bookmarkStart w:id="215" w:name="registratie-in-de-eu"/>
    <w:p>
      <w:pPr>
        <w:pStyle w:val="Heading3"/>
      </w:pPr>
      <w:r>
        <w:t xml:space="preserve">Registratie in de EU</w:t>
      </w:r>
    </w:p>
    <w:p>
      <w:pPr>
        <w:pStyle w:val="FirstParagraph"/>
      </w:pPr>
      <w:r>
        <w:t xml:space="preserve">Een geneesmiddel mag in de EU alleen in de handel worden gebracht als het geregistreerd is. Voor de registratie moet de fabrikant gegevens over kwaliteit, werkzaamheid en veiligheid overleggen – meestal uit de fase 3-studies die in het hoofdstuk „Studies goed lezen” zijn beschreven.</w:t>
      </w:r>
    </w:p>
    <w:p>
      <w:pPr>
        <w:pStyle w:val="BodyText"/>
      </w:pPr>
      <w:r>
        <w:t xml:space="preserve">Er zijn twee hoofdwegen:</w:t>
      </w:r>
    </w:p>
    <w:p>
      <w:pPr>
        <w:numPr>
          <w:ilvl w:val="0"/>
          <w:numId w:val="1029"/>
        </w:numPr>
        <w:pStyle w:val="Compact"/>
      </w:pPr>
      <w:r>
        <w:rPr>
          <w:bCs/>
          <w:b/>
        </w:rPr>
        <w:t xml:space="preserve">Centrale procedure</w:t>
      </w:r>
      <w:r>
        <w:t xml:space="preserve"> </w:t>
      </w:r>
      <w:r>
        <w:t xml:space="preserve">via het Europees Geneesmiddelenbureau (EMA). De registratie geldt dan in alle lidstaten. Voor biotechnologisch geproduceerde geneesmiddelen en nieuwe werkzame stoffen tegen bepaalde ziekten – waaronder diabetes – is deze weg verplicht. De meeste moderne peptidegeneesmiddelen zijn centraal geregistreerd.</w:t>
      </w:r>
    </w:p>
    <w:p>
      <w:pPr>
        <w:numPr>
          <w:ilvl w:val="0"/>
          <w:numId w:val="1029"/>
        </w:numPr>
        <w:pStyle w:val="Compact"/>
      </w:pPr>
      <w:r>
        <w:rPr>
          <w:bCs/>
          <w:b/>
        </w:rPr>
        <w:t xml:space="preserve">Nationale en gedecentraliseerde procedures</w:t>
      </w:r>
      <w:r>
        <w:t xml:space="preserve"> </w:t>
      </w:r>
      <w:r>
        <w:t xml:space="preserve">via de autoriteiten van de lidstaten, in Oostenrijk het Bundesamt für Sicherheit im Gesundheitswesen (BASG), in Duitsland het Bundesinstitut für Arzneimittel und Medizinprodukte (BfArM) respectievelijk voor bepaalde biologische geneesmiddelen het Paul-Ehrlich-Institut.</w:t>
      </w:r>
    </w:p>
    <w:p>
      <w:pPr>
        <w:pStyle w:val="FirstParagraph"/>
      </w:pPr>
      <w:r>
        <w:t xml:space="preserve">Samen met de registratie wordt vastgelegd of een geneesmiddel</w:t>
      </w:r>
      <w:r>
        <w:t xml:space="preserve"> </w:t>
      </w:r>
      <w:r>
        <w:rPr>
          <w:bCs/>
          <w:b/>
        </w:rPr>
        <w:t xml:space="preserve">receptplichtig</w:t>
      </w:r>
      <w:r>
        <w:t xml:space="preserve"> </w:t>
      </w:r>
      <w:r>
        <w:t xml:space="preserve">is. Bijna alle peptidegeneesmiddelen zijn dat. De precieze toepassingsgebieden, doseringen, contra-indicaties en bijwerkingen staan in de</w:t>
      </w:r>
      <w:r>
        <w:t xml:space="preserve"> </w:t>
      </w:r>
      <w:r>
        <w:rPr>
          <w:bCs/>
          <w:b/>
        </w:rPr>
        <w:t xml:space="preserve">productinformatie</w:t>
      </w:r>
      <w:r>
        <w:t xml:space="preserve"> </w:t>
      </w:r>
      <w:r>
        <w:t xml:space="preserve">(SmPC, voor professionals) en in de</w:t>
      </w:r>
      <w:r>
        <w:t xml:space="preserve"> </w:t>
      </w:r>
      <w:r>
        <w:rPr>
          <w:bCs/>
          <w:b/>
        </w:rPr>
        <w:t xml:space="preserve">bijsluiter</w:t>
      </w:r>
      <w:r>
        <w:t xml:space="preserve">. De registratie geldt voor bepaalde toepassingsgebieden. Artsen mogen een geregistreerd geneesmiddel onder bepaalde voorwaarden ook buiten deze toepassingsgebieden voorschrijven („off-label use”), maar dragen dan een grotere verantwoordelijkheid voor voorlichting en afweging; de kosten worden in de regel niet door de zorgverzekering vergoed.</w:t>
      </w:r>
    </w:p>
    <w:p>
      <w:pPr>
        <w:pStyle w:val="BodyText"/>
      </w:pPr>
      <w:r>
        <w:t xml:space="preserve">Enkele peptiden die in dit boek voorkomen, zijn in andere landen geregistreerd, maar niet in de EU – bijvoorbeeld enkele in Rusland gebruikte preparaten. Een buitenlandse registratie maakt een product in de EU niet verhandelbaar.</w:t>
      </w:r>
    </w:p>
    <w:bookmarkEnd w:id="215"/>
    <w:bookmarkStart w:id="217" w:name="voedingssupplementen"/>
    <w:p>
      <w:pPr>
        <w:pStyle w:val="Heading3"/>
      </w:pPr>
      <w:r>
        <w:t xml:space="preserve">Voedingssupplementen</w:t>
      </w:r>
    </w:p>
    <w:p>
      <w:pPr>
        <w:pStyle w:val="FirstParagraph"/>
      </w:pPr>
      <w:r>
        <w:t xml:space="preserve">Voedingssupplementen zijn juridisch levensmiddelen. Ze moeten de normale voeding aanvullen en bevatten voedingsstoffen of andere stoffen met een nutritioneel of fysiologisch effect (Richtlijn 2002/46/EG). Ze hebben</w:t>
      </w:r>
      <w:r>
        <w:t xml:space="preserve"> </w:t>
      </w:r>
      <w:r>
        <w:rPr>
          <w:bCs/>
          <w:b/>
        </w:rPr>
        <w:t xml:space="preserve">geen registratie</w:t>
      </w:r>
      <w:r>
        <w:t xml:space="preserve"> </w:t>
      </w:r>
      <w:r>
        <w:t xml:space="preserve">nodig. Afhankelijk van het land moeten ze vóór de eerste verkoop bij een autoriteit worden aangemeld; in Duitsland bijvoorbeeld bij het Bundesamt für Verbraucherschutz und Lebensmittelsicherheit. Voor de veiligheid is de fabrikant verantwoordelijk; de voedselautoriteiten controleren steekproefsgewijs.</w:t>
      </w:r>
    </w:p>
    <w:p>
      <w:pPr>
        <w:pStyle w:val="BodyText"/>
      </w:pPr>
      <w:r>
        <w:t xml:space="preserve">Belangrijke grenzen:</w:t>
      </w:r>
    </w:p>
    <w:p>
      <w:pPr>
        <w:numPr>
          <w:ilvl w:val="0"/>
          <w:numId w:val="1030"/>
        </w:numPr>
        <w:pStyle w:val="Compact"/>
      </w:pPr>
      <w:r>
        <w:t xml:space="preserve">Een stof die farmacologisch werkt, kan geen voedingssupplement zijn. Wordt ze toch zo verkocht, dan gaat het om een niet-geregistreerd geneesmiddel.</w:t>
      </w:r>
    </w:p>
    <w:p>
      <w:pPr>
        <w:numPr>
          <w:ilvl w:val="0"/>
          <w:numId w:val="1030"/>
        </w:numPr>
        <w:pStyle w:val="Compact"/>
      </w:pPr>
      <w:r>
        <w:rPr>
          <w:bCs/>
          <w:b/>
        </w:rPr>
        <w:t xml:space="preserve">Gezondheidsclaims</w:t>
      </w:r>
      <w:r>
        <w:t xml:space="preserve"> </w:t>
      </w:r>
      <w:r>
        <w:t xml:space="preserve">zoals „ondersteunt de gewrichten” of „verlaagt de bloeddruk” zijn alleen toegestaan als ze door de EU na beoordeling door de Europese Autoriteit voor voedselveiligheid (EFSA) zijn toegelaten en in een lijst zijn opgenomen (Verordening (EG) nr. 1924/2006). Voor veel aangeprezen werkingen van peptidelevensmiddelen bestaat voor zover ons bekend geen toegelaten claim. Reclame die toch zo’n werking belooft, is ontoelaatbaar.</w:t>
      </w:r>
    </w:p>
    <w:p>
      <w:pPr>
        <w:numPr>
          <w:ilvl w:val="0"/>
          <w:numId w:val="1030"/>
        </w:numPr>
        <w:pStyle w:val="Compact"/>
      </w:pPr>
      <w:r>
        <w:rPr>
          <w:bCs/>
          <w:b/>
        </w:rPr>
        <w:t xml:space="preserve">Ziekteclaims</w:t>
      </w:r>
      <w:r>
        <w:t xml:space="preserve"> </w:t>
      </w:r>
      <w:r>
        <w:t xml:space="preserve">(bijvoorbeeld „werkt tegen artrose”) zijn voor levensmiddelen in het algemeen verboden.</w:t>
      </w:r>
    </w:p>
    <w:p>
      <w:pPr>
        <w:pStyle w:val="FirstParagraph"/>
      </w:pPr>
      <w:r>
        <w:t xml:space="preserve">Dat ook voedingssupplementen niet vrij zijn van verboden werkzame stoffen, laat een geval uit een antidopinglaboratorium zien: in tabletten die als vrij verkrijgbaar voedingssupplement werden aangeboden, werd het groeihormoonvrijmakende peptide GHRP-2 aangetoond</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Een eigen hindernis voor levensmiddelen is de</w:t>
      </w:r>
      <w:r>
        <w:t xml:space="preserve"> </w:t>
      </w:r>
      <w:r>
        <w:rPr>
          <w:bCs/>
          <w:b/>
        </w:rPr>
        <w:t xml:space="preserve">novelfoodverordening</w:t>
      </w:r>
      <w:r>
        <w:t xml:space="preserve"> </w:t>
      </w:r>
      <w:r>
        <w:t xml:space="preserve">(Verordening (EU) 2015/2283). Als „nieuw” gelden levensmiddelen en ingrediënten die vóór 15 mei 1997 in de EU niet in noemenswaardige mate voor menselijke consumptie werden gebruikt. Ze mogen pas na een veiligheidsbeoordeling en een toelating door de EU worden verkocht.</w:t>
      </w:r>
    </w:p>
    <w:p>
      <w:pPr>
        <w:pStyle w:val="BodyText"/>
      </w:pPr>
      <w:r>
        <w:t xml:space="preserve">Voor peptiden betekent dit: collageenhydrolysaten uit gelatine hebben een lange consumptiegeschiedenis en zijn geen novel food. Een nieuw gesynthetiseerd peptide zonder consumptiegeschiedenis dat als levensmiddel verkocht zou worden, zou daarentegen in principe een novel food zijn en een toelating nodig hebben – tenzij het vanwege zijn farmacologische werking toch al als geneesmiddel moet worden ingedeeld. Of een stof als novel food geldt, moet per geval worden beoordeeld; de Europese Commissie houdt daarvoor een catalogus bij.</w:t>
      </w:r>
    </w:p>
    <w:bookmarkEnd w:id="218"/>
    <w:bookmarkStart w:id="219" w:name="cosmetica"/>
    <w:p>
      <w:pPr>
        <w:pStyle w:val="Heading3"/>
      </w:pPr>
      <w:r>
        <w:t xml:space="preserve">Cosmetica</w:t>
      </w:r>
    </w:p>
    <w:p>
      <w:pPr>
        <w:pStyle w:val="FirstParagraph"/>
      </w:pPr>
      <w:r>
        <w:t xml:space="preserve">Cosmetische producten zijn in de EU geregeld door de cosmeticaverordening (Verordening (EG) nr. 1223/2009). Ze zijn bestemd voor uitwendig gebruik op huid, haar, nagels, lippen, tanden of het slijmvlies van de mondholte – om te reinigen, te verzorgen, te beschermen of het uiterlijk te veranderen.</w:t>
      </w:r>
    </w:p>
    <w:p>
      <w:pPr>
        <w:numPr>
          <w:ilvl w:val="0"/>
          <w:numId w:val="1031"/>
        </w:numPr>
        <w:pStyle w:val="Compact"/>
      </w:pPr>
      <w:r>
        <w:t xml:space="preserve">Cosmetica hebben</w:t>
      </w:r>
      <w:r>
        <w:t xml:space="preserve"> </w:t>
      </w:r>
      <w:r>
        <w:rPr>
          <w:bCs/>
          <w:b/>
        </w:rPr>
        <w:t xml:space="preserve">geen registratie</w:t>
      </w:r>
      <w:r>
        <w:t xml:space="preserve"> </w:t>
      </w:r>
      <w:r>
        <w:t xml:space="preserve">nodig. Een verantwoordelijke persoon in de EU moet echter een veiligheidsbeoordeling opstellen en het product vóór de verkoop in een EU-portaal melden.</w:t>
      </w:r>
    </w:p>
    <w:p>
      <w:pPr>
        <w:numPr>
          <w:ilvl w:val="0"/>
          <w:numId w:val="1031"/>
        </w:numPr>
        <w:pStyle w:val="Compact"/>
      </w:pPr>
      <w:r>
        <w:t xml:space="preserve">Bepaalde stoffen zijn verboden of slechts beperkt toegestaan.</w:t>
      </w:r>
    </w:p>
    <w:p>
      <w:pPr>
        <w:numPr>
          <w:ilvl w:val="0"/>
          <w:numId w:val="1031"/>
        </w:numPr>
        <w:pStyle w:val="Compact"/>
      </w:pPr>
      <w:r>
        <w:t xml:space="preserve">Reclameclaims moeten onderbouwd kunnen worden en mogen niet misleiden. Uitspraken over de behandeling van ziekten zijn ontoelaatbaar.</w:t>
      </w:r>
    </w:p>
    <w:p>
      <w:pPr>
        <w:numPr>
          <w:ilvl w:val="0"/>
          <w:numId w:val="1031"/>
        </w:numPr>
        <w:pStyle w:val="Compact"/>
      </w:pPr>
      <w:r>
        <w:rPr>
          <w:bCs/>
          <w:b/>
        </w:rPr>
        <w:t xml:space="preserve">Wat geïnjecteerd wordt, is nooit cosmetica.</w:t>
      </w:r>
      <w:r>
        <w:t xml:space="preserve"> </w:t>
      </w:r>
      <w:r>
        <w:t xml:space="preserve">Injecties vallen niet onder de definitie van cosmetische producten.</w:t>
      </w:r>
    </w:p>
    <w:p>
      <w:pPr>
        <w:pStyle w:val="FirstParagraph"/>
      </w:pPr>
      <w:r>
        <w:t xml:space="preserve">Cosmetische peptiden zoals palmitoyl-pentapeptide-4 of acetyl-hexapeptide-8 zijn daarom legaal in crèmes en serums. Een peptide zoals melanotan II, dat onder de huid wordt geïnjecteerd en in het hele lichaam werkt, is daarentegen geen cosmetica, ook al wordt het als „bruiningsmiddel” aangeprezen.</w:t>
      </w:r>
    </w:p>
    <w:bookmarkEnd w:id="219"/>
    <w:bookmarkStart w:id="220" w:name="oostenrijk"/>
    <w:p>
      <w:pPr>
        <w:pStyle w:val="Heading3"/>
      </w:pPr>
      <w:r>
        <w:t xml:space="preserve">Oostenrijk</w:t>
      </w:r>
    </w:p>
    <w:p>
      <w:pPr>
        <w:pStyle w:val="FirstParagraph"/>
      </w:pPr>
      <w:r>
        <w:t xml:space="preserve">In Oostenrijk regelt de</w:t>
      </w:r>
      <w:r>
        <w:t xml:space="preserve"> </w:t>
      </w:r>
      <w:r>
        <w:rPr>
          <w:bCs/>
          <w:b/>
        </w:rPr>
        <w:t xml:space="preserve">Arzneimittelgesetz (AMG)</w:t>
      </w:r>
      <w:r>
        <w:t xml:space="preserve"> </w:t>
      </w:r>
      <w:r>
        <w:t xml:space="preserve">registratie, productie en afgifte van geneesmiddelen. Bevoegd voor registratie en toezicht is het Bundesamt für Sicherheit im Gesundheitswesen (BASG) met de AGES Medizinmarktaufsicht. Receptplichtige geneesmiddelen worden alleen in apotheken op recept afgegeven; de postorderverkoop door apotheken is beperkt tot niet-receptplichtige geneesmiddelen.</w:t>
      </w:r>
    </w:p>
    <w:p>
      <w:pPr>
        <w:pStyle w:val="BodyText"/>
      </w:pPr>
      <w:r>
        <w:t xml:space="preserve">De invoer van geneesmiddelen regelt de</w:t>
      </w:r>
      <w:r>
        <w:t xml:space="preserve"> </w:t>
      </w:r>
      <w:r>
        <w:rPr>
          <w:bCs/>
          <w:b/>
        </w:rPr>
        <w:t xml:space="preserve">Arzneiwareneinfuhrgesetz</w:t>
      </w:r>
      <w:r>
        <w:t xml:space="preserve">. Particulieren mogen geneesmiddelen alleen onder bepaalde voorwaarden en in hoeveelheden voor persoonlijk gebruik invoeren; voor bestellingen uit landen buiten de Europese Economische Ruimte gelden strengere regels. Niet-geregistreerde werkzame stoffen uit webwinkels voor „onderzoekschemicaliën” voldoen in de regel niet aan deze voorwaarden. De douane kan zulke zendingen in beslag nemen.</w:t>
      </w:r>
    </w:p>
    <w:p>
      <w:pPr>
        <w:pStyle w:val="BodyText"/>
      </w:pPr>
      <w:r>
        <w:t xml:space="preserve">Voor de sport geldt de</w:t>
      </w:r>
      <w:r>
        <w:t xml:space="preserve"> </w:t>
      </w:r>
      <w:r>
        <w:rPr>
          <w:bCs/>
          <w:b/>
        </w:rPr>
        <w:t xml:space="preserve">Anti-Doping-Bundesgesetz 2021</w:t>
      </w:r>
      <w:r>
        <w:t xml:space="preserve">. Die verwijst naar de verboden lijst van het Wereld Anti-Doping Agentschap en bevat verboden en strafbepalingen, met name voor het in de handel brengen en doorgeven van verboden werkzame stoffen. Bevoegd voor controles is de Nationale Anti-Doping Agentur Austria (NADA Austria).</w:t>
      </w:r>
    </w:p>
    <w:p>
      <w:pPr>
        <w:pStyle w:val="BodyText"/>
      </w:pPr>
      <w:r>
        <w:t xml:space="preserve">Stand 2026, actuele situatie controleren.</w:t>
      </w:r>
    </w:p>
    <w:bookmarkEnd w:id="220"/>
    <w:bookmarkStart w:id="221" w:name="duitsland"/>
    <w:p>
      <w:pPr>
        <w:pStyle w:val="Heading3"/>
      </w:pPr>
      <w:r>
        <w:t xml:space="preserve">Duitsland</w:t>
      </w:r>
    </w:p>
    <w:p>
      <w:pPr>
        <w:pStyle w:val="FirstParagraph"/>
      </w:pPr>
      <w:r>
        <w:t xml:space="preserve">In Duitsland geldt de</w:t>
      </w:r>
      <w:r>
        <w:t xml:space="preserve"> </w:t>
      </w:r>
      <w:r>
        <w:rPr>
          <w:bCs/>
          <w:b/>
        </w:rPr>
        <w:t xml:space="preserve">Arzneimittelgesetz (AMG)</w:t>
      </w:r>
      <w:r>
        <w:t xml:space="preserve">. Registratieautoriteiten zijn het BfArM en het Paul-Ehrlich-Institut. Receptplichtige geneesmiddelen mogen alleen op recept worden afgegeven, ook bij postorderverkoop door erkende postorderapotheken.</w:t>
      </w:r>
    </w:p>
    <w:p>
      <w:pPr>
        <w:pStyle w:val="BodyText"/>
      </w:pPr>
      <w:r>
        <w:t xml:space="preserve">Voor de invoer geldt in principe een verbod om niet-geregistreerde geneesmiddelen naar Duitsland te brengen. Een uitzondering bestaat voor persoonlijk gebruik, wanneer het geneesmiddel in het land van herkomst rechtmatig in de handel is en uit een lidstaat van de EU of de Europese Economische Ruimte zonder commerciële bemiddeling wordt betrokken; daarnaast zijn er nauw begrensde bijzondere regels. Voor peptiden van de grijze markt die nergens als geneesmiddel geregistreerd zijn, geldt deze uitzondering naar ons begrip niet.</w:t>
      </w:r>
    </w:p>
    <w:p>
      <w:pPr>
        <w:pStyle w:val="BodyText"/>
      </w:pPr>
      <w:r>
        <w:t xml:space="preserve">Wie zonder vergunning geneesmiddelen maakt, in de handel brengt of aan anderen afgeeft, kan zich volgens de AMG strafbaar maken. Dat geldt in het bijzonder voor zogeheten bedenkelijke geneesmiddelen, waarbij het gegronde vermoeden van schadelijke effecten bestaat.</w:t>
      </w:r>
    </w:p>
    <w:p>
      <w:pPr>
        <w:pStyle w:val="BodyText"/>
      </w:pPr>
      <w:r>
        <w:t xml:space="preserve">Voor de sport geldt daarnaast de</w:t>
      </w:r>
      <w:r>
        <w:t xml:space="preserve"> </w:t>
      </w:r>
      <w:r>
        <w:rPr>
          <w:bCs/>
          <w:b/>
        </w:rPr>
        <w:t xml:space="preserve">Anti-Doping-Gesetz (AntiDopG)</w:t>
      </w:r>
      <w:r>
        <w:t xml:space="preserve">. Die verbiedt onder meer productie, handel en het in de handel brengen van dopingmiddelen en het toedienen ervan aan anderen. Verwerving en bezit van bepaalde, in een bijlage bij de wet opgenomen stoffen – waaronder peptidehormonen – zijn in een niet geringe hoeveelheid voor dopingdoeleinden strafbaar. Voor topsporters is ook zelfdoping strafbaar. Bevoegd voor controles is de Nationale Anti Doping Agentur Deutschland (NADA).</w:t>
      </w:r>
    </w:p>
    <w:p>
      <w:pPr>
        <w:pStyle w:val="BodyText"/>
      </w:pPr>
      <w:r>
        <w:t xml:space="preserve">Stand 2026, actuele situatie controleren.</w:t>
      </w:r>
    </w:p>
    <w:bookmarkEnd w:id="221"/>
    <w:bookmarkStart w:id="224" w:name="vs"/>
    <w:p>
      <w:pPr>
        <w:pStyle w:val="Heading3"/>
      </w:pPr>
      <w:r>
        <w:t xml:space="preserve">VS</w:t>
      </w:r>
    </w:p>
    <w:p>
      <w:pPr>
        <w:pStyle w:val="FirstParagraph"/>
      </w:pPr>
      <w:r>
        <w:t xml:space="preserve">In de VS is de</w:t>
      </w:r>
      <w:r>
        <w:t xml:space="preserve"> </w:t>
      </w:r>
      <w:r>
        <w:rPr>
          <w:bCs/>
          <w:b/>
        </w:rPr>
        <w:t xml:space="preserve">Food and Drug Administration (FDA)</w:t>
      </w:r>
      <w:r>
        <w:t xml:space="preserve"> </w:t>
      </w:r>
      <w:r>
        <w:t xml:space="preserve">bevoegd. Nieuwe geneesmiddelen hebben een registratie nodig (bij chemisch geproduceerde werkzame stoffen via een „New Drug Application”, bij biologische werkzame stoffen via een „Biologics License Application”).</w:t>
      </w:r>
    </w:p>
    <w:p>
      <w:pPr>
        <w:pStyle w:val="BodyText"/>
      </w:pPr>
      <w:r>
        <w:rPr>
          <w:bCs/>
          <w:b/>
        </w:rPr>
        <w:t xml:space="preserve">Voedingssupplementen</w:t>
      </w:r>
      <w:r>
        <w:t xml:space="preserve"> </w:t>
      </w:r>
      <w:r>
        <w:t xml:space="preserve">(dietary supplements) zijn sinds een wet uit 1994 grotendeels zonder voorafgaande controle verhandelbaar. Een stof die eerst als geneesmiddel is geregistreerd of als geneesmiddel op grotere schaal klinisch is onderzocht, mag echter in principe niet achteraf als voedingssupplement worden verkocht. Daarom kunnen veel peptiden in de VS niet legaal als supplement op de markt worden gebracht.</w:t>
      </w:r>
    </w:p>
    <w:p>
      <w:pPr>
        <w:pStyle w:val="BodyText"/>
      </w:pPr>
      <w:r>
        <w:rPr>
          <w:bCs/>
          <w:b/>
        </w:rPr>
        <w:t xml:space="preserve">Compounding</w:t>
      </w:r>
      <w:r>
        <w:t xml:space="preserve">: Amerikaanse apotheken mogen onder bepaalde voorwaarden zelf geneesmiddelen bereiden – afzonderlijk voor bepaalde patiënten of op grotere schaal in bedrijven onder bijzonder toezicht. Bij leveringstekorten van geregistreerde geneesmiddelen mogen ze ook kopieën maken. Na het einde van de tekorten van semaglutide en tirzepatide mogen ze volgens het Amerikaanse recht alleen nog afwijkende preparaten maken</w:t>
      </w:r>
      <w:r>
        <w:rPr>
          <w:rStyle w:val="FootnoteReference"/>
        </w:rPr>
        <w:footnoteReference w:id="222"/>
      </w:r>
      <w:r>
        <w:t xml:space="preserve">. Welke werkzame stoffen als grondstof voor compounding mogen worden gebruikt, legt de FDA in lijsten vast. Voor zover ons bekend heeft de FDA meerdere populaire peptiden van de grijze markt, waaronder BPC-157, vanwege veiligheidszorgen als ongeschikt voor compounding ingedeeld. Deze lijsten en het politieke debat erover veranderen; controleer de actuele stand van zaken.</w:t>
      </w:r>
    </w:p>
    <w:p>
      <w:pPr>
        <w:pStyle w:val="BodyText"/>
      </w:pPr>
      <w:r>
        <w:rPr>
          <w:bCs/>
          <w:b/>
        </w:rPr>
        <w:t xml:space="preserve">„Research Use Only”</w:t>
      </w:r>
      <w:r>
        <w:t xml:space="preserve">: de verkoop van peptiden met de vermelding „alleen voor onderzoeksdoeleinden” aan consumenten bevindt zich ook in de VS in een juridisch grijs gebied, dat door deskundigen wordt beschreven als omzeiling van de receptplicht</w:t>
      </w:r>
      <w:r>
        <w:rPr>
          <w:rStyle w:val="FootnoteReference"/>
        </w:rPr>
        <w:footnoteReference w:id="223"/>
      </w:r>
      <w:r>
        <w:t xml:space="preserve">. De FDA heeft aan afzonderlijke aanbieders waarschuwingsbrieven gestuurd.</w:t>
      </w:r>
    </w:p>
    <w:p>
      <w:pPr>
        <w:pStyle w:val="BodyText"/>
      </w:pPr>
      <w:r>
        <w:rPr>
          <w:bCs/>
          <w:b/>
        </w:rPr>
        <w:t xml:space="preserve">Invoer</w:t>
      </w:r>
      <w:r>
        <w:t xml:space="preserve">: de FDA gedoogt onder strikte voorwaarden de invoer van kleine hoeveelheden geneesmiddelen voor persoonlijk gebruik. Er bestaat geen recht op, en niet-geregistreerde werkzame stoffen zonder medische begeleiding vallen er in de regel niet onder.</w:t>
      </w:r>
    </w:p>
    <w:p>
      <w:pPr>
        <w:pStyle w:val="BodyText"/>
      </w:pPr>
      <w:r>
        <w:t xml:space="preserve">Stand 2026, actuele situatie controleren.</w:t>
      </w:r>
    </w:p>
    <w:bookmarkEnd w:id="224"/>
    <w:bookmarkStart w:id="226" w:name="doping-de-verboden-lijst-van-het-wada"/>
    <w:p>
      <w:pPr>
        <w:pStyle w:val="Heading3"/>
      </w:pPr>
      <w:r>
        <w:t xml:space="preserve">Doping: de verboden lijst van het WADA</w:t>
      </w:r>
    </w:p>
    <w:p>
      <w:pPr>
        <w:pStyle w:val="FirstParagraph"/>
      </w:pPr>
      <w:r>
        <w:t xml:space="preserve">Voor sporters die aan dopingcontroles onderworpen zijn, is de</w:t>
      </w:r>
      <w:r>
        <w:t xml:space="preserve"> </w:t>
      </w:r>
      <w:r>
        <w:rPr>
          <w:bCs/>
          <w:b/>
        </w:rPr>
        <w:t xml:space="preserve">verboden lijst van het Wereld Anti-Doping Agentschap (WADA)</w:t>
      </w:r>
      <w:r>
        <w:t xml:space="preserve"> </w:t>
      </w:r>
      <w:r>
        <w:t xml:space="preserve">bepalend. Ze wordt jaarlijks herzien en treedt telkens op 1 januari in werking. Voor peptiden zijn vooral twee rubrieken belangrijk, die zowel binnen als buiten wedstrijdverband gelden:</w:t>
      </w:r>
    </w:p>
    <w:p>
      <w:pPr>
        <w:pStyle w:val="BodyText"/>
      </w:pPr>
      <w:r>
        <w:rPr>
          <w:bCs/>
          <w:b/>
        </w:rPr>
        <w:t xml:space="preserve">S0 – Niet-goedgekeurde stoffen.</w:t>
      </w:r>
      <w:r>
        <w:t xml:space="preserve"> </w:t>
      </w:r>
      <w:r>
        <w:t xml:space="preserve">Verboden zijn farmacologisch werkzame stoffen die in geen andere rubriek van de lijst worden genoemd en door geen enkele gezondheidsautoriteit voor gebruik bij de mens zijn goedgekeurd – bijvoorbeeld werkzame stoffen in preklinische of klinische ontwikkeling, stopgezette ontwikkelingen, designerdrugs en alleen voor dieren geregistreerde stoffen. Veel peptiden van de grijze markt vallen in deze groep. BPC-157 wordt in de lijst voor zover ons bekend uitdrukkelijk als voorbeeld genoemd.</w:t>
      </w:r>
    </w:p>
    <w:p>
      <w:pPr>
        <w:pStyle w:val="BodyText"/>
      </w:pPr>
      <w:r>
        <w:rPr>
          <w:bCs/>
          <w:b/>
        </w:rPr>
        <w:t xml:space="preserve">S2 – Peptidehormonen, groeifactoren, verwante stoffen en mimetica.</w:t>
      </w:r>
      <w:r>
        <w:t xml:space="preserve"> </w:t>
      </w:r>
      <w:r>
        <w:t xml:space="preserve">Hiertoe behoren onder meer:</w:t>
      </w:r>
    </w:p>
    <w:p>
      <w:pPr>
        <w:numPr>
          <w:ilvl w:val="0"/>
          <w:numId w:val="1032"/>
        </w:numPr>
        <w:pStyle w:val="Compact"/>
      </w:pPr>
      <w:r>
        <w:t xml:space="preserve">groeihormoon en zijn fragmenten (bijvoorbeeld AOD-9604),</w:t>
      </w:r>
    </w:p>
    <w:p>
      <w:pPr>
        <w:numPr>
          <w:ilvl w:val="0"/>
          <w:numId w:val="1032"/>
        </w:numPr>
        <w:pStyle w:val="Compact"/>
      </w:pPr>
      <w:r>
        <w:t xml:space="preserve">groeihormoon-releasing hormoon en zijn analogen (bijvoorbeeld CJC-1295, sermoreline, tesamoreline),</w:t>
      </w:r>
    </w:p>
    <w:p>
      <w:pPr>
        <w:numPr>
          <w:ilvl w:val="0"/>
          <w:numId w:val="1032"/>
        </w:numPr>
        <w:pStyle w:val="Compact"/>
      </w:pPr>
      <w:r>
        <w:t xml:space="preserve">groeihormoon-secretagogen en groeihormoonvrijmakende peptiden (bijvoorbeeld ipamorelin, GHRP-2, GHRP-6, hexareline, macimoreline en voor zover ons bekend ook het niet-peptidische ibutamoren),</w:t>
      </w:r>
    </w:p>
    <w:p>
      <w:pPr>
        <w:numPr>
          <w:ilvl w:val="0"/>
          <w:numId w:val="1032"/>
        </w:numPr>
        <w:pStyle w:val="Compact"/>
      </w:pPr>
      <w:r>
        <w:t xml:space="preserve">groeifactoren zoals IGF-1 en zijn analogen en thymosine bèta-4 en zijn derivaten (bijvoorbeeld TB-500),</w:t>
      </w:r>
    </w:p>
    <w:p>
      <w:pPr>
        <w:numPr>
          <w:ilvl w:val="0"/>
          <w:numId w:val="1032"/>
        </w:numPr>
        <w:pStyle w:val="Compact"/>
      </w:pPr>
      <w:r>
        <w:t xml:space="preserve">bij mannen hormonen en releasingfactoren van de geslachtshormoonas (bijvoorbeeld gonadoreline en kisspeptine).</w:t>
      </w:r>
    </w:p>
    <w:p>
      <w:pPr>
        <w:pStyle w:val="FirstParagraph"/>
      </w:pPr>
      <w:r>
        <w:t xml:space="preserve">Daarnaast zijn in rubriek S4 onder meer insulines als stofwisselingsmodulatoren verboden. GLP-1-geneesmiddelen zoals semaglutide of tirzepatide staan voor zover ons bekend momenteel niet op de verboden lijst. De lijst noemt voorbeelden, maar is niet uitputtend: ook niet-genoemde stoffen met een vergelijkbare chemische structuur of een vergelijkbare biologische werking kunnen verboden zijn.</w:t>
      </w:r>
    </w:p>
    <w:p>
      <w:pPr>
        <w:pStyle w:val="BodyText"/>
      </w:pPr>
      <w:r>
        <w:t xml:space="preserve">In het antidopingrecht geldt de</w:t>
      </w:r>
      <w:r>
        <w:t xml:space="preserve"> </w:t>
      </w:r>
      <w:r>
        <w:rPr>
          <w:bCs/>
          <w:b/>
        </w:rPr>
        <w:t xml:space="preserve">schuldonafhankelijke aansprakelijkheid</w:t>
      </w:r>
      <w:r>
        <w:t xml:space="preserve"> </w:t>
      </w:r>
      <w:r>
        <w:t xml:space="preserve">(strict liability): wordt een verboden stof in een monster gevonden, dan is dat een overtreding – ongeacht of ze opzettelijk werd ingenomen of bijvoorbeeld uit een verontreinigd voedingssupplement afkomstig is. Wie een geregistreerd, verboden geneesmiddel om medische redenen nodig heeft, kan een</w:t>
      </w:r>
      <w:r>
        <w:t xml:space="preserve"> </w:t>
      </w:r>
      <w:r>
        <w:rPr>
          <w:bCs/>
          <w:b/>
        </w:rPr>
        <w:t xml:space="preserve">dispensatie voor therapeutisch gebruik</w:t>
      </w:r>
      <w:r>
        <w:t xml:space="preserve"> </w:t>
      </w:r>
      <w:r>
        <w:t xml:space="preserve">(Therapeutic Use Exemption, TUE) aanvragen. Voor niet-goedgekeurde stoffen uit rubriek S0 is dat praktisch uitgesloten.</w:t>
      </w:r>
    </w:p>
    <w:p>
      <w:pPr>
        <w:pStyle w:val="BodyText"/>
      </w:pPr>
      <w:r>
        <w:t xml:space="preserve">De dopingcontrolelaboratoria ontwikkelen voortdurend detectiemethoden voor nieuwe peptiden, vaak op basis van in beslag genomen producten</w:t>
      </w:r>
      <w:r>
        <w:rPr>
          <w:rStyle w:val="FootnoteReference"/>
        </w:rPr>
        <w:footnoteReference w:id="225"/>
      </w:r>
      <w:r>
        <w:t xml:space="preserve">. Dat een stof gisteren niet aantoonbaar was, betekent niet dat dat morgen ook zo is – en ingevroren monsters kunnen jaren later opnieuw worden onderzocht.</w:t>
      </w:r>
    </w:p>
    <w:p>
      <w:pPr>
        <w:pStyle w:val="BodyText"/>
      </w:pPr>
      <w:r>
        <w:t xml:space="preserve">Stand 2026, de actuele verboden lijst van het WADA controleren.</w:t>
      </w:r>
    </w:p>
    <w:bookmarkEnd w:id="226"/>
    <w:bookmarkStart w:id="227" w:name="aansprakelijkheid-wie-draagt-het-risico"/>
    <w:p>
      <w:pPr>
        <w:pStyle w:val="Heading3"/>
      </w:pPr>
      <w:r>
        <w:t xml:space="preserve">Aansprakelijkheid: wie draagt het risico?</w:t>
      </w:r>
    </w:p>
    <w:p>
      <w:pPr>
        <w:pStyle w:val="FirstParagraph"/>
      </w:pPr>
      <w:r>
        <w:t xml:space="preserve">Bij</w:t>
      </w:r>
      <w:r>
        <w:t xml:space="preserve"> </w:t>
      </w:r>
      <w:r>
        <w:rPr>
          <w:bCs/>
          <w:b/>
        </w:rPr>
        <w:t xml:space="preserve">geregistreerde geneesmiddelen</w:t>
      </w:r>
      <w:r>
        <w:t xml:space="preserve"> </w:t>
      </w:r>
      <w:r>
        <w:t xml:space="preserve">zijn fabrikanten, apotheken en voorschrijvende artsen opgenomen in een systeem van verantwoordelijkheid en aansprakelijkheid. In Duitsland voorziet de Arzneimittelgesetz in een bijzondere, schuldonafhankelijke aansprakelijkheid van de fabrikant voor schade door geregistreerde geneesmiddelen; in Oostenrijk zijn het algemene schadevergoedingsrecht en de wet op de productaansprakelijkheid van toepassing. Bijwerkingen worden gemeld en geanalyseerd en kunnen leiden tot waarschuwingen of het uit de handel nemen van producten.</w:t>
      </w:r>
    </w:p>
    <w:p>
      <w:pPr>
        <w:pStyle w:val="BodyText"/>
      </w:pPr>
      <w:r>
        <w:t xml:space="preserve">Bij</w:t>
      </w:r>
      <w:r>
        <w:t xml:space="preserve"> </w:t>
      </w:r>
      <w:r>
        <w:rPr>
          <w:bCs/>
          <w:b/>
        </w:rPr>
        <w:t xml:space="preserve">producten van de grijze markt</w:t>
      </w:r>
      <w:r>
        <w:t xml:space="preserve"> </w:t>
      </w:r>
      <w:r>
        <w:t xml:space="preserve">ontbreekt dit systeem grotendeels:</w:t>
      </w:r>
    </w:p>
    <w:p>
      <w:pPr>
        <w:numPr>
          <w:ilvl w:val="0"/>
          <w:numId w:val="1033"/>
        </w:numPr>
        <w:pStyle w:val="Compact"/>
      </w:pPr>
      <w:r>
        <w:t xml:space="preserve">De aanbieders zitten vaak in het buitenland, veranderen regelmatig hun namen en websites en zijn praktisch onvindbaar.</w:t>
      </w:r>
    </w:p>
    <w:p>
      <w:pPr>
        <w:numPr>
          <w:ilvl w:val="0"/>
          <w:numId w:val="1033"/>
        </w:numPr>
        <w:pStyle w:val="Compact"/>
      </w:pPr>
      <w:r>
        <w:t xml:space="preserve">Met de vermelding „niet voor gebruik bij de mens” proberen ze elke verantwoordelijkheid van zich af te schuiven.</w:t>
      </w:r>
    </w:p>
    <w:p>
      <w:pPr>
        <w:numPr>
          <w:ilvl w:val="0"/>
          <w:numId w:val="1033"/>
        </w:numPr>
        <w:pStyle w:val="Compact"/>
      </w:pPr>
      <w:r>
        <w:t xml:space="preserve">Wie zo’n product zelf gebruikt, draagt het gezondheids- en financiële risico grotendeels alleen.</w:t>
      </w:r>
    </w:p>
    <w:p>
      <w:pPr>
        <w:numPr>
          <w:ilvl w:val="0"/>
          <w:numId w:val="1033"/>
        </w:numPr>
        <w:pStyle w:val="Compact"/>
      </w:pPr>
      <w:r>
        <w:t xml:space="preserve">Wie zo’n product aan anderen doorgeeft of bij anderen toepast – bijvoorbeeld in een sportschool, schoonheidssalon of wellnessbedrijf –, kan zich strafbaar maken en is onder omstandigheden aansprakelijk voor schade.</w:t>
      </w:r>
    </w:p>
    <w:p>
      <w:pPr>
        <w:pStyle w:val="FirstParagraph"/>
      </w:pPr>
      <w:r>
        <w:t xml:space="preserve">Ook bij</w:t>
      </w:r>
      <w:r>
        <w:t xml:space="preserve"> </w:t>
      </w:r>
      <w:r>
        <w:rPr>
          <w:bCs/>
          <w:b/>
        </w:rPr>
        <w:t xml:space="preserve">toepassing door artsen</w:t>
      </w:r>
      <w:r>
        <w:t xml:space="preserve"> </w:t>
      </w:r>
      <w:r>
        <w:t xml:space="preserve">gelden strenge maatstaven. Wie niet-geregistreerde werkzame stoffen toedient, moet uitgebreid voorlichten over de onzekere gegevens en is aansprakelijk bij behandelfouten. Tuchtrechtelijke gevolgen zijn mogelijk.</w:t>
      </w:r>
    </w:p>
    <w:bookmarkEnd w:id="227"/>
    <w:bookmarkStart w:id="228" w:name="de-juridische-situatie-in-één-oogopslag"/>
    <w:p>
      <w:pPr>
        <w:pStyle w:val="Heading3"/>
      </w:pPr>
      <w:r>
        <w:t xml:space="preserve">De juridische situatie in één oogopslag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Situatie</w:t>
            </w:r>
          </w:p>
        </w:tc>
        <w:tc>
          <w:tcPr/>
          <w:p>
            <w:pPr>
              <w:pStyle w:val="Compact"/>
              <w:jc w:val="left"/>
            </w:pPr>
            <w:r>
              <w:t xml:space="preserve">Indeling (vereenvoudigd)</w:t>
            </w:r>
          </w:p>
        </w:tc>
      </w:tr>
      <w:tr>
        <w:tc>
          <w:tcPr/>
          <w:p>
            <w:pPr>
              <w:pStyle w:val="Compact"/>
              <w:jc w:val="left"/>
            </w:pPr>
            <w:r>
              <w:t xml:space="preserve">Geregistreerd peptide op recept uit de apotheek</w:t>
            </w:r>
          </w:p>
        </w:tc>
        <w:tc>
          <w:tcPr/>
          <w:p>
            <w:pPr>
              <w:pStyle w:val="Compact"/>
              <w:jc w:val="left"/>
            </w:pPr>
            <w:r>
              <w:t xml:space="preserve">legaal, medisch begeleid</w:t>
            </w:r>
          </w:p>
        </w:tc>
      </w:tr>
      <w:tr>
        <w:tc>
          <w:tcPr/>
          <w:p>
            <w:pPr>
              <w:pStyle w:val="Compact"/>
              <w:jc w:val="left"/>
            </w:pPr>
            <w:r>
              <w:t xml:space="preserve">Geregistreerd peptide zonder recept van internet</w:t>
            </w:r>
          </w:p>
        </w:tc>
        <w:tc>
          <w:tcPr/>
          <w:p>
            <w:pPr>
              <w:pStyle w:val="Compact"/>
              <w:jc w:val="left"/>
            </w:pPr>
            <w:r>
              <w:t xml:space="preserve">in de regel illegaal, risico op vervalsing</w:t>
            </w:r>
          </w:p>
        </w:tc>
      </w:tr>
      <w:tr>
        <w:tc>
          <w:tcPr/>
          <w:p>
            <w:pPr>
              <w:pStyle w:val="Compact"/>
              <w:jc w:val="left"/>
            </w:pPr>
            <w:r>
              <w:t xml:space="preserve">Niet-geregistreerd peptide als „onderzoekschemicalie”</w:t>
            </w:r>
          </w:p>
        </w:tc>
        <w:tc>
          <w:tcPr/>
          <w:p>
            <w:pPr>
              <w:pStyle w:val="Compact"/>
              <w:jc w:val="left"/>
            </w:pPr>
            <w:r>
              <w:t xml:space="preserve">in de regel niet verhandelbaar geneesmiddel</w:t>
            </w:r>
          </w:p>
        </w:tc>
      </w:tr>
      <w:tr>
        <w:tc>
          <w:tcPr/>
          <w:p>
            <w:pPr>
              <w:pStyle w:val="Compact"/>
              <w:jc w:val="left"/>
            </w:pPr>
            <w:r>
              <w:t xml:space="preserve">Collageenpeptiden als levensmiddel</w:t>
            </w:r>
          </w:p>
        </w:tc>
        <w:tc>
          <w:tcPr/>
          <w:p>
            <w:pPr>
              <w:pStyle w:val="Compact"/>
              <w:jc w:val="left"/>
            </w:pPr>
            <w:r>
              <w:t xml:space="preserve">legaal, reclameclaims beperkt</w:t>
            </w:r>
          </w:p>
        </w:tc>
      </w:tr>
      <w:tr>
        <w:tc>
          <w:tcPr/>
          <w:p>
            <w:pPr>
              <w:pStyle w:val="Compact"/>
              <w:jc w:val="left"/>
            </w:pPr>
            <w:r>
              <w:t xml:space="preserve">Peptidecrème als cosmetica</w:t>
            </w:r>
          </w:p>
        </w:tc>
        <w:tc>
          <w:tcPr/>
          <w:p>
            <w:pPr>
              <w:pStyle w:val="Compact"/>
              <w:jc w:val="left"/>
            </w:pPr>
            <w:r>
              <w:t xml:space="preserve">legaal, mits veilig en niet als geneesmiddel aangeprezen</w:t>
            </w:r>
          </w:p>
        </w:tc>
      </w:tr>
      <w:tr>
        <w:tc>
          <w:tcPr/>
          <w:p>
            <w:pPr>
              <w:pStyle w:val="Compact"/>
              <w:jc w:val="left"/>
            </w:pPr>
            <w:r>
              <w:t xml:space="preserve">Verboden peptide in gecontroleerde sport</w:t>
            </w:r>
          </w:p>
        </w:tc>
        <w:tc>
          <w:tcPr/>
          <w:p>
            <w:pPr>
              <w:pStyle w:val="Compact"/>
              <w:jc w:val="left"/>
            </w:pPr>
            <w:r>
              <w:t xml:space="preserve">dopingovertreding, deels strafbaar</w:t>
            </w:r>
          </w:p>
        </w:tc>
      </w:tr>
    </w:tbl>
    <w:bookmarkEnd w:id="228"/>
    <w:bookmarkStart w:id="229" w:name="het-belangrijkste-in-het-kort-4"/>
    <w:p>
      <w:pPr>
        <w:pStyle w:val="Heading3"/>
      </w:pPr>
      <w:r>
        <w:t xml:space="preserve">Het belangrijkste in het kort</w:t>
      </w:r>
    </w:p>
    <w:p>
      <w:pPr>
        <w:numPr>
          <w:ilvl w:val="0"/>
          <w:numId w:val="1034"/>
        </w:numPr>
        <w:pStyle w:val="Compact"/>
      </w:pPr>
      <w:r>
        <w:t xml:space="preserve">Of een peptide een geneesmiddel, levensmiddel of cosmetica is, hangt af van werking, bestemming en presentatie. Bij farmacologische werking heeft het geneesmiddelenrecht voorrang.</w:t>
      </w:r>
    </w:p>
    <w:p>
      <w:pPr>
        <w:numPr>
          <w:ilvl w:val="0"/>
          <w:numId w:val="1034"/>
        </w:numPr>
        <w:pStyle w:val="Compact"/>
      </w:pPr>
      <w:r>
        <w:t xml:space="preserve">Geneesmiddelen hebben een registratie nodig. De meeste peptidegeneesmiddelen zijn receptplichtig.</w:t>
      </w:r>
    </w:p>
    <w:p>
      <w:pPr>
        <w:numPr>
          <w:ilvl w:val="0"/>
          <w:numId w:val="1034"/>
        </w:numPr>
        <w:pStyle w:val="Compact"/>
      </w:pPr>
      <w:r>
        <w:t xml:space="preserve">De opdruk „alleen voor onderzoeksdoeleinden” maakt de verkoop aan particulieren niet legaal en beschermt hen niet.</w:t>
      </w:r>
    </w:p>
    <w:p>
      <w:pPr>
        <w:numPr>
          <w:ilvl w:val="0"/>
          <w:numId w:val="1034"/>
        </w:numPr>
        <w:pStyle w:val="Compact"/>
      </w:pPr>
      <w:r>
        <w:t xml:space="preserve">Veel peptiden van de grijze markt zijn in de sport verboden, vaak via de rubrieken S0 en S2 van de WADA-lijst.</w:t>
      </w:r>
    </w:p>
    <w:p>
      <w:pPr>
        <w:numPr>
          <w:ilvl w:val="0"/>
          <w:numId w:val="1034"/>
        </w:numPr>
        <w:pStyle w:val="Compact"/>
      </w:pPr>
      <w:r>
        <w:t xml:space="preserve">Bij producten van de grijze markt dragen de gebruikers het risico grotendeels alleen.</w:t>
      </w:r>
    </w:p>
    <w:p>
      <w:pPr>
        <w:pStyle w:val="FirstParagraph"/>
      </w:pPr>
      <w:r>
        <w:t xml:space="preserve">Alle gegevens in dit hoofdstuk: stand 2026, geen juridisch advies, actuele situatie controleren.</w:t>
      </w:r>
    </w:p>
    <w:bookmarkEnd w:id="229"/>
    <w:bookmarkEnd w:id="230"/>
    <w:bookmarkEnd w:id="231"/>
    <w:bookmarkStart w:id="892" w:name="deel-ii-a-stofwisseling-en-gewicht"/>
    <w:p>
      <w:pPr>
        <w:pStyle w:val="Heading1"/>
      </w:pPr>
      <w:r>
        <w:t xml:space="preserve">Deel II · A – Stofwisseling en gewicht</w:t>
      </w:r>
    </w:p>
    <w:p>
      <w:pPr>
        <w:pStyle w:val="FirstParagraph"/>
      </w:pPr>
      <w:r>
        <w:t xml:space="preserve">Geen enkele groep peptiden heeft de geneeskunde van de afgelopen jaren zo veranderd als de werkzame stoffen in dit deel. Ze zijn oorspronkelijk ontwikkeld voor diabetes type 2, werden daarna de werkzaamste afslankmiddelen die er ooit zijn geweest, en worden inmiddels onderzocht bij hartfalen, slaapapneu, leververvetting en nierziekten. Tegelijk wordt nauwelijks een terrein zo sterk door de grijze markt getroffen: werkzame stoffen die nog in studies zitten, worden op internet als „research peptides” verkocht.</w:t>
      </w:r>
    </w:p>
    <w:bookmarkStart w:id="232" w:name="X0d46abd91b4e643d3f43c739e81d5c7b785e092"/>
    <w:p>
      <w:pPr>
        <w:pStyle w:val="Heading3"/>
      </w:pPr>
      <w:r>
        <w:t xml:space="preserve">Wat deze werkzame stoffen verbindt: hormonen uit darm en alvleesklier</w:t>
      </w:r>
    </w:p>
    <w:p>
      <w:pPr>
        <w:pStyle w:val="FirstParagraph"/>
      </w:pPr>
      <w:r>
        <w:t xml:space="preserve">Bijna alle werkzame stoffen in deze groep bootsen hormonen na die het lichaam rond een maaltijd afgeeft. Vier daarvan moet je kennen:</w:t>
      </w:r>
    </w:p>
    <w:p>
      <w:pPr>
        <w:numPr>
          <w:ilvl w:val="0"/>
          <w:numId w:val="1035"/>
        </w:numPr>
        <w:pStyle w:val="Compact"/>
      </w:pPr>
      <w:r>
        <w:rPr>
          <w:bCs/>
          <w:b/>
        </w:rPr>
        <w:t xml:space="preserve">GLP-1 (glucagon-like peptide-1)</w:t>
      </w:r>
      <w:r>
        <w:t xml:space="preserve"> </w:t>
      </w:r>
      <w:r>
        <w:t xml:space="preserve">wordt door cellen in de dunne en dikke darm vrijgegeven zodra er voedsel aankomt. Het versterkt de insulineafgifte – maar alleen als de bloedsuiker verhoogd is –, remt de maaglediging en meldt verzadiging aan de hersenen. Lichaamseigen GLP-1 wordt binnen enkele minuten afgebroken; de geneesmiddelen zijn zo veranderd dat ze een dag tot een week werken.</w:t>
      </w:r>
    </w:p>
    <w:p>
      <w:pPr>
        <w:numPr>
          <w:ilvl w:val="0"/>
          <w:numId w:val="1035"/>
        </w:numPr>
        <w:pStyle w:val="Compact"/>
      </w:pPr>
      <w:r>
        <w:rPr>
          <w:bCs/>
          <w:b/>
        </w:rPr>
        <w:t xml:space="preserve">GIP (glucoseafhankelijk insulinotroop polypeptide)</w:t>
      </w:r>
      <w:r>
        <w:t xml:space="preserve"> </w:t>
      </w:r>
      <w:r>
        <w:t xml:space="preserve">komt uit het bovenste deel van de dunne darm en versterkt eveneens de insulineafgifte. Zijn rol voor eetlust en lichaamsgewicht is tegenstrijdig: tirzepatide activeert de GIP-receptor, maridebart cafraglutide blokkeert hem – en beide leiden tot gewichtsverlies.</w:t>
      </w:r>
    </w:p>
    <w:p>
      <w:pPr>
        <w:numPr>
          <w:ilvl w:val="0"/>
          <w:numId w:val="1035"/>
        </w:numPr>
        <w:pStyle w:val="Compact"/>
      </w:pPr>
      <w:r>
        <w:rPr>
          <w:bCs/>
          <w:b/>
        </w:rPr>
        <w:t xml:space="preserve">Glucagon</w:t>
      </w:r>
      <w:r>
        <w:t xml:space="preserve"> </w:t>
      </w:r>
      <w:r>
        <w:t xml:space="preserve">is het tegenhormoon van insuline uit de alvleesklier. Het verhoogt de bloedsuiker, maar verhoogt ook het energieverbruik en de vetafbraak in de lever. Nieuwere werkzame stoffen benutten gericht deze tweede kant.</w:t>
      </w:r>
    </w:p>
    <w:p>
      <w:pPr>
        <w:numPr>
          <w:ilvl w:val="0"/>
          <w:numId w:val="1035"/>
        </w:numPr>
        <w:pStyle w:val="Compact"/>
      </w:pPr>
      <w:r>
        <w:rPr>
          <w:bCs/>
          <w:b/>
        </w:rPr>
        <w:t xml:space="preserve">Amyline</w:t>
      </w:r>
      <w:r>
        <w:t xml:space="preserve"> </w:t>
      </w:r>
      <w:r>
        <w:t xml:space="preserve">wordt samen met insuline door de bètacellen van de alvleesklier afgegeven. Het werkt in de hersenstam verzadigend en vertraagt de maaglediging.</w:t>
      </w:r>
    </w:p>
    <w:p>
      <w:pPr>
        <w:pStyle w:val="FirstParagraph"/>
      </w:pPr>
      <w:r>
        <w:t xml:space="preserve">GLP-1 en GIP noemt men</w:t>
      </w:r>
      <w:r>
        <w:t xml:space="preserve"> </w:t>
      </w:r>
      <w:r>
        <w:rPr>
          <w:bCs/>
          <w:b/>
        </w:rPr>
        <w:t xml:space="preserve">incretines</w:t>
      </w:r>
      <w:r>
        <w:t xml:space="preserve"> </w:t>
      </w:r>
      <w:r>
        <w:t xml:space="preserve">(afgeleid van het Engelse „INtestinal seCRETion of INsulin”, dus door de darm opgewekte insulineafgifte): ze verklaren waarom suiker die wordt gegeten meer insuline vrijmaakt dan dezelfde hoeveelheid suiker rechtstreeks in de ader. De ontwikkeling laat zich lezen als een reeks stappen: eerst zuivere GLP-1-agonisten, dan combinaties met GIP, glucagon of amyline in één molecuul, ten slotte tabletten die helemaal geen peptiden meer zijn.</w:t>
      </w:r>
    </w:p>
    <w:p>
      <w:pPr>
        <w:pStyle w:val="BodyText"/>
      </w:pPr>
      <w:r>
        <w:t xml:space="preserve">Twee werkzame stoffen uit deze groep passen niet in dit schema:</w:t>
      </w:r>
      <w:r>
        <w:t xml:space="preserve"> </w:t>
      </w:r>
      <w:r>
        <w:rPr>
          <w:bCs/>
          <w:b/>
        </w:rPr>
        <w:t xml:space="preserve">setmelanotide</w:t>
      </w:r>
      <w:r>
        <w:t xml:space="preserve"> </w:t>
      </w:r>
      <w:r>
        <w:t xml:space="preserve">grijpt dieper in de hersenen aan, op de melanocortine-4-receptor, en is alleen bedoeld voor zeldzame genetische vormen van obesitas.</w:t>
      </w:r>
      <w:r>
        <w:t xml:space="preserve"> </w:t>
      </w:r>
      <w:r>
        <w:rPr>
          <w:bCs/>
          <w:b/>
        </w:rPr>
        <w:t xml:space="preserve">AOD-9604</w:t>
      </w:r>
      <w:r>
        <w:t xml:space="preserve"> </w:t>
      </w:r>
      <w:r>
        <w:t xml:space="preserve">is een fragment van groeihormoon dat als „vetverbrander” op de markt wordt gebracht, zonder dat er gepubliceerde studies bij mensen bestaan.</w:t>
      </w:r>
    </w:p>
    <w:bookmarkEnd w:id="232"/>
    <w:bookmarkStart w:id="233" w:name="overzicht"/>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eerste GLP-1-agonist, uit hagedissengif</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dagelijkse injectie, generieke middelen</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wekelijks, antilichaamfusie</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injectie en tablet, hartbescherming aangetoond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GIP plus GLP-1, maatstaf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 GLP-1 en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glucagon plus GLP-1, focus op de lever</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alleen China</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gecombineerd met semaglutide</w:t>
            </w:r>
          </w:p>
        </w:tc>
      </w:tr>
      <w:tr>
        <w:tc>
          <w:tcPr/>
          <w:p>
            <w:pPr>
              <w:pStyle w:val="Compact"/>
              <w:jc w:val="left"/>
            </w:pPr>
            <w:r>
              <w:t xml:space="preserve">Amycretine (zenagamtide)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en GLP-1 in één molecuul</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GIP-blokker, maandelijkse toediening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alleen VS</w:t>
            </w:r>
          </w:p>
        </w:tc>
        <w:tc>
          <w:tcPr/>
          <w:p>
            <w:pPr>
              <w:pStyle w:val="Compact"/>
              <w:jc w:val="left"/>
            </w:pPr>
            <w:r>
              <w:t xml:space="preserve">eerste amylinegeneesmiddel</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zeldzame genetische obesitas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w:t>
            </w:r>
          </w:p>
        </w:tc>
        <w:tc>
          <w:tcPr/>
          <w:p>
            <w:pPr>
              <w:pStyle w:val="Compact"/>
              <w:jc w:val="left"/>
            </w:pPr>
            <w:r>
              <w:t xml:space="preserve">groeihormoonfragment, grijze 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open</w:t>
            </w:r>
          </w:p>
        </w:tc>
        <w:tc>
          <w:tcPr/>
          <w:p>
            <w:pPr>
              <w:pStyle w:val="Compact"/>
              <w:jc w:val="left"/>
            </w:pPr>
            <w:r>
              <w:t xml:space="preserve">geen peptide, tablet (vergelijking)</w:t>
            </w:r>
          </w:p>
        </w:tc>
      </w:tr>
    </w:tbl>
    <w:p>
      <w:pPr>
        <w:pStyle w:val="BodyText"/>
      </w:pPr>
      <w:r>
        <w:t xml:space="preserve">De bewijsniveaus worden in deel I uitgelegd. Registratiegegevens hebben betrekking op de stand van oktober 2026 en op ten minste één toepassingsgebied; details staan in het betreffende hoofdstuk. Controleer de actuele stand van zaken, want juist in deze groep veranderen registraties snel.</w:t>
      </w:r>
    </w:p>
    <w:bookmarkEnd w:id="233"/>
    <w:bookmarkStart w:id="234" w:name="leeswijzer"/>
    <w:p>
      <w:pPr>
        <w:pStyle w:val="Heading3"/>
      </w:pPr>
      <w:r>
        <w:t xml:space="preserve">Leeswijzer</w:t>
      </w:r>
    </w:p>
    <w:p>
      <w:pPr>
        <w:pStyle w:val="FirstParagraph"/>
      </w:pPr>
      <w:r>
        <w:t xml:space="preserve">De hoofdstukken volgen grofweg de historische ontwikkeling: van de gevestigde GLP-1-agonisten (exenatide tot semaglutide) via de combinatiemiddelen (tirzepatide tot maridebart cafraglutide) naar de bijzondere gevallen (pramlintide, setmelanotide, AOD-9604) en ten slotte naar orforglipron, dat als niet-peptide ter vergelijking is opgenomen.</w:t>
      </w:r>
    </w:p>
    <w:p>
      <w:pPr>
        <w:pStyle w:val="BodyText"/>
      </w:pPr>
      <w:r>
        <w:t xml:space="preserve">Wie snel een overzicht wil, begint met semaglutide en tirzepatide – daaraan worden alle andere gemeten. De directe vergelijkingen van gewichtsverlies, bloedsuikerverlaging, cardiovasculaire uitkomsten en bijwerkingen over alle werkzame stoffen heen vind je in deel III. Klasserisico’s zoals problemen met galblaas en alvleesklier, spierverlies en vragen over de schildklier behandelt deel IV uitgebreid.</w:t>
      </w:r>
    </w:p>
    <w:p>
      <w:pPr>
        <w:pStyle w:val="BodyText"/>
      </w:pPr>
      <w:r>
        <w:t xml:space="preserve">Twee principes gelden voor de hele groep: ten eerste beschrijven de hoofdstukken studieresultaten, geen behandelinstructies – voor geregistreerde geneesmiddelen zijn de productinformatie en de begeleiding door een arts bepalend. Ten tweede komt bij bijna alle werkzame stoffen een groot deel van het verloren gewicht terug wanneer de behandeling stopt. Deze geneesmiddelen werken zolang ze worden gebruikt; ze zijn geen kuur.</w:t>
      </w:r>
    </w:p>
    <w:bookmarkEnd w:id="234"/>
    <w:bookmarkStart w:id="289" w:name="exenatide"/>
    <w:p>
      <w:pPr>
        <w:pStyle w:val="Heading2"/>
      </w:pPr>
      <w:r>
        <w:t xml:space="preserve">Exenatide</w:t>
      </w:r>
    </w:p>
    <w:bookmarkStart w:id="236" w:name="profiel"/>
    <w:p>
      <w:pPr>
        <w:pStyle w:val="Heading3"/>
      </w:pPr>
      <w:r>
        <w:t xml:space="preserve">Profiel</w:t>
      </w:r>
    </w:p>
    <w:p>
      <w:pPr>
        <w:numPr>
          <w:ilvl w:val="0"/>
          <w:numId w:val="1036"/>
        </w:numPr>
        <w:pStyle w:val="Compact"/>
      </w:pPr>
      <w:r>
        <w:rPr>
          <w:bCs/>
          <w:b/>
        </w:rPr>
        <w:t xml:space="preserve">Soort/structuur:</w:t>
      </w:r>
      <w:r>
        <w:t xml:space="preserve"> </w:t>
      </w:r>
      <w:r>
        <w:t xml:space="preserve">peptide van 39 aminozuren, synthetisch geproduceerde vorm van exendine-4. Ongeveer de helft van de sequentie komt overeen met het menselijke darmhormoon GLP-1.</w:t>
      </w:r>
    </w:p>
    <w:p>
      <w:pPr>
        <w:numPr>
          <w:ilvl w:val="0"/>
          <w:numId w:val="1036"/>
        </w:numPr>
        <w:pStyle w:val="Compact"/>
      </w:pPr>
      <w:r>
        <w:rPr>
          <w:bCs/>
          <w:b/>
        </w:rPr>
        <w:t xml:space="preserve">Herkomst:</w:t>
      </w:r>
      <w:r>
        <w:t xml:space="preserve"> </w:t>
      </w:r>
      <w:r>
        <w:t xml:space="preserve">exendine-4 werd in 1992 geïsoleerd uit het gif van het gilamonster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Werkingsprincipe:</w:t>
      </w:r>
      <w:r>
        <w:t xml:space="preserve"> </w:t>
      </w:r>
      <w:r>
        <w:t xml:space="preserve">GLP-1-receptoragonist. Exenatide bootst het verzadigings- en incretinehormoon GLP-1 na, maar wordt duidelijk langzamer afgebroken.</w:t>
      </w:r>
    </w:p>
    <w:p>
      <w:pPr>
        <w:numPr>
          <w:ilvl w:val="0"/>
          <w:numId w:val="1036"/>
        </w:numPr>
        <w:pStyle w:val="Compact"/>
      </w:pPr>
      <w:r>
        <w:rPr>
          <w:bCs/>
          <w:b/>
        </w:rPr>
        <w:t xml:space="preserve">Toedieningsvormen:</w:t>
      </w:r>
      <w:r>
        <w:t xml:space="preserve"> </w:t>
      </w:r>
      <w:r>
        <w:t xml:space="preserve">twee keer per dag (Byetta) en eenmaal per week als depot met microbolletjes (Bydureon, later als voorgevulde pen of auto-injector). In studies daarnaast: pompimplantaat (ITCA 650) en gepegyleerde varianten (PB-119, NLY01).</w:t>
      </w:r>
    </w:p>
    <w:p>
      <w:pPr>
        <w:numPr>
          <w:ilvl w:val="0"/>
          <w:numId w:val="1036"/>
        </w:numPr>
        <w:pStyle w:val="Compact"/>
      </w:pPr>
      <w:r>
        <w:rPr>
          <w:bCs/>
          <w:b/>
        </w:rPr>
        <w:t xml:space="preserve">Registratie EU:</w:t>
      </w:r>
      <w:r>
        <w:t xml:space="preserve"> </w:t>
      </w:r>
      <w:r>
        <w:t xml:space="preserve">ja, voor de behandeling van diabetes type 2 (Byetta, Bydureon). Geen registratie voor gewichtsvermindering.</w:t>
      </w:r>
    </w:p>
    <w:p>
      <w:pPr>
        <w:numPr>
          <w:ilvl w:val="0"/>
          <w:numId w:val="1036"/>
        </w:numPr>
        <w:pStyle w:val="Compact"/>
      </w:pPr>
      <w:r>
        <w:rPr>
          <w:bCs/>
          <w:b/>
        </w:rPr>
        <w:t xml:space="preserve">Registratie VS:</w:t>
      </w:r>
      <w:r>
        <w:t xml:space="preserve"> </w:t>
      </w:r>
      <w:r>
        <w:t xml:space="preserve">ja, diabetes type 2 (Byetta in 2005 als allereerste GLP-1-receptoragonist, Bydureon/Bydureon BCise), de weekvorm ook voor jongeren vanaf 10 jaar. Inmiddels zijn daar ook generieke versies van de tweemaal-daagse vorm. De beschikbaarheid van afzonderlijke preparaten wisselt – actuele situatie controleren.</w:t>
      </w:r>
    </w:p>
    <w:p>
      <w:pPr>
        <w:numPr>
          <w:ilvl w:val="0"/>
          <w:numId w:val="1036"/>
        </w:numPr>
        <w:pStyle w:val="Compact"/>
      </w:pPr>
      <w:r>
        <w:rPr>
          <w:bCs/>
          <w:b/>
        </w:rPr>
        <w:t xml:space="preserve">WADA:</w:t>
      </w:r>
      <w:r>
        <w:t xml:space="preserve"> </w:t>
      </w:r>
      <w:r>
        <w:t xml:space="preserve">niet vermeld.</w:t>
      </w:r>
    </w:p>
    <w:p>
      <w:pPr>
        <w:numPr>
          <w:ilvl w:val="0"/>
          <w:numId w:val="1036"/>
        </w:numPr>
        <w:pStyle w:val="Compact"/>
      </w:pPr>
      <w:r>
        <w:rPr>
          <w:bCs/>
          <w:b/>
        </w:rPr>
        <w:t xml:space="preserve">Bewijsniveau:</w:t>
      </w:r>
      <w:r>
        <w:t xml:space="preserve"> </w:t>
      </w:r>
      <w:r>
        <w:rPr>
          <w:bCs/>
          <w:b/>
        </w:rPr>
        <w:t xml:space="preserve">A</w:t>
      </w:r>
      <w:r>
        <w:t xml:space="preserve"> </w:t>
      </w:r>
      <w:r>
        <w:t xml:space="preserve">– talrijke grote gerandomiseerde studies, een grote cardiovasculaire uitkomststudie, geregistreerd sinds 2005.</w:t>
      </w:r>
    </w:p>
    <w:bookmarkEnd w:id="236"/>
    <w:bookmarkStart w:id="237" w:name="hoe-het-zou-moeten-werken"/>
    <w:p>
      <w:pPr>
        <w:pStyle w:val="Heading3"/>
      </w:pPr>
      <w:r>
        <w:t xml:space="preserve">Hoe het zou moeten werken</w:t>
      </w:r>
    </w:p>
    <w:p>
      <w:pPr>
        <w:pStyle w:val="FirstParagraph"/>
      </w:pPr>
      <w:r>
        <w:t xml:space="preserve">Na een maaltijd geeft de darm het hormoon GLP-1 (glucagon-like peptide-1) af. Het geeft de alvleesklier het signaal meer insuline vrij te maken – maar alleen zolang de bloedsuiker verhoogd is. Tegelijk remt het het hormoon glucagon, dat de bloedsuiker verhoogt, vertraagt het de maaglediging en werkt het in de hersenen op centra die honger en verzadiging sturen. Omdat de insulineafgifte suikerafhankelijk is, veroorzaken GLP-1-receptoragonisten op zichzelf zelden hypoglykemieën.</w:t>
      </w:r>
    </w:p>
    <w:p>
      <w:pPr>
        <w:pStyle w:val="BodyText"/>
      </w:pPr>
      <w:r>
        <w:t xml:space="preserve">Lichaamseigen GLP-1 heeft echter een beslissend nadeel: het enzym DPP-4 breekt het binnen ongeveer twee minuten af. Als geneesmiddel is het daarom onbruikbaar. Exendine-4 uit het hagedissengif bindt eveneens aan de GLP-1-receptor, maar is grotendeels ongevoelig voor DPP-4. Deze toevallige ontdekking maakte exenatide tot de eerste vertegenwoordiger van een klasse werkzame stoffen die twee decennia later met semaglutide en tirzepatide de geneeskunde zou veranderen.</w:t>
      </w:r>
    </w:p>
    <w:p>
      <w:pPr>
        <w:pStyle w:val="BodyText"/>
      </w:pPr>
      <w:r>
        <w:t xml:space="preserve">De oorspronkelijke vorm werkt maar enkele uren en moet daarom twee keer per dag vóór de hoofdmaaltijden worden geïnjecteerd. Ze verlaagt vooral de stijging van de bloedsuiker na het eten, onder meer omdat ze de maaglediging duidelijk vertraagt. De weekvorm verpakt dezelfde werkzame stof in afbreekbare kunststof microbolletjes (PLGA), waaruit ze langzaam vrijkomt. Daardoor blijft de spiegel constanter; het effect op de nuchtere glucose wordt sterker, dat op de maaglediging neemt na verloop van tijd wat af.</w:t>
      </w:r>
    </w:p>
    <w:p>
      <w:pPr>
        <w:pStyle w:val="BodyText"/>
      </w:pPr>
      <w:r>
        <w:t xml:space="preserve">Een belangrijk verschil met de latere werkzame stoffen: exenatide lijkt maar voor ongeveer de helft op het menselijke GLP-1. Het immuunsysteem herkent het daarom vaker als lichaamsvreemd en vormt antilichamen. Bij de meeste behandelden heeft dat geen gevolgen; bij een klein deel met hoge antilichaamspiegels kan de werking afnemen.</w:t>
      </w:r>
    </w:p>
    <w:bookmarkEnd w:id="237"/>
    <w:bookmarkStart w:id="265" w:name="studies-bij-mensen"/>
    <w:p>
      <w:pPr>
        <w:pStyle w:val="Heading3"/>
      </w:pPr>
      <w:r>
        <w:t xml:space="preserve">Studies bij mensen</w:t>
      </w:r>
    </w:p>
    <w:p>
      <w:pPr>
        <w:pStyle w:val="FirstParagraph"/>
      </w:pPr>
      <w:r>
        <w:t xml:space="preserve">Het onderzoek naar exenatide is omvangrijk. De voor dit boek geanalyseerde PubMed-zoekopdracht (zoekterm „exenatide” in titel of abstract, zoekdatum oktober 2026) leverde 437 studies bij mensen op; op ClinicalTrials.gov staan 379 registraties met exenatide. Veel daarvan zijn kleine mechanisme- of combinatiestudies. Voor de beoordeling zijn vooral drie groepen van belang: de registratieprogramma’s AMIGO (tweemaal-daagse vorm) en DURATION (weekvorm), de cardiovasculaire uitkomststudie EXSCEL en een reeks studies buiten diabetes, in het bijzonder bij de ziekte van Parkinson.</w:t>
      </w:r>
    </w:p>
    <w:bookmarkStart w:id="239" w:name="de-amigo-studies-de-start-van-de-klasse"/>
    <w:p>
      <w:pPr>
        <w:pStyle w:val="Heading4"/>
      </w:pPr>
      <w:r>
        <w:t xml:space="preserve">De AMIGO-studies: de start van de klasse</w:t>
      </w:r>
    </w:p>
    <w:p>
      <w:pPr>
        <w:pStyle w:val="FirstParagraph"/>
      </w:pPr>
      <w:r>
        <w:t xml:space="preserve">Drie placebogecontroleerde studies van elk 30 weken vormden de basis van de eerste registratie. Ze testten exenatide twee keer per dag (5 of 10 microgram per toediening) als aanvulling op bestaande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(10-µg-arm vs. placebo)</w:t>
            </w:r>
          </w:p>
        </w:tc>
      </w:tr>
      <w:tr>
        <w:tc>
          <w:tcPr/>
          <w:p>
            <w:pPr>
              <w:pStyle w:val="Compact"/>
              <w:jc w:val="left"/>
            </w:pPr>
            <w:r>
              <w:t xml:space="preserve">Buse 2004, PMID 15504997</w:t>
            </w:r>
          </w:p>
        </w:tc>
        <w:tc>
          <w:tcPr/>
          <w:p>
            <w:pPr>
              <w:pStyle w:val="Compact"/>
              <w:jc w:val="left"/>
            </w:pPr>
            <w:r>
              <w:t xml:space="preserve">diabetes type 2 met sulfonylureumderivaat, RCT tegen placebo</w:t>
            </w:r>
          </w:p>
        </w:tc>
        <w:tc>
          <w:tcPr/>
          <w:p>
            <w:pPr>
              <w:pStyle w:val="Compact"/>
              <w:jc w:val="left"/>
            </w:pPr>
            <w:r>
              <w:t xml:space="preserve">30 weken</w:t>
            </w:r>
          </w:p>
        </w:tc>
        <w:tc>
          <w:tcPr/>
          <w:p>
            <w:pPr>
              <w:pStyle w:val="Compact"/>
              <w:jc w:val="left"/>
            </w:pPr>
            <w:r>
              <w:t xml:space="preserve">HbA1c −0,86 vs. +0,12 procentpunt; gewicht −1,6 kg</w:t>
            </w:r>
          </w:p>
        </w:tc>
      </w:tr>
      <w:tr>
        <w:tc>
          <w:tcPr/>
          <w:p>
            <w:pPr>
              <w:pStyle w:val="Compact"/>
              <w:jc w:val="left"/>
            </w:pPr>
            <w:r>
              <w:t xml:space="preserve">DeFronzo 2005, PMID 15855572</w:t>
            </w:r>
          </w:p>
        </w:tc>
        <w:tc>
          <w:tcPr/>
          <w:p>
            <w:pPr>
              <w:pStyle w:val="Compact"/>
              <w:jc w:val="left"/>
            </w:pPr>
            <w:r>
              <w:t xml:space="preserve">diabetes type 2 met metformine, RCT tegen placebo</w:t>
            </w:r>
          </w:p>
        </w:tc>
        <w:tc>
          <w:tcPr/>
          <w:p>
            <w:pPr>
              <w:pStyle w:val="Compact"/>
              <w:jc w:val="left"/>
            </w:pPr>
            <w:r>
              <w:t xml:space="preserve">30 weken</w:t>
            </w:r>
          </w:p>
        </w:tc>
        <w:tc>
          <w:tcPr/>
          <w:p>
            <w:pPr>
              <w:pStyle w:val="Compact"/>
              <w:jc w:val="left"/>
            </w:pPr>
            <w:r>
              <w:t xml:space="preserve">HbA1c −0,78 vs. +0,08; gewicht −2,8 kg; 46% vs. 13% bereikte HbA1c ≤ 7%</w:t>
            </w:r>
          </w:p>
        </w:tc>
      </w:tr>
      <w:tr>
        <w:tc>
          <w:tcPr/>
          <w:p>
            <w:pPr>
              <w:pStyle w:val="Compact"/>
              <w:jc w:val="left"/>
            </w:pPr>
            <w:r>
              <w:t xml:space="preserve">Kendall 2005, PMID 15855571</w:t>
            </w:r>
          </w:p>
        </w:tc>
        <w:tc>
          <w:tcPr/>
          <w:p>
            <w:pPr>
              <w:pStyle w:val="Compact"/>
              <w:jc w:val="left"/>
            </w:pPr>
            <w:r>
              <w:t xml:space="preserve">diabetes type 2 met metformine plus sulfonylureumderivaat, RCT</w:t>
            </w:r>
          </w:p>
        </w:tc>
        <w:tc>
          <w:tcPr/>
          <w:p>
            <w:pPr>
              <w:pStyle w:val="Compact"/>
              <w:jc w:val="left"/>
            </w:pPr>
            <w:r>
              <w:t xml:space="preserve">30 weken</w:t>
            </w:r>
          </w:p>
        </w:tc>
        <w:tc>
          <w:tcPr/>
          <w:p>
            <w:pPr>
              <w:pStyle w:val="Compact"/>
              <w:jc w:val="left"/>
            </w:pPr>
            <w:r>
              <w:t xml:space="preserve">HbA1c −0,8 vs. +0,2; lichte hypoglykemieën 28% vs. 13%</w:t>
            </w:r>
          </w:p>
        </w:tc>
      </w:tr>
      <w:tr>
        <w:tc>
          <w:tcPr/>
          <w:p>
            <w:pPr>
              <w:pStyle w:val="Compact"/>
              <w:jc w:val="left"/>
            </w:pPr>
            <w:r>
              <w:t xml:space="preserve">Heine 2005, PMID 16230722</w:t>
            </w:r>
          </w:p>
        </w:tc>
        <w:tc>
          <w:tcPr/>
          <w:p>
            <w:pPr>
              <w:pStyle w:val="Compact"/>
              <w:jc w:val="left"/>
            </w:pPr>
            <w:r>
              <w:t xml:space="preserve">551 personen, open vergelijking met insuline glargine</w:t>
            </w:r>
          </w:p>
        </w:tc>
        <w:tc>
          <w:tcPr/>
          <w:p>
            <w:pPr>
              <w:pStyle w:val="Compact"/>
              <w:jc w:val="left"/>
            </w:pPr>
            <w:r>
              <w:t xml:space="preserve">26 weken</w:t>
            </w:r>
          </w:p>
        </w:tc>
        <w:tc>
          <w:tcPr/>
          <w:p>
            <w:pPr>
              <w:pStyle w:val="Compact"/>
              <w:jc w:val="left"/>
            </w:pPr>
            <w:r>
              <w:t xml:space="preserve">HbA1c telkens −1,11; gewicht −2,3 kg vs. +1,8 kg</w:t>
            </w:r>
          </w:p>
        </w:tc>
      </w:tr>
    </w:tbl>
    <w:p>
      <w:pPr>
        <w:pStyle w:val="BodyText"/>
      </w:pPr>
      <w:r>
        <w:t xml:space="preserve">De HbA1c-waarde (langetermijnsuiker) beschrijft het aandeel „versuikerde” rode bloedkleurstof en weerspiegelt de bloedsuiker van de afgelopen twee tot drie maanden. Een daling met 0,8 tot 1 procentpunt gold destijds als klinisch betekenisvol. Nieuw was dat het gewicht niet steeg, zoals bij insuline of sulfonylureumderivaten gebruikelijk, maar daalde. De studie van Kendall laat echter ook zien: in combinatie met een sulfonylureumderivaat, dat onafhankelijk van de bloedsuiker insuline vrijmaakt, namen lichte hypoglykemieën toe.</w:t>
      </w:r>
    </w:p>
    <w:p>
      <w:pPr>
        <w:pStyle w:val="BodyText"/>
      </w:pPr>
      <w:r>
        <w:t xml:space="preserve">In de directe vergelijking met insuline glargine</w:t>
      </w:r>
      <w:r>
        <w:rPr>
          <w:rStyle w:val="FootnoteReference"/>
        </w:rPr>
        <w:footnoteReference w:id="238"/>
      </w:r>
      <w:r>
        <w:t xml:space="preserve"> </w:t>
      </w:r>
      <w:r>
        <w:t xml:space="preserve">verlaagden beide behandelingen de HbA1c even sterk. Het gewichtsverschil bedroeg 4,1 kg in het voordeel van exenatide, nachtelijke hypoglykemieën waren zeldzamer (0,9 vs. 2,4 voorvallen per patiëntjaar). De prijs: misselijkheid trad op bij 57,1% tegenover 8,6%, braken bij 17,4% tegenover 3,7%. 19,4% van de exenatidegroep stopte met de studie, tegenover 9,7% met insuline.</w:t>
      </w:r>
    </w:p>
    <w:bookmarkEnd w:id="239"/>
    <w:bookmarkStart w:id="243" w:name="het-duration-programma-eenmaal-per-week"/>
    <w:p>
      <w:pPr>
        <w:pStyle w:val="Heading4"/>
      </w:pPr>
      <w:r>
        <w:t xml:space="preserve">Het DURATION-programma: eenmaal per week</w:t>
      </w:r>
    </w:p>
    <w:p>
      <w:pPr>
        <w:pStyle w:val="FirstParagraph"/>
      </w:pPr>
      <w:r>
        <w:t xml:space="preserve">De weekvorm werd getest in een reeks studies met de naam DURATION – tegen de tweemaal-daagse vorm, tegen tabletten, tegen insuline en tegen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DURATION-1 (Drucker 2008), PMID 18782641</w:t>
            </w:r>
          </w:p>
        </w:tc>
        <w:tc>
          <w:tcPr/>
          <w:p>
            <w:pPr>
              <w:pStyle w:val="Compact"/>
              <w:jc w:val="left"/>
            </w:pPr>
            <w:r>
              <w:t xml:space="preserve">295 personen, open: exenatide wekelijks vs. twee keer per dag</w:t>
            </w:r>
          </w:p>
        </w:tc>
        <w:tc>
          <w:tcPr/>
          <w:p>
            <w:pPr>
              <w:pStyle w:val="Compact"/>
              <w:jc w:val="left"/>
            </w:pPr>
            <w:r>
              <w:t xml:space="preserve">30 weken</w:t>
            </w:r>
          </w:p>
        </w:tc>
        <w:tc>
          <w:tcPr/>
          <w:p>
            <w:pPr>
              <w:pStyle w:val="Compact"/>
              <w:jc w:val="left"/>
            </w:pPr>
            <w:r>
              <w:t xml:space="preserve">HbA1c −1,9 vs. −1,5; streefwaarde ≤ 7% bij 77% vs. 61%</w:t>
            </w:r>
          </w:p>
        </w:tc>
      </w:tr>
      <w:tr>
        <w:tc>
          <w:tcPr/>
          <w:p>
            <w:pPr>
              <w:pStyle w:val="Compact"/>
              <w:jc w:val="left"/>
            </w:pPr>
            <w:r>
              <w:t xml:space="preserve">DURATION-1, 5-jaarsgegevens (Wysham 2015), PMID 25744115</w:t>
            </w:r>
          </w:p>
        </w:tc>
        <w:tc>
          <w:tcPr/>
          <w:p>
            <w:pPr>
              <w:pStyle w:val="Compact"/>
              <w:jc w:val="left"/>
            </w:pPr>
            <w:r>
              <w:t xml:space="preserve">258 personen in de verlenging, 153 bleven 5 jaar</w:t>
            </w:r>
          </w:p>
        </w:tc>
        <w:tc>
          <w:tcPr/>
          <w:p>
            <w:pPr>
              <w:pStyle w:val="Compact"/>
              <w:jc w:val="left"/>
            </w:pPr>
            <w:r>
              <w:t xml:space="preserve">5 jaar</w:t>
            </w:r>
          </w:p>
        </w:tc>
        <w:tc>
          <w:tcPr/>
          <w:p>
            <w:pPr>
              <w:pStyle w:val="Compact"/>
              <w:jc w:val="left"/>
            </w:pPr>
            <w:r>
              <w:t xml:space="preserve">HbA1c nog steeds −1,6; gewicht −3,0 kg</w:t>
            </w:r>
          </w:p>
        </w:tc>
      </w:tr>
      <w:tr>
        <w:tc>
          <w:tcPr/>
          <w:p>
            <w:pPr>
              <w:pStyle w:val="Compact"/>
              <w:jc w:val="left"/>
            </w:pPr>
            <w:r>
              <w:t xml:space="preserve">DURATION-2 (Bergenstal 2010), PMID 20580422</w:t>
            </w:r>
          </w:p>
        </w:tc>
        <w:tc>
          <w:tcPr/>
          <w:p>
            <w:pPr>
              <w:pStyle w:val="Compact"/>
              <w:jc w:val="left"/>
            </w:pPr>
            <w:r>
              <w:t xml:space="preserve">514 personen met metformine, vs. sitagliptine of pioglitazon</w:t>
            </w:r>
          </w:p>
        </w:tc>
        <w:tc>
          <w:tcPr/>
          <w:p>
            <w:pPr>
              <w:pStyle w:val="Compact"/>
              <w:jc w:val="left"/>
            </w:pPr>
            <w:r>
              <w:t xml:space="preserve">26 weken</w:t>
            </w:r>
          </w:p>
        </w:tc>
        <w:tc>
          <w:tcPr/>
          <w:p>
            <w:pPr>
              <w:pStyle w:val="Compact"/>
              <w:jc w:val="left"/>
            </w:pPr>
            <w:r>
              <w:t xml:space="preserve">HbA1c −1,5 vs. −0,9 resp. −1,2; gewicht −2,3 kg</w:t>
            </w:r>
          </w:p>
        </w:tc>
      </w:tr>
      <w:tr>
        <w:tc>
          <w:tcPr/>
          <w:p>
            <w:pPr>
              <w:pStyle w:val="Compact"/>
              <w:jc w:val="left"/>
            </w:pPr>
            <w:r>
              <w:t xml:space="preserve">DURATION-3 (Diamant 2010), PMID 20609969</w:t>
            </w:r>
          </w:p>
        </w:tc>
        <w:tc>
          <w:tcPr/>
          <w:p>
            <w:pPr>
              <w:pStyle w:val="Compact"/>
              <w:jc w:val="left"/>
            </w:pPr>
            <w:r>
              <w:t xml:space="preserve">456 personen, open vs. insuline glargine</w:t>
            </w:r>
          </w:p>
        </w:tc>
        <w:tc>
          <w:tcPr/>
          <w:p>
            <w:pPr>
              <w:pStyle w:val="Compact"/>
              <w:jc w:val="left"/>
            </w:pPr>
            <w:r>
              <w:t xml:space="preserve">26 weken</w:t>
            </w:r>
          </w:p>
        </w:tc>
        <w:tc>
          <w:tcPr/>
          <w:p>
            <w:pPr>
              <w:pStyle w:val="Compact"/>
              <w:jc w:val="left"/>
            </w:pPr>
            <w:r>
              <w:t xml:space="preserve">HbA1c −1,5 vs. −1,3; stoppen wegens bijwerkingen 5% vs. 1%</w:t>
            </w:r>
          </w:p>
        </w:tc>
      </w:tr>
      <w:tr>
        <w:tc>
          <w:tcPr/>
          <w:p>
            <w:pPr>
              <w:pStyle w:val="Compact"/>
              <w:jc w:val="left"/>
            </w:pPr>
            <w:r>
              <w:t xml:space="preserve">DURATION-6 (Buse 2013), PMID 23141817</w:t>
            </w:r>
          </w:p>
        </w:tc>
        <w:tc>
          <w:tcPr/>
          <w:p>
            <w:pPr>
              <w:pStyle w:val="Compact"/>
              <w:jc w:val="left"/>
            </w:pPr>
            <w:r>
              <w:t xml:space="preserve">911 personen, open vs. liraglutide dagelijks</w:t>
            </w:r>
          </w:p>
        </w:tc>
        <w:tc>
          <w:tcPr/>
          <w:p>
            <w:pPr>
              <w:pStyle w:val="Compact"/>
              <w:jc w:val="left"/>
            </w:pPr>
            <w:r>
              <w:t xml:space="preserve">26 weken</w:t>
            </w:r>
          </w:p>
        </w:tc>
        <w:tc>
          <w:tcPr/>
          <w:p>
            <w:pPr>
              <w:pStyle w:val="Compact"/>
              <w:jc w:val="left"/>
            </w:pPr>
            <w:r>
              <w:t xml:space="preserve">HbA1c −1,28 vs. −1,48; non-inferioriteit niet bereikt</w:t>
            </w:r>
          </w:p>
        </w:tc>
      </w:tr>
    </w:tbl>
    <w:p>
      <w:pPr>
        <w:pStyle w:val="BodyText"/>
      </w:pPr>
      <w:r>
        <w:t xml:space="preserve">De weekvorm verlaagde de langetermijnsuiker in DURATION-1 sterker dan de dagelijkse vorm, bij vergelijkbaar gewichtsverlies en zonder meer hypoglykemieën. Opmerkelijk is de vijfjaarsanalyse</w:t>
      </w:r>
      <w:r>
        <w:rPr>
          <w:rStyle w:val="FootnoteReference"/>
        </w:rPr>
        <w:footnoteReference w:id="240"/>
      </w:r>
      <w:r>
        <w:t xml:space="preserve">: van de 258 personen in de verlengingsfase bleven er 153 (59,3%) vijf jaar in behandeling. Bij hen lag de HbA1c nog steeds 1,6 procentpunt onder de uitgangswaarde, 43,9% bereikte een waarde onder 7%. Zulke verlengingen hebben echter een ingebouwde vertekening: wie slecht reageerde of bijwerkingen had, doet vaak niet meer mee.</w:t>
      </w:r>
    </w:p>
    <w:p>
      <w:pPr>
        <w:pStyle w:val="BodyText"/>
      </w:pPr>
      <w:r>
        <w:t xml:space="preserve">In DURATION-2</w:t>
      </w:r>
      <w:r>
        <w:rPr>
          <w:rStyle w:val="FootnoteReference"/>
        </w:rPr>
        <w:footnoteReference w:id="241"/>
      </w:r>
      <w:r>
        <w:t xml:space="preserve"> </w:t>
      </w:r>
      <w:r>
        <w:t xml:space="preserve">was de weekvorm superieur aan twee destijds gangbare tabletten: het verschil met sitagliptine bedroeg 0,6 procentpunt, met pioglitazon 0,3 procentpunt. Bij het gewicht bedroeg het verschil met pioglitazon, dat eerder tot gewichtstoename leidt, 5,1 kg. In DURATION-3</w:t>
      </w:r>
      <w:r>
        <w:rPr>
          <w:rStyle w:val="FootnoteReference"/>
        </w:rPr>
        <w:footnoteReference w:id="242"/>
      </w:r>
      <w:r>
        <w:t xml:space="preserve"> </w:t>
      </w:r>
      <w:r>
        <w:t xml:space="preserve">was exenatide wekelijks licht superieur aan de basale insuline glargine (verschil −0,16 procentpunt), maar meer personen stopten met de behandeling vanwege bijwerkingen.</w:t>
      </w:r>
    </w:p>
    <w:bookmarkEnd w:id="243"/>
    <w:bookmarkStart w:id="246" w:name="Xa1575badceb68dda17e74afc1f5f3aceed67ec3"/>
    <w:p>
      <w:pPr>
        <w:pStyle w:val="Heading4"/>
      </w:pPr>
      <w:r>
        <w:t xml:space="preserve">Directe vergelijkingen binnen de GLP-1-klasse</w:t>
      </w:r>
    </w:p>
    <w:p>
      <w:pPr>
        <w:pStyle w:val="FirstParagraph"/>
      </w:pPr>
      <w:r>
        <w:t xml:space="preserve">Voor de plaatsbepaling van exenatide zijn de head-to-headstudies met latere werkzame stoffen bijzonder verhelderend. Ze laten zien dat exenatide weliswaar werkzaam is, maar door de opvolgers wordt overtroffen.</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nam de weekvorm het op tegen liraglutide eenmaal per dag. Liraglutide verlaagde de HbA1c met 1,48 procentpunt, exenatide met 1,28. Het verschil van 0,21 procentpunt haalde de vooraf vastgelegde grens voor „niet slechter” niet. Daar stond tegenover dat exenatide beter werd verdragen: misselijkheid trad op bij 9% tegenover 21%, diarree bij 6% tegenover 13%, braken bij 4% tegenover 11%.</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verloor exenatide wekelijks over 56 weken duidelijk van semaglutide wekelijks. De HbA1c daalde met 0,9 tegenover 1,5 procentpunt, het gewicht met 1,9 tegenover 5,6 kg. Een HbA1c onder 7% bereikte 40% tegenover 67%. Maag-darmklachten waren onder exenatide iets zeldzamer (33,3% vs. 41,8%), reacties op de injectieplaats daarentegen veel vaker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Vergelijking</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(exenatide wekelijks vs. vergelijking)</w:t>
            </w:r>
          </w:p>
        </w:tc>
      </w:tr>
      <w:tr>
        <w:tc>
          <w:tcPr/>
          <w:p>
            <w:pPr>
              <w:pStyle w:val="Compact"/>
              <w:jc w:val="left"/>
            </w:pPr>
            <w:r>
              <w:t xml:space="preserve">DURATION-6 (Buse 2013), PMID 23141817</w:t>
            </w:r>
          </w:p>
        </w:tc>
        <w:tc>
          <w:tcPr/>
          <w:p>
            <w:pPr>
              <w:pStyle w:val="Compact"/>
              <w:jc w:val="left"/>
            </w:pPr>
            <w:r>
              <w:t xml:space="preserve">911 personen, open vs. liraglutide</w:t>
            </w:r>
          </w:p>
        </w:tc>
        <w:tc>
          <w:tcPr/>
          <w:p>
            <w:pPr>
              <w:pStyle w:val="Compact"/>
              <w:jc w:val="left"/>
            </w:pPr>
            <w:r>
              <w:t xml:space="preserve">26 weken</w:t>
            </w:r>
          </w:p>
        </w:tc>
        <w:tc>
          <w:tcPr/>
          <w:p>
            <w:pPr>
              <w:pStyle w:val="Compact"/>
              <w:jc w:val="left"/>
            </w:pPr>
            <w:r>
              <w:t xml:space="preserve">HbA1c −1,28 vs. −1,48; misselijkheid 9% vs. 21%</w:t>
            </w:r>
          </w:p>
        </w:tc>
      </w:tr>
      <w:tr>
        <w:tc>
          <w:tcPr/>
          <w:p>
            <w:pPr>
              <w:pStyle w:val="Compact"/>
              <w:jc w:val="left"/>
            </w:pPr>
            <w:r>
              <w:t xml:space="preserve">SUSTAIN 3 (Ahmann 2018), PMID 29246950</w:t>
            </w:r>
          </w:p>
        </w:tc>
        <w:tc>
          <w:tcPr/>
          <w:p>
            <w:pPr>
              <w:pStyle w:val="Compact"/>
              <w:jc w:val="left"/>
            </w:pPr>
            <w:r>
              <w:t xml:space="preserve">open vs. semaglutide wekelijks</w:t>
            </w:r>
          </w:p>
        </w:tc>
        <w:tc>
          <w:tcPr/>
          <w:p>
            <w:pPr>
              <w:pStyle w:val="Compact"/>
              <w:jc w:val="left"/>
            </w:pPr>
            <w:r>
              <w:t xml:space="preserve">56 weken</w:t>
            </w:r>
          </w:p>
        </w:tc>
        <w:tc>
          <w:tcPr/>
          <w:p>
            <w:pPr>
              <w:pStyle w:val="Compact"/>
              <w:jc w:val="left"/>
            </w:pPr>
            <w:r>
              <w:t xml:space="preserve">HbA1c −0,9 vs. −1,5; gewicht −1,9 vs. −5,6 kg</w:t>
            </w:r>
          </w:p>
        </w:tc>
      </w:tr>
    </w:tbl>
    <w:p>
      <w:pPr>
        <w:pStyle w:val="BodyText"/>
      </w:pPr>
      <w:r>
        <w:t xml:space="preserve">De vergelijking met dulaglutide en liraglutide twee keer per dag (de studies AWARD-1 en LEAD-6) wordt in de betreffende hoofdstukken besproken.</w:t>
      </w:r>
    </w:p>
    <w:p>
      <w:pPr>
        <w:pStyle w:val="BodyText"/>
      </w:pPr>
      <w:r>
        <w:t xml:space="preserve">Samengevat bevindt exenatide zich binnen de klasse in de lagere middenmoot: sterker dan de DPP-4-remmers (gliptines), zwakker dan liraglutide, dulaglutide en vooral semaglutide.</w:t>
      </w:r>
    </w:p>
    <w:bookmarkEnd w:id="246"/>
    <w:bookmarkStart w:id="250" w:name="exscel-de-cardiovasculaire-studie"/>
    <w:p>
      <w:pPr>
        <w:pStyle w:val="Heading4"/>
      </w:pPr>
      <w:r>
        <w:t xml:space="preserve">EXSCEL: de cardiovasculaire studie</w:t>
      </w:r>
    </w:p>
    <w:p>
      <w:pPr>
        <w:pStyle w:val="FirstParagraph"/>
      </w:pPr>
      <w:r>
        <w:t xml:space="preserve">Sinds 2008 eist de Amerikaanse geneesmiddelenautoriteit FDA van nieuwe diabetesgeneesmiddelen het bewijs dat ze het cardiovasculaire risico niet verhogen. Voor exenatide wekelijks werd daarvoor EXSCEL uitgevoerd – een van de grootste studies van dit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EXSCEL (Holman 2017), PMID 28910237</w:t>
            </w:r>
          </w:p>
        </w:tc>
        <w:tc>
          <w:tcPr/>
          <w:p>
            <w:pPr>
              <w:pStyle w:val="Compact"/>
              <w:jc w:val="left"/>
            </w:pPr>
            <w:r>
              <w:t xml:space="preserve">14.752 personen met diabetes type 2, 73,1% met eerdere hart- en vaatziekte, RCT tegen placebo</w:t>
            </w:r>
          </w:p>
        </w:tc>
        <w:tc>
          <w:tcPr/>
          <w:p>
            <w:pPr>
              <w:pStyle w:val="Compact"/>
              <w:jc w:val="left"/>
            </w:pPr>
            <w:r>
              <w:t xml:space="preserve">mediaan 3,2 jaar</w:t>
            </w:r>
          </w:p>
        </w:tc>
        <w:tc>
          <w:tcPr/>
          <w:p>
            <w:pPr>
              <w:pStyle w:val="Compact"/>
              <w:jc w:val="left"/>
            </w:pPr>
            <w:r>
              <w:t xml:space="preserve">ernstige cardiovasculaire gebeurtenissen 11,4% vs. 12,2%; HR 0,91 (0,83–1,00), superioriteit nipt niet bereikt (p = 0,06)</w:t>
            </w:r>
          </w:p>
        </w:tc>
      </w:tr>
      <w:tr>
        <w:tc>
          <w:tcPr/>
          <w:p>
            <w:pPr>
              <w:pStyle w:val="Compact"/>
              <w:jc w:val="left"/>
            </w:pPr>
            <w:r>
              <w:t xml:space="preserve">FREEDOM-CVO (Ruff 2022), PMID 34873344</w:t>
            </w:r>
          </w:p>
        </w:tc>
        <w:tc>
          <w:tcPr/>
          <w:p>
            <w:pPr>
              <w:pStyle w:val="Compact"/>
              <w:jc w:val="left"/>
            </w:pPr>
            <w:r>
              <w:t xml:space="preserve">4.156 personen, exenatide-pompimplantaat ITCA 650 vs. placebo</w:t>
            </w:r>
          </w:p>
        </w:tc>
        <w:tc>
          <w:tcPr/>
          <w:p>
            <w:pPr>
              <w:pStyle w:val="Compact"/>
              <w:jc w:val="left"/>
            </w:pPr>
            <w:r>
              <w:t xml:space="preserve">mediaan 16 maanden</w:t>
            </w:r>
          </w:p>
        </w:tc>
        <w:tc>
          <w:tcPr/>
          <w:p>
            <w:pPr>
              <w:pStyle w:val="Compact"/>
              <w:jc w:val="left"/>
            </w:pPr>
            <w:r>
              <w:t xml:space="preserve">gebeurtenissen 4,6% vs. 3,8%; HR 1,21 (0,90–1,63), veiligheidscriterium gehaald</w:t>
            </w:r>
          </w:p>
        </w:tc>
      </w:tr>
    </w:tbl>
    <w:p>
      <w:pPr>
        <w:pStyle w:val="BodyText"/>
      </w:pPr>
      <w:r>
        <w:t xml:space="preserve">Het gecombineerde primaire eindpunt van EXSCEL</w:t>
      </w:r>
      <w:r>
        <w:rPr>
          <w:rStyle w:val="FootnoteReference"/>
        </w:rPr>
        <w:footnoteReference w:id="247"/>
      </w:r>
      <w:r>
        <w:t xml:space="preserve"> </w:t>
      </w:r>
      <w:r>
        <w:t xml:space="preserve">– overlijden door een cardiovasculaire oorzaak, niet-fataal hartinfarct of beroerte – trad onder exenatide op bij 839 van 7.356 personen (11,4%), onder placebo bij 905 van 7.396 (12,2%). Dat komt overeen met een hazard ratio (relatief risico in de tijd) van 0,91. Exenatide was daarmee veilig, maar niet aantoonbaar beschermend. Acute alvleesklierontsteking, alvleesklierkanker en medullair schildkliercarcinoom kwamen niet vaker voor dan onder placebo.</w:t>
      </w:r>
    </w:p>
    <w:p>
      <w:pPr>
        <w:pStyle w:val="BodyText"/>
      </w:pPr>
      <w:r>
        <w:t xml:space="preserve">Waarom exenatide in EXSCEL zwakker presteerde dan liraglutide in LEADER of dulaglutide in REWIND, is niet definitief opgehelderd. Besproken worden een zwakkere werking van het molecuul zelf, het hoge uitvalpercentage in de studie en een pragmatische opzet met weinig controle. In een gezamenlijke meta-analyse van de zeven grote GLP-1-uitkomststudies met samen 56.004 deelnemers</w:t>
      </w:r>
      <w:r>
        <w:rPr>
          <w:rStyle w:val="FootnoteReference"/>
        </w:rPr>
        <w:footnoteReference w:id="248"/>
      </w:r>
      <w:r>
        <w:t xml:space="preserve"> </w:t>
      </w:r>
      <w:r>
        <w:t xml:space="preserve">verlaagde de klasse ernstige cardiovasculaire gebeurtenissen met 12% (HR 0,88) – zonder betekenisvolle verschillen tussen de subgroepen. EXSCEL past dus in het totaalbeeld, maar ligt aan de zwakkere kant.</w:t>
      </w:r>
    </w:p>
    <w:p>
      <w:pPr>
        <w:pStyle w:val="BodyText"/>
      </w:pPr>
      <w:r>
        <w:t xml:space="preserve">Het pompimplantaat ITCA 650, een apparaatje ter grootte van een lucifer dat exenatide maandenlang gelijkmatig moest afgeven, voldeed in FREEDOM-CVO</w:t>
      </w:r>
      <w:r>
        <w:rPr>
          <w:rStyle w:val="FootnoteReference"/>
        </w:rPr>
        <w:footnoteReference w:id="249"/>
      </w:r>
      <w:r>
        <w:t xml:space="preserve"> </w:t>
      </w:r>
      <w:r>
        <w:t xml:space="preserve">alleen aan de ruime veiligheidsgrens uit 2008. De puntschatting lag ongunstig boven 1, bijwerkingen kwamen vaker voor dan onder placebo (72% vs. 63,9%). Het systeem kreeg geen registratie.</w:t>
      </w:r>
    </w:p>
    <w:bookmarkEnd w:id="250"/>
    <w:bookmarkStart w:id="254" w:name="gewicht-zonder-diabetes-en-bij-jongeren"/>
    <w:p>
      <w:pPr>
        <w:pStyle w:val="Heading4"/>
      </w:pPr>
      <w:r>
        <w:t xml:space="preserve">Gewicht zonder diabetes en bij jongeren</w:t>
      </w:r>
    </w:p>
    <w:p>
      <w:pPr>
        <w:pStyle w:val="FirstParagraph"/>
      </w:pPr>
      <w:r>
        <w:t xml:space="preserve">Exenatide is niet geregistreerd voor gewichtsvermindering, maar werd daarvoor in kleinere studies onderzocht. Bij 152 volwassenen met obesitas zonder diabetes verloren de deelnemers met exenatide twee keer per dag plus een leefstijlprogramma in 24 weken 5,1 kg, met placebo 1,6 kg</w:t>
      </w:r>
      <w:r>
        <w:rPr>
          <w:rStyle w:val="FootnoteReference"/>
        </w:rPr>
        <w:footnoteReference w:id="251"/>
      </w:r>
      <w:r>
        <w:t xml:space="preserve">. Een meta-analyse van zes kleine studies met 362 deelnemers vond een gemiddeld extra verlies van 4,47 kg ten opzichte van controles</w:t>
      </w:r>
      <w:r>
        <w:rPr>
          <w:rStyle w:val="FootnoteReference"/>
        </w:rPr>
        <w:footnoteReference w:id="252"/>
      </w:r>
      <w:r>
        <w:t xml:space="preserve">. Dat is een fractie van wat later met semaglutide of tirzepatide werd bereikt.</w:t>
      </w:r>
    </w:p>
    <w:p>
      <w:pPr>
        <w:pStyle w:val="BodyText"/>
      </w:pPr>
      <w:r>
        <w:t xml:space="preserve">Bij jongeren met diabetes type 2 verlaagde de weekvorm in een studie met 83 deelnemers de HbA1c na 24 weken 0,85 procentpunt sterker dan placebo</w:t>
      </w:r>
      <w:r>
        <w:rPr>
          <w:rStyle w:val="FootnoteReference"/>
        </w:rPr>
        <w:footnoteReference w:id="253"/>
      </w:r>
      <w:r>
        <w:t xml:space="preserve">. Een gewichtsverschil van −1,22 kg was statistisch niet significant. Deze studie vormde de basis voor de uitbreiding van de registratie naar jongeren.</w:t>
      </w:r>
    </w:p>
    <w:bookmarkEnd w:id="254"/>
    <w:bookmarkStart w:id="259" w:name="Xb457d13f04d52127f08d22178c9498c09b217c4"/>
    <w:p>
      <w:pPr>
        <w:pStyle w:val="Heading4"/>
      </w:pPr>
      <w:r>
        <w:t xml:space="preserve">Parkinson: hoop, ontnuchtering en een expression of concern</w:t>
      </w:r>
    </w:p>
    <w:p>
      <w:pPr>
        <w:pStyle w:val="FirstParagraph"/>
      </w:pPr>
      <w:r>
        <w:t xml:space="preserve">Geen ander toepassingsgebied heeft exenatide buiten diabetes zoveel aandacht opgeleverd als de ziekte van Parkinson. Uitgangspunt waren dier- en celproeven waarin GLP-1-receptoragonisten zenuwcellen beschermden.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Exenatide-PD (Athauda 2017), PMID 28781108</w:t>
            </w:r>
          </w:p>
        </w:tc>
        <w:tc>
          <w:tcPr/>
          <w:p>
            <w:pPr>
              <w:pStyle w:val="Compact"/>
              <w:jc w:val="left"/>
            </w:pPr>
            <w:r>
              <w:t xml:space="preserve">62 personen met matig ernstige Parkinson, RCT tegen placebo</w:t>
            </w:r>
          </w:p>
        </w:tc>
        <w:tc>
          <w:tcPr/>
          <w:p>
            <w:pPr>
              <w:pStyle w:val="Compact"/>
              <w:jc w:val="left"/>
            </w:pPr>
            <w:r>
              <w:t xml:space="preserve">48 weken + 12 weken uitwasfase</w:t>
            </w:r>
          </w:p>
        </w:tc>
        <w:tc>
          <w:tcPr/>
          <w:p>
            <w:pPr>
              <w:pStyle w:val="Compact"/>
              <w:jc w:val="left"/>
            </w:pPr>
            <w:r>
              <w:t xml:space="preserve">motoriekscore 3,5 punten beter dan placebo (p = 0,0318)</w:t>
            </w:r>
          </w:p>
        </w:tc>
      </w:tr>
      <w:tr>
        <w:tc>
          <w:tcPr/>
          <w:p>
            <w:pPr>
              <w:pStyle w:val="Compact"/>
              <w:jc w:val="left"/>
            </w:pPr>
            <w:r>
              <w:t xml:space="preserve">Exenatide-PD3 (Vijiaratnam 2025), PMID 39919773</w:t>
            </w:r>
          </w:p>
        </w:tc>
        <w:tc>
          <w:tcPr/>
          <w:p>
            <w:pPr>
              <w:pStyle w:val="Compact"/>
              <w:jc w:val="left"/>
            </w:pPr>
            <w:r>
              <w:t xml:space="preserve">194 personen, RCT tegen placebo, zes centra</w:t>
            </w:r>
          </w:p>
        </w:tc>
        <w:tc>
          <w:tcPr/>
          <w:p>
            <w:pPr>
              <w:pStyle w:val="Compact"/>
              <w:jc w:val="left"/>
            </w:pPr>
            <w:r>
              <w:t xml:space="preserve">96 weken</w:t>
            </w:r>
          </w:p>
        </w:tc>
        <w:tc>
          <w:tcPr/>
          <w:p>
            <w:pPr>
              <w:pStyle w:val="Compact"/>
              <w:jc w:val="left"/>
            </w:pPr>
            <w:r>
              <w:t xml:space="preserve">geen verschil: +5,7 vs. +4,5 punten verslechtering (p = 0,47)</w:t>
            </w:r>
          </w:p>
        </w:tc>
      </w:tr>
      <w:tr>
        <w:tc>
          <w:tcPr/>
          <w:p>
            <w:pPr>
              <w:pStyle w:val="Compact"/>
              <w:jc w:val="left"/>
            </w:pPr>
            <w:r>
              <w:t xml:space="preserve">NLY01 (McGarry 2024), PMID 38101901</w:t>
            </w:r>
          </w:p>
        </w:tc>
        <w:tc>
          <w:tcPr/>
          <w:p>
            <w:pPr>
              <w:pStyle w:val="Compact"/>
              <w:jc w:val="left"/>
            </w:pPr>
            <w:r>
              <w:t xml:space="preserve">255 personen met vroege onbehandelde Parkinson, gepegyleerd exenatide vs. placebo</w:t>
            </w:r>
          </w:p>
        </w:tc>
        <w:tc>
          <w:tcPr/>
          <w:p>
            <w:pPr>
              <w:pStyle w:val="Compact"/>
              <w:jc w:val="left"/>
            </w:pPr>
            <w:r>
              <w:t xml:space="preserve">36 weken</w:t>
            </w:r>
          </w:p>
        </w:tc>
        <w:tc>
          <w:tcPr/>
          <w:p>
            <w:pPr>
              <w:pStyle w:val="Compact"/>
              <w:jc w:val="left"/>
            </w:pPr>
            <w:r>
              <w:t xml:space="preserve">geen verschil in beide dosisgroepen</w:t>
            </w:r>
          </w:p>
        </w:tc>
      </w:tr>
    </w:tbl>
    <w:p>
      <w:pPr>
        <w:pStyle w:val="BodyText"/>
      </w:pPr>
      <w:r>
        <w:t xml:space="preserve">De kleine studie van Athauda 2017</w:t>
      </w:r>
      <w:r>
        <w:rPr>
          <w:rStyle w:val="FootnoteReference"/>
        </w:rPr>
        <w:footnoteReference w:id="255"/>
      </w:r>
      <w:r>
        <w:t xml:space="preserve"> </w:t>
      </w:r>
      <w:r>
        <w:t xml:space="preserve">vond na 60 weken een verschil van 3,5 punten op de motorische beoordelingsschaal MDS-UPDRS deel III, dat ook na het stoppen aanhield. Dat werd vaak geïnterpreteerd als mogelijk eerste aanwijzing voor een ziektevertragende werking. De auteurs bleven voorzichtig: of exenatide het ziekteverloop beïnvloedt of alleen langdurige effecten op de symptomen heeft, was volgens hen onduidelijk.</w:t>
      </w:r>
    </w:p>
    <w:p>
      <w:pPr>
        <w:pStyle w:val="BodyText"/>
      </w:pPr>
      <w:r>
        <w:t xml:space="preserve">De grotere fase 3-studie Exenatide-PD3</w:t>
      </w:r>
      <w:r>
        <w:rPr>
          <w:rStyle w:val="FootnoteReference"/>
        </w:rPr>
        <w:footnoteReference w:id="256"/>
      </w:r>
      <w:r>
        <w:t xml:space="preserve"> </w:t>
      </w:r>
      <w:r>
        <w:t xml:space="preserve">kon dat niet bevestigen. Na 96 weken was de motoriekscore in beide groepen vergelijkbaar verslechterd. De onderzoekers concludeerden dat er geen bewijs is voor exenatide als ziektemodificerende behandeling. Over deze publicatie bracht het vaktijdschrift in 2026 een zogeheten expression of concern uit (Expression of Concern, The Lancet 2026, PMID 42330995) – een redactionele mededeling dat vragen over een publicatie worden onderzocht. De PubMed-vermelding bevat geen samenvatting van de redenen; de beoordeling van de studie moet daarom tot de opheldering met voorbehoud gebeuren. Ook een gepegyleerde, langer werkzame exenatidevariant (NLY01) liet bij vroege Parkinson geen nut zien</w:t>
      </w:r>
      <w:r>
        <w:rPr>
          <w:rStyle w:val="FootnoteReference"/>
        </w:rPr>
        <w:footnoteReference w:id="257"/>
      </w:r>
      <w:r>
        <w:t xml:space="preserve">.</w:t>
      </w:r>
    </w:p>
    <w:p>
      <w:pPr>
        <w:pStyle w:val="BodyText"/>
      </w:pPr>
      <w:r>
        <w:t xml:space="preserve">Bij multisysteematrofie, een zeldzame verwante aandoening, vond een open studie met 50 deelnemers een voordeel op het primaire eindpunt, maar geen verschil in objectieve meetwaarden zoals biomarkers of beeldvorming</w:t>
      </w:r>
      <w:r>
        <w:rPr>
          <w:rStyle w:val="FootnoteReference"/>
        </w:rPr>
        <w:footnoteReference w:id="258"/>
      </w:r>
      <w:r>
        <w:t xml:space="preserve">. De auteurs achten zelf een placebo- of waarnemerseffect mogelijk.</w:t>
      </w:r>
    </w:p>
    <w:bookmarkEnd w:id="259"/>
    <w:bookmarkStart w:id="264" w:name="andere-toepassingsgebieden-in-studies"/>
    <w:p>
      <w:pPr>
        <w:pStyle w:val="Heading4"/>
      </w:pPr>
      <w:r>
        <w:t xml:space="preserve">Andere toepassingsgebieden in studies</w:t>
      </w:r>
    </w:p>
    <w:p>
      <w:pPr>
        <w:numPr>
          <w:ilvl w:val="0"/>
          <w:numId w:val="1037"/>
        </w:numPr>
        <w:pStyle w:val="Compact"/>
      </w:pPr>
      <w:r>
        <w:rPr>
          <w:bCs/>
          <w:b/>
        </w:rPr>
        <w:t xml:space="preserve">Alzheimer en lichte cognitieve stoornis:</w:t>
      </w:r>
      <w:r>
        <w:t xml:space="preserve"> </w:t>
      </w:r>
      <w:r>
        <w:t xml:space="preserve">een voortijdig beëindigde pilotstudie vond geen verschillen in geheugen- of beeldvormingsmaten</w:t>
      </w:r>
      <w:r>
        <w:rPr>
          <w:rStyle w:val="FootnoteReference"/>
        </w:rPr>
        <w:footnoteReference w:id="260"/>
      </w:r>
      <w:r>
        <w:t xml:space="preserve">. Een studie van 32 weken bij lichte cognitieve stoornis liet evenmin nut zien</w:t>
      </w:r>
      <w:r>
        <w:rPr>
          <w:rStyle w:val="FootnoteReference"/>
        </w:rPr>
        <w:footnoteReference w:id="261"/>
      </w:r>
      <w:r>
        <w:t xml:space="preserve">.</w:t>
      </w:r>
    </w:p>
    <w:p>
      <w:pPr>
        <w:numPr>
          <w:ilvl w:val="0"/>
          <w:numId w:val="1037"/>
        </w:numPr>
        <w:pStyle w:val="Compact"/>
      </w:pPr>
      <w:r>
        <w:rPr>
          <w:bCs/>
          <w:b/>
        </w:rPr>
        <w:t xml:space="preserve">Alcoholafhankelijkheid:</w:t>
      </w:r>
      <w:r>
        <w:t xml:space="preserve"> </w:t>
      </w:r>
      <w:r>
        <w:t xml:space="preserve">in een studie met 127 deelnemers verminderde exenatide wekelijks het aantal dagen met zwaar drinken niet significant. In een achteraf uitgevoerde subgroepanalyse bij mensen met obesitas was een effect te zien; op de hersen-MRI was de reactie op alcoholprikkels afgezwakt</w:t>
      </w:r>
      <w:r>
        <w:rPr>
          <w:rStyle w:val="FootnoteReference"/>
        </w:rPr>
        <w:footnoteReference w:id="262"/>
      </w:r>
      <w:r>
        <w:t xml:space="preserve">. Zulke subgroepbevindingen zijn hypothesen, geen bewijs.</w:t>
      </w:r>
    </w:p>
    <w:p>
      <w:pPr>
        <w:numPr>
          <w:ilvl w:val="0"/>
          <w:numId w:val="1037"/>
        </w:numPr>
        <w:pStyle w:val="Compact"/>
      </w:pPr>
      <w:r>
        <w:rPr>
          <w:bCs/>
          <w:b/>
        </w:rPr>
        <w:t xml:space="preserve">Idiopathische intracraniële hypertensie</w:t>
      </w:r>
      <w:r>
        <w:t xml:space="preserve"> </w:t>
      </w:r>
      <w:r>
        <w:t xml:space="preserve">(verhoogde hersendruk zonder herkenbare oorzaak, meestal bij jonge vrouwen met overgewicht): bij 16 vrouwen verlaagde exenatide de gemeten hersendruk na 24 uur met gemiddeld 6,4 cm waterkolom ten opzichte van placebo</w:t>
      </w:r>
      <w:r>
        <w:rPr>
          <w:rStyle w:val="FootnoteReference"/>
        </w:rPr>
        <w:footnoteReference w:id="263"/>
      </w:r>
      <w:r>
        <w:t xml:space="preserve">. De studie is zeer klein; een grotere studie moet nog volgen.</w:t>
      </w:r>
    </w:p>
    <w:bookmarkEnd w:id="264"/>
    <w:bookmarkEnd w:id="265"/>
    <w:bookmarkStart w:id="269" w:name="dier--en-laboratoriumstudies"/>
    <w:p>
      <w:pPr>
        <w:pStyle w:val="Heading3"/>
      </w:pPr>
      <w:r>
        <w:t xml:space="preserve">Dier- en laboratoriumstudies</w:t>
      </w:r>
    </w:p>
    <w:p>
      <w:pPr>
        <w:pStyle w:val="FirstParagraph"/>
      </w:pPr>
      <w:r>
        <w:t xml:space="preserve">Exendine-4 werd oorspronkelijk helemaal niet als diabetesmiddel gezocht. In de eerste beschrijving uit 1992 onderzochten de onderzoekers de werking op cellen uit de alvleesklier van cavia’s</w:t>
      </w:r>
      <w:r>
        <w:rPr>
          <w:rStyle w:val="FootnoteReference"/>
        </w:rPr>
        <w:footnoteReference w:id="266"/>
      </w:r>
      <w:r>
        <w:t xml:space="preserve">. Pas later bleek dat het op de GLP-1-receptor aangrijpt.</w:t>
      </w:r>
    </w:p>
    <w:p>
      <w:pPr>
        <w:pStyle w:val="BodyText"/>
      </w:pPr>
      <w:r>
        <w:t xml:space="preserve">Daarna volgde een groot aantal dierstudies. Bij ratten bij wie een deel van de alvleesklier was verwijderd, bevorderde exendine-4 de nieuwvorming en deling van insulineproducerende bètacellen en remde het de ontwikkeling van diabetes</w:t>
      </w:r>
      <w:r>
        <w:rPr>
          <w:rStyle w:val="FootnoteReference"/>
        </w:rPr>
        <w:footnoteReference w:id="267"/>
      </w:r>
      <w:r>
        <w:t xml:space="preserve">. Of een dergelijke regeneratie van bètacellen ook bij de mens in noemenswaardige mate kan worden bereikt, is tot op heden niet aangetoond.</w:t>
      </w:r>
    </w:p>
    <w:p>
      <w:pPr>
        <w:pStyle w:val="BodyText"/>
      </w:pPr>
      <w:r>
        <w:t xml:space="preserve">Daarnaast waren er proeven bij knaagdieren over zenuwbescherming (Parkinson, Alzheimer, beroerte), alcohol- en verslavingsgedrag en hersendruk. Deze dierdata waren de aanleiding voor de hierboven beschreven studies bij mensen – waarvan de resultaten tot nu toe duidelijk bescheidener uitvallen. Dat is een leerzaam voorbeeld van hoe moeilijk resultaten bij ratten en muizen naar de mens te vertalen zijn.</w:t>
      </w:r>
    </w:p>
    <w:p>
      <w:pPr>
        <w:pStyle w:val="BodyText"/>
      </w:pPr>
      <w:r>
        <w:t xml:space="preserve">Over de schildklier: bij ratten en muizen veroorzaken GLP-1-receptoragonisten een toename van de C-cellen van de schildklier, bij primaten en mensen hebben deze cellen daarentegen nauwelijks de receptor</w:t>
      </w:r>
      <w:r>
        <w:rPr>
          <w:rStyle w:val="FootnoteReference"/>
        </w:rPr>
        <w:footnoteReference w:id="268"/>
      </w:r>
      <w:r>
        <w:t xml:space="preserve">. Meer daarover in het hoofdstuk Liraglutide en in deel IV.</w:t>
      </w:r>
    </w:p>
    <w:bookmarkEnd w:id="269"/>
    <w:bookmarkStart w:id="279" w:name="risicos-en-bijwerkingen"/>
    <w:p>
      <w:pPr>
        <w:pStyle w:val="Heading3"/>
      </w:pPr>
      <w:r>
        <w:t xml:space="preserve">Risico’s en bijwerkingen</w:t>
      </w:r>
    </w:p>
    <w:p>
      <w:pPr>
        <w:pStyle w:val="FirstParagraph"/>
      </w:pPr>
      <w:r>
        <w:rPr>
          <w:bCs/>
          <w:b/>
        </w:rPr>
        <w:t xml:space="preserve">Aangetoond in gerandomiseerde studies:</w:t>
      </w:r>
    </w:p>
    <w:p>
      <w:pPr>
        <w:numPr>
          <w:ilvl w:val="0"/>
          <w:numId w:val="1038"/>
        </w:numPr>
        <w:pStyle w:val="Compact"/>
      </w:pPr>
      <w:r>
        <w:rPr>
          <w:bCs/>
          <w:b/>
        </w:rPr>
        <w:t xml:space="preserve">Maag-darmklachten</w:t>
      </w:r>
      <w:r>
        <w:t xml:space="preserve"> </w:t>
      </w:r>
      <w:r>
        <w:t xml:space="preserve">zijn de meest voorkomende bijwerking. Bij de tweemaal-daagse vorm trad misselijkheid in de vergelijking met insuline glargine op bij 57,1% van de behandelden, braken bij 17,4%</w:t>
      </w:r>
      <w:r>
        <w:rPr>
          <w:rStyle w:val="FootnoteReference"/>
        </w:rPr>
        <w:footnoteReference w:id="270"/>
      </w:r>
      <w:r>
        <w:t xml:space="preserve">. De weekvorm veroorzaakt minder misselijkheid; in DURATION-6 was dat 9%</w:t>
      </w:r>
      <w:r>
        <w:rPr>
          <w:rStyle w:val="FootnoteReference"/>
        </w:rPr>
        <w:footnoteReference w:id="271"/>
      </w:r>
      <w:r>
        <w:t xml:space="preserve">. De klachten nemen na verloop van tijd meestal af.</w:t>
      </w:r>
    </w:p>
    <w:p>
      <w:pPr>
        <w:numPr>
          <w:ilvl w:val="0"/>
          <w:numId w:val="1038"/>
        </w:numPr>
        <w:pStyle w:val="Compact"/>
      </w:pPr>
      <w:r>
        <w:rPr>
          <w:bCs/>
          <w:b/>
        </w:rPr>
        <w:t xml:space="preserve">Hypoglykemie</w:t>
      </w:r>
      <w:r>
        <w:t xml:space="preserve"> </w:t>
      </w:r>
      <w:r>
        <w:t xml:space="preserve">is op zichzelf zeldzaam, maar komt in combinatie met sulfonylureumderivaten of insuline vaker voor</w:t>
      </w:r>
      <w:r>
        <w:rPr>
          <w:rStyle w:val="FootnoteReference"/>
        </w:rPr>
        <w:footnoteReference w:id="272"/>
      </w:r>
      <w:r>
        <w:t xml:space="preserve">.</w:t>
      </w:r>
    </w:p>
    <w:p>
      <w:pPr>
        <w:numPr>
          <w:ilvl w:val="0"/>
          <w:numId w:val="1038"/>
        </w:numPr>
        <w:pStyle w:val="Compact"/>
      </w:pPr>
      <w:r>
        <w:rPr>
          <w:bCs/>
          <w:b/>
        </w:rPr>
        <w:t xml:space="preserve">Reacties op de injectieplaats:</w:t>
      </w:r>
      <w:r>
        <w:t xml:space="preserve"> </w:t>
      </w:r>
      <w:r>
        <w:t xml:space="preserve">bij de weekvorm ontstaan vaak voelbare knobbeltjes onder de huid, omdat de microbolletjes daar langzaam worden afgebroken. In de vijfjaarsanalyse van DURATION-1 werden zulke reacties na verloop van tijd zeldzamer</w:t>
      </w:r>
      <w:r>
        <w:rPr>
          <w:rStyle w:val="FootnoteReference"/>
        </w:rPr>
        <w:footnoteReference w:id="273"/>
      </w:r>
      <w:r>
        <w:t xml:space="preserve">.</w:t>
      </w:r>
    </w:p>
    <w:p>
      <w:pPr>
        <w:numPr>
          <w:ilvl w:val="0"/>
          <w:numId w:val="1038"/>
        </w:numPr>
        <w:pStyle w:val="Compact"/>
      </w:pPr>
      <w:r>
        <w:rPr>
          <w:bCs/>
          <w:b/>
        </w:rPr>
        <w:t xml:space="preserve">Vorming van antilichamen:</w:t>
      </w:r>
      <w:r>
        <w:t xml:space="preserve"> </w:t>
      </w:r>
      <w:r>
        <w:t xml:space="preserve">vanwege de herkomst uit hagedissengif vormt een deel van de behandelden antilichamen. Dit wordt uitgebreider beschreven in deel IV.</w:t>
      </w:r>
    </w:p>
    <w:p>
      <w:pPr>
        <w:pStyle w:val="FirstParagraph"/>
      </w:pPr>
      <w:r>
        <w:rPr>
          <w:bCs/>
          <w:b/>
        </w:rPr>
        <w:t xml:space="preserve">Onderzocht, maar niet bevestigd of onzeker:</w:t>
      </w:r>
    </w:p>
    <w:p>
      <w:pPr>
        <w:numPr>
          <w:ilvl w:val="0"/>
          <w:numId w:val="1039"/>
        </w:numPr>
        <w:pStyle w:val="Compact"/>
      </w:pPr>
      <w:r>
        <w:rPr>
          <w:bCs/>
          <w:b/>
        </w:rPr>
        <w:t xml:space="preserve">Acute alvleesklierontsteking (pancreatitis):</w:t>
      </w:r>
      <w:r>
        <w:t xml:space="preserve"> </w:t>
      </w:r>
      <w:r>
        <w:t xml:space="preserve">kort na de marktintroductie waren er spontane meldingen, die tot waarschuwingen leidden. In een gepoolde analyse van twee verzekeringsdatabases met 49.956 personen met exenatide twee keer per dag was het risico zonder correctie niet verhoogd (relatief risico 1,0), na correctie voor misclassificatie licht verhoogd (1,3; betrouwbaarheidsinterval 1,0–1,7)</w:t>
      </w:r>
      <w:r>
        <w:rPr>
          <w:rStyle w:val="FootnoteReference"/>
        </w:rPr>
        <w:footnoteReference w:id="274"/>
      </w:r>
      <w:r>
        <w:t xml:space="preserve">. In EXSCEL kwam pancreatitis niet vaker voor dan onder placebo</w:t>
      </w:r>
      <w:r>
        <w:rPr>
          <w:rStyle w:val="FootnoteReference"/>
        </w:rPr>
        <w:footnoteReference w:id="275"/>
      </w:r>
      <w:r>
        <w:t xml:space="preserve">. Pancreatitis blijft als zeldzame bijwerking in de productinformatie vermeld.</w:t>
      </w:r>
    </w:p>
    <w:p>
      <w:pPr>
        <w:numPr>
          <w:ilvl w:val="0"/>
          <w:numId w:val="1039"/>
        </w:numPr>
        <w:pStyle w:val="Compact"/>
      </w:pPr>
      <w:r>
        <w:rPr>
          <w:bCs/>
          <w:b/>
        </w:rPr>
        <w:t xml:space="preserve">Kanker van alvleesklier en schildklier:</w:t>
      </w:r>
      <w:r>
        <w:t xml:space="preserve"> </w:t>
      </w:r>
      <w:r>
        <w:t xml:space="preserve">in een Amerikaanse cohortstudie met 33.629 personen met exenatide was het risico op alvleesklierkanker niet verhoogd (HR 0,76); voor schildklierkanker lag de schatting op 1,46, met een betrouwbaarheidsinterval van 0,98 tot 2,19, dus statistisch niet significant</w:t>
      </w:r>
      <w:r>
        <w:rPr>
          <w:rStyle w:val="FootnoteReference"/>
        </w:rPr>
        <w:footnoteReference w:id="276"/>
      </w:r>
      <w:r>
        <w:t xml:space="preserve">. Een meta-analyse van 50 gerandomiseerde studies over de hele GLP-1-klasse vond in totaal geen verhoogd kankerrisico, maar wel een signaal voor schildklierkanker (oddsratio 1,55), dat verder onderzocht moet worden</w:t>
      </w:r>
      <w:r>
        <w:rPr>
          <w:rStyle w:val="FootnoteReference"/>
        </w:rPr>
        <w:footnoteReference w:id="277"/>
      </w:r>
      <w:r>
        <w:t xml:space="preserve">. Een Europese veiligheidsstudie naar alvleesklierkanker onder exenatide loopt</w:t>
      </w:r>
      <w:r>
        <w:rPr>
          <w:rStyle w:val="FootnoteReference"/>
        </w:rPr>
        <w:footnoteReference w:id="278"/>
      </w:r>
      <w:r>
        <w:t xml:space="preserve">.</w:t>
      </w:r>
    </w:p>
    <w:p>
      <w:pPr>
        <w:numPr>
          <w:ilvl w:val="0"/>
          <w:numId w:val="1039"/>
        </w:numPr>
        <w:pStyle w:val="Compact"/>
      </w:pPr>
      <w:r>
        <w:rPr>
          <w:bCs/>
          <w:b/>
        </w:rPr>
        <w:t xml:space="preserve">Cardiovasculair risico:</w:t>
      </w:r>
      <w:r>
        <w:t xml:space="preserve"> </w:t>
      </w:r>
      <w:r>
        <w:t xml:space="preserve">in EXSCEL niet verhoogd.</w:t>
      </w:r>
    </w:p>
    <w:p>
      <w:pPr>
        <w:pStyle w:val="FirstParagraph"/>
      </w:pPr>
      <w:r>
        <w:rPr>
          <w:bCs/>
          <w:b/>
        </w:rPr>
        <w:t xml:space="preserve">Aanwijzingen voor de praktijk:</w:t>
      </w:r>
      <w:r>
        <w:t xml:space="preserve"> </w:t>
      </w:r>
      <w:r>
        <w:t xml:space="preserve">exenatide wordt via de nieren uitgescheiden; bij sterk verminderde nierfunctie wordt het niet aanbevolen. Zoals alle GLP-1-receptoragonisten vertraagt het de maaglediging en kan het zo de opname van andere geneesmiddelen beïnvloeden. Voor gebruik, contra-indicaties en wisselwerkingen is de actuele productinformatie bepalend; de behandeling hoort in handen van een arts.</w:t>
      </w:r>
    </w:p>
    <w:bookmarkEnd w:id="279"/>
    <w:bookmarkStart w:id="280" w:name="juridische-status"/>
    <w:p>
      <w:pPr>
        <w:pStyle w:val="Heading3"/>
      </w:pPr>
      <w:r>
        <w:t xml:space="preserve">Juridische status</w:t>
      </w:r>
    </w:p>
    <w:p>
      <w:pPr>
        <w:numPr>
          <w:ilvl w:val="0"/>
          <w:numId w:val="1040"/>
        </w:numPr>
        <w:pStyle w:val="Compact"/>
      </w:pPr>
      <w:r>
        <w:rPr>
          <w:bCs/>
          <w:b/>
        </w:rPr>
        <w:t xml:space="preserve">EU:</w:t>
      </w:r>
      <w:r>
        <w:t xml:space="preserve"> </w:t>
      </w:r>
      <w:r>
        <w:t xml:space="preserve">exenatide is als receptplichtig geneesmiddel voor de behandeling van diabetes type 2 centraal geregistreerd (Byetta sinds 2006, Bydureon sinds 2011). Het is niet geregistreerd voor gewichtsvermindering.</w:t>
      </w:r>
    </w:p>
    <w:p>
      <w:pPr>
        <w:numPr>
          <w:ilvl w:val="0"/>
          <w:numId w:val="1040"/>
        </w:numPr>
        <w:pStyle w:val="Compact"/>
      </w:pPr>
      <w:r>
        <w:rPr>
          <w:bCs/>
          <w:b/>
        </w:rPr>
        <w:t xml:space="preserve">Duitsland en Oostenrijk:</w:t>
      </w:r>
      <w:r>
        <w:t xml:space="preserve"> </w:t>
      </w:r>
      <w:r>
        <w:t xml:space="preserve">receptplichtig. Voorschrijven uitsluitend om af te vallen zou off-label gebruik zijn en wordt door de zorgverzekeraars in de regel niet vergoed. Afzonderlijke toedieningsvormen zijn niet in alle landen blijvend in de handel – actuele situatie controleren.</w:t>
      </w:r>
    </w:p>
    <w:p>
      <w:pPr>
        <w:numPr>
          <w:ilvl w:val="0"/>
          <w:numId w:val="1040"/>
        </w:numPr>
        <w:pStyle w:val="Compact"/>
      </w:pPr>
      <w:r>
        <w:rPr>
          <w:bCs/>
          <w:b/>
        </w:rPr>
        <w:t xml:space="preserve">VS:</w:t>
      </w:r>
      <w:r>
        <w:t xml:space="preserve"> </w:t>
      </w:r>
      <w:r>
        <w:t xml:space="preserve">geregistreerd voor diabetes type 2; de weekvorm ook voor jongeren vanaf 10 jaar. Voor de tweemaal-daagse vorm zijn generieke middelen geregistreerd.</w:t>
      </w:r>
    </w:p>
    <w:p>
      <w:pPr>
        <w:numPr>
          <w:ilvl w:val="0"/>
          <w:numId w:val="1040"/>
        </w:numPr>
        <w:pStyle w:val="Compact"/>
      </w:pPr>
      <w:r>
        <w:rPr>
          <w:bCs/>
          <w:b/>
        </w:rPr>
        <w:t xml:space="preserve">Sport (WADA):</w:t>
      </w:r>
      <w:r>
        <w:t xml:space="preserve"> </w:t>
      </w:r>
      <w:r>
        <w:t xml:space="preserve">GLP-1-receptoragonisten staan niet op de verboden lijst (stand 2026, actuele situatie controleren).</w:t>
      </w:r>
    </w:p>
    <w:p>
      <w:pPr>
        <w:numPr>
          <w:ilvl w:val="0"/>
          <w:numId w:val="1040"/>
        </w:numPr>
        <w:pStyle w:val="Compact"/>
      </w:pPr>
      <w:r>
        <w:rPr>
          <w:bCs/>
          <w:b/>
        </w:rPr>
        <w:t xml:space="preserve">Grijze markt:</w:t>
      </w:r>
      <w:r>
        <w:t xml:space="preserve"> </w:t>
      </w:r>
      <w:r>
        <w:t xml:space="preserve">exenatide speelt op de grijze markt naast semaglutide en tirzepatide nauwelijks een rol. Algemene risico’s van niet-geregistreerde aankoopkanalen beschrijft deel I.</w:t>
      </w:r>
    </w:p>
    <w:bookmarkEnd w:id="280"/>
    <w:bookmarkStart w:id="287" w:name="lopende-studies-en-vooruitzichten"/>
    <w:p>
      <w:pPr>
        <w:pStyle w:val="Heading3"/>
      </w:pPr>
      <w:r>
        <w:t xml:space="preserve">Lopende studies en vooruitzichten</w:t>
      </w:r>
    </w:p>
    <w:p>
      <w:pPr>
        <w:pStyle w:val="FirstParagraph"/>
      </w:pPr>
      <w:r>
        <w:rPr>
          <w:bCs/>
          <w:b/>
        </w:rPr>
        <w:t xml:space="preserve">Vaststaand (geregistreerde studies):</w:t>
      </w:r>
      <w:r>
        <w:t xml:space="preserve"> </w:t>
      </w:r>
      <w:r>
        <w:t xml:space="preserve">exenatide is als diabetesmiddel grotendeels „uitonderzocht”; nieuwe registratiestudies voor deze indicatie zijn er nauwelijks nog. Actuele registraties betreffen vooral:</w:t>
      </w:r>
    </w:p>
    <w:p>
      <w:pPr>
        <w:numPr>
          <w:ilvl w:val="0"/>
          <w:numId w:val="1041"/>
        </w:numPr>
        <w:pStyle w:val="Compact"/>
      </w:pPr>
      <w:r>
        <w:t xml:space="preserve">Afgeleiden van het molecuul: in China worden gepegyleerde varianten ontwikkeld. Voor PB-119 verlaagde een fase 2-studie met 251 deelnemers de HbA1c na 12 weken tot 1,18 procentpunt sterker dan placebo</w:t>
      </w:r>
      <w:r>
        <w:rPr>
          <w:rStyle w:val="FootnoteReference"/>
        </w:rPr>
        <w:footnoteReference w:id="281"/>
      </w:r>
      <w:r>
        <w:t xml:space="preserve">. Een andere kandidaat, JY09 – exendine-4 gekoppeld aan een antilichaambouwsteen (Fc-fusie-eiwit), dat in de studies om de twee weken wordt geïnjecteerd –, wordt in fase 3-studies getest tegen placebo en tegen dulaglutide</w:t>
      </w:r>
      <w:r>
        <w:rPr>
          <w:rStyle w:val="FootnoteReference"/>
        </w:rPr>
        <w:footnoteReference w:id="282"/>
      </w:r>
      <w:r>
        <w:t xml:space="preserve">.</w:t>
      </w:r>
    </w:p>
    <w:p>
      <w:pPr>
        <w:numPr>
          <w:ilvl w:val="0"/>
          <w:numId w:val="1041"/>
        </w:numPr>
        <w:pStyle w:val="Compact"/>
      </w:pPr>
      <w:r>
        <w:t xml:space="preserve">Neurologie: de gepegyleerde variant NLY01 wordt bij multiple sclerose onderzocht in een fase 2-studie met 120 deelnemers</w:t>
      </w:r>
      <w:r>
        <w:rPr>
          <w:rStyle w:val="FootnoteReference"/>
        </w:rPr>
        <w:footnoteReference w:id="283"/>
      </w:r>
      <w:r>
        <w:t xml:space="preserve">.</w:t>
      </w:r>
    </w:p>
    <w:p>
      <w:pPr>
        <w:numPr>
          <w:ilvl w:val="0"/>
          <w:numId w:val="1041"/>
        </w:numPr>
        <w:pStyle w:val="Compact"/>
      </w:pPr>
      <w:r>
        <w:t xml:space="preserve">Veiligheid: naast de Europese studie naar alvleesklierkanker</w:t>
      </w:r>
      <w:r>
        <w:rPr>
          <w:rStyle w:val="FootnoteReference"/>
        </w:rPr>
        <w:footnoteReference w:id="284"/>
      </w:r>
      <w:r>
        <w:t xml:space="preserve"> </w:t>
      </w:r>
      <w:r>
        <w:t xml:space="preserve">loopt een langetermijnbewakingsprogramma voor medullaire schildkliercarcinomen onder GLP-1-receptoragonisten</w:t>
      </w:r>
      <w:r>
        <w:rPr>
          <w:rStyle w:val="FootnoteReference"/>
        </w:rPr>
        <w:footnoteReference w:id="285"/>
      </w:r>
      <w:r>
        <w:t xml:space="preserve">.</w:t>
      </w:r>
    </w:p>
    <w:p>
      <w:pPr>
        <w:numPr>
          <w:ilvl w:val="0"/>
          <w:numId w:val="1041"/>
        </w:numPr>
        <w:pStyle w:val="Compact"/>
      </w:pPr>
      <w:r>
        <w:t xml:space="preserve">Diagnostiek: radioactief gemerkt exendine-4 wordt als tracer gebruikt in de PET-beeldvorming van insulinomen (zeldzame insulineproducerende tumoren)</w:t>
      </w:r>
      <w:r>
        <w:rPr>
          <w:rStyle w:val="FootnoteReference"/>
        </w:rPr>
        <w:footnoteReference w:id="286"/>
      </w:r>
      <w:r>
        <w:t xml:space="preserve">.</w:t>
      </w:r>
    </w:p>
    <w:p>
      <w:pPr>
        <w:pStyle w:val="FirstParagraph"/>
      </w:pPr>
      <w:r>
        <w:rPr>
          <w:bCs/>
          <w:b/>
        </w:rPr>
        <w:t xml:space="preserve">Inschatting:</w:t>
      </w:r>
      <w:r>
        <w:t xml:space="preserve"> </w:t>
      </w:r>
      <w:r>
        <w:t xml:space="preserve">exenatide zal in de diabetesbehandeling verder aan belang inboeten, omdat sterkere en gebruiksvriendelijkere opvolgers beschikbaar zijn. Zijn blijvende rol is die van pionier en van hulpmiddel voor het onderzoek. Of de Parkinsonhypothese nog eens opleeft, hangt af van werkzame stoffen die de hersenen beter bereiken en van de opheldering rond Exenatide-PD3.</w:t>
      </w:r>
    </w:p>
    <w:bookmarkEnd w:id="287"/>
    <w:bookmarkStart w:id="288" w:name="conclusie"/>
    <w:p>
      <w:pPr>
        <w:pStyle w:val="Heading3"/>
      </w:pPr>
      <w:r>
        <w:t xml:space="preserve">Conclusie</w:t>
      </w:r>
    </w:p>
    <w:p>
      <w:pPr>
        <w:pStyle w:val="FirstParagraph"/>
      </w:pPr>
      <w:r>
        <w:t xml:space="preserve">Exenatide was in 2005 de eerste GLP-1-receptoragonist op de markt en behoort tot de best onderzochte peptidegeneesmiddelen. In grote studies verlaagde het de langetermijnsuiker met ongeveer 1 tot 1,5 procentpunt en het gewicht met enkele kilo’s, in EXSCEL met 14.752 deelnemers zonder verhoogd cardiovasculair risico, maar ook zonder aangetoonde bescherming. In de directe vergelijking moet het het afleggen tegen liraglutide en semaglutide. De aanvankelijk veelbelovende gegevens over de ziekte van Parkinson werden in de grotere fase 3-studie niet bevestigd. Voor mensen met diabetes type 2 blijft exenatide een getoetste, maar niet langer eerste keuze – de beslissing hoort in handen van een arts.</w:t>
      </w:r>
    </w:p>
    <w:bookmarkEnd w:id="288"/>
    <w:bookmarkEnd w:id="289"/>
    <w:bookmarkStart w:id="342" w:name="liraglutide"/>
    <w:p>
      <w:pPr>
        <w:pStyle w:val="Heading2"/>
      </w:pPr>
      <w:r>
        <w:t xml:space="preserve">Liraglutide</w:t>
      </w:r>
    </w:p>
    <w:bookmarkStart w:id="291" w:name="profiel-1"/>
    <w:p>
      <w:pPr>
        <w:pStyle w:val="Heading3"/>
      </w:pPr>
      <w:r>
        <w:t xml:space="preserve">Profiel</w:t>
      </w:r>
    </w:p>
    <w:p>
      <w:pPr>
        <w:numPr>
          <w:ilvl w:val="0"/>
          <w:numId w:val="1042"/>
        </w:numPr>
        <w:pStyle w:val="Compact"/>
      </w:pPr>
      <w:r>
        <w:rPr>
          <w:bCs/>
          <w:b/>
        </w:rPr>
        <w:t xml:space="preserve">Soort/structuur:</w:t>
      </w:r>
      <w:r>
        <w:t xml:space="preserve"> </w:t>
      </w:r>
      <w:r>
        <w:t xml:space="preserve">gemodificeerd menselijk GLP-1 van 31 aminozuren. Het komt voor 97% overeen met het lichaamseigen hormoon; op één plaats is een aminozuur vervangen, op een andere hangt via een kort verbindingsstuk een vetzuur met 16 koolstofatomen.</w:t>
      </w:r>
    </w:p>
    <w:p>
      <w:pPr>
        <w:numPr>
          <w:ilvl w:val="0"/>
          <w:numId w:val="1042"/>
        </w:numPr>
        <w:pStyle w:val="Compact"/>
      </w:pPr>
      <w:r>
        <w:rPr>
          <w:bCs/>
          <w:b/>
        </w:rPr>
        <w:t xml:space="preserve">Herkomst:</w:t>
      </w:r>
      <w:r>
        <w:t xml:space="preserve"> </w:t>
      </w:r>
      <w:r>
        <w:t xml:space="preserve">ontwikkeld door Novo Nordisk</w:t>
      </w:r>
      <w:r>
        <w:rPr>
          <w:rStyle w:val="FootnoteReference"/>
        </w:rPr>
        <w:footnoteReference w:id="290"/>
      </w:r>
      <w:r>
        <w:t xml:space="preserve">, recombinant geproduceerd in gist.</w:t>
      </w:r>
    </w:p>
    <w:p>
      <w:pPr>
        <w:numPr>
          <w:ilvl w:val="0"/>
          <w:numId w:val="1042"/>
        </w:numPr>
        <w:pStyle w:val="Compact"/>
      </w:pPr>
      <w:r>
        <w:rPr>
          <w:bCs/>
          <w:b/>
        </w:rPr>
        <w:t xml:space="preserve">Werkingsprincipe:</w:t>
      </w:r>
      <w:r>
        <w:t xml:space="preserve"> </w:t>
      </w:r>
      <w:r>
        <w:t xml:space="preserve">GLP-1-receptoragonist. Het vetzuur laat het molecuul aan het bloedeiwit albumine binden; daardoor volstaat één injectie per dag.</w:t>
      </w:r>
    </w:p>
    <w:p>
      <w:pPr>
        <w:numPr>
          <w:ilvl w:val="0"/>
          <w:numId w:val="1042"/>
        </w:numPr>
        <w:pStyle w:val="Compact"/>
      </w:pPr>
      <w:r>
        <w:rPr>
          <w:bCs/>
          <w:b/>
        </w:rPr>
        <w:t xml:space="preserve">Preparaten:</w:t>
      </w:r>
      <w:r>
        <w:t xml:space="preserve"> </w:t>
      </w:r>
      <w:r>
        <w:t xml:space="preserve">Victoza (diabetes type 2, tot 1,8 mg per dag), Saxenda (gewichtsbeheersing, tot 3,0 mg per dag), Xultophy (vaste combinatie met insuline degludec). Sinds 2024 zijn er generieke preparaten.</w:t>
      </w:r>
    </w:p>
    <w:p>
      <w:pPr>
        <w:numPr>
          <w:ilvl w:val="0"/>
          <w:numId w:val="1042"/>
        </w:numPr>
        <w:pStyle w:val="Compact"/>
      </w:pPr>
      <w:r>
        <w:rPr>
          <w:bCs/>
          <w:b/>
        </w:rPr>
        <w:t xml:space="preserve">Registratie EU:</w:t>
      </w:r>
      <w:r>
        <w:t xml:space="preserve"> </w:t>
      </w:r>
      <w:r>
        <w:t xml:space="preserve">ja – diabetes type 2 (sinds 2009) en gewichtsbeheersing (sinds 2015), telkens ook voor jongeren.</w:t>
      </w:r>
    </w:p>
    <w:p>
      <w:pPr>
        <w:numPr>
          <w:ilvl w:val="0"/>
          <w:numId w:val="1042"/>
        </w:numPr>
        <w:pStyle w:val="Compact"/>
      </w:pPr>
      <w:r>
        <w:rPr>
          <w:bCs/>
          <w:b/>
        </w:rPr>
        <w:t xml:space="preserve">Registratie VS:</w:t>
      </w:r>
      <w:r>
        <w:t xml:space="preserve"> </w:t>
      </w:r>
      <w:r>
        <w:t xml:space="preserve">ja – diabetes type 2 (sinds 2010, vanaf 10 jaar), verlaging van het cardiovasculaire risico bij diabetes type 2 en gewichtsbeheersing (sinds 2014, vanaf 12 jaar). Generieke middelen voor beide toepassingsgebieden zijn geregistreerd.</w:t>
      </w:r>
    </w:p>
    <w:p>
      <w:pPr>
        <w:numPr>
          <w:ilvl w:val="0"/>
          <w:numId w:val="1042"/>
        </w:numPr>
        <w:pStyle w:val="Compact"/>
      </w:pPr>
      <w:r>
        <w:rPr>
          <w:bCs/>
          <w:b/>
        </w:rPr>
        <w:t xml:space="preserve">WADA:</w:t>
      </w:r>
      <w:r>
        <w:t xml:space="preserve"> </w:t>
      </w:r>
      <w:r>
        <w:t xml:space="preserve">niet vermeld.</w:t>
      </w:r>
    </w:p>
    <w:p>
      <w:pPr>
        <w:numPr>
          <w:ilvl w:val="0"/>
          <w:numId w:val="1042"/>
        </w:numPr>
        <w:pStyle w:val="Compact"/>
      </w:pPr>
      <w:r>
        <w:rPr>
          <w:bCs/>
          <w:b/>
        </w:rPr>
        <w:t xml:space="preserve">Bewijsniveau:</w:t>
      </w:r>
      <w:r>
        <w:t xml:space="preserve"> </w:t>
      </w:r>
      <w:r>
        <w:rPr>
          <w:bCs/>
          <w:b/>
        </w:rPr>
        <w:t xml:space="preserve">A</w:t>
      </w:r>
      <w:r>
        <w:t xml:space="preserve"> </w:t>
      </w:r>
      <w:r>
        <w:t xml:space="preserve">– twee grote registratieprogramma’s (LEAD, SCALE), een grote uitkomststudie (LEADER), studies bij kinderen en jongeren.</w:t>
      </w:r>
    </w:p>
    <w:bookmarkEnd w:id="291"/>
    <w:bookmarkStart w:id="294" w:name="hoe-het-zou-moeten-werken-1"/>
    <w:p>
      <w:pPr>
        <w:pStyle w:val="Heading3"/>
      </w:pPr>
      <w:r>
        <w:t xml:space="preserve">Hoe het zou moeten werken</w:t>
      </w:r>
    </w:p>
    <w:p>
      <w:pPr>
        <w:pStyle w:val="FirstParagraph"/>
      </w:pPr>
      <w:r>
        <w:t xml:space="preserve">Liraglutide werkt zoals het lichaamseigen darmhormoon GLP-1: het versterkt de suikerafhankelijke insulineafgifte, remt het bloedsuikerverhogende glucagon, vertraagt de maaglediging en dempt in de hersenen de eetlust. Het basismechanisme van de klasse wordt beschreven in het hoofdstuk Exenatide.</w:t>
      </w:r>
    </w:p>
    <w:p>
      <w:pPr>
        <w:pStyle w:val="BodyText"/>
      </w:pPr>
      <w:r>
        <w:t xml:space="preserve">Het verschil zit in de bouw. Terwijl exenatide uit het gif van een hagedis komt en maar voor de helft op het menselijke hormoon lijkt, is liraglutide bijna identiek aan het lichaamseigen GLP-1. De truc die het houdbaar maakt, is het aangehangen vetzuur. Dat zorgt ervoor dat het molecuul zich in het bloed aan albumine hecht, zich tot kleine clusters samenvoegt en zo beschermd is tegen afbraak door het enzym DPP-4 en tegen uitscheiding via de nieren. De halfwaardetijd stijgt daardoor van enkele minuten tot ongeveer een halve dag.</w:t>
      </w:r>
    </w:p>
    <w:p>
      <w:pPr>
        <w:pStyle w:val="BodyText"/>
      </w:pPr>
      <w:r>
        <w:t xml:space="preserve">Voor het gewichtsverlies zijn vooral effecten in de hersenen verantwoordelijk. Bij muizen en ratten komt gemerkt liraglutide in bepaalde gebieden van de hypothalamus, het regelcentrum voor honger en verzadiging, en activeert het daar zenuwcellen die het verzadigingsgevoel bevorderen</w:t>
      </w:r>
      <w:r>
        <w:rPr>
          <w:rStyle w:val="FootnoteReference"/>
        </w:rPr>
        <w:footnoteReference w:id="292"/>
      </w:r>
      <w:r>
        <w:t xml:space="preserve">. Bij de mens uit zich dat in een geringere voedselinname; een noemenswaardige stijging van het energieverbruik is niet aangetoond.</w:t>
      </w:r>
    </w:p>
    <w:p>
      <w:pPr>
        <w:pStyle w:val="BodyText"/>
      </w:pPr>
      <w:r>
        <w:t xml:space="preserve">Uit liraglutide ontstond later semaglutide: hetzelfde basisidee, maar met een sterkere albuminebinding die één injectie per week mogelijk maakt</w:t>
      </w:r>
      <w:r>
        <w:rPr>
          <w:rStyle w:val="FootnoteReference"/>
        </w:rPr>
        <w:footnoteReference w:id="293"/>
      </w:r>
      <w:r>
        <w:t xml:space="preserve">.</w:t>
      </w:r>
    </w:p>
    <w:bookmarkEnd w:id="294"/>
    <w:bookmarkStart w:id="320" w:name="studies-bij-mensen-1"/>
    <w:p>
      <w:pPr>
        <w:pStyle w:val="Heading3"/>
      </w:pPr>
      <w:r>
        <w:t xml:space="preserve">Studies bij mensen</w:t>
      </w:r>
    </w:p>
    <w:p>
      <w:pPr>
        <w:pStyle w:val="FirstParagraph"/>
      </w:pPr>
      <w:r>
        <w:t xml:space="preserve">Liraglutide behoort tot de best onderzochte peptidegeneesmiddelen. De voor dit boek geanalyseerde PubMed-zoekopdracht (zoekterm „liraglutide” in titel of abstract, zoekdatum oktober 2026) leverde 613 studies bij mensen op – meer dan voor enig ander peptide in dit boek. ClinicalTrials.gov vermeldt 517 registraties. Hieronder staan de registratie- en uitkomststudies centraal; daarnaast zijn er honderden kleinere studies over lever, hart, hersenen, vruchtbaarheid en eetstoornissen.</w:t>
      </w:r>
    </w:p>
    <w:bookmarkStart w:id="297" w:name="diabetes-type-2-het-lead-programma"/>
    <w:p>
      <w:pPr>
        <w:pStyle w:val="Heading4"/>
      </w:pPr>
      <w:r>
        <w:t xml:space="preserve">Diabetes type 2: het LEAD-programma</w:t>
      </w:r>
    </w:p>
    <w:p>
      <w:pPr>
        <w:pStyle w:val="FirstParagraph"/>
      </w:pPr>
      <w:r>
        <w:t xml:space="preserve">Voor de diabetesregistratie werd liraglutide getest in zes studies onder de naam LEAD (Liraglutide Effect and Action in Diabetes), telkens met 1,2 of 1,8 mg per dag. Twee daarvan zijn bijzonder verhelderend, omdat ze het opnamen tegen destijds gevestigde therapieën. Daarbij komt de vergelijking met de DPP-4-remmer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LEAD-3 Mono (Garber 2009), PMID 18819705</w:t>
            </w:r>
          </w:p>
        </w:tc>
        <w:tc>
          <w:tcPr/>
          <w:p>
            <w:pPr>
              <w:pStyle w:val="Compact"/>
              <w:jc w:val="left"/>
            </w:pPr>
            <w:r>
              <w:t xml:space="preserve">746 personen met vroege diabetes type 2, dubbelblind vs. glimepiride</w:t>
            </w:r>
          </w:p>
        </w:tc>
        <w:tc>
          <w:tcPr/>
          <w:p>
            <w:pPr>
              <w:pStyle w:val="Compact"/>
              <w:jc w:val="left"/>
            </w:pPr>
            <w:r>
              <w:t xml:space="preserve">52 weken</w:t>
            </w:r>
          </w:p>
        </w:tc>
        <w:tc>
          <w:tcPr/>
          <w:p>
            <w:pPr>
              <w:pStyle w:val="Compact"/>
              <w:jc w:val="left"/>
            </w:pPr>
            <w:r>
              <w:t xml:space="preserve">HbA1c −1,14 (1,8 mg) vs. −0,51 procentpunt</w:t>
            </w:r>
          </w:p>
        </w:tc>
      </w:tr>
      <w:tr>
        <w:tc>
          <w:tcPr/>
          <w:p>
            <w:pPr>
              <w:pStyle w:val="Compact"/>
              <w:jc w:val="left"/>
            </w:pPr>
            <w:r>
              <w:t xml:space="preserve">LEAD-6 (Buse 2009), PMID 19515413</w:t>
            </w:r>
          </w:p>
        </w:tc>
        <w:tc>
          <w:tcPr/>
          <w:p>
            <w:pPr>
              <w:pStyle w:val="Compact"/>
              <w:jc w:val="left"/>
            </w:pPr>
            <w:r>
              <w:t xml:space="preserve">open vs. exenatide twee keer per dag</w:t>
            </w:r>
          </w:p>
        </w:tc>
        <w:tc>
          <w:tcPr/>
          <w:p>
            <w:pPr>
              <w:pStyle w:val="Compact"/>
              <w:jc w:val="left"/>
            </w:pPr>
            <w:r>
              <w:t xml:space="preserve">26 weken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met metformine, open vs. sitagliptine</w:t>
            </w:r>
          </w:p>
        </w:tc>
        <w:tc>
          <w:tcPr/>
          <w:p>
            <w:pPr>
              <w:pStyle w:val="Compact"/>
              <w:jc w:val="left"/>
            </w:pPr>
            <w:r>
              <w:t xml:space="preserve">26 weken</w:t>
            </w:r>
          </w:p>
        </w:tc>
        <w:tc>
          <w:tcPr/>
          <w:p>
            <w:pPr>
              <w:pStyle w:val="Compact"/>
              <w:jc w:val="left"/>
            </w:pPr>
            <w:r>
              <w:t xml:space="preserve">HbA1c −1,50 (1,8 mg) vs. −0,90; misselijkheid 27% vs. 5%</w:t>
            </w:r>
          </w:p>
        </w:tc>
      </w:tr>
    </w:tbl>
    <w:p>
      <w:pPr>
        <w:pStyle w:val="BodyText"/>
      </w:pPr>
      <w:r>
        <w:t xml:space="preserve">De langetermijnsuikerwaarde HbA1c daalde onder liraglutide in deze studies met 1,1 tot 1,5 procentpunt. In LEAD-3</w:t>
      </w:r>
      <w:r>
        <w:rPr>
          <w:rStyle w:val="FootnoteReference"/>
        </w:rPr>
        <w:footnoteReference w:id="295"/>
      </w:r>
      <w:r>
        <w:t xml:space="preserve"> </w:t>
      </w:r>
      <w:r>
        <w:t xml:space="preserve">was liraglutide als eerste diabetesmiddel superieur aan het sulfonylureumderivaat glimepiride, dat de bloedsuiker onafhankelijk van maaltijden verlaagt en vaker tot hypoglykemieën leidt. Tegen sitagliptine</w:t>
      </w:r>
      <w:r>
        <w:rPr>
          <w:rStyle w:val="FootnoteReference"/>
        </w:rPr>
        <w:footnoteReference w:id="296"/>
      </w:r>
      <w:r>
        <w:t xml:space="preserve"> </w:t>
      </w:r>
      <w:r>
        <w:t xml:space="preserve">bedroeg het voordeel 0,6 procentpunt, maar met duidelijk meer misselijkheid.</w:t>
      </w:r>
    </w:p>
    <w:bookmarkEnd w:id="297"/>
    <w:bookmarkStart w:id="302" w:name="Xa473563f846ae00e58ff5b08a11e152833a5bed"/>
    <w:p>
      <w:pPr>
        <w:pStyle w:val="Heading4"/>
      </w:pPr>
      <w:r>
        <w:t xml:space="preserve">Directe vergelijkingen binnen de GLP-1-klasse</w:t>
      </w:r>
    </w:p>
    <w:p>
      <w:pPr>
        <w:pStyle w:val="FirstParagraph"/>
      </w:pPr>
      <w:r>
        <w:t xml:space="preserve">Liraglutide is de meest gebruikte vergelijkingspartner van de klasse. De resultaten geven een duidelijke rangorde: liraglutide is sterker dan exenatide, ongeveer even sterk als dulaglutide en zwakker dan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(liraglutide vs. vergelijking)</w:t>
            </w:r>
          </w:p>
        </w:tc>
      </w:tr>
      <w:tr>
        <w:tc>
          <w:tcPr/>
          <w:p>
            <w:pPr>
              <w:pStyle w:val="Compact"/>
              <w:jc w:val="left"/>
            </w:pPr>
            <w:r>
              <w:t xml:space="preserve">LEAD-6 (Buse 2009), PMID 19515413</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−1,12 vs. −0,79; streefwaarde &lt; 7% bij 54% vs. 43%</w:t>
            </w:r>
          </w:p>
        </w:tc>
      </w:tr>
      <w:tr>
        <w:tc>
          <w:tcPr/>
          <w:p>
            <w:pPr>
              <w:pStyle w:val="Compact"/>
              <w:jc w:val="left"/>
            </w:pPr>
            <w:r>
              <w:t xml:space="preserve">DURATION-6 (Buse 2013), PMID 23141817</w:t>
            </w:r>
          </w:p>
        </w:tc>
        <w:tc>
          <w:tcPr/>
          <w:p>
            <w:pPr>
              <w:pStyle w:val="Compact"/>
              <w:jc w:val="left"/>
            </w:pPr>
            <w:r>
              <w:t xml:space="preserve">911 personen, vs. exenatide wekelijks</w:t>
            </w:r>
          </w:p>
        </w:tc>
        <w:tc>
          <w:tcPr/>
          <w:p>
            <w:pPr>
              <w:pStyle w:val="Compact"/>
              <w:jc w:val="left"/>
            </w:pPr>
            <w:r>
              <w:t xml:space="preserve">26 weken</w:t>
            </w:r>
          </w:p>
        </w:tc>
        <w:tc>
          <w:tcPr/>
          <w:p>
            <w:pPr>
              <w:pStyle w:val="Compact"/>
              <w:jc w:val="left"/>
            </w:pPr>
            <w:r>
              <w:t xml:space="preserve">HbA1c −1,48 vs. −1,28; misselijkheid 21% vs. 9%</w:t>
            </w:r>
          </w:p>
        </w:tc>
      </w:tr>
      <w:tr>
        <w:tc>
          <w:tcPr/>
          <w:p>
            <w:pPr>
              <w:pStyle w:val="Compact"/>
              <w:jc w:val="left"/>
            </w:pPr>
            <w:r>
              <w:t xml:space="preserve">AWARD-6 (Dungan 2014), PMID 25018121</w:t>
            </w:r>
          </w:p>
        </w:tc>
        <w:tc>
          <w:tcPr/>
          <w:p>
            <w:pPr>
              <w:pStyle w:val="Compact"/>
              <w:jc w:val="left"/>
            </w:pPr>
            <w:r>
              <w:t xml:space="preserve">599 personen, vs. dulaglutide wekelijks</w:t>
            </w:r>
          </w:p>
        </w:tc>
        <w:tc>
          <w:tcPr/>
          <w:p>
            <w:pPr>
              <w:pStyle w:val="Compact"/>
              <w:jc w:val="left"/>
            </w:pPr>
            <w:r>
              <w:t xml:space="preserve">26 weken</w:t>
            </w:r>
          </w:p>
        </w:tc>
        <w:tc>
          <w:tcPr/>
          <w:p>
            <w:pPr>
              <w:pStyle w:val="Compact"/>
              <w:jc w:val="left"/>
            </w:pPr>
            <w:r>
              <w:t xml:space="preserve">HbA1c −1,36 vs. −1,42; gelijkwaardig</w:t>
            </w:r>
          </w:p>
        </w:tc>
      </w:tr>
      <w:tr>
        <w:tc>
          <w:tcPr/>
          <w:p>
            <w:pPr>
              <w:pStyle w:val="Compact"/>
              <w:jc w:val="left"/>
            </w:pPr>
            <w:r>
              <w:t xml:space="preserve">PIONEER 4 (Pratley 2019), PMID 31186120</w:t>
            </w:r>
          </w:p>
        </w:tc>
        <w:tc>
          <w:tcPr/>
          <w:p>
            <w:pPr>
              <w:pStyle w:val="Compact"/>
              <w:jc w:val="left"/>
            </w:pPr>
            <w:r>
              <w:t xml:space="preserve">711 personen, vs. semaglutidetablet en placebo</w:t>
            </w:r>
          </w:p>
        </w:tc>
        <w:tc>
          <w:tcPr/>
          <w:p>
            <w:pPr>
              <w:pStyle w:val="Compact"/>
              <w:jc w:val="left"/>
            </w:pPr>
            <w:r>
              <w:t xml:space="preserve">52 weken</w:t>
            </w:r>
          </w:p>
        </w:tc>
        <w:tc>
          <w:tcPr/>
          <w:p>
            <w:pPr>
              <w:pStyle w:val="Compact"/>
              <w:jc w:val="left"/>
            </w:pPr>
            <w:r>
              <w:t xml:space="preserve">HbA1c −1,1 vs. −1,2 na 26 weken; gewicht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wekelijks</w:t>
            </w:r>
          </w:p>
        </w:tc>
        <w:tc>
          <w:tcPr/>
          <w:p>
            <w:pPr>
              <w:pStyle w:val="Compact"/>
              <w:jc w:val="left"/>
            </w:pPr>
            <w:r>
              <w:t xml:space="preserve">30 weken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met obesitas zonder diabetes, liraglutide 3,0 mg vs. semaglutide 2,4 mg</w:t>
            </w:r>
          </w:p>
        </w:tc>
        <w:tc>
          <w:tcPr/>
          <w:p>
            <w:pPr>
              <w:pStyle w:val="Compact"/>
              <w:jc w:val="left"/>
            </w:pPr>
            <w:r>
              <w:t xml:space="preserve">68 weken</w:t>
            </w:r>
          </w:p>
        </w:tc>
        <w:tc>
          <w:tcPr/>
          <w:p>
            <w:pPr>
              <w:pStyle w:val="Compact"/>
              <w:jc w:val="left"/>
            </w:pPr>
            <w:r>
              <w:t xml:space="preserve">gewicht −6,4% vs. −15,8%</w:t>
            </w:r>
          </w:p>
        </w:tc>
      </w:tr>
    </w:tbl>
    <w:p>
      <w:pPr>
        <w:pStyle w:val="BodyText"/>
      </w:pPr>
      <w:r>
        <w:t xml:space="preserve">In LEAD-6</w:t>
      </w:r>
      <w:r>
        <w:rPr>
          <w:rStyle w:val="FootnoteReference"/>
        </w:rPr>
        <w:footnoteReference w:id="298"/>
      </w:r>
      <w:r>
        <w:t xml:space="preserve"> </w:t>
      </w:r>
      <w:r>
        <w:t xml:space="preserve">verlaagde liraglutide de nuchtere glucose duidelijk sterker dan exenatide twee keer per dag, de suikerstijging na ontbijt en avondeten daarentegen minder – een aanwijzing dat kortwerkende vormen sterker via de maaglediging werken. Misselijkheid hield onder liraglutide korter aan, lichte hypoglykemieën waren zeldzamer (25,5% vs. 33,6% van de deelnemers).</w:t>
      </w:r>
    </w:p>
    <w:p>
      <w:pPr>
        <w:pStyle w:val="BodyText"/>
      </w:pPr>
      <w:r>
        <w:t xml:space="preserve">Tegen dulaglutide was liraglutide in AWARD-6</w:t>
      </w:r>
      <w:r>
        <w:rPr>
          <w:rStyle w:val="FootnoteReference"/>
        </w:rPr>
        <w:footnoteReference w:id="299"/>
      </w:r>
      <w:r>
        <w:t xml:space="preserve"> </w:t>
      </w:r>
      <w:r>
        <w:t xml:space="preserve">gelijkwaardig, bij vergelijkbare verdraagbaarheid; misselijkheid trad op bij 18% tegenover 20%.</w:t>
      </w:r>
    </w:p>
    <w:p>
      <w:pPr>
        <w:pStyle w:val="BodyText"/>
      </w:pPr>
      <w:r>
        <w:t xml:space="preserve">Tegen semaglutide verloor liraglutide in alle vergelijkingen. Het duidelijkst was dat in STEP 8</w:t>
      </w:r>
      <w:r>
        <w:rPr>
          <w:rStyle w:val="FootnoteReference"/>
        </w:rPr>
        <w:footnoteReference w:id="300"/>
      </w:r>
      <w:r>
        <w:t xml:space="preserve"> </w:t>
      </w:r>
      <w:r>
        <w:t xml:space="preserve">bij het gewicht: met de telkens voor obesitas geregistreerde dosis verloren deelnemers met semaglutide gemiddeld 15,8%, met liraglutide 6,4% (placebo: 1,9%). Een afname van ten minste 15% bereikte 55,6% tegenover 12,0%. Voortijdig gestopt met de behandeling waren 27,6% met liraglutide en 13,5% met semaglutide. Bij de semaglutidetablet viel het verschil in PIONEER 4</w:t>
      </w:r>
      <w:r>
        <w:rPr>
          <w:rStyle w:val="FootnoteReference"/>
        </w:rPr>
        <w:footnoteReference w:id="301"/>
      </w:r>
      <w:r>
        <w:t xml:space="preserve"> </w:t>
      </w:r>
      <w:r>
        <w:t xml:space="preserve">kleiner uit: bij de HbA1c was de tablet volgens de primaire analysemethode niet slechter, bij het gewicht 1,2 kg beter. Details over deze studies staan in het hoofdstuk Semaglutide.</w:t>
      </w:r>
    </w:p>
    <w:bookmarkEnd w:id="302"/>
    <w:bookmarkStart w:id="306" w:name="leader-hart-bloedvaten-en-nieren"/>
    <w:p>
      <w:pPr>
        <w:pStyle w:val="Heading4"/>
      </w:pPr>
      <w:r>
        <w:t xml:space="preserve">LEADER: hart, bloedvaten en nieren</w:t>
      </w:r>
    </w:p>
    <w:p>
      <w:pPr>
        <w:pStyle w:val="FirstParagraph"/>
      </w:pPr>
      <w:r>
        <w:t xml:space="preserve">LEADER was de eerste grote studie die voor een GLP-1-receptoragonist bescherming tegen cardiovasculaire gebeurtenissen liet zien. Ze heeft de rol van de hele klasse in de diabetesrichtlijnen veranderd.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(Marso 2016), PMID 27295427</w:t>
            </w:r>
          </w:p>
        </w:tc>
        <w:tc>
          <w:tcPr/>
          <w:p>
            <w:pPr>
              <w:pStyle w:val="Compact"/>
              <w:jc w:val="left"/>
            </w:pPr>
            <w:r>
              <w:t xml:space="preserve">9.340 personen met diabetes type 2 en hoog cardiovasculair risico, RCT tegen placebo</w:t>
            </w:r>
          </w:p>
        </w:tc>
        <w:tc>
          <w:tcPr/>
          <w:p>
            <w:pPr>
              <w:pStyle w:val="Compact"/>
              <w:jc w:val="left"/>
            </w:pPr>
            <w:r>
              <w:t xml:space="preserve">mediaan 3,8 jaar</w:t>
            </w:r>
          </w:p>
        </w:tc>
        <w:tc>
          <w:tcPr/>
          <w:p>
            <w:pPr>
              <w:pStyle w:val="Compact"/>
              <w:jc w:val="left"/>
            </w:pPr>
            <w:r>
              <w:t xml:space="preserve">ernstige cardiovasculaire gebeurtenissen 13,0% vs. 14,9%; HR 0,87 (0,78–0,97)</w:t>
            </w:r>
          </w:p>
        </w:tc>
      </w:tr>
      <w:tr>
        <w:tc>
          <w:tcPr/>
          <w:p>
            <w:pPr>
              <w:pStyle w:val="Compact"/>
              <w:jc w:val="left"/>
            </w:pPr>
            <w:r>
              <w:t xml:space="preserve">LEADER, nieranalyse (Mann 2017), PMID 28854085</w:t>
            </w:r>
          </w:p>
        </w:tc>
        <w:tc>
          <w:tcPr/>
          <w:p>
            <w:pPr>
              <w:pStyle w:val="Compact"/>
              <w:jc w:val="left"/>
            </w:pPr>
            <w:r>
              <w:t xml:space="preserve">dezelfde 9.340 personen, vooraf geplande analyse</w:t>
            </w:r>
          </w:p>
        </w:tc>
        <w:tc>
          <w:tcPr/>
          <w:p>
            <w:pPr>
              <w:pStyle w:val="Compact"/>
              <w:jc w:val="left"/>
            </w:pPr>
            <w:r>
              <w:t xml:space="preserve">mediaan 3,84 jaar</w:t>
            </w:r>
          </w:p>
        </w:tc>
        <w:tc>
          <w:tcPr/>
          <w:p>
            <w:pPr>
              <w:pStyle w:val="Compact"/>
              <w:jc w:val="left"/>
            </w:pPr>
            <w:r>
              <w:t xml:space="preserve">niereindpunt 268 vs. 337 gevallen; HR 0,78, vooral minder nieuwe macroalbuminurie</w:t>
            </w:r>
          </w:p>
        </w:tc>
      </w:tr>
    </w:tbl>
    <w:p>
      <w:pPr>
        <w:pStyle w:val="BodyText"/>
      </w:pPr>
      <w:r>
        <w:t xml:space="preserve">Het primaire eindpunt – overlijden door een cardiovasculaire oorzaak, niet-fataal hartinfarct of beroerte – trad onder liraglutide op bij 608 van 4.668 personen (13,0%), onder placebo bij 694 van 4.672 (14,9%)</w:t>
      </w:r>
      <w:r>
        <w:rPr>
          <w:rStyle w:val="FootnoteReference"/>
        </w:rPr>
        <w:footnoteReference w:id="303"/>
      </w:r>
      <w:r>
        <w:t xml:space="preserve">. Dat komt overeen met een relatieve risicoverlaging van 13%. Het effect werd vooral gedragen door minder cardiovasculaire sterfgevallen (4,7% vs. 6,0%; HR 0,78). Ook de totale sterfte was lager (8,2% vs. 9,6%; HR 0,85). De afzonderlijke componenten hartinfarct, beroerte en ziekenhuisopname wegens hartfalen waren op zichzelf niet significant verminderd.</w:t>
      </w:r>
    </w:p>
    <w:p>
      <w:pPr>
        <w:pStyle w:val="BodyText"/>
      </w:pPr>
      <w:r>
        <w:t xml:space="preserve">In absolute getallen betekent dit: over bijna vier jaar hadden ongeveer twee op de honderd behandelden een ernstige cardiovasculaire gebeurtenis minder. Voor een hoogrisicogroep is dat een relevant effect.</w:t>
      </w:r>
    </w:p>
    <w:p>
      <w:pPr>
        <w:pStyle w:val="BodyText"/>
      </w:pPr>
      <w:r>
        <w:t xml:space="preserve">De nieranalyse</w:t>
      </w:r>
      <w:r>
        <w:rPr>
          <w:rStyle w:val="FootnoteReference"/>
        </w:rPr>
        <w:footnoteReference w:id="304"/>
      </w:r>
      <w:r>
        <w:t xml:space="preserve"> </w:t>
      </w:r>
      <w:r>
        <w:t xml:space="preserve">liet minder gevallen zien van een nieuw optredende sterke eiwituitscheiding in de urine (macroalbuminurie). Harde niereindpunten zoals dialyse waren zeldzaam en verschilden niet duidelijk. Acuut nierfalen kwam ongeveer even vaak voor als onder placebo.</w:t>
      </w:r>
    </w:p>
    <w:p>
      <w:pPr>
        <w:pStyle w:val="BodyText"/>
      </w:pPr>
      <w:r>
        <w:t xml:space="preserve">Niet elke hartpatiëntengroep heeft er baat bij. In de FIGHT-studie met 300 personen die kort tevoren wegens ernstig hartfalen met sterk verminderde pompfunctie in het ziekenhuis hadden gelegen, verbeterde liraglutide het verloop niet</w:t>
      </w:r>
      <w:r>
        <w:rPr>
          <w:rStyle w:val="FootnoteReference"/>
        </w:rPr>
        <w:footnoteReference w:id="305"/>
      </w:r>
      <w:r>
        <w:t xml:space="preserve">. Er waren zelfs iets meer heropnames wegens hartfalen (41% vs. 34%), zonder dat het verschil statistisch significant was. De auteurs zagen geen basis voor gebruik in deze situatie.</w:t>
      </w:r>
    </w:p>
    <w:bookmarkEnd w:id="306"/>
    <w:bookmarkStart w:id="311" w:name="obesitas-het-scale-programma"/>
    <w:p>
      <w:pPr>
        <w:pStyle w:val="Heading4"/>
      </w:pPr>
      <w:r>
        <w:t xml:space="preserve">Obesitas: het SCALE-programma</w:t>
      </w:r>
    </w:p>
    <w:p>
      <w:pPr>
        <w:pStyle w:val="FirstParagraph"/>
      </w:pPr>
      <w:r>
        <w:t xml:space="preserve">Met 3,0 mg per dag – bijna twee keer zoveel als de hoogste diabetesdosis – werd liraglutide in 2014/2015 als eerste GLP-1-geneesmiddel voor gewichtsvermindering geregistreerd. Basis was het studieprogramma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SCALE Obesity and Prediabetes (Pi-Sunyer 2015), PMID 26132939</w:t>
            </w:r>
          </w:p>
        </w:tc>
        <w:tc>
          <w:tcPr/>
          <w:p>
            <w:pPr>
              <w:pStyle w:val="Compact"/>
              <w:jc w:val="left"/>
            </w:pPr>
            <w:r>
              <w:t xml:space="preserve">3.731 volwassenen met obesitas zonder diabetes, RCT tegen placebo</w:t>
            </w:r>
          </w:p>
        </w:tc>
        <w:tc>
          <w:tcPr/>
          <w:p>
            <w:pPr>
              <w:pStyle w:val="Compact"/>
              <w:jc w:val="left"/>
            </w:pPr>
            <w:r>
              <w:t xml:space="preserve">56 weken</w:t>
            </w:r>
          </w:p>
        </w:tc>
        <w:tc>
          <w:tcPr/>
          <w:p>
            <w:pPr>
              <w:pStyle w:val="Compact"/>
              <w:jc w:val="left"/>
            </w:pPr>
            <w:r>
              <w:t xml:space="preserve">−8,4 kg vs. −2,8 kg; ≥ 5% afname bij 63,2% vs. 27,1%</w:t>
            </w:r>
          </w:p>
        </w:tc>
      </w:tr>
      <w:tr>
        <w:tc>
          <w:tcPr/>
          <w:p>
            <w:pPr>
              <w:pStyle w:val="Compact"/>
              <w:jc w:val="left"/>
            </w:pPr>
            <w:r>
              <w:t xml:space="preserve">SCALE, 3-jaarsdeel (le Roux 2017), PMID 28237263</w:t>
            </w:r>
          </w:p>
        </w:tc>
        <w:tc>
          <w:tcPr/>
          <w:p>
            <w:pPr>
              <w:pStyle w:val="Compact"/>
              <w:jc w:val="left"/>
            </w:pPr>
            <w:r>
              <w:t xml:space="preserve">2.254 personen met prediabetes</w:t>
            </w:r>
          </w:p>
        </w:tc>
        <w:tc>
          <w:tcPr/>
          <w:p>
            <w:pPr>
              <w:pStyle w:val="Compact"/>
              <w:jc w:val="left"/>
            </w:pPr>
            <w:r>
              <w:t xml:space="preserve">160 weken</w:t>
            </w:r>
          </w:p>
        </w:tc>
        <w:tc>
          <w:tcPr/>
          <w:p>
            <w:pPr>
              <w:pStyle w:val="Compact"/>
              <w:jc w:val="left"/>
            </w:pPr>
            <w:r>
              <w:t xml:space="preserve">nieuwe diabetes bij 2% vs. 6%; gewicht −6,1% vs. −1,9%</w:t>
            </w:r>
          </w:p>
        </w:tc>
      </w:tr>
      <w:tr>
        <w:tc>
          <w:tcPr/>
          <w:p>
            <w:pPr>
              <w:pStyle w:val="Compact"/>
              <w:jc w:val="left"/>
            </w:pPr>
            <w:r>
              <w:t xml:space="preserve">SCALE Diabetes (Davies 2015), PMID 26284720</w:t>
            </w:r>
          </w:p>
        </w:tc>
        <w:tc>
          <w:tcPr/>
          <w:p>
            <w:pPr>
              <w:pStyle w:val="Compact"/>
              <w:jc w:val="left"/>
            </w:pPr>
            <w:r>
              <w:t xml:space="preserve">846 personen met diabetes type 2 en overgewicht</w:t>
            </w:r>
          </w:p>
        </w:tc>
        <w:tc>
          <w:tcPr/>
          <w:p>
            <w:pPr>
              <w:pStyle w:val="Compact"/>
              <w:jc w:val="left"/>
            </w:pPr>
            <w:r>
              <w:t xml:space="preserve">56 weken</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personen na dieet met ≥ 5% afname</w:t>
            </w:r>
          </w:p>
        </w:tc>
        <w:tc>
          <w:tcPr/>
          <w:p>
            <w:pPr>
              <w:pStyle w:val="Compact"/>
              <w:jc w:val="left"/>
            </w:pPr>
            <w:r>
              <w:t xml:space="preserve">56 weken</w:t>
            </w:r>
          </w:p>
        </w:tc>
        <w:tc>
          <w:tcPr/>
          <w:p>
            <w:pPr>
              <w:pStyle w:val="Compact"/>
              <w:jc w:val="left"/>
            </w:pPr>
            <w:r>
              <w:t xml:space="preserve">extra −6,2% vs. −0,2%</w:t>
            </w:r>
          </w:p>
        </w:tc>
      </w:tr>
      <w:tr>
        <w:tc>
          <w:tcPr/>
          <w:p>
            <w:pPr>
              <w:pStyle w:val="Compact"/>
              <w:jc w:val="left"/>
            </w:pPr>
            <w:r>
              <w:t xml:space="preserve">SCALE Sleep Apnea (Blackman 2016), PMID 27005405</w:t>
            </w:r>
          </w:p>
        </w:tc>
        <w:tc>
          <w:tcPr/>
          <w:p>
            <w:pPr>
              <w:pStyle w:val="Compact"/>
              <w:jc w:val="left"/>
            </w:pPr>
            <w:r>
              <w:t xml:space="preserve">volwassenen met obesitas en matige tot ernstige slaapapneu</w:t>
            </w:r>
          </w:p>
        </w:tc>
        <w:tc>
          <w:tcPr/>
          <w:p>
            <w:pPr>
              <w:pStyle w:val="Compact"/>
              <w:jc w:val="left"/>
            </w:pPr>
            <w:r>
              <w:t xml:space="preserve">32 weken</w:t>
            </w:r>
          </w:p>
        </w:tc>
        <w:tc>
          <w:tcPr/>
          <w:p>
            <w:pPr>
              <w:pStyle w:val="Compact"/>
              <w:jc w:val="left"/>
            </w:pPr>
            <w:r>
              <w:t xml:space="preserve">ademstilstanden −12,2 vs. −6,1 per uur; gewicht −5,7% vs. −1,6%</w:t>
            </w:r>
          </w:p>
        </w:tc>
      </w:tr>
    </w:tbl>
    <w:p>
      <w:pPr>
        <w:pStyle w:val="BodyText"/>
      </w:pPr>
      <w:r>
        <w:t xml:space="preserve">In de grootste studie</w:t>
      </w:r>
      <w:r>
        <w:rPr>
          <w:rStyle w:val="FootnoteReference"/>
        </w:rPr>
        <w:footnoteReference w:id="307"/>
      </w:r>
      <w:r>
        <w:t xml:space="preserve"> </w:t>
      </w:r>
      <w:r>
        <w:t xml:space="preserve">verloren de deelnemers met liraglutide gemiddeld 8,4 kg, met placebo 2,8 kg – telkens met voedings- en bewegingsadvies. Een derde (33,1%) verloor meer dan 10% van het lichaamsgewicht, tegenover 10,6% met placebo. Ernstige ongewenste voorvallen traden op bij 6,2% tegenover 5,0%.</w:t>
      </w:r>
    </w:p>
    <w:p>
      <w:pPr>
        <w:pStyle w:val="BodyText"/>
      </w:pPr>
      <w:r>
        <w:t xml:space="preserve">De deelnemers met prediabetes (voorstadium van diabetes) werden drie jaar lang verder behandeld</w:t>
      </w:r>
      <w:r>
        <w:rPr>
          <w:rStyle w:val="FootnoteReference"/>
        </w:rPr>
        <w:footnoteReference w:id="308"/>
      </w:r>
      <w:r>
        <w:t xml:space="preserve">. Met liraglutide ontwikkelde 2% diabetes type 2, met placebo 6%. De studie heeft echter een belangrijke zwakte: slechts de helft van de deelnemers (50%) bleef tot het einde, en wie uitviel, werd niet verder gevolgd. De resultaten moeten daarom met voorzichtigheid worden gelezen.</w:t>
      </w:r>
    </w:p>
    <w:p>
      <w:pPr>
        <w:pStyle w:val="BodyText"/>
      </w:pPr>
      <w:r>
        <w:t xml:space="preserve">Bij mensen met diabetes type 2 viel het gewichtsverlies lager uit</w:t>
      </w:r>
      <w:r>
        <w:rPr>
          <w:rStyle w:val="FootnoteReference"/>
        </w:rPr>
        <w:footnoteReference w:id="309"/>
      </w:r>
      <w:r>
        <w:t xml:space="preserve"> </w:t>
      </w:r>
      <w:r>
        <w:t xml:space="preserve">– een patroon dat zich bij alle GLP-1-geneesmiddelen herhaalt. In SCALE Maintenance</w:t>
      </w:r>
      <w:r>
        <w:rPr>
          <w:rStyle w:val="FootnoteReference"/>
        </w:rPr>
        <w:footnoteReference w:id="310"/>
      </w:r>
      <w:r>
        <w:t xml:space="preserve"> </w:t>
      </w:r>
      <w:r>
        <w:t xml:space="preserve">hielp liraglutide om na een dieetfase het gewicht te behouden: 81,4% behield het eerder bereikte gewichtsverlies, tegenover 48,9% met placebo.</w:t>
      </w:r>
    </w:p>
    <w:p>
      <w:pPr>
        <w:pStyle w:val="BodyText"/>
      </w:pPr>
      <w:r>
        <w:t xml:space="preserve">Achteraf gezien lijkt het gewichtseffect van liraglutide bescheiden, nu semaglutide en tirzepatide gemiddeld 15 tot meer dan 20% bereiken. Voor zijn tijd was het een doorbraak: geen eerder geregistreerd middel had in studies van deze omvang vergelijkbare waarden laten zien.</w:t>
      </w:r>
    </w:p>
    <w:bookmarkEnd w:id="311"/>
    <w:bookmarkStart w:id="315" w:name="kinderen-en-jongeren"/>
    <w:p>
      <w:pPr>
        <w:pStyle w:val="Heading4"/>
      </w:pPr>
      <w:r>
        <w:t xml:space="preserve">Kinderen en jongeren</w:t>
      </w:r>
    </w:p>
    <w:p>
      <w:pPr>
        <w:pStyle w:val="FirstParagraph"/>
      </w:pPr>
      <w:r>
        <w:t xml:space="preserve">Liraglutide is een van de weinige werkzame stoffen van deze klasse die gericht bij kinderen en jongeren zijn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ELLIPSE (Tamborlane 2019), PMID 31034184</w:t>
            </w:r>
          </w:p>
        </w:tc>
        <w:tc>
          <w:tcPr/>
          <w:p>
            <w:pPr>
              <w:pStyle w:val="Compact"/>
              <w:jc w:val="left"/>
            </w:pPr>
            <w:r>
              <w:t xml:space="preserve">134 kinderen en jongeren (10 tot jonger dan 17 jaar) met diabetes type 2, RCT tegen placebo</w:t>
            </w:r>
          </w:p>
        </w:tc>
        <w:tc>
          <w:tcPr/>
          <w:p>
            <w:pPr>
              <w:pStyle w:val="Compact"/>
              <w:jc w:val="left"/>
            </w:pPr>
            <w:r>
              <w:t xml:space="preserve">52 weken</w:t>
            </w:r>
          </w:p>
        </w:tc>
        <w:tc>
          <w:tcPr/>
          <w:p>
            <w:pPr>
              <w:pStyle w:val="Compact"/>
              <w:jc w:val="left"/>
            </w:pPr>
            <w:r>
              <w:t xml:space="preserve">HbA1c −1,06 procentpunt ten opzichte van placebo na 26 weken, −1,30 na 52 weken</w:t>
            </w:r>
          </w:p>
        </w:tc>
      </w:tr>
      <w:tr>
        <w:tc>
          <w:tcPr/>
          <w:p>
            <w:pPr>
              <w:pStyle w:val="Compact"/>
              <w:jc w:val="left"/>
            </w:pPr>
            <w:r>
              <w:t xml:space="preserve">SCALE Teens (Kelly 2020), PMID 32233338</w:t>
            </w:r>
          </w:p>
        </w:tc>
        <w:tc>
          <w:tcPr/>
          <w:p>
            <w:pPr>
              <w:pStyle w:val="Compact"/>
              <w:jc w:val="left"/>
            </w:pPr>
            <w:r>
              <w:t xml:space="preserve">251 jongeren (12 tot jonger dan 18 jaar) met obesitas, RCT tegen placebo</w:t>
            </w:r>
          </w:p>
        </w:tc>
        <w:tc>
          <w:tcPr/>
          <w:p>
            <w:pPr>
              <w:pStyle w:val="Compact"/>
              <w:jc w:val="left"/>
            </w:pPr>
            <w:r>
              <w:t xml:space="preserve">56 weken</w:t>
            </w:r>
          </w:p>
        </w:tc>
        <w:tc>
          <w:tcPr/>
          <w:p>
            <w:pPr>
              <w:pStyle w:val="Compact"/>
              <w:jc w:val="left"/>
            </w:pPr>
            <w:r>
              <w:t xml:space="preserve">BMI-afname ≥ 5% bij 43,3% vs. 18,7%; gewicht −4,50 kg ten opzichte van placebo</w:t>
            </w:r>
          </w:p>
        </w:tc>
      </w:tr>
      <w:tr>
        <w:tc>
          <w:tcPr/>
          <w:p>
            <w:pPr>
              <w:pStyle w:val="Compact"/>
              <w:jc w:val="left"/>
            </w:pPr>
            <w:r>
              <w:t xml:space="preserve">SCALE Kids (Fox 2025), PMID 39258838</w:t>
            </w:r>
          </w:p>
        </w:tc>
        <w:tc>
          <w:tcPr/>
          <w:p>
            <w:pPr>
              <w:pStyle w:val="Compact"/>
              <w:jc w:val="left"/>
            </w:pPr>
            <w:r>
              <w:t xml:space="preserve">82 kinderen (6 tot jonger dan 12 jaar) met obesitas, RCT tegen placebo</w:t>
            </w:r>
          </w:p>
        </w:tc>
        <w:tc>
          <w:tcPr/>
          <w:p>
            <w:pPr>
              <w:pStyle w:val="Compact"/>
              <w:jc w:val="left"/>
            </w:pPr>
            <w:r>
              <w:t xml:space="preserve">56 weken</w:t>
            </w:r>
          </w:p>
        </w:tc>
        <w:tc>
          <w:tcPr/>
          <w:p>
            <w:pPr>
              <w:pStyle w:val="Compact"/>
              <w:jc w:val="left"/>
            </w:pPr>
            <w:r>
              <w:t xml:space="preserve">BMI −5,8% vs. +1,6%</w:t>
            </w:r>
          </w:p>
        </w:tc>
      </w:tr>
    </w:tbl>
    <w:p>
      <w:pPr>
        <w:pStyle w:val="BodyText"/>
      </w:pPr>
      <w:r>
        <w:t xml:space="preserve">In SCALE Teens</w:t>
      </w:r>
      <w:r>
        <w:rPr>
          <w:rStyle w:val="FootnoteReference"/>
        </w:rPr>
        <w:footnoteReference w:id="312"/>
      </w:r>
      <w:r>
        <w:t xml:space="preserve"> </w:t>
      </w:r>
      <w:r>
        <w:t xml:space="preserve">bleek na het stoppen een herstijging van de BMI die sterker was dan onder placebo. Maag-darmklachten troffen 64,8% tegenover 36,5%; 10,4% stopte met de behandeling vanwege bijwerkingen. In de liraglutidegroep was er een suïcide, die de onderzoeksartsen als waarschijnlijk niet gerelateerd aan de behandeling beoordeelden.</w:t>
      </w:r>
    </w:p>
    <w:p>
      <w:pPr>
        <w:pStyle w:val="BodyText"/>
      </w:pPr>
      <w:r>
        <w:t xml:space="preserve">In SCALE Kids</w:t>
      </w:r>
      <w:r>
        <w:rPr>
          <w:rStyle w:val="FootnoteReference"/>
        </w:rPr>
        <w:footnoteReference w:id="313"/>
      </w:r>
      <w:r>
        <w:t xml:space="preserve"> </w:t>
      </w:r>
      <w:r>
        <w:t xml:space="preserve">nam het lichaamsgewicht van de groeiende kinderen met liraglutide gemiddeld met 1,6% toe, met placebo met 10,0%. Maag-darmklachten traden op bij 80% tegenover 54%, ernstige ongewenste voorvallen bij 12% tegenover 8%. Bij kinderen speelt vooral de vraag hoe lang zo’n behandeling moet duren en welke langetermijneffecten er zijn op groei en botten. Daarover loopt onder meer een studie naar het botmetabolisme bij 12- tot 21-jarigen onder GLP-1-therapie</w:t>
      </w:r>
      <w:r>
        <w:rPr>
          <w:rStyle w:val="FootnoteReference"/>
        </w:rPr>
        <w:footnoteReference w:id="314"/>
      </w:r>
      <w:r>
        <w:t xml:space="preserve">.</w:t>
      </w:r>
    </w:p>
    <w:bookmarkEnd w:id="315"/>
    <w:bookmarkStart w:id="319" w:name="andere-toepassingsgebieden-in-studies-1"/>
    <w:p>
      <w:pPr>
        <w:pStyle w:val="Heading4"/>
      </w:pPr>
      <w:r>
        <w:t xml:space="preserve">Andere toepassingsgebieden in studies</w:t>
      </w:r>
    </w:p>
    <w:p>
      <w:pPr>
        <w:numPr>
          <w:ilvl w:val="0"/>
          <w:numId w:val="1043"/>
        </w:numPr>
        <w:pStyle w:val="Compact"/>
      </w:pPr>
      <w:r>
        <w:rPr>
          <w:bCs/>
          <w:b/>
        </w:rPr>
        <w:t xml:space="preserve">Leverontsteking door vervetting (NASH/MASH):</w:t>
      </w:r>
      <w:r>
        <w:t xml:space="preserve"> </w:t>
      </w:r>
      <w:r>
        <w:t xml:space="preserve">in de kleine fase 2-studie LEAN met 52 deelnemers verdween de ontsteking in de leverbiopsie bij 39% met liraglutide en bij 9% met placebo; toename van littekenvorming (fibrose) was zeldzamer (9% vs. 36%)</w:t>
      </w:r>
      <w:r>
        <w:rPr>
          <w:rStyle w:val="FootnoteReference"/>
        </w:rPr>
        <w:footnoteReference w:id="316"/>
      </w:r>
      <w:r>
        <w:t xml:space="preserve">. Grotere studies werden later met semaglutide uitgevoerd.</w:t>
      </w:r>
    </w:p>
    <w:p>
      <w:pPr>
        <w:numPr>
          <w:ilvl w:val="0"/>
          <w:numId w:val="1043"/>
        </w:numPr>
        <w:pStyle w:val="Compact"/>
      </w:pPr>
      <w:r>
        <w:rPr>
          <w:bCs/>
          <w:b/>
        </w:rPr>
        <w:t xml:space="preserve">Ziekte van Alzheimer:</w:t>
      </w:r>
      <w:r>
        <w:t xml:space="preserve"> </w:t>
      </w:r>
      <w:r>
        <w:t xml:space="preserve">in de fase 2b-studie ELAD met 204 personen zonder diabetes veranderde het primaire eindpunt, het suikermetabolisme in de hersenen, niet</w:t>
      </w:r>
      <w:r>
        <w:rPr>
          <w:rStyle w:val="FootnoteReference"/>
        </w:rPr>
        <w:footnoteReference w:id="317"/>
      </w:r>
      <w:r>
        <w:t xml:space="preserve">. Op een secundair eindpunt over executieve functies scoorde liraglutide beter, op dagelijkse vaardigheden en ernst van de dementie niet. Secundaire eindpunten zonder correctie voor meervoudig testen zijn alleen aanwijzingen.</w:t>
      </w:r>
    </w:p>
    <w:p>
      <w:pPr>
        <w:numPr>
          <w:ilvl w:val="0"/>
          <w:numId w:val="1043"/>
        </w:numPr>
        <w:pStyle w:val="Compact"/>
      </w:pPr>
      <w:r>
        <w:rPr>
          <w:bCs/>
          <w:b/>
        </w:rPr>
        <w:t xml:space="preserve">Alcohol en andere verslavingen:</w:t>
      </w:r>
      <w:r>
        <w:t xml:space="preserve"> </w:t>
      </w:r>
      <w:r>
        <w:t xml:space="preserve">in een Zweedse registerstudie met 227.866 mensen met alcoholafhankelijkheid ging het gebruik van liraglutide gepaard met een 28% lager risico op alcoholgerelateerde ziekenhuisopnames</w:t>
      </w:r>
      <w:r>
        <w:rPr>
          <w:rStyle w:val="FootnoteReference"/>
        </w:rPr>
        <w:footnoteReference w:id="318"/>
      </w:r>
      <w:r>
        <w:t xml:space="preserve">. Observationele gegevens van dit type tonen verbanden, geen oorzaak-gevolgrelatie.</w:t>
      </w:r>
    </w:p>
    <w:bookmarkEnd w:id="319"/>
    <w:bookmarkEnd w:id="320"/>
    <w:bookmarkStart w:id="323" w:name="dier--en-laboratoriumstudies-1"/>
    <w:p>
      <w:pPr>
        <w:pStyle w:val="Heading3"/>
      </w:pPr>
      <w:r>
        <w:t xml:space="preserve">Dier- en laboratoriumstudies</w:t>
      </w:r>
    </w:p>
    <w:p>
      <w:pPr>
        <w:pStyle w:val="FirstParagraph"/>
      </w:pPr>
      <w:r>
        <w:t xml:space="preserve">Een groot deel van het huidige begrip van de GLP-1-werking in de hersenen komt uit dierproeven met liraglutide. Bij ratten en muizen werd aangetoond dat het molecuul ondanks zijn grootte bepaalde hersengebieden zonder dichte bloed-hersenbarrière bereikt en daar eetlustremmende zenuwcellen stimuleert</w:t>
      </w:r>
      <w:r>
        <w:rPr>
          <w:rStyle w:val="FootnoteReference"/>
        </w:rPr>
        <w:footnoteReference w:id="321"/>
      </w:r>
      <w:r>
        <w:t xml:space="preserve">.</w:t>
      </w:r>
    </w:p>
    <w:p>
      <w:pPr>
        <w:pStyle w:val="BodyText"/>
      </w:pPr>
      <w:r>
        <w:t xml:space="preserve">Bijzonder ingrijpend waren de bevindingen over de schildklier. In langetermijnproeven met ratten en muizen leidde liraglutide tot een toename van de C-cellen (die het hormoon calcitonine aanmaken) en tot C-celtumoren. Onderzoek naar het mechanisme toonde aan dat C-cellen van knaagdieren rijkelijk GLP-1-receptoren dragen, die van mensen en apen daarentegen nauwelijks</w:t>
      </w:r>
      <w:r>
        <w:rPr>
          <w:rStyle w:val="FootnoteReference"/>
        </w:rPr>
        <w:footnoteReference w:id="322"/>
      </w:r>
      <w:r>
        <w:t xml:space="preserve">. Bij Java-apen leidden 20 maanden liraglutide bij een blootstelling die meer dan 60 keer hoger lag dan bij de mens niet tot een toename van C-cellen. Toch staat sindsdien voor de hele klasse een waarschuwing over medullair schildkliercarcinoom in de productinformatie, vooral in de VS.</w:t>
      </w:r>
    </w:p>
    <w:p>
      <w:pPr>
        <w:pStyle w:val="BodyText"/>
      </w:pPr>
      <w:r>
        <w:t xml:space="preserve">Andere dierstudies gingen over hartbescherming, zenuwbescherming (alzheimer- en parkinsonmodellen), leververvetting en nierschade. De vertaalbaarheid naar de mens is net als bij exenatide beperkt: de alzheimerstudie ELAD bijvoorbeeld haalde haar primaire eindpunt niet, hoewel de dierdata positief waren.</w:t>
      </w:r>
    </w:p>
    <w:bookmarkEnd w:id="323"/>
    <w:bookmarkStart w:id="333" w:name="risicos-en-bijwerkingen-1"/>
    <w:p>
      <w:pPr>
        <w:pStyle w:val="Heading3"/>
      </w:pPr>
      <w:r>
        <w:t xml:space="preserve">Risico’s en bijwerkingen</w:t>
      </w:r>
    </w:p>
    <w:p>
      <w:pPr>
        <w:pStyle w:val="FirstParagraph"/>
      </w:pPr>
      <w:r>
        <w:rPr>
          <w:bCs/>
          <w:b/>
        </w:rPr>
        <w:t xml:space="preserve">Aangetoond in gerandomiseerde studies:</w:t>
      </w:r>
    </w:p>
    <w:p>
      <w:pPr>
        <w:numPr>
          <w:ilvl w:val="0"/>
          <w:numId w:val="1044"/>
        </w:numPr>
        <w:pStyle w:val="Compact"/>
      </w:pPr>
      <w:r>
        <w:rPr>
          <w:bCs/>
          <w:b/>
        </w:rPr>
        <w:t xml:space="preserve">Maag-darmklachten:</w:t>
      </w:r>
      <w:r>
        <w:t xml:space="preserve"> </w:t>
      </w:r>
      <w:r>
        <w:t xml:space="preserve">misselijkheid, diarree, braken en obstipatie zijn de meest voorkomende bijwerkingen en meestal de reden om met de therapie te stoppen</w:t>
      </w:r>
      <w:r>
        <w:rPr>
          <w:rStyle w:val="FootnoteReference"/>
        </w:rPr>
        <w:footnoteReference w:id="324"/>
      </w:r>
      <w:r>
        <w:t xml:space="preserve">. Ze treden vooral op in het begin en na dosisverhogingen. Bij de hogere obesitasdosis komen ze vaker voor dan bij de diabetesdosis</w:t>
      </w:r>
      <w:r>
        <w:rPr>
          <w:rStyle w:val="FootnoteReference"/>
        </w:rPr>
        <w:footnoteReference w:id="325"/>
      </w:r>
      <w:r>
        <w:t xml:space="preserve">.</w:t>
      </w:r>
    </w:p>
    <w:p>
      <w:pPr>
        <w:numPr>
          <w:ilvl w:val="0"/>
          <w:numId w:val="1044"/>
        </w:numPr>
        <w:pStyle w:val="Compact"/>
      </w:pPr>
      <w:r>
        <w:rPr>
          <w:bCs/>
          <w:b/>
        </w:rPr>
        <w:t xml:space="preserve">Galblaas:</w:t>
      </w:r>
      <w:r>
        <w:t xml:space="preserve"> </w:t>
      </w:r>
      <w:r>
        <w:t xml:space="preserve">een meta-analyse van 76 gerandomiseerde studies met 103.371 deelnemers vond voor de GLP-1-klasse een 37% verhoogd relatief risico op aandoeningen van galblaas en galwegen zoals galstenen en galblaasontsteking</w:t>
      </w:r>
      <w:r>
        <w:rPr>
          <w:rStyle w:val="FootnoteReference"/>
        </w:rPr>
        <w:footnoteReference w:id="326"/>
      </w:r>
      <w:r>
        <w:t xml:space="preserve">. Het risico was groter bij hogere doses, langer gebruik en in studies naar gewichtsverlies (relatief risico 2,29). Een deel daarvan hangt waarschijnlijk samen met het snelle gewichtsverlies zelf.</w:t>
      </w:r>
    </w:p>
    <w:p>
      <w:pPr>
        <w:numPr>
          <w:ilvl w:val="0"/>
          <w:numId w:val="1044"/>
        </w:numPr>
        <w:pStyle w:val="Compact"/>
      </w:pPr>
      <w:r>
        <w:rPr>
          <w:bCs/>
          <w:b/>
        </w:rPr>
        <w:t xml:space="preserve">Hypoglykemie:</w:t>
      </w:r>
      <w:r>
        <w:t xml:space="preserve"> </w:t>
      </w:r>
      <w:r>
        <w:t xml:space="preserve">op zichzelf zeldzaam, in combinatie met sulfonylureumderivaten of insuline vaker.</w:t>
      </w:r>
    </w:p>
    <w:p>
      <w:pPr>
        <w:numPr>
          <w:ilvl w:val="0"/>
          <w:numId w:val="1044"/>
        </w:numPr>
        <w:pStyle w:val="Compact"/>
      </w:pPr>
      <w:r>
        <w:rPr>
          <w:bCs/>
          <w:b/>
        </w:rPr>
        <w:t xml:space="preserve">Hartslag:</w:t>
      </w:r>
      <w:r>
        <w:t xml:space="preserve"> </w:t>
      </w:r>
      <w:r>
        <w:t xml:space="preserve">liraglutide verhoogt de rustpols licht met enkele slagen per minuut; de klinische betekenis wordt gezien de LEADER-resultaten als gering beschouwd.</w:t>
      </w:r>
    </w:p>
    <w:p>
      <w:pPr>
        <w:pStyle w:val="FirstParagraph"/>
      </w:pPr>
      <w:r>
        <w:rPr>
          <w:bCs/>
          <w:b/>
        </w:rPr>
        <w:t xml:space="preserve">Onderzocht, maar onzeker of niet bevestigd:</w:t>
      </w:r>
    </w:p>
    <w:p>
      <w:pPr>
        <w:numPr>
          <w:ilvl w:val="0"/>
          <w:numId w:val="1045"/>
        </w:numPr>
        <w:pStyle w:val="Compact"/>
      </w:pPr>
      <w:r>
        <w:rPr>
          <w:bCs/>
          <w:b/>
        </w:rPr>
        <w:t xml:space="preserve">Alvleesklierontsteking:</w:t>
      </w:r>
      <w:r>
        <w:t xml:space="preserve"> </w:t>
      </w:r>
      <w:r>
        <w:t xml:space="preserve">in LEADER kwam ze onder liraglutide niet vaker voor dan onder placebo</w:t>
      </w:r>
      <w:r>
        <w:rPr>
          <w:rStyle w:val="FootnoteReference"/>
        </w:rPr>
        <w:footnoteReference w:id="327"/>
      </w:r>
      <w:r>
        <w:t xml:space="preserve">. Een oudere meta-analyse vond evenmin een verhoogd risico</w:t>
      </w:r>
      <w:r>
        <w:rPr>
          <w:rStyle w:val="FootnoteReference"/>
        </w:rPr>
        <w:footnoteReference w:id="328"/>
      </w:r>
      <w:r>
        <w:t xml:space="preserve">. De productinformatie vermeldt ze toch als zeldzame bijwerking; bij hevige aanhoudende buikpijn is medisch onderzoek nodig.</w:t>
      </w:r>
    </w:p>
    <w:p>
      <w:pPr>
        <w:numPr>
          <w:ilvl w:val="0"/>
          <w:numId w:val="1045"/>
        </w:numPr>
        <w:pStyle w:val="Compact"/>
      </w:pPr>
      <w:r>
        <w:rPr>
          <w:bCs/>
          <w:b/>
        </w:rPr>
        <w:t xml:space="preserve">Schildklierkanker:</w:t>
      </w:r>
      <w:r>
        <w:t xml:space="preserve"> </w:t>
      </w:r>
      <w:r>
        <w:t xml:space="preserve">de dierbevindingen zijn hierboven beschreven. Bij de mens zijn de gegevens tegenstrijdig. Een Franse patiënt-controlestudie met 2.562 gevallen vond na één tot drie jaar GLP-1-therapie een verhoogd risico op schildklierkanker in het algemeen (HR 1,58) en op het zeldzame medullaire carcinoom (HR 1,78)</w:t>
      </w:r>
      <w:r>
        <w:rPr>
          <w:rStyle w:val="FootnoteReference"/>
        </w:rPr>
        <w:footnoteReference w:id="329"/>
      </w:r>
      <w:r>
        <w:t xml:space="preserve">. Een meta-analyse van 50 gerandomiseerde studies liet eveneens een signaal zien (oddsratio 1,55)</w:t>
      </w:r>
      <w:r>
        <w:rPr>
          <w:rStyle w:val="FootnoteReference"/>
        </w:rPr>
        <w:footnoteReference w:id="330"/>
      </w:r>
      <w:r>
        <w:t xml:space="preserve">. Besproken wordt of een deel daarvan te wijten is aan vaker onderzoek bij behandelden. Mensen met medullair schildkliercarcinoom in de eigen of familiaire voorgeschiedenis mogen GLP-1-receptoragonisten volgens de productinformatie niet gebruiken.</w:t>
      </w:r>
    </w:p>
    <w:p>
      <w:pPr>
        <w:numPr>
          <w:ilvl w:val="0"/>
          <w:numId w:val="1045"/>
        </w:numPr>
        <w:pStyle w:val="Compact"/>
      </w:pPr>
      <w:r>
        <w:rPr>
          <w:bCs/>
          <w:b/>
        </w:rPr>
        <w:t xml:space="preserve">Psychische bijwerkingen en suïcidale gedachten:</w:t>
      </w:r>
      <w:r>
        <w:t xml:space="preserve"> </w:t>
      </w:r>
      <w:r>
        <w:t xml:space="preserve">na afzonderlijke meldingen onderzochten de Europese en de Amerikaanse autoriteit in 2023/2024 een mogelijk verband en vonden geen bewijs voor een oorzakelijk verband. In een Scandinavische cohortstudie met 124.517 personen met GLP-1-receptoragonisten was het suïciderisico ten opzichte van SGLT2-remmers niet verhoogd (HR 1,25; betrouwbaarheidsinterval 0,83–1,88)</w:t>
      </w:r>
      <w:r>
        <w:rPr>
          <w:rStyle w:val="FootnoteReference"/>
        </w:rPr>
        <w:footnoteReference w:id="331"/>
      </w:r>
      <w:r>
        <w:t xml:space="preserve">. Een meta-analyse uit 2026 vond in gerandomiseerde studies evenmin een verband</w:t>
      </w:r>
      <w:r>
        <w:rPr>
          <w:rStyle w:val="FootnoteReference"/>
        </w:rPr>
        <w:footnoteReference w:id="332"/>
      </w:r>
      <w:r>
        <w:t xml:space="preserve">. De waarneming blijft onderwerp van verdere bewaking.</w:t>
      </w:r>
    </w:p>
    <w:p>
      <w:pPr>
        <w:pStyle w:val="FirstParagraph"/>
      </w:pPr>
      <w:r>
        <w:rPr>
          <w:bCs/>
          <w:b/>
        </w:rPr>
        <w:t xml:space="preserve">Aanwijzingen voor de praktijk:</w:t>
      </w:r>
      <w:r>
        <w:t xml:space="preserve"> </w:t>
      </w:r>
      <w:r>
        <w:t xml:space="preserve">liraglutide is tijdens de zwangerschap niet geïndiceerd. Zoals alle GLP-1-receptoragonisten vertraagt het de maaglediging, wat bij narcoses en bij de opname van andere geneesmiddelen een rol kan spelen. De productinformatie en de begeleiding door een arts zijn bepalend, ook voor de stapsgewijze dosisverhoging.</w:t>
      </w:r>
    </w:p>
    <w:bookmarkEnd w:id="333"/>
    <w:bookmarkStart w:id="334" w:name="juridische-status-1"/>
    <w:p>
      <w:pPr>
        <w:pStyle w:val="Heading3"/>
      </w:pPr>
      <w:r>
        <w:t xml:space="preserve">Juridische status</w:t>
      </w:r>
    </w:p>
    <w:p>
      <w:pPr>
        <w:numPr>
          <w:ilvl w:val="0"/>
          <w:numId w:val="1046"/>
        </w:numPr>
        <w:pStyle w:val="Compact"/>
      </w:pPr>
      <w:r>
        <w:rPr>
          <w:bCs/>
          <w:b/>
        </w:rPr>
        <w:t xml:space="preserve">EU:</w:t>
      </w:r>
      <w:r>
        <w:t xml:space="preserve"> </w:t>
      </w:r>
      <w:r>
        <w:t xml:space="preserve">Victoza is sinds 2009 geregistreerd voor de behandeling van diabetes type 2, Saxenda sinds 2015 voor gewichtsbeheersing bij volwassenen en jongeren. Beide zijn receptplichtig.</w:t>
      </w:r>
    </w:p>
    <w:p>
      <w:pPr>
        <w:numPr>
          <w:ilvl w:val="0"/>
          <w:numId w:val="1046"/>
        </w:numPr>
        <w:pStyle w:val="Compact"/>
      </w:pPr>
      <w:r>
        <w:rPr>
          <w:bCs/>
          <w:b/>
        </w:rPr>
        <w:t xml:space="preserve">Duitsland:</w:t>
      </w:r>
      <w:r>
        <w:t xml:space="preserve"> </w:t>
      </w:r>
      <w:r>
        <w:t xml:space="preserve">bij diabetes vergoeden de wettelijke zorgverzekeraars liraglutide. Middelen voor gewichtsvermindering zijn daarentegen volgens § 34 SGB V in principe van vergoeding uitgesloten; Saxenda moeten verzekerden in de regel zelf betalen.</w:t>
      </w:r>
    </w:p>
    <w:p>
      <w:pPr>
        <w:numPr>
          <w:ilvl w:val="0"/>
          <w:numId w:val="1046"/>
        </w:numPr>
        <w:pStyle w:val="Compact"/>
      </w:pPr>
      <w:r>
        <w:rPr>
          <w:bCs/>
          <w:b/>
        </w:rPr>
        <w:t xml:space="preserve">Oostenrijk:</w:t>
      </w:r>
      <w:r>
        <w:t xml:space="preserve"> </w:t>
      </w:r>
      <w:r>
        <w:t xml:space="preserve">receptplichtig; de vergoeding voor gewichtsbeheersing is beperkt en aan voorwaarden gebonden (actuele situatie controleren).</w:t>
      </w:r>
    </w:p>
    <w:p>
      <w:pPr>
        <w:numPr>
          <w:ilvl w:val="0"/>
          <w:numId w:val="1046"/>
        </w:numPr>
        <w:pStyle w:val="Compact"/>
      </w:pPr>
      <w:r>
        <w:rPr>
          <w:bCs/>
          <w:b/>
        </w:rPr>
        <w:t xml:space="preserve">VS:</w:t>
      </w:r>
      <w:r>
        <w:t xml:space="preserve"> </w:t>
      </w:r>
      <w:r>
        <w:t xml:space="preserve">Victoza en Saxenda geregistreerd, Victoza daarnaast voor verlaging van het cardiovasculaire risico. Sinds 2024 zijn generieke versies van de diabetesvorm, sinds 2025 ook van de obesitasvorm op de markt.</w:t>
      </w:r>
    </w:p>
    <w:p>
      <w:pPr>
        <w:numPr>
          <w:ilvl w:val="0"/>
          <w:numId w:val="1046"/>
        </w:numPr>
        <w:pStyle w:val="Compact"/>
      </w:pPr>
      <w:r>
        <w:rPr>
          <w:bCs/>
          <w:b/>
        </w:rPr>
        <w:t xml:space="preserve">Generieke middelen in Europa:</w:t>
      </w:r>
      <w:r>
        <w:t xml:space="preserve"> </w:t>
      </w:r>
      <w:r>
        <w:t xml:space="preserve">omdat liraglutide een synthetisch of recombinant te produceren peptide is waarvan de octrooibescherming is verlopen, komen ook in Europa generieke preparaten op de markt. De stand van zaken verschilt per land; actuele situatie controleren.</w:t>
      </w:r>
    </w:p>
    <w:p>
      <w:pPr>
        <w:numPr>
          <w:ilvl w:val="0"/>
          <w:numId w:val="1046"/>
        </w:numPr>
        <w:pStyle w:val="Compact"/>
      </w:pPr>
      <w:r>
        <w:rPr>
          <w:bCs/>
          <w:b/>
        </w:rPr>
        <w:t xml:space="preserve">Sport (WADA):</w:t>
      </w:r>
      <w:r>
        <w:t xml:space="preserve"> </w:t>
      </w:r>
      <w:r>
        <w:t xml:space="preserve">niet vermeld (stand 2026, actuele situatie controleren).</w:t>
      </w:r>
    </w:p>
    <w:p>
      <w:pPr>
        <w:pStyle w:val="FirstParagraph"/>
      </w:pPr>
      <w:r>
        <w:t xml:space="preserve">De generieke middelen maken liraglutide tot een bijzonder geval binnen de klasse: het is de eerste GLP-1-werkzame stof met bewezen cardiovasculair nut die duidelijk goedkoper kan worden. Dat is vooral van belang in landen met beperkte zorgbudgetten, ook al blijven de dagelijkse injectie en het kleinere effect in vergelijking met semaglutide nadelen. Meer over aflopende octrooien en prijzen in deel V.</w:t>
      </w:r>
    </w:p>
    <w:bookmarkEnd w:id="334"/>
    <w:bookmarkStart w:id="340" w:name="lopende-studies-en-vooruitzichten-1"/>
    <w:p>
      <w:pPr>
        <w:pStyle w:val="Heading3"/>
      </w:pPr>
      <w:r>
        <w:t xml:space="preserve">Lopende studies en vooruitzichten</w:t>
      </w:r>
    </w:p>
    <w:p>
      <w:pPr>
        <w:pStyle w:val="FirstParagraph"/>
      </w:pPr>
      <w:r>
        <w:rPr>
          <w:bCs/>
          <w:b/>
        </w:rPr>
        <w:t xml:space="preserve">Vaststaand (geregistreerde studies):</w:t>
      </w:r>
      <w:r>
        <w:t xml:space="preserve"> </w:t>
      </w:r>
      <w:r>
        <w:t xml:space="preserve">nieuwe registratiestudies van Novo Nordisk zijn er nauwelijks nog; het onderzoek wordt overwegend gedragen door klinieken en universiteiten. Voorbeelden:</w:t>
      </w:r>
    </w:p>
    <w:p>
      <w:pPr>
        <w:numPr>
          <w:ilvl w:val="0"/>
          <w:numId w:val="1047"/>
        </w:numPr>
        <w:pStyle w:val="Compact"/>
      </w:pPr>
      <w:r>
        <w:t xml:space="preserve">Een studie met 890 vrouwen met obesitas, een onvervulde kinderwens en polycysteus ovariumsyndroom (PCOS) test liraglutide vóór een vruchtbaarheidsbehandeling</w:t>
      </w:r>
      <w:r>
        <w:rPr>
          <w:rStyle w:val="FootnoteReference"/>
        </w:rPr>
        <w:footnoteReference w:id="335"/>
      </w:r>
      <w:r>
        <w:t xml:space="preserve">.</w:t>
      </w:r>
    </w:p>
    <w:p>
      <w:pPr>
        <w:numPr>
          <w:ilvl w:val="0"/>
          <w:numId w:val="1047"/>
        </w:numPr>
        <w:pStyle w:val="Compact"/>
      </w:pPr>
      <w:r>
        <w:t xml:space="preserve">Een fase 3-studie met 260 oudere mensen met diabetes onderzoekt of liraglutide een delier na hartoperaties kan voorkomen</w:t>
      </w:r>
      <w:r>
        <w:rPr>
          <w:rStyle w:val="FootnoteReference"/>
        </w:rPr>
        <w:footnoteReference w:id="336"/>
      </w:r>
      <w:r>
        <w:t xml:space="preserve">.</w:t>
      </w:r>
    </w:p>
    <w:p>
      <w:pPr>
        <w:numPr>
          <w:ilvl w:val="0"/>
          <w:numId w:val="1047"/>
        </w:numPr>
        <w:pStyle w:val="Compact"/>
      </w:pPr>
      <w:r>
        <w:t xml:space="preserve">Bij een erfelijke vorm van diabetes (MODY) wordt liraglutide onderzocht in een fase 2-studie</w:t>
      </w:r>
      <w:r>
        <w:rPr>
          <w:rStyle w:val="FootnoteReference"/>
        </w:rPr>
        <w:footnoteReference w:id="337"/>
      </w:r>
      <w:r>
        <w:t xml:space="preserve">.</w:t>
      </w:r>
    </w:p>
    <w:p>
      <w:pPr>
        <w:numPr>
          <w:ilvl w:val="0"/>
          <w:numId w:val="1047"/>
        </w:numPr>
        <w:pStyle w:val="Compact"/>
      </w:pPr>
      <w:r>
        <w:t xml:space="preserve">Een grote pragmatische studie met 6.000 deelnemers vergelijkt behandelstrategieën ter voorkoming van hart- en nierziekten bij diabetes type 2</w:t>
      </w:r>
      <w:r>
        <w:rPr>
          <w:rStyle w:val="FootnoteReference"/>
        </w:rPr>
        <w:footnoteReference w:id="338"/>
      </w:r>
      <w:r>
        <w:t xml:space="preserve">.</w:t>
      </w:r>
    </w:p>
    <w:p>
      <w:pPr>
        <w:numPr>
          <w:ilvl w:val="0"/>
          <w:numId w:val="1047"/>
        </w:numPr>
        <w:pStyle w:val="Compact"/>
      </w:pPr>
      <w:r>
        <w:t xml:space="preserve">De langetermijnobservatie van de deelnemers aan SCALE Kids loopt door</w:t>
      </w:r>
      <w:r>
        <w:rPr>
          <w:rStyle w:val="FootnoteReference"/>
        </w:rPr>
        <w:footnoteReference w:id="339"/>
      </w:r>
      <w:r>
        <w:t xml:space="preserve">.</w:t>
      </w:r>
    </w:p>
    <w:p>
      <w:pPr>
        <w:pStyle w:val="FirstParagraph"/>
      </w:pPr>
      <w:r>
        <w:rPr>
          <w:bCs/>
          <w:b/>
        </w:rPr>
        <w:t xml:space="preserve">Inschatting:</w:t>
      </w:r>
      <w:r>
        <w:t xml:space="preserve"> </w:t>
      </w:r>
      <w:r>
        <w:t xml:space="preserve">liraglutide wordt in rijke landen steeds meer verdrongen door wekelijkse werkzame stoffen zoals semaglutide en tirzepatide. Door de generieke middelen zal het echter waarschijnlijk een tweede carrière beleven als goedkoop alternatief – vooral waar de nieuwere middelen niet betaalbaar of niet leverbaar zijn. Wetenschappelijk blijft het een belangrijke vergelijkingsstandaard.</w:t>
      </w:r>
    </w:p>
    <w:bookmarkEnd w:id="340"/>
    <w:bookmarkStart w:id="341" w:name="conclusie-1"/>
    <w:p>
      <w:pPr>
        <w:pStyle w:val="Heading3"/>
      </w:pPr>
      <w:r>
        <w:t xml:space="preserve">Conclusie</w:t>
      </w:r>
    </w:p>
    <w:p>
      <w:pPr>
        <w:pStyle w:val="FirstParagraph"/>
      </w:pPr>
      <w:r>
        <w:t xml:space="preserve">Liraglutide was de eerste bijna mensidentieke GLP-1-werkzame stof en de eerste waarvoor een grote studie bescherming tegen cardiovasculaire gebeurtenissen liet zien (LEADER, 9.340 deelnemers, relatieve risicoverlaging 13%). Als Saxenda was het het eerste GLP-1-geneesmiddel voor gewichtsvermindering; gemiddeld verloren deelnemers zonder diabetes ongeveer 8 kg in een jaar. In de directe vergelijking is het superieur aan exenatide, gelijkwaardig aan dulaglutide en duidelijk inferieur aan semaglutide. De meest voorkomende bijwerkingen zijn maag-darmklachten, daarnaast een verhoogd galblaasrisico; de vraag naar schildklierkanker is niet definitief beantwoord. Met het aflopen van de octrooibescherming wordt het de eerste goedkope optie binnen de klasse – de behandeling hoort desondanks in handen van een arts.</w:t>
      </w:r>
    </w:p>
    <w:bookmarkEnd w:id="341"/>
    <w:bookmarkEnd w:id="342"/>
    <w:bookmarkStart w:id="402" w:name="dulaglutide"/>
    <w:p>
      <w:pPr>
        <w:pStyle w:val="Heading2"/>
      </w:pPr>
      <w:r>
        <w:t xml:space="preserve">Dulaglutide</w:t>
      </w:r>
    </w:p>
    <w:bookmarkStart w:id="344" w:name="profiel-2"/>
    <w:p>
      <w:pPr>
        <w:pStyle w:val="Heading3"/>
      </w:pPr>
      <w:r>
        <w:t xml:space="preserve">Profiel</w:t>
      </w:r>
    </w:p>
    <w:p>
      <w:pPr>
        <w:numPr>
          <w:ilvl w:val="0"/>
          <w:numId w:val="1048"/>
        </w:numPr>
        <w:pStyle w:val="Compact"/>
      </w:pPr>
      <w:r>
        <w:rPr>
          <w:bCs/>
          <w:b/>
        </w:rPr>
        <w:t xml:space="preserve">Soort/structuur:</w:t>
      </w:r>
      <w:r>
        <w:t xml:space="preserve"> </w:t>
      </w:r>
      <w:r>
        <w:t xml:space="preserve">fusie-eiwit. Twee licht gemodificeerde GLP-1-ketens zijn via een kort verbindingsstuk gekoppeld aan het constante deel (Fc-deel) van een menselijk antilichaam van het type IgG4. Dulaglutide is daarmee vele malen groter dan liraglutide – strikt genomen eerder een eiwit dan een klein peptide.</w:t>
      </w:r>
    </w:p>
    <w:p>
      <w:pPr>
        <w:numPr>
          <w:ilvl w:val="0"/>
          <w:numId w:val="1048"/>
        </w:numPr>
        <w:pStyle w:val="Compact"/>
      </w:pPr>
      <w:r>
        <w:rPr>
          <w:bCs/>
          <w:b/>
        </w:rPr>
        <w:t xml:space="preserve">Herkomst:</w:t>
      </w:r>
      <w:r>
        <w:t xml:space="preserve"> </w:t>
      </w:r>
      <w:r>
        <w:t xml:space="preserve">ontwikkeld door Eli Lilly, recombinant geproduceerd in zoogdiercellen</w:t>
      </w:r>
      <w:r>
        <w:rPr>
          <w:rStyle w:val="FootnoteReference"/>
        </w:rPr>
        <w:footnoteReference w:id="343"/>
      </w:r>
      <w:r>
        <w:t xml:space="preserve">.</w:t>
      </w:r>
    </w:p>
    <w:p>
      <w:pPr>
        <w:numPr>
          <w:ilvl w:val="0"/>
          <w:numId w:val="1048"/>
        </w:numPr>
        <w:pStyle w:val="Compact"/>
      </w:pPr>
      <w:r>
        <w:rPr>
          <w:bCs/>
          <w:b/>
        </w:rPr>
        <w:t xml:space="preserve">Werkingsprincipe:</w:t>
      </w:r>
      <w:r>
        <w:t xml:space="preserve"> </w:t>
      </w:r>
      <w:r>
        <w:t xml:space="preserve">GLP-1-receptoragonist. Het antilichaamdeel beschermt tegen afbraak en uitscheiding via de nieren; één injectie per week volstaat.</w:t>
      </w:r>
    </w:p>
    <w:p>
      <w:pPr>
        <w:numPr>
          <w:ilvl w:val="0"/>
          <w:numId w:val="1048"/>
        </w:numPr>
        <w:pStyle w:val="Compact"/>
      </w:pPr>
      <w:r>
        <w:rPr>
          <w:bCs/>
          <w:b/>
        </w:rPr>
        <w:t xml:space="preserve">Preparaat:</w:t>
      </w:r>
      <w:r>
        <w:t xml:space="preserve"> </w:t>
      </w:r>
      <w:r>
        <w:t xml:space="preserve">Trulicity (voorgevulde pen, wekelijks; geregistreerde sterktes tot 4,5 mg).</w:t>
      </w:r>
    </w:p>
    <w:p>
      <w:pPr>
        <w:numPr>
          <w:ilvl w:val="0"/>
          <w:numId w:val="1048"/>
        </w:numPr>
        <w:pStyle w:val="Compact"/>
      </w:pPr>
      <w:r>
        <w:rPr>
          <w:bCs/>
          <w:b/>
        </w:rPr>
        <w:t xml:space="preserve">Registratie EU:</w:t>
      </w:r>
      <w:r>
        <w:t xml:space="preserve"> </w:t>
      </w:r>
      <w:r>
        <w:t xml:space="preserve">ja, diabetes type 2 bij volwassenen en jongeren vanaf 10 jaar. Geen registratie voor gewichtsvermindering.</w:t>
      </w:r>
    </w:p>
    <w:p>
      <w:pPr>
        <w:numPr>
          <w:ilvl w:val="0"/>
          <w:numId w:val="1048"/>
        </w:numPr>
        <w:pStyle w:val="Compact"/>
      </w:pPr>
      <w:r>
        <w:rPr>
          <w:bCs/>
          <w:b/>
        </w:rPr>
        <w:t xml:space="preserve">Registratie VS:</w:t>
      </w:r>
      <w:r>
        <w:t xml:space="preserve"> </w:t>
      </w:r>
      <w:r>
        <w:t xml:space="preserve">ja, diabetes type 2 vanaf 10 jaar en voor verlaging van het cardiovasculaire risico bij volwassenen met diabetes type 2.</w:t>
      </w:r>
    </w:p>
    <w:p>
      <w:pPr>
        <w:numPr>
          <w:ilvl w:val="0"/>
          <w:numId w:val="1048"/>
        </w:numPr>
        <w:pStyle w:val="Compact"/>
      </w:pPr>
      <w:r>
        <w:rPr>
          <w:bCs/>
          <w:b/>
        </w:rPr>
        <w:t xml:space="preserve">WADA:</w:t>
      </w:r>
      <w:r>
        <w:t xml:space="preserve"> </w:t>
      </w:r>
      <w:r>
        <w:t xml:space="preserve">niet vermeld.</w:t>
      </w:r>
    </w:p>
    <w:p>
      <w:pPr>
        <w:numPr>
          <w:ilvl w:val="0"/>
          <w:numId w:val="1048"/>
        </w:numPr>
        <w:pStyle w:val="Compact"/>
      </w:pPr>
      <w:r>
        <w:rPr>
          <w:bCs/>
          <w:b/>
        </w:rPr>
        <w:t xml:space="preserve">Bewijsniveau:</w:t>
      </w:r>
      <w:r>
        <w:t xml:space="preserve"> </w:t>
      </w:r>
      <w:r>
        <w:rPr>
          <w:bCs/>
          <w:b/>
        </w:rPr>
        <w:t xml:space="preserve">A</w:t>
      </w:r>
      <w:r>
        <w:t xml:space="preserve"> </w:t>
      </w:r>
      <w:r>
        <w:t xml:space="preserve">– studieprogramma AWARD met meer dan tien gerandomiseerde fase 3-studies, uitkomststudie REWIND, studie bij jongeren.</w:t>
      </w:r>
    </w:p>
    <w:bookmarkEnd w:id="344"/>
    <w:bookmarkStart w:id="347" w:name="hoe-het-zou-moeten-werken-2"/>
    <w:p>
      <w:pPr>
        <w:pStyle w:val="Heading3"/>
      </w:pPr>
      <w:r>
        <w:t xml:space="preserve">Hoe het zou moeten werken</w:t>
      </w:r>
    </w:p>
    <w:p>
      <w:pPr>
        <w:pStyle w:val="FirstParagraph"/>
      </w:pPr>
      <w:r>
        <w:t xml:space="preserve">Dulaglutide werkt op de GLP-1-receptor zoals exenatide, liraglutide en semaglutide: het versterkt de suikerafhankelijke insulineafgifte, remt het hormoon glucagon, vertraagt de maaglediging en dempt de eetlust. Het basismechanisme wordt uitgelegd in het hoofdstuk Exenatide.</w:t>
      </w:r>
    </w:p>
    <w:p>
      <w:pPr>
        <w:pStyle w:val="BodyText"/>
      </w:pPr>
      <w:r>
        <w:t xml:space="preserve">Het verschil zit in de verpakking. Liraglutide en semaglutide worden via een aangehangen vetzuur aan bloedeiwit gebonden. Lilly koos een andere weg en koppelde het hormoon aan het Fc-deel van een antilichaam. Deze bouwsteen is bekend uit de biotechnologie: hij maakt moleculen zo groot dat de nieren ze niet meer uitfilteren, en benut een lichaamseigen recyclingroute waarlangs antilichamen tegen afbraak worden beschermd. Bij ratten en Java-apen lag de halfwaardetijd van de werkzame stof op 1,5 tot 2 dagen, bij de mens is die langer en maakt ze wekelijkse toediening mogelijk</w:t>
      </w:r>
      <w:r>
        <w:rPr>
          <w:rStyle w:val="FootnoteReference"/>
        </w:rPr>
        <w:footnoteReference w:id="345"/>
      </w:r>
      <w:r>
        <w:t xml:space="preserve">.</w:t>
      </w:r>
    </w:p>
    <w:p>
      <w:pPr>
        <w:pStyle w:val="BodyText"/>
      </w:pPr>
      <w:r>
        <w:t xml:space="preserve">In de GLP-1-ketens zelf werden afzonderlijke aminozuren vervangen – deels om afbraak door het enzym DPP-4 te voorkomen, deels om de vorming van antilichamen tegen de werkzame stof te verminderen. Inderdaad vormde in negen studies slechts 1,6% van de met dulaglutide behandelden antilichamen tegen het geneesmiddel</w:t>
      </w:r>
      <w:r>
        <w:rPr>
          <w:rStyle w:val="FootnoteReference"/>
        </w:rPr>
        <w:footnoteReference w:id="346"/>
      </w:r>
      <w:r>
        <w:t xml:space="preserve"> </w:t>
      </w:r>
      <w:r>
        <w:t xml:space="preserve">– duidelijk minder dan bij exenatide.</w:t>
      </w:r>
    </w:p>
    <w:p>
      <w:pPr>
        <w:pStyle w:val="BodyText"/>
      </w:pPr>
      <w:r>
        <w:t xml:space="preserve">Een nadeel van de grootte: het molecuul komt vermoedelijk slechter in de hersengebieden die de eetlust sturen. Dat zou kunnen verklaren waarom dulaglutide bij vergelijkbare bloedsuikerverlaging minder gewichtsverlies geeft dan semaglutide. Deze verklaring is aannemelijk, maar niet bewezen.</w:t>
      </w:r>
    </w:p>
    <w:bookmarkEnd w:id="347"/>
    <w:bookmarkStart w:id="379" w:name="studies-bij-mensen-2"/>
    <w:p>
      <w:pPr>
        <w:pStyle w:val="Heading3"/>
      </w:pPr>
      <w:r>
        <w:t xml:space="preserve">Studies bij mensen</w:t>
      </w:r>
    </w:p>
    <w:p>
      <w:pPr>
        <w:pStyle w:val="FirstParagraph"/>
      </w:pPr>
      <w:r>
        <w:t xml:space="preserve">De voor dit boek geanalyseerde PubMed-zoekopdracht (zoekterm „dulaglutide” in titel of abstract, zoekdatum oktober 2026) leverde 158 studies bij mensen op, ClinicalTrials.gov vermeldt 143 registraties. Het aantal is kleiner dan bij liraglutide of semaglutide, maar de studies zijn bijzonder systematisch opgezet: het AWARD-programma (Assessment of Weekly AdministRation of LY2189265 in Diabetes) testte dulaglutide tegen bijna elke gangbare diabetestherapie. Opvallend is bovendien hoe vaak dulaglutide zelf als vergelijkingsmiddel dient voor nieuwere werkzame stoffen – van semaglutide via tirzepatide tot Chinese nieuwe ontwikkelingen.</w:t>
      </w:r>
    </w:p>
    <w:bookmarkStart w:id="352" w:name="het-award-programma"/>
    <w:p>
      <w:pPr>
        <w:pStyle w:val="Heading4"/>
      </w:pPr>
      <w:r>
        <w:t xml:space="preserve">Het AWARD-programma</w:t>
      </w:r>
    </w:p>
    <w:p>
      <w:pPr>
        <w:pStyle w:val="FirstParagraph"/>
      </w:pPr>
      <w:r>
        <w:t xml:space="preserve">In de meeste AWARD-studies werden de doses 0,75 en 1,5 mg per week getest. De tabel toont telkens het resultaat van de hogere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(dulaglutide 1,5 mg vs. vergelijking)</w:t>
            </w:r>
          </w:p>
        </w:tc>
      </w:tr>
      <w:tr>
        <w:tc>
          <w:tcPr/>
          <w:p>
            <w:pPr>
              <w:pStyle w:val="Compact"/>
              <w:jc w:val="left"/>
            </w:pPr>
            <w:r>
              <w:t xml:space="preserve">AWARD-1 (Wysham 2014), PMID 24879836</w:t>
            </w:r>
          </w:p>
        </w:tc>
        <w:tc>
          <w:tcPr/>
          <w:p>
            <w:pPr>
              <w:pStyle w:val="Compact"/>
              <w:jc w:val="left"/>
            </w:pPr>
            <w:r>
              <w:t xml:space="preserve">diabetes type 2 met metformine en pioglitazon; vs. exenatide twee keer per dag en placebo</w:t>
            </w:r>
          </w:p>
        </w:tc>
        <w:tc>
          <w:tcPr/>
          <w:p>
            <w:pPr>
              <w:pStyle w:val="Compact"/>
              <w:jc w:val="left"/>
            </w:pPr>
            <w:r>
              <w:t xml:space="preserve">52 weken (primair eindpunt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personen met metformine en glimepiride; open vs. insuline glargine</w:t>
            </w:r>
          </w:p>
        </w:tc>
        <w:tc>
          <w:tcPr/>
          <w:p>
            <w:pPr>
              <w:pStyle w:val="Compact"/>
              <w:jc w:val="left"/>
            </w:pPr>
            <w:r>
              <w:t xml:space="preserve">78 weken</w:t>
            </w:r>
          </w:p>
        </w:tc>
        <w:tc>
          <w:tcPr/>
          <w:p>
            <w:pPr>
              <w:pStyle w:val="Compact"/>
              <w:jc w:val="left"/>
            </w:pPr>
            <w:r>
              <w:t xml:space="preserve">HbA1c −1,08 vs. −0,63; gewicht daalde vs. steeg</w:t>
            </w:r>
          </w:p>
        </w:tc>
      </w:tr>
      <w:tr>
        <w:tc>
          <w:tcPr/>
          <w:p>
            <w:pPr>
              <w:pStyle w:val="Compact"/>
              <w:jc w:val="left"/>
            </w:pPr>
            <w:r>
              <w:t xml:space="preserve">AWARD-3 (Umpierrez 2014), PMID 24842985</w:t>
            </w:r>
          </w:p>
        </w:tc>
        <w:tc>
          <w:tcPr/>
          <w:p>
            <w:pPr>
              <w:pStyle w:val="Compact"/>
              <w:jc w:val="left"/>
            </w:pPr>
            <w:r>
              <w:t xml:space="preserve">vroege diabetes type 2, monotherapie; dubbelblind vs. metformine</w:t>
            </w:r>
          </w:p>
        </w:tc>
        <w:tc>
          <w:tcPr/>
          <w:p>
            <w:pPr>
              <w:pStyle w:val="Compact"/>
              <w:jc w:val="left"/>
            </w:pPr>
            <w:r>
              <w:t xml:space="preserve">52 weken (primair eindpunt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met maaltijdinsuline; open vs. insuline glargine</w:t>
            </w:r>
          </w:p>
        </w:tc>
        <w:tc>
          <w:tcPr/>
          <w:p>
            <w:pPr>
              <w:pStyle w:val="Compact"/>
              <w:jc w:val="left"/>
            </w:pPr>
            <w:r>
              <w:t xml:space="preserve">52 weken (primair eindpunt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met metformine; vs. sitagliptine</w:t>
            </w:r>
          </w:p>
        </w:tc>
        <w:tc>
          <w:tcPr/>
          <w:p>
            <w:pPr>
              <w:pStyle w:val="Compact"/>
              <w:jc w:val="left"/>
            </w:pPr>
            <w:r>
              <w:t xml:space="preserve">52 weken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met metformine; open vs. liraglutide</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AWARD-7 (Tuttle 2018), PMID 29910024</w:t>
            </w:r>
          </w:p>
        </w:tc>
        <w:tc>
          <w:tcPr/>
          <w:p>
            <w:pPr>
              <w:pStyle w:val="Compact"/>
              <w:jc w:val="left"/>
            </w:pPr>
            <w:r>
              <w:t xml:space="preserve">577 personen met matige tot ernstige chronische nierziekte; vs. insuline glargine</w:t>
            </w:r>
          </w:p>
        </w:tc>
        <w:tc>
          <w:tcPr/>
          <w:p>
            <w:pPr>
              <w:pStyle w:val="Compact"/>
              <w:jc w:val="left"/>
            </w:pPr>
            <w:r>
              <w:t xml:space="preserve">52 weken</w:t>
            </w:r>
          </w:p>
        </w:tc>
        <w:tc>
          <w:tcPr/>
          <w:p>
            <w:pPr>
              <w:pStyle w:val="Compact"/>
              <w:jc w:val="left"/>
            </w:pPr>
            <w:r>
              <w:t xml:space="preserve">HbA1c −1,2 vs. −1,1; nierfunctie na 52 weken beter behouden</w:t>
            </w:r>
          </w:p>
        </w:tc>
      </w:tr>
      <w:tr>
        <w:tc>
          <w:tcPr/>
          <w:p>
            <w:pPr>
              <w:pStyle w:val="Compact"/>
              <w:jc w:val="left"/>
            </w:pPr>
            <w:r>
              <w:t xml:space="preserve">AWARD-8 (Dungan 2016), PMID 26799540</w:t>
            </w:r>
          </w:p>
        </w:tc>
        <w:tc>
          <w:tcPr/>
          <w:p>
            <w:pPr>
              <w:pStyle w:val="Compact"/>
              <w:jc w:val="left"/>
            </w:pPr>
            <w:r>
              <w:t xml:space="preserve">diabetes type 2 met glimepiride; vs. placebo</w:t>
            </w:r>
          </w:p>
        </w:tc>
        <w:tc>
          <w:tcPr/>
          <w:p>
            <w:pPr>
              <w:pStyle w:val="Compact"/>
              <w:jc w:val="left"/>
            </w:pPr>
            <w:r>
              <w:t xml:space="preserve">24 weken</w:t>
            </w:r>
          </w:p>
        </w:tc>
        <w:tc>
          <w:tcPr/>
          <w:p>
            <w:pPr>
              <w:pStyle w:val="Compact"/>
              <w:jc w:val="left"/>
            </w:pPr>
            <w:r>
              <w:t xml:space="preserve">HbA1c-verschil −1,3 procentpunt; meer hypoglykemieën</w:t>
            </w:r>
          </w:p>
        </w:tc>
      </w:tr>
      <w:tr>
        <w:tc>
          <w:tcPr/>
          <w:p>
            <w:pPr>
              <w:pStyle w:val="Compact"/>
              <w:jc w:val="left"/>
            </w:pPr>
            <w:r>
              <w:t xml:space="preserve">AWARD-10 (Ludvik 2018), PMID 29483060</w:t>
            </w:r>
          </w:p>
        </w:tc>
        <w:tc>
          <w:tcPr/>
          <w:p>
            <w:pPr>
              <w:pStyle w:val="Compact"/>
              <w:jc w:val="left"/>
            </w:pPr>
            <w:r>
              <w:t xml:space="preserve">424 personen met SGLT2-remmer; vs. placebo</w:t>
            </w:r>
          </w:p>
        </w:tc>
        <w:tc>
          <w:tcPr/>
          <w:p>
            <w:pPr>
              <w:pStyle w:val="Compact"/>
              <w:jc w:val="left"/>
            </w:pPr>
            <w:r>
              <w:t xml:space="preserve">24 weken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met metformine; 4,5 en 3,0 mg vs. 1,5 mg</w:t>
            </w:r>
          </w:p>
        </w:tc>
        <w:tc>
          <w:tcPr/>
          <w:p>
            <w:pPr>
              <w:pStyle w:val="Compact"/>
              <w:jc w:val="left"/>
            </w:pPr>
            <w:r>
              <w:t xml:space="preserve">36 weken</w:t>
            </w:r>
          </w:p>
        </w:tc>
        <w:tc>
          <w:tcPr/>
          <w:p>
            <w:pPr>
              <w:pStyle w:val="Compact"/>
              <w:jc w:val="left"/>
            </w:pPr>
            <w:r>
              <w:t xml:space="preserve">HbA1c −1,77 (4,5 mg) vs. −1,54; gewicht −4,6 vs. −3,0 kg</w:t>
            </w:r>
          </w:p>
        </w:tc>
      </w:tr>
    </w:tbl>
    <w:p>
      <w:pPr>
        <w:pStyle w:val="BodyText"/>
      </w:pPr>
      <w:r>
        <w:t xml:space="preserve">Enkele resultaten verdienen toelichting:</w:t>
      </w:r>
    </w:p>
    <w:p>
      <w:pPr>
        <w:pStyle w:val="BodyText"/>
      </w:pPr>
      <w:r>
        <w:rPr>
          <w:bCs/>
          <w:b/>
        </w:rPr>
        <w:t xml:space="preserve">Tegen insuline</w:t>
      </w:r>
      <w:r>
        <w:t xml:space="preserve"> </w:t>
      </w:r>
      <w:r>
        <w:t xml:space="preserve">(AWARD-2 en AWARD-4) verlaagde dulaglutide de langetermijnsuiker iets sterker, met minder hypoglykemieën en zonder gewichtstoename</w:t>
      </w:r>
      <w:r>
        <w:rPr>
          <w:rStyle w:val="FootnoteReference"/>
        </w:rPr>
        <w:footnoteReference w:id="348"/>
      </w:r>
      <w:r>
        <w:t xml:space="preserve">. In AWARD-2 werd de insulinedosis echter niet consequent verhoogd; de gemiddelde einddosis bedroeg 29 eenheden. Een vastberadener opgetitreerde insuline had mogelijk beter gepresteerd. Misselijkheid trad onder dulaglutide 1,5 mg op bij 15,4%, onder insuline bij 1,5%.</w:t>
      </w:r>
    </w:p>
    <w:p>
      <w:pPr>
        <w:pStyle w:val="BodyText"/>
      </w:pPr>
      <w:r>
        <w:rPr>
          <w:bCs/>
          <w:b/>
        </w:rPr>
        <w:t xml:space="preserve">Bij nierziekte</w:t>
      </w:r>
      <w:r>
        <w:t xml:space="preserve"> </w:t>
      </w:r>
      <w:r>
        <w:t xml:space="preserve">(AWARD-7) is het resultaat bijzonder interessant: de bloedsuiker daalde even sterk als onder insuline, maar de geschatte nierfunctie (eGFR) was na 52 weken onder dulaglutide hoger – 34,0 tegenover 31,3 ml/min per 1,73 m²</w:t>
      </w:r>
      <w:r>
        <w:rPr>
          <w:rStyle w:val="FootnoteReference"/>
        </w:rPr>
        <w:footnoteReference w:id="349"/>
      </w:r>
      <w:r>
        <w:t xml:space="preserve">. De eiwituitscheiding in de urine verschilde niet significant. Dat is een aanwijzing, maar geen bewijs voor nierbescherming.</w:t>
      </w:r>
    </w:p>
    <w:p>
      <w:pPr>
        <w:pStyle w:val="BodyText"/>
      </w:pPr>
      <w:r>
        <w:rPr>
          <w:bCs/>
          <w:b/>
        </w:rPr>
        <w:t xml:space="preserve">Met een sulfonylureumderivaat</w:t>
      </w:r>
      <w:r>
        <w:t xml:space="preserve"> </w:t>
      </w:r>
      <w:r>
        <w:t xml:space="preserve">(AWARD-8) blijkt de keerzijde: dulaglutide verlaagde de HbA1c 1,3 procentpunt sterker dan placebo, en 55,3% tegenover 18,9% bereikte een waarde onder 7%. Hypoglykemieën waren echter duidelijk vaker (2,37 tegenover 0,07 voorvallen per persoon per jaar), omdat het sulfonylureumderivaat onafhankelijk van de bloedsuiker insuline vrijmaakt</w:t>
      </w:r>
      <w:r>
        <w:rPr>
          <w:rStyle w:val="FootnoteReference"/>
        </w:rPr>
        <w:footnoteReference w:id="350"/>
      </w:r>
      <w:r>
        <w:t xml:space="preserve">. Ernstige hypoglykemieën traden niet op.</w:t>
      </w:r>
    </w:p>
    <w:p>
      <w:pPr>
        <w:pStyle w:val="BodyText"/>
      </w:pPr>
      <w:r>
        <w:rPr>
          <w:bCs/>
          <w:b/>
        </w:rPr>
        <w:t xml:space="preserve">Hogere doses</w:t>
      </w:r>
      <w:r>
        <w:t xml:space="preserve"> </w:t>
      </w:r>
      <w:r>
        <w:t xml:space="preserve">(AWARD-11): om met semaglutide mee te kunnen, testte Lilly 3,0 en 4,5 mg. De hoogste dosis verlaagde de HbA1c met nog eens 0,24 procentpunt en het gewicht met nog eens 1,6 kg ten opzichte van 1,5 mg</w:t>
      </w:r>
      <w:r>
        <w:rPr>
          <w:rStyle w:val="FootnoteReference"/>
        </w:rPr>
        <w:footnoteReference w:id="351"/>
      </w:r>
      <w:r>
        <w:t xml:space="preserve">. Misselijkheid nam licht toe (16,4% vs. 13,4%), braken eveneens (9,3% vs. 5,6%). De winst is meetbaar, maar beperkt.</w:t>
      </w:r>
    </w:p>
    <w:bookmarkEnd w:id="352"/>
    <w:bookmarkStart w:id="356" w:name="Xfafb9510ec3d61c68209a22164725e02ab85502"/>
    <w:p>
      <w:pPr>
        <w:pStyle w:val="Heading4"/>
      </w:pPr>
      <w:r>
        <w:t xml:space="preserve">Directe vergelijkingen binnen de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(dulaglutide vs. vergelijking)</w:t>
            </w:r>
          </w:p>
        </w:tc>
      </w:tr>
      <w:tr>
        <w:tc>
          <w:tcPr/>
          <w:p>
            <w:pPr>
              <w:pStyle w:val="Compact"/>
              <w:jc w:val="left"/>
            </w:pPr>
            <w:r>
              <w:t xml:space="preserve">AWARD-1 (Wysham 2014), PMID 24879836</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−1,51 vs. −0,99; minder hypoglykemieën</w:t>
            </w:r>
          </w:p>
        </w:tc>
      </w:tr>
      <w:tr>
        <w:tc>
          <w:tcPr/>
          <w:p>
            <w:pPr>
              <w:pStyle w:val="Compact"/>
              <w:jc w:val="left"/>
            </w:pPr>
            <w:r>
              <w:t xml:space="preserve">AWARD-6 (Dungan 2014), PMID 25018121</w:t>
            </w:r>
          </w:p>
        </w:tc>
        <w:tc>
          <w:tcPr/>
          <w:p>
            <w:pPr>
              <w:pStyle w:val="Compact"/>
              <w:jc w:val="left"/>
            </w:pPr>
            <w:r>
              <w:t xml:space="preserve">599 personen, vs. liraglutide 1,8 mg per dag</w:t>
            </w:r>
          </w:p>
        </w:tc>
        <w:tc>
          <w:tcPr/>
          <w:p>
            <w:pPr>
              <w:pStyle w:val="Compact"/>
              <w:jc w:val="left"/>
            </w:pPr>
            <w:r>
              <w:t xml:space="preserve">26 weken</w:t>
            </w:r>
          </w:p>
        </w:tc>
        <w:tc>
          <w:tcPr/>
          <w:p>
            <w:pPr>
              <w:pStyle w:val="Compact"/>
              <w:jc w:val="left"/>
            </w:pPr>
            <w:r>
              <w:t xml:space="preserve">HbA1c −1,42 vs. −1,36; misselijkheid 20% vs. 18%</w:t>
            </w:r>
          </w:p>
        </w:tc>
      </w:tr>
      <w:tr>
        <w:tc>
          <w:tcPr/>
          <w:p>
            <w:pPr>
              <w:pStyle w:val="Compact"/>
              <w:jc w:val="left"/>
            </w:pPr>
            <w:r>
              <w:t xml:space="preserve">SUSTAIN 7 (Pratley 2018), PMID 29397376</w:t>
            </w:r>
          </w:p>
        </w:tc>
        <w:tc>
          <w:tcPr/>
          <w:p>
            <w:pPr>
              <w:pStyle w:val="Compact"/>
              <w:jc w:val="left"/>
            </w:pPr>
            <w:r>
              <w:t xml:space="preserve">1.201 personen, dulaglutide 0,75/1,5 mg vs. semaglutide 0,5/1,0 mg</w:t>
            </w:r>
          </w:p>
        </w:tc>
        <w:tc>
          <w:tcPr/>
          <w:p>
            <w:pPr>
              <w:pStyle w:val="Compact"/>
              <w:jc w:val="left"/>
            </w:pPr>
            <w:r>
              <w:t xml:space="preserve">40 weken</w:t>
            </w:r>
          </w:p>
        </w:tc>
        <w:tc>
          <w:tcPr/>
          <w:p>
            <w:pPr>
              <w:pStyle w:val="Compact"/>
              <w:jc w:val="left"/>
            </w:pPr>
            <w:r>
              <w:t xml:space="preserve">HbA1c −1,4 vs. −1,8 (hoge doses); gewicht −3,0 vs. −6,5 kg</w:t>
            </w:r>
          </w:p>
        </w:tc>
      </w:tr>
    </w:tbl>
    <w:p>
      <w:pPr>
        <w:pStyle w:val="BodyText"/>
      </w:pPr>
      <w:r>
        <w:t xml:space="preserve">De rangorde is eenduidig. Dulaglutide was duidelijk superieur aan exenatide twee keer per dag</w:t>
      </w:r>
      <w:r>
        <w:rPr>
          <w:rStyle w:val="FootnoteReference"/>
        </w:rPr>
        <w:footnoteReference w:id="353"/>
      </w:r>
      <w:r>
        <w:t xml:space="preserve"> </w:t>
      </w:r>
      <w:r>
        <w:t xml:space="preserve">en gelijkwaardig aan liraglutide</w:t>
      </w:r>
      <w:r>
        <w:rPr>
          <w:rStyle w:val="FootnoteReference"/>
        </w:rPr>
        <w:footnoteReference w:id="354"/>
      </w:r>
      <w:r>
        <w:t xml:space="preserve">. In AWARD-6 was het daarmee de eerste wekelijkse GLP-1-receptoragonist die in de directe vergelijking met de toenmalige standaard liraglutide kon meekomen – met duidelijk minder injecties.</w:t>
      </w:r>
    </w:p>
    <w:p>
      <w:pPr>
        <w:pStyle w:val="BodyText"/>
      </w:pPr>
      <w:r>
        <w:t xml:space="preserve">Tegen semaglutide verloor dulaglutide in SUSTAIN 7</w:t>
      </w:r>
      <w:r>
        <w:rPr>
          <w:rStyle w:val="FootnoteReference"/>
        </w:rPr>
        <w:footnoteReference w:id="355"/>
      </w:r>
      <w:r>
        <w:t xml:space="preserve"> </w:t>
      </w:r>
      <w:r>
        <w:t xml:space="preserve">op beide dosisniveaus. Bij de hoge doses daalde de HbA1c met 1,4 tegenover 1,8 procentpunt, het gewicht met 3,0 tegenover 6,5 kg. Maag-darmklachten kwamen vergelijkbaar vaak voor (48% onder dulaglutide 1,5 mg, 44% onder semaglutide 1,0 mg). Later werd kritisch opgemerkt dat dulaglutide in SUSTAIN 7 slechts tot 1,5 mg werd gedoseerd; de hogere doses uit AWARD-11 waren destijds nog niet beschikbaar. Ook met 4,5 mg zou het gewichtsverschil echter waarschijnlijk blijven bestaan.</w:t>
      </w:r>
    </w:p>
    <w:bookmarkEnd w:id="356"/>
    <w:bookmarkStart w:id="361" w:name="rewind-de-cardiovasculaire-studie"/>
    <w:p>
      <w:pPr>
        <w:pStyle w:val="Heading4"/>
      </w:pPr>
      <w:r>
        <w:t xml:space="preserve">REWIND: de cardiovasculaire studie</w:t>
      </w:r>
    </w:p>
    <w:p>
      <w:pPr>
        <w:pStyle w:val="FirstParagraph"/>
      </w:pPr>
      <w:r>
        <w:t xml:space="preserve">REWIND verschilde van andere GLP-1-uitkomststudies: ze liep langer, includeerde oudere mensen met een relatief goed ingestelde bloedsuiker (mediane HbA1c 7,2%) en nam ook veel personen op zonder eerdere hart- en vaatziekte die alleen risicofactoren hadden. Daarmee lijkt de studiepopulatie meer op de dagelijkse praktijk bij de huisarts dan in andere uitkomststudies.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REWIND (Gerstein 2019), PMID 31189511</w:t>
            </w:r>
          </w:p>
        </w:tc>
        <w:tc>
          <w:tcPr/>
          <w:p>
            <w:pPr>
              <w:pStyle w:val="Compact"/>
              <w:jc w:val="left"/>
            </w:pPr>
            <w:r>
              <w:t xml:space="preserve">9.901 personen met diabetes type 2, gemiddelde leeftijd 66,2 jaar, 46,3% vrouwen; RCT tegen placebo</w:t>
            </w:r>
          </w:p>
        </w:tc>
        <w:tc>
          <w:tcPr/>
          <w:p>
            <w:pPr>
              <w:pStyle w:val="Compact"/>
              <w:jc w:val="left"/>
            </w:pPr>
            <w:r>
              <w:t xml:space="preserve">mediaan 5,4 jaar</w:t>
            </w:r>
          </w:p>
        </w:tc>
        <w:tc>
          <w:tcPr/>
          <w:p>
            <w:pPr>
              <w:pStyle w:val="Compact"/>
              <w:jc w:val="left"/>
            </w:pPr>
            <w:r>
              <w:t xml:space="preserve">ernstige cardiovasculaire gebeurtenissen 12,0% vs. 13,4%; HR 0,88 (0,79–0,99)</w:t>
            </w:r>
          </w:p>
        </w:tc>
      </w:tr>
      <w:tr>
        <w:tc>
          <w:tcPr/>
          <w:p>
            <w:pPr>
              <w:pStyle w:val="Compact"/>
              <w:jc w:val="left"/>
            </w:pPr>
            <w:r>
              <w:t xml:space="preserve">REWIND, nieren (Gerstein 2019), PMID 31189509</w:t>
            </w:r>
          </w:p>
        </w:tc>
        <w:tc>
          <w:tcPr/>
          <w:p>
            <w:pPr>
              <w:pStyle w:val="Compact"/>
              <w:jc w:val="left"/>
            </w:pPr>
            <w:r>
              <w:t xml:space="preserve">dezelfde studie, exploratieve analyse</w:t>
            </w:r>
          </w:p>
        </w:tc>
        <w:tc>
          <w:tcPr/>
          <w:p>
            <w:pPr>
              <w:pStyle w:val="Compact"/>
              <w:jc w:val="left"/>
            </w:pPr>
            <w:r>
              <w:t xml:space="preserve">mediaan 5,4 jaar</w:t>
            </w:r>
          </w:p>
        </w:tc>
        <w:tc>
          <w:tcPr/>
          <w:p>
            <w:pPr>
              <w:pStyle w:val="Compact"/>
              <w:jc w:val="left"/>
            </w:pPr>
            <w:r>
              <w:t xml:space="preserve">niereindpunt 17,1% vs. 19,6%; HR 0,85, vooral minder nieuwe macroalbuminurie</w:t>
            </w:r>
          </w:p>
        </w:tc>
      </w:tr>
      <w:tr>
        <w:tc>
          <w:tcPr/>
          <w:p>
            <w:pPr>
              <w:pStyle w:val="Compact"/>
              <w:jc w:val="left"/>
            </w:pPr>
            <w:r>
              <w:t xml:space="preserve">REWIND, cognitie (Cukierman-Yaffe 2020), PMID 32562683</w:t>
            </w:r>
          </w:p>
        </w:tc>
        <w:tc>
          <w:tcPr/>
          <w:p>
            <w:pPr>
              <w:pStyle w:val="Compact"/>
              <w:jc w:val="left"/>
            </w:pPr>
            <w:r>
              <w:t xml:space="preserve">8.828 personen met geheugentests</w:t>
            </w:r>
          </w:p>
        </w:tc>
        <w:tc>
          <w:tcPr/>
          <w:p>
            <w:pPr>
              <w:pStyle w:val="Compact"/>
              <w:jc w:val="left"/>
            </w:pPr>
            <w:r>
              <w:t xml:space="preserve">mediaan 5,4 jaar</w:t>
            </w:r>
          </w:p>
        </w:tc>
        <w:tc>
          <w:tcPr/>
          <w:p>
            <w:pPr>
              <w:pStyle w:val="Compact"/>
              <w:jc w:val="left"/>
            </w:pPr>
            <w:r>
              <w:t xml:space="preserve">HR 0,93 (niet significant); na achteraf uitgevoerde aanpassing HR 0,86</w:t>
            </w:r>
          </w:p>
        </w:tc>
      </w:tr>
    </w:tbl>
    <w:p>
      <w:pPr>
        <w:pStyle w:val="BodyText"/>
      </w:pPr>
      <w:r>
        <w:t xml:space="preserve">Het primaire eindpunt – overlijden door een cardiovasculaire oorzaak, niet-fataal hartinfarct of beroerte – trad onder dulaglutide op bij 594 van 4.949 personen (12,0%), onder placebo bij 663 van 4.952 (13,4%)</w:t>
      </w:r>
      <w:r>
        <w:rPr>
          <w:rStyle w:val="FootnoteReference"/>
        </w:rPr>
        <w:footnoteReference w:id="357"/>
      </w:r>
      <w:r>
        <w:t xml:space="preserve">. Dat komt overeen met een relatieve verlaging van 12%. De totale sterfte verschilde niet significant (10,8% vs. 12,0%; HR 0,90). Maag-darmbijwerkingen meldde 47,4% tegenover 34,1%.</w:t>
      </w:r>
    </w:p>
    <w:p>
      <w:pPr>
        <w:pStyle w:val="BodyText"/>
      </w:pPr>
      <w:r>
        <w:t xml:space="preserve">In de nieranalyse</w:t>
      </w:r>
      <w:r>
        <w:rPr>
          <w:rStyle w:val="FootnoteReference"/>
        </w:rPr>
        <w:footnoteReference w:id="358"/>
      </w:r>
      <w:r>
        <w:t xml:space="preserve"> </w:t>
      </w:r>
      <w:r>
        <w:t xml:space="preserve">was het effect vooral toe te schrijven aan nieuw optredende macroalbuminurie (HR 0,77). Voor een aanhoudende daling van de nierfunctie met ten minste 30% lag de schatting op 0,89, voor dialyse of niertransplantatie op 0,75 – beide statistisch niet significant.</w:t>
      </w:r>
    </w:p>
    <w:p>
      <w:pPr>
        <w:pStyle w:val="BodyText"/>
      </w:pPr>
      <w:r>
        <w:t xml:space="preserve">De analyse van de cognitieve prestaties</w:t>
      </w:r>
      <w:r>
        <w:rPr>
          <w:rStyle w:val="FootnoteReference"/>
        </w:rPr>
        <w:footnoteReference w:id="359"/>
      </w:r>
      <w:r>
        <w:t xml:space="preserve"> </w:t>
      </w:r>
      <w:r>
        <w:t xml:space="preserve">wordt af en toe aangehaald als bewijs voor bescherming tegen dementie. Dat gaat te ver: de vooraf vastgelegde vergelijking was niet significant. Pas na een achteraf uitgevoerde statistische aanpassing ontstond een 14% lager relatief risico op een duidelijke achteruitgang van de cognitieve prestaties (hazard ratio 0,86). De auteurs spreken zelf van een exploratieve analyse die verdere studies rechtvaardigt.</w:t>
      </w:r>
    </w:p>
    <w:p>
      <w:pPr>
        <w:pStyle w:val="BodyText"/>
      </w:pPr>
      <w:r>
        <w:t xml:space="preserve">In een meta-analyse van alle grote GLP-1-uitkomststudies paste REWIND goed in het totaalbeeld, volgens hetwelk de klasse ernstige cardiovasculaire gebeurtenissen met ongeveer 12% verlaagt</w:t>
      </w:r>
      <w:r>
        <w:rPr>
          <w:rStyle w:val="FootnoteReference"/>
        </w:rPr>
        <w:footnoteReference w:id="360"/>
      </w:r>
      <w:r>
        <w:t xml:space="preserve">.</w:t>
      </w:r>
    </w:p>
    <w:bookmarkEnd w:id="361"/>
    <w:bookmarkStart w:id="366" w:name="wat-verklaart-het-nut-en-wat-niet"/>
    <w:p>
      <w:pPr>
        <w:pStyle w:val="Heading4"/>
      </w:pPr>
      <w:r>
        <w:t xml:space="preserve">Wat verklaart het nut – en wat niet?</w:t>
      </w:r>
    </w:p>
    <w:p>
      <w:pPr>
        <w:pStyle w:val="FirstParagraph"/>
      </w:pPr>
      <w:r>
        <w:t xml:space="preserve">Meerdere achteraf uitgevoerde analyses van REWIND probeerden het cardiovasculaire effect beter te begrijpen. In een deelanalyse met 9.543 personen zonder boezemfibrilleren bij aanvang van de studie had 31% al een hart- en vaatziekte, de overigen „alleen” risicofactoren</w:t>
      </w:r>
      <w:r>
        <w:rPr>
          <w:rStyle w:val="FootnoteReference"/>
        </w:rPr>
        <w:footnoteReference w:id="362"/>
      </w:r>
      <w:r>
        <w:t xml:space="preserve">. Dat onderstreept dat REWIND veel meer dan andere uitkomststudies mensen in de preventie onderzocht.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Vraag</w:t>
            </w:r>
          </w:p>
        </w:tc>
        <w:tc>
          <w:tcPr/>
          <w:p>
            <w:pPr>
              <w:pStyle w:val="Compact"/>
              <w:jc w:val="left"/>
            </w:pPr>
            <w:r>
              <w:t xml:space="preserve">Resultaat</w:t>
            </w:r>
          </w:p>
        </w:tc>
      </w:tr>
      <w:tr>
        <w:tc>
          <w:tcPr/>
          <w:p>
            <w:pPr>
              <w:pStyle w:val="Compact"/>
              <w:jc w:val="left"/>
            </w:pPr>
            <w:r>
              <w:t xml:space="preserve">Konig 2021, PMID 34563178</w:t>
            </w:r>
          </w:p>
        </w:tc>
        <w:tc>
          <w:tcPr/>
          <w:p>
            <w:pPr>
              <w:pStyle w:val="Compact"/>
              <w:jc w:val="left"/>
            </w:pPr>
            <w:r>
              <w:t xml:space="preserve">Welke veranderingen verklaren het nut?</w:t>
            </w:r>
          </w:p>
        </w:tc>
        <w:tc>
          <w:tcPr/>
          <w:p>
            <w:pPr>
              <w:pStyle w:val="Compact"/>
              <w:jc w:val="left"/>
            </w:pPr>
            <w:r>
              <w:t xml:space="preserve">deels de verlaging van HbA1c en eiwituitscheiding in de urine, niet gewicht, bloeddruk of LDL-cholesterol</w:t>
            </w:r>
          </w:p>
        </w:tc>
      </w:tr>
      <w:tr>
        <w:tc>
          <w:tcPr/>
          <w:p>
            <w:pPr>
              <w:pStyle w:val="Compact"/>
              <w:jc w:val="left"/>
            </w:pPr>
            <w:r>
              <w:t xml:space="preserve">Branch 2022, PMID 36073143</w:t>
            </w:r>
          </w:p>
        </w:tc>
        <w:tc>
          <w:tcPr/>
          <w:p>
            <w:pPr>
              <w:pStyle w:val="Compact"/>
              <w:jc w:val="left"/>
            </w:pPr>
            <w:r>
              <w:t xml:space="preserve">Gebeurtenissen door hartfalen</w:t>
            </w:r>
          </w:p>
        </w:tc>
        <w:tc>
          <w:tcPr/>
          <w:p>
            <w:pPr>
              <w:pStyle w:val="Compact"/>
              <w:jc w:val="left"/>
            </w:pPr>
            <w:r>
              <w:t xml:space="preserve">4,3% vs. 4,6%; HR 0,93, geen significant verschil</w:t>
            </w:r>
          </w:p>
        </w:tc>
      </w:tr>
      <w:tr>
        <w:tc>
          <w:tcPr/>
          <w:p>
            <w:pPr>
              <w:pStyle w:val="Compact"/>
              <w:jc w:val="left"/>
            </w:pPr>
            <w:r>
              <w:t xml:space="preserve">Raubenheimer 2022, PMID 34984808</w:t>
            </w:r>
          </w:p>
        </w:tc>
        <w:tc>
          <w:tcPr/>
          <w:p>
            <w:pPr>
              <w:pStyle w:val="Compact"/>
              <w:jc w:val="left"/>
            </w:pPr>
            <w:r>
              <w:t xml:space="preserve">Nieuw boezemfibrilleren of boezemfladderen</w:t>
            </w:r>
          </w:p>
        </w:tc>
        <w:tc>
          <w:tcPr/>
          <w:p>
            <w:pPr>
              <w:pStyle w:val="Compact"/>
              <w:jc w:val="left"/>
            </w:pPr>
            <w:r>
              <w:t xml:space="preserve">5,6% vs. 5,3%; geen verschil</w:t>
            </w:r>
          </w:p>
        </w:tc>
      </w:tr>
    </w:tbl>
    <w:p>
      <w:pPr>
        <w:pStyle w:val="BodyText"/>
      </w:pPr>
      <w:r>
        <w:t xml:space="preserve">Volgens de analyse van Konig 2021</w:t>
      </w:r>
      <w:r>
        <w:rPr>
          <w:rStyle w:val="FootnoteReference"/>
        </w:rPr>
        <w:footnoteReference w:id="363"/>
      </w:r>
      <w:r>
        <w:t xml:space="preserve"> </w:t>
      </w:r>
      <w:r>
        <w:t xml:space="preserve">kon een deel van het effect statistisch worden verklaard door de betere bloedsuikerregulatie en de geringere eiwituitscheiding in de urine; een ander deel bleef onverklaard. Het gewichtsverlies speelde in deze analyse geen meetbare rol. Dat past bij de wijdverbreide veronderstelling dat GLP-1-receptoragonisten ook directe effecten hebben op bloedvaten en ontstekingsprocessen – bij de mens is dat echter niet aangetoond.</w:t>
      </w:r>
    </w:p>
    <w:p>
      <w:pPr>
        <w:pStyle w:val="BodyText"/>
      </w:pPr>
      <w:r>
        <w:t xml:space="preserve">Geen bescherming liet dulaglutide zien tegen gebeurtenissen door hartfalen</w:t>
      </w:r>
      <w:r>
        <w:rPr>
          <w:rStyle w:val="FootnoteReference"/>
        </w:rPr>
        <w:footnoteReference w:id="364"/>
      </w:r>
      <w:r>
        <w:t xml:space="preserve"> </w:t>
      </w:r>
      <w:r>
        <w:t xml:space="preserve">en tegen nieuw optredend boezemfibrilleren</w:t>
      </w:r>
      <w:r>
        <w:rPr>
          <w:rStyle w:val="FootnoteReference"/>
        </w:rPr>
        <w:footnoteReference w:id="365"/>
      </w:r>
      <w:r>
        <w:t xml:space="preserve">. Ook bij de 853 deelnemers die al bij aanvang van de studie hartfalen hadden, ontstond geen afwijkend beeld. Voor hartfalen met behouden pompfunctie bij obesitas zijn er inmiddels gegevens over semaglutide en tirzepatide; voor dulaglutide ontbreken ze.</w:t>
      </w:r>
    </w:p>
    <w:bookmarkEnd w:id="366"/>
    <w:bookmarkStart w:id="369" w:name="Xf56c49b969d27d7ae919a65aed06ad43ae8ade9"/>
    <w:p>
      <w:pPr>
        <w:pStyle w:val="Heading4"/>
      </w:pPr>
      <w:r>
        <w:t xml:space="preserve">Dulaglutide als vergelijkingsstandaard voor nieuwe werkzame stoffen</w:t>
      </w:r>
    </w:p>
    <w:p>
      <w:pPr>
        <w:pStyle w:val="FirstParagraph"/>
      </w:pPr>
      <w:r>
        <w:t xml:space="preserve">Omdat dulaglutide wereldwijd breed wordt gebruikt, goed wordt verdragen en een aangetoond cardiovasculair nut heeft, kiezen fabrikanten het vaak als actieve vergelijking. De resultaten van deze studies horen inhoudelijk in de hoofdstukken over de betreffende nieuwe werkzame stoffen; hier alleen het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SURPASS-CVOT (Nicholls 2025), PMID 41406444</w:t>
            </w:r>
          </w:p>
        </w:tc>
        <w:tc>
          <w:tcPr/>
          <w:p>
            <w:pPr>
              <w:pStyle w:val="Compact"/>
              <w:jc w:val="left"/>
            </w:pPr>
            <w:r>
              <w:t xml:space="preserve">13.165 personen met diabetes type 2 en vaatziekte; tirzepatide vs. dulaglutide</w:t>
            </w:r>
          </w:p>
        </w:tc>
        <w:tc>
          <w:tcPr/>
          <w:p>
            <w:pPr>
              <w:pStyle w:val="Compact"/>
              <w:jc w:val="left"/>
            </w:pPr>
            <w:r>
              <w:t xml:space="preserve">meerdere jaren</w:t>
            </w:r>
          </w:p>
        </w:tc>
        <w:tc>
          <w:tcPr/>
          <w:p>
            <w:pPr>
              <w:pStyle w:val="Compact"/>
              <w:jc w:val="left"/>
            </w:pPr>
            <w:r>
              <w:t xml:space="preserve">ernstige cardiovasculaire gebeurtenissen 12,2% vs. 13,1%; HR 0,92, niet inferieur, superioriteit niet aangetoond</w:t>
            </w:r>
          </w:p>
        </w:tc>
      </w:tr>
      <w:tr>
        <w:tc>
          <w:tcPr/>
          <w:p>
            <w:pPr>
              <w:pStyle w:val="Compact"/>
              <w:jc w:val="left"/>
            </w:pPr>
            <w:r>
              <w:t xml:space="preserve">SURPASS J-mono (Inagaki 2022), PMID 35914543</w:t>
            </w:r>
          </w:p>
        </w:tc>
        <w:tc>
          <w:tcPr/>
          <w:p>
            <w:pPr>
              <w:pStyle w:val="Compact"/>
              <w:jc w:val="left"/>
            </w:pPr>
            <w:r>
              <w:t xml:space="preserve">636 personen in Japan; tirzepatide vs. dulaglutide 0,75 mg</w:t>
            </w:r>
          </w:p>
        </w:tc>
        <w:tc>
          <w:tcPr/>
          <w:p>
            <w:pPr>
              <w:pStyle w:val="Compact"/>
              <w:jc w:val="left"/>
            </w:pPr>
            <w:r>
              <w:t xml:space="preserve">52 weken</w:t>
            </w:r>
          </w:p>
        </w:tc>
        <w:tc>
          <w:tcPr/>
          <w:p>
            <w:pPr>
              <w:pStyle w:val="Compact"/>
              <w:jc w:val="left"/>
            </w:pPr>
            <w:r>
              <w:t xml:space="preserve">HbA1c −2,4 tot −2,8 vs. −1,3</w:t>
            </w:r>
          </w:p>
        </w:tc>
      </w:tr>
      <w:tr>
        <w:tc>
          <w:tcPr/>
          <w:p>
            <w:pPr>
              <w:pStyle w:val="Compact"/>
              <w:jc w:val="left"/>
            </w:pPr>
            <w:r>
              <w:t xml:space="preserve">Guo 2026, PMID 41407860</w:t>
            </w:r>
          </w:p>
        </w:tc>
        <w:tc>
          <w:tcPr/>
          <w:p>
            <w:pPr>
              <w:pStyle w:val="Compact"/>
              <w:jc w:val="left"/>
            </w:pPr>
            <w:r>
              <w:t xml:space="preserve">731 personen in China; mazdutide vs. dulaglutide 1,5 mg</w:t>
            </w:r>
          </w:p>
        </w:tc>
        <w:tc>
          <w:tcPr/>
          <w:p>
            <w:pPr>
              <w:pStyle w:val="Compact"/>
              <w:jc w:val="left"/>
            </w:pPr>
            <w:r>
              <w:t xml:space="preserve">28 weken</w:t>
            </w:r>
          </w:p>
        </w:tc>
        <w:tc>
          <w:tcPr/>
          <w:p>
            <w:pPr>
              <w:pStyle w:val="Compact"/>
              <w:jc w:val="left"/>
            </w:pPr>
            <w:r>
              <w:t xml:space="preserve">HbA1c-verschil −0,24 resp. −0,30 procentpunt in het voordeel van mazdutide</w:t>
            </w:r>
          </w:p>
        </w:tc>
      </w:tr>
      <w:tr>
        <w:tc>
          <w:tcPr/>
          <w:p>
            <w:pPr>
              <w:pStyle w:val="Compact"/>
              <w:jc w:val="left"/>
            </w:pPr>
            <w:r>
              <w:t xml:space="preserve">EECOH-2 (He 2025), PMID 40854315</w:t>
            </w:r>
          </w:p>
        </w:tc>
        <w:tc>
          <w:tcPr/>
          <w:p>
            <w:pPr>
              <w:pStyle w:val="Compact"/>
              <w:jc w:val="left"/>
            </w:pPr>
            <w:r>
              <w:t xml:space="preserve">621 personen in China; ecnoglutide vs. dulaglutide 1,5 mg</w:t>
            </w:r>
          </w:p>
        </w:tc>
        <w:tc>
          <w:tcPr/>
          <w:p>
            <w:pPr>
              <w:pStyle w:val="Compact"/>
              <w:jc w:val="left"/>
            </w:pPr>
            <w:r>
              <w:t xml:space="preserve">52 weken (primair eindpunt 32)</w:t>
            </w:r>
          </w:p>
        </w:tc>
        <w:tc>
          <w:tcPr/>
          <w:p>
            <w:pPr>
              <w:pStyle w:val="Compact"/>
              <w:jc w:val="left"/>
            </w:pPr>
            <w:r>
              <w:t xml:space="preserve">HbA1c −1,89 tot −1,91 vs. −1,65</w:t>
            </w:r>
          </w:p>
        </w:tc>
      </w:tr>
    </w:tbl>
    <w:p>
      <w:pPr>
        <w:pStyle w:val="BodyText"/>
      </w:pPr>
      <w:r>
        <w:t xml:space="preserve">Bijzonder verhelderend is SURPASS-CVOT</w:t>
      </w:r>
      <w:r>
        <w:rPr>
          <w:rStyle w:val="FootnoteReference"/>
        </w:rPr>
        <w:footnoteReference w:id="367"/>
      </w:r>
      <w:r>
        <w:t xml:space="preserve">, de eerste grote uitkomststudie waarin twee incretinegeneesmiddelen het rechtstreeks tegen elkaar opnamen. Tirzepatide was niet slechter, maar ook niet aantoonbaar beter dan dulaglutide. Omdat dulaglutide zelf in REWIND het risico had verlaagd, is een „gelijkspel” tegen dulaglutide een sterk resultaat voor beide werkzame stoffen. Een achteraf uitgevoerde analyse met een breder hart-niereindpunt vond een voordeel voor tirzepatide (23,7% vs. 27,4%; HR 0,84)</w:t>
      </w:r>
      <w:r>
        <w:rPr>
          <w:rStyle w:val="FootnoteReference"/>
        </w:rPr>
        <w:footnoteReference w:id="368"/>
      </w:r>
      <w:r>
        <w:t xml:space="preserve">. Achteraf uitgevoerde analyses zijn echter minder solide dan het vooraf vastgelegde primaire eindpunt.</w:t>
      </w:r>
    </w:p>
    <w:bookmarkEnd w:id="369"/>
    <w:bookmarkStart w:id="372" w:name="gebruik-de-voorgevulde-pen"/>
    <w:p>
      <w:pPr>
        <w:pStyle w:val="Heading4"/>
      </w:pPr>
      <w:r>
        <w:t xml:space="preserve">Gebruik: de voorgevulde pen</w:t>
      </w:r>
    </w:p>
    <w:p>
      <w:pPr>
        <w:pStyle w:val="FirstParagraph"/>
      </w:pPr>
      <w:r>
        <w:t xml:space="preserve">Een praktisch punt dat in studies zelden aandacht krijgt, is het gebruik. Dulaglutide wordt geleverd in een voorgevulde wegwerppen waarop geen naald hoeft te worden gezet en geen dosis hoeft te worden ingesteld. In een studie met 211 mensen met diabetes type 2 die zichzelf nog nooit hadden geïnjecteerd, lukte de injectie aan het eind in 99,1% van de gevallen; de angst voor injecteren nam af</w:t>
      </w:r>
      <w:r>
        <w:rPr>
          <w:rStyle w:val="FootnoteReference"/>
        </w:rPr>
        <w:footnoteReference w:id="370"/>
      </w:r>
      <w:r>
        <w:t xml:space="preserve">. In een door de fabrikant gefinancierde vergelijkende studie met 310 deelnemers gaf 84,2% de voorkeur aan de dulaglutidepen boven de toenmalige semaglutidepen</w:t>
      </w:r>
      <w:r>
        <w:rPr>
          <w:rStyle w:val="FootnoteReference"/>
        </w:rPr>
        <w:footnoteReference w:id="371"/>
      </w:r>
      <w:r>
        <w:t xml:space="preserve">. Zulke voorkeursstudies zeggen niets over de werkzaamheid, maar kunnen verklaren waarom dulaglutide juist bij ouderen veel wordt gebruikt.</w:t>
      </w:r>
    </w:p>
    <w:bookmarkEnd w:id="372"/>
    <w:bookmarkStart w:id="374" w:name="kinderen-en-jongeren-1"/>
    <w:p>
      <w:pPr>
        <w:pStyle w:val="Heading4"/>
      </w:pPr>
      <w:r>
        <w:t xml:space="preserve">Kinderen en jongeren</w:t>
      </w:r>
    </w:p>
    <w:p>
      <w:pPr>
        <w:pStyle w:val="FirstParagraph"/>
      </w:pPr>
      <w:r>
        <w:t xml:space="preserve">In AWARD-PEDS met 154 jongeren met diabetes type 2 steeg de HbA1c onder placebo na 26 weken met 0,6 procentpunt en daalde hij onder dulaglutide met 0,6 (0,75 mg) respectievelijk 0,9 procentpunt (1,5 mg)</w:t>
      </w:r>
      <w:r>
        <w:rPr>
          <w:rStyle w:val="FootnoteReference"/>
        </w:rPr>
        <w:footnoteReference w:id="373"/>
      </w:r>
      <w:r>
        <w:t xml:space="preserve">. Een HbA1c onder 7% bereikte 51% tegenover 14%. Op de body-mass-index had dulaglutide in deze leeftijdsgroep geen invloed. Deze studie vormde de basis voor de registratie vanaf 10 jaar.</w:t>
      </w:r>
    </w:p>
    <w:bookmarkEnd w:id="374"/>
    <w:bookmarkStart w:id="378" w:name="andere-toepassingsgebieden-in-studies-2"/>
    <w:p>
      <w:pPr>
        <w:pStyle w:val="Heading4"/>
      </w:pPr>
      <w:r>
        <w:t xml:space="preserve">Andere toepassingsgebieden in studies</w:t>
      </w:r>
    </w:p>
    <w:p>
      <w:pPr>
        <w:numPr>
          <w:ilvl w:val="0"/>
          <w:numId w:val="1049"/>
        </w:numPr>
        <w:pStyle w:val="Compact"/>
      </w:pPr>
      <w:r>
        <w:rPr>
          <w:bCs/>
          <w:b/>
        </w:rPr>
        <w:t xml:space="preserve">Stoppen met roken:</w:t>
      </w:r>
      <w:r>
        <w:t xml:space="preserve"> </w:t>
      </w:r>
      <w:r>
        <w:t xml:space="preserve">in een studie met 255 personen verbeterde dulaglutide het percentage stoppers niet; na 52 weken was in beide groepen 32% rookvrij</w:t>
      </w:r>
      <w:r>
        <w:rPr>
          <w:rStyle w:val="FootnoteReference"/>
        </w:rPr>
        <w:footnoteReference w:id="375"/>
      </w:r>
      <w:r>
        <w:t xml:space="preserve">. De gebruikelijke gewichtstoename na het stoppen met roken werd in de eerste 12 weken voorkomen, na een jaar was het verschil verdwenen.</w:t>
      </w:r>
    </w:p>
    <w:p>
      <w:pPr>
        <w:numPr>
          <w:ilvl w:val="0"/>
          <w:numId w:val="1049"/>
        </w:numPr>
        <w:pStyle w:val="Compact"/>
      </w:pPr>
      <w:r>
        <w:rPr>
          <w:bCs/>
          <w:b/>
        </w:rPr>
        <w:t xml:space="preserve">Alcohol:</w:t>
      </w:r>
      <w:r>
        <w:t xml:space="preserve"> </w:t>
      </w:r>
      <w:r>
        <w:t xml:space="preserve">in een vooraf geplande aanvullende analyse van dezelfde studie dronken deelnemers met dulaglutide na 12 weken 29% minder alcohol dan met placebo</w:t>
      </w:r>
      <w:r>
        <w:rPr>
          <w:rStyle w:val="FootnoteReference"/>
        </w:rPr>
        <w:footnoteReference w:id="376"/>
      </w:r>
      <w:r>
        <w:t xml:space="preserve">. De studie was niet voor deze vraag opgezet.</w:t>
      </w:r>
    </w:p>
    <w:p>
      <w:pPr>
        <w:numPr>
          <w:ilvl w:val="0"/>
          <w:numId w:val="1049"/>
        </w:numPr>
        <w:pStyle w:val="Compact"/>
      </w:pPr>
      <w:r>
        <w:rPr>
          <w:bCs/>
          <w:b/>
        </w:rPr>
        <w:t xml:space="preserve">Primaire polydipsie</w:t>
      </w:r>
      <w:r>
        <w:t xml:space="preserve"> </w:t>
      </w:r>
      <w:r>
        <w:t xml:space="preserve">(ziekelijk verhoogd drinken): in een cross-overstudie met 34 personen verminderde dulaglutide de drinkhoeveelheid tijdens een test van acht uur met 490 ml, overeenkomend met 17%</w:t>
      </w:r>
      <w:r>
        <w:rPr>
          <w:rStyle w:val="FootnoteReference"/>
        </w:rPr>
        <w:footnoteReference w:id="377"/>
      </w:r>
      <w:r>
        <w:t xml:space="preserve">. Een aanwijzing dat GLP-1 ook het dorstgevoel beïnvloedt.</w:t>
      </w:r>
    </w:p>
    <w:bookmarkEnd w:id="378"/>
    <w:bookmarkEnd w:id="379"/>
    <w:bookmarkStart w:id="382" w:name="dier--en-laboratoriumstudies-2"/>
    <w:p>
      <w:pPr>
        <w:pStyle w:val="Heading3"/>
      </w:pPr>
      <w:r>
        <w:t xml:space="preserve">Dier- en laboratoriumstudies</w:t>
      </w:r>
    </w:p>
    <w:p>
      <w:pPr>
        <w:pStyle w:val="FirstParagraph"/>
      </w:pPr>
      <w:r>
        <w:t xml:space="preserve">De preklinische karakterisering van dulaglutide (destijds LY2189265) gebeurde bij cellen, ratten, muizen en Java-apen</w:t>
      </w:r>
      <w:r>
        <w:rPr>
          <w:rStyle w:val="FootnoteReference"/>
        </w:rPr>
        <w:footnoteReference w:id="380"/>
      </w:r>
      <w:r>
        <w:t xml:space="preserve">. In laboratoriumproeven behield het fusie-eiwit de volledige werking op de GLP-1-receptor. Bij diabetische muizen verbeterde één enkele toediening de glucosetolerantie; tweemaal-wekelijkse toediening gedurende vier weken verlaagde het gewicht en vertraagde de stijging van de bloedsuiker. Bij apen hield het effect op de insulineafgifte na één dosis tot een week aan.</w:t>
      </w:r>
    </w:p>
    <w:p>
      <w:pPr>
        <w:pStyle w:val="BodyText"/>
      </w:pPr>
      <w:r>
        <w:t xml:space="preserve">Zoals bij alle GLP-1-receptoragonisten traden in langetermijnstudies bij knaagdieren veranderingen van de C-cellen van de schildklier op; het mechanisme en de beperkte vertaalbaarheid ervan naar de mens worden beschreven in het hoofdstuk Liraglutide</w:t>
      </w:r>
      <w:r>
        <w:rPr>
          <w:rStyle w:val="FootnoteReference"/>
        </w:rPr>
        <w:footnoteReference w:id="381"/>
      </w:r>
      <w:r>
        <w:t xml:space="preserve">.</w:t>
      </w:r>
    </w:p>
    <w:bookmarkEnd w:id="382"/>
    <w:bookmarkStart w:id="392" w:name="risicos-en-bijwerkingen-2"/>
    <w:p>
      <w:pPr>
        <w:pStyle w:val="Heading3"/>
      </w:pPr>
      <w:r>
        <w:t xml:space="preserve">Risico’s en bijwerkingen</w:t>
      </w:r>
    </w:p>
    <w:p>
      <w:pPr>
        <w:pStyle w:val="FirstParagraph"/>
      </w:pPr>
      <w:r>
        <w:rPr>
          <w:bCs/>
          <w:b/>
        </w:rPr>
        <w:t xml:space="preserve">Aangetoond in gerandomiseerde studies:</w:t>
      </w:r>
    </w:p>
    <w:p>
      <w:pPr>
        <w:numPr>
          <w:ilvl w:val="0"/>
          <w:numId w:val="1050"/>
        </w:numPr>
        <w:pStyle w:val="Compact"/>
      </w:pPr>
      <w:r>
        <w:rPr>
          <w:bCs/>
          <w:b/>
        </w:rPr>
        <w:t xml:space="preserve">Maag-darmklachten:</w:t>
      </w:r>
      <w:r>
        <w:t xml:space="preserve"> </w:t>
      </w:r>
      <w:r>
        <w:t xml:space="preserve">misselijkheid, diarree en braken zijn de meest voorkomende bijwerkingen. In REWIND meldde 47,4% van de behandelden maag-darmklachten tegenover 34,1% onder placebo</w:t>
      </w:r>
      <w:r>
        <w:rPr>
          <w:rStyle w:val="FootnoteReference"/>
        </w:rPr>
        <w:footnoteReference w:id="383"/>
      </w:r>
      <w:r>
        <w:t xml:space="preserve">. Bij hogere doses nemen ze toe</w:t>
      </w:r>
      <w:r>
        <w:rPr>
          <w:rStyle w:val="FootnoteReference"/>
        </w:rPr>
        <w:footnoteReference w:id="384"/>
      </w:r>
      <w:r>
        <w:t xml:space="preserve">.</w:t>
      </w:r>
    </w:p>
    <w:p>
      <w:pPr>
        <w:numPr>
          <w:ilvl w:val="0"/>
          <w:numId w:val="1050"/>
        </w:numPr>
        <w:pStyle w:val="Compact"/>
      </w:pPr>
      <w:r>
        <w:rPr>
          <w:bCs/>
          <w:b/>
        </w:rPr>
        <w:t xml:space="preserve">Hypoglykemie:</w:t>
      </w:r>
      <w:r>
        <w:t xml:space="preserve"> </w:t>
      </w:r>
      <w:r>
        <w:t xml:space="preserve">op zichzelf zeldzaam; in combinatie met insuline of sulfonylureumderivaten vaker, maar minder vaak dan onder insuline alleen</w:t>
      </w:r>
      <w:r>
        <w:rPr>
          <w:rStyle w:val="FootnoteReference"/>
        </w:rPr>
        <w:footnoteReference w:id="385"/>
      </w:r>
      <w:r>
        <w:t xml:space="preserve">.</w:t>
      </w:r>
    </w:p>
    <w:p>
      <w:pPr>
        <w:numPr>
          <w:ilvl w:val="0"/>
          <w:numId w:val="1050"/>
        </w:numPr>
        <w:pStyle w:val="Compact"/>
      </w:pPr>
      <w:r>
        <w:rPr>
          <w:bCs/>
          <w:b/>
        </w:rPr>
        <w:t xml:space="preserve">Alvleesklierenzymen:</w:t>
      </w:r>
      <w:r>
        <w:t xml:space="preserve"> </w:t>
      </w:r>
      <w:r>
        <w:t xml:space="preserve">in AWARD-2 stegen de alvleesklierenzymen onder dulaglutide</w:t>
      </w:r>
      <w:r>
        <w:rPr>
          <w:rStyle w:val="FootnoteReference"/>
        </w:rPr>
        <w:footnoteReference w:id="386"/>
      </w:r>
      <w:r>
        <w:t xml:space="preserve">. De klinische betekenis van zulke stijgingen zonder klachten is onduidelijk.</w:t>
      </w:r>
    </w:p>
    <w:p>
      <w:pPr>
        <w:numPr>
          <w:ilvl w:val="0"/>
          <w:numId w:val="1050"/>
        </w:numPr>
        <w:pStyle w:val="Compact"/>
      </w:pPr>
      <w:r>
        <w:rPr>
          <w:bCs/>
          <w:b/>
        </w:rPr>
        <w:t xml:space="preserve">Antilichamen:</w:t>
      </w:r>
      <w:r>
        <w:t xml:space="preserve"> </w:t>
      </w:r>
      <w:r>
        <w:t xml:space="preserve">zeldzaam (1,6% van de behandelden), zonder ophoping van overgevoeligheidsreacties</w:t>
      </w:r>
      <w:r>
        <w:rPr>
          <w:rStyle w:val="FootnoteReference"/>
        </w:rPr>
        <w:footnoteReference w:id="387"/>
      </w:r>
      <w:r>
        <w:t xml:space="preserve">.</w:t>
      </w:r>
    </w:p>
    <w:p>
      <w:pPr>
        <w:numPr>
          <w:ilvl w:val="0"/>
          <w:numId w:val="1050"/>
        </w:numPr>
        <w:pStyle w:val="Compact"/>
      </w:pPr>
      <w:r>
        <w:rPr>
          <w:bCs/>
          <w:b/>
        </w:rPr>
        <w:t xml:space="preserve">Galblaas:</w:t>
      </w:r>
      <w:r>
        <w:t xml:space="preserve"> </w:t>
      </w:r>
      <w:r>
        <w:t xml:space="preserve">voor de hele klasse is een verhoogd risico op galstenen en galblaasontsteking aangetoond</w:t>
      </w:r>
      <w:r>
        <w:rPr>
          <w:rStyle w:val="FootnoteReference"/>
        </w:rPr>
        <w:footnoteReference w:id="388"/>
      </w:r>
      <w:r>
        <w:t xml:space="preserve">; details in het hoofdstuk Liraglutide.</w:t>
      </w:r>
    </w:p>
    <w:p>
      <w:pPr>
        <w:pStyle w:val="FirstParagraph"/>
      </w:pPr>
      <w:r>
        <w:rPr>
          <w:bCs/>
          <w:b/>
        </w:rPr>
        <w:t xml:space="preserve">Onderzocht, maar onzeker:</w:t>
      </w:r>
    </w:p>
    <w:p>
      <w:pPr>
        <w:numPr>
          <w:ilvl w:val="0"/>
          <w:numId w:val="1051"/>
        </w:numPr>
        <w:pStyle w:val="Compact"/>
      </w:pPr>
      <w:r>
        <w:rPr>
          <w:bCs/>
          <w:b/>
        </w:rPr>
        <w:t xml:space="preserve">Alvleesklierontsteking en -kanker:</w:t>
      </w:r>
      <w:r>
        <w:t xml:space="preserve"> </w:t>
      </w:r>
      <w:r>
        <w:t xml:space="preserve">in de meta-analyse van de uitkomststudies geen verhoogd risico voor de klasse</w:t>
      </w:r>
      <w:r>
        <w:rPr>
          <w:rStyle w:val="FootnoteReference"/>
        </w:rPr>
        <w:footnoteReference w:id="389"/>
      </w:r>
      <w:r>
        <w:t xml:space="preserve">. Pancreatitis staat toch als zeldzame bijwerking in de productinformatie.</w:t>
      </w:r>
    </w:p>
    <w:p>
      <w:pPr>
        <w:numPr>
          <w:ilvl w:val="0"/>
          <w:numId w:val="1051"/>
        </w:numPr>
        <w:pStyle w:val="Compact"/>
      </w:pPr>
      <w:r>
        <w:rPr>
          <w:bCs/>
          <w:b/>
        </w:rPr>
        <w:t xml:space="preserve">Schildklierkanker:</w:t>
      </w:r>
      <w:r>
        <w:t xml:space="preserve"> </w:t>
      </w:r>
      <w:r>
        <w:t xml:space="preserve">signaal in observationele studies en meta-analyses voor de hele klasse</w:t>
      </w:r>
      <w:r>
        <w:rPr>
          <w:rStyle w:val="FootnoteReference"/>
        </w:rPr>
        <w:footnoteReference w:id="390"/>
      </w:r>
      <w:r>
        <w:t xml:space="preserve">, niet specifiek voor dulaglutide; zie hoofdstuk Liraglutide en deel IV.</w:t>
      </w:r>
    </w:p>
    <w:p>
      <w:pPr>
        <w:pStyle w:val="FirstParagraph"/>
      </w:pPr>
      <w:r>
        <w:rPr>
          <w:bCs/>
          <w:b/>
        </w:rPr>
        <w:t xml:space="preserve">Aanwijzingen voor de praktijk:</w:t>
      </w:r>
      <w:r>
        <w:t xml:space="preserve"> </w:t>
      </w:r>
      <w:r>
        <w:t xml:space="preserve">dulaglutide vertraagt de maaglediging, wat bij narcoses en maagonderzoeken (gastroscopieën) een rol speelt; daarover loopt een grote studie naar de vraag of GLP-1-receptoragonisten vóór een gastroscopie moeten worden onderbroken</w:t>
      </w:r>
      <w:r>
        <w:rPr>
          <w:rStyle w:val="FootnoteReference"/>
        </w:rPr>
        <w:footnoteReference w:id="391"/>
      </w:r>
      <w:r>
        <w:t xml:space="preserve">. Bepalend zijn de productinformatie en de begeleiding door een arts.</w:t>
      </w:r>
    </w:p>
    <w:bookmarkEnd w:id="392"/>
    <w:bookmarkStart w:id="393" w:name="juridische-status-2"/>
    <w:p>
      <w:pPr>
        <w:pStyle w:val="Heading3"/>
      </w:pPr>
      <w:r>
        <w:t xml:space="preserve">Juridische status</w:t>
      </w:r>
    </w:p>
    <w:p>
      <w:pPr>
        <w:numPr>
          <w:ilvl w:val="0"/>
          <w:numId w:val="1052"/>
        </w:numPr>
        <w:pStyle w:val="Compact"/>
      </w:pPr>
      <w:r>
        <w:rPr>
          <w:bCs/>
          <w:b/>
        </w:rPr>
        <w:t xml:space="preserve">EU:</w:t>
      </w:r>
      <w:r>
        <w:t xml:space="preserve"> </w:t>
      </w:r>
      <w:r>
        <w:t xml:space="preserve">Trulicity is sinds 2014 centraal geregistreerd voor de behandeling van diabetes type 2, inmiddels ook voor jongeren vanaf 10 jaar. Receptplichtig. Geen registratie voor gewichtsvermindering.</w:t>
      </w:r>
    </w:p>
    <w:p>
      <w:pPr>
        <w:numPr>
          <w:ilvl w:val="0"/>
          <w:numId w:val="1052"/>
        </w:numPr>
        <w:pStyle w:val="Compact"/>
      </w:pPr>
      <w:r>
        <w:rPr>
          <w:bCs/>
          <w:b/>
        </w:rPr>
        <w:t xml:space="preserve">Duitsland en Oostenrijk:</w:t>
      </w:r>
      <w:r>
        <w:t xml:space="preserve"> </w:t>
      </w:r>
      <w:r>
        <w:t xml:space="preserve">receptplichtig; bij diabetes type 2 vergoedbaar. In de jaren vanaf 2022 kwam het, zoals bij andere GLP-1-preparaten, tijdelijk tot leveringstekorten (actuele situatie controleren).</w:t>
      </w:r>
    </w:p>
    <w:p>
      <w:pPr>
        <w:numPr>
          <w:ilvl w:val="0"/>
          <w:numId w:val="1052"/>
        </w:numPr>
        <w:pStyle w:val="Compact"/>
      </w:pPr>
      <w:r>
        <w:rPr>
          <w:bCs/>
          <w:b/>
        </w:rPr>
        <w:t xml:space="preserve">VS:</w:t>
      </w:r>
      <w:r>
        <w:t xml:space="preserve"> </w:t>
      </w:r>
      <w:r>
        <w:t xml:space="preserve">geregistreerd voor diabetes type 2 vanaf 10 jaar en voor verlaging van het cardiovasculaire risico.</w:t>
      </w:r>
    </w:p>
    <w:p>
      <w:pPr>
        <w:numPr>
          <w:ilvl w:val="0"/>
          <w:numId w:val="1052"/>
        </w:numPr>
        <w:pStyle w:val="Compact"/>
      </w:pPr>
      <w:r>
        <w:rPr>
          <w:bCs/>
          <w:b/>
        </w:rPr>
        <w:t xml:space="preserve">Generieke middelen:</w:t>
      </w:r>
      <w:r>
        <w:t xml:space="preserve"> </w:t>
      </w:r>
      <w:r>
        <w:t xml:space="preserve">omdat dulaglutide een recombinant geproduceerd fusie-eiwit is, zouden namaakpreparaten biosimilars zijn met een ingewikkelder registratieprocedure dan bij liraglutide of semaglutide. Op het moment van publicatie is in de EU naar beste weten geen biosimilar in de handel (actuele situatie controleren).</w:t>
      </w:r>
    </w:p>
    <w:p>
      <w:pPr>
        <w:numPr>
          <w:ilvl w:val="0"/>
          <w:numId w:val="1052"/>
        </w:numPr>
        <w:pStyle w:val="Compact"/>
      </w:pPr>
      <w:r>
        <w:rPr>
          <w:bCs/>
          <w:b/>
        </w:rPr>
        <w:t xml:space="preserve">Sport (WADA):</w:t>
      </w:r>
      <w:r>
        <w:t xml:space="preserve"> </w:t>
      </w:r>
      <w:r>
        <w:t xml:space="preserve">niet vermeld (stand 2026, actuele situatie controleren).</w:t>
      </w:r>
    </w:p>
    <w:p>
      <w:pPr>
        <w:numPr>
          <w:ilvl w:val="0"/>
          <w:numId w:val="1052"/>
        </w:numPr>
        <w:pStyle w:val="Compact"/>
      </w:pPr>
      <w:r>
        <w:rPr>
          <w:bCs/>
          <w:b/>
        </w:rPr>
        <w:t xml:space="preserve">Grijze markt:</w:t>
      </w:r>
      <w:r>
        <w:t xml:space="preserve"> </w:t>
      </w:r>
      <w:r>
        <w:t xml:space="preserve">dulaglutide speelt op de grijze markt praktisch geen rol, omdat een groot fusie-eiwit niet zoals kleine peptiden synthetisch kan worden gemaakt.</w:t>
      </w:r>
    </w:p>
    <w:bookmarkEnd w:id="393"/>
    <w:bookmarkStart w:id="400" w:name="lopende-studies-en-vooruitzichten-2"/>
    <w:p>
      <w:pPr>
        <w:pStyle w:val="Heading3"/>
      </w:pPr>
      <w:r>
        <w:t xml:space="preserve">Lopende studies en vooruitzichten</w:t>
      </w:r>
    </w:p>
    <w:p>
      <w:pPr>
        <w:pStyle w:val="FirstParagraph"/>
      </w:pPr>
      <w:r>
        <w:rPr>
          <w:bCs/>
          <w:b/>
        </w:rPr>
        <w:t xml:space="preserve">Vaststaand (geregistreerde studies):</w:t>
      </w:r>
    </w:p>
    <w:p>
      <w:pPr>
        <w:numPr>
          <w:ilvl w:val="0"/>
          <w:numId w:val="1053"/>
        </w:numPr>
        <w:pStyle w:val="Compact"/>
      </w:pPr>
      <w:r>
        <w:rPr>
          <w:bCs/>
          <w:b/>
        </w:rPr>
        <w:t xml:space="preserve">Kinderen en jongeren:</w:t>
      </w:r>
      <w:r>
        <w:t xml:space="preserve"> </w:t>
      </w:r>
      <w:r>
        <w:t xml:space="preserve">Lilly test de hogere doses 3,0 en 4,5 mg bij jongeren met diabetes type 2</w:t>
      </w:r>
      <w:r>
        <w:rPr>
          <w:rStyle w:val="FootnoteReference"/>
        </w:rPr>
        <w:footnoteReference w:id="394"/>
      </w:r>
      <w:r>
        <w:t xml:space="preserve"> </w:t>
      </w:r>
      <w:r>
        <w:t xml:space="preserve">en vergelijkt de tablet orforglipron met dulaglutide in deze leeftijdsgroep</w:t>
      </w:r>
      <w:r>
        <w:rPr>
          <w:rStyle w:val="FootnoteReference"/>
        </w:rPr>
        <w:footnoteReference w:id="395"/>
      </w:r>
      <w:r>
        <w:t xml:space="preserve">.</w:t>
      </w:r>
    </w:p>
    <w:p>
      <w:pPr>
        <w:numPr>
          <w:ilvl w:val="0"/>
          <w:numId w:val="1053"/>
        </w:numPr>
        <w:pStyle w:val="Compact"/>
      </w:pPr>
      <w:r>
        <w:rPr>
          <w:bCs/>
          <w:b/>
        </w:rPr>
        <w:t xml:space="preserve">Bloedvaten en operaties:</w:t>
      </w:r>
      <w:r>
        <w:t xml:space="preserve"> </w:t>
      </w:r>
      <w:r>
        <w:t xml:space="preserve">een studie onderzoekt dulaglutide bij ernstige vernauwing van de hersenvaten</w:t>
      </w:r>
      <w:r>
        <w:rPr>
          <w:rStyle w:val="FootnoteReference"/>
        </w:rPr>
        <w:footnoteReference w:id="396"/>
      </w:r>
      <w:r>
        <w:t xml:space="preserve">, een andere of het hartspierschade na niet-cardiale operaties vermindert</w:t>
      </w:r>
      <w:r>
        <w:rPr>
          <w:rStyle w:val="FootnoteReference"/>
        </w:rPr>
        <w:footnoteReference w:id="397"/>
      </w:r>
      <w:r>
        <w:t xml:space="preserve">.</w:t>
      </w:r>
    </w:p>
    <w:p>
      <w:pPr>
        <w:numPr>
          <w:ilvl w:val="0"/>
          <w:numId w:val="1053"/>
        </w:numPr>
        <w:pStyle w:val="Compact"/>
      </w:pPr>
      <w:r>
        <w:rPr>
          <w:bCs/>
          <w:b/>
        </w:rPr>
        <w:t xml:space="preserve">Cystische fibrose:</w:t>
      </w:r>
      <w:r>
        <w:t xml:space="preserve"> </w:t>
      </w:r>
      <w:r>
        <w:t xml:space="preserve">een kleine fase 2-studie onderzoekt dulaglutide bij een gestoorde suikerverwerking als gevolg van de ziekte</w:t>
      </w:r>
      <w:r>
        <w:rPr>
          <w:rStyle w:val="FootnoteReference"/>
        </w:rPr>
        <w:footnoteReference w:id="398"/>
      </w:r>
      <w:r>
        <w:t xml:space="preserve">.</w:t>
      </w:r>
    </w:p>
    <w:p>
      <w:pPr>
        <w:numPr>
          <w:ilvl w:val="0"/>
          <w:numId w:val="1053"/>
        </w:numPr>
        <w:pStyle w:val="Compact"/>
      </w:pPr>
      <w:r>
        <w:rPr>
          <w:bCs/>
          <w:b/>
        </w:rPr>
        <w:t xml:space="preserve">Als vergelijking:</w:t>
      </w:r>
      <w:r>
        <w:t xml:space="preserve"> </w:t>
      </w:r>
      <w:r>
        <w:t xml:space="preserve">talrijke nieuwe werkzame stoffen worden in fase 3-studies tegen dulaglutide getest, waaronder het exendine-4-fusie-eiwit JY09</w:t>
      </w:r>
      <w:r>
        <w:rPr>
          <w:rStyle w:val="FootnoteReference"/>
        </w:rPr>
        <w:footnoteReference w:id="399"/>
      </w:r>
      <w:r>
        <w:t xml:space="preserve">.</w:t>
      </w:r>
    </w:p>
    <w:p>
      <w:pPr>
        <w:pStyle w:val="FirstParagraph"/>
      </w:pPr>
      <w:r>
        <w:rPr>
          <w:bCs/>
          <w:b/>
        </w:rPr>
        <w:t xml:space="preserve">Inschatting:</w:t>
      </w:r>
      <w:r>
        <w:t xml:space="preserve"> </w:t>
      </w:r>
      <w:r>
        <w:t xml:space="preserve">dulaglutide is een degelijke, goed onderzochte werkzame stof met aangetoond cardiovasculair nut, die echter bij bloedsuiker en gewicht door semaglutide en tirzepatide wordt overtroffen. Zijn rol zal waarschijnlijk steeds meer verschuiven naar die van vergelijkingsstandaard in studies. Omdat Lilly met tirzepatide en orforglipron eigen opvolgers aanbiedt, is een verdere ontwikkeling van dulaglutide voor nieuwe toepassingsgebieden weinig waarschijnlijk.</w:t>
      </w:r>
    </w:p>
    <w:bookmarkEnd w:id="400"/>
    <w:bookmarkStart w:id="401" w:name="conclusie-2"/>
    <w:p>
      <w:pPr>
        <w:pStyle w:val="Heading3"/>
      </w:pPr>
      <w:r>
        <w:t xml:space="preserve">Conclusie</w:t>
      </w:r>
    </w:p>
    <w:p>
      <w:pPr>
        <w:pStyle w:val="FirstParagraph"/>
      </w:pPr>
      <w:r>
        <w:t xml:space="preserve">Dulaglutide is een wekelijks geïnjecteerd GLP-1-fusie-eiwit dat in het AWARD-programma tegen bijna alle gangbare diabetesmiddelen is getest. Het verlaagde de langetermijnsuiker ongeveer even sterk als liraglutide en sterker dan exenatide, sitagliptine of metformine, maar moest in SUSTAIN 7 het afleggen tegen semaglutide, vooral bij het gewicht. In REWIND met 9.901 deelnemers, onder wie velen zonder bekende hart- en vaatziekte, verminderde het ernstige cardiovasculaire gebeurtenissen met 12%. De bijwerkingen komen overeen met die van de klasse; antilichamen zijn zeldzaam. Voor gewichtsvermindering is het niet geregistreerd, en de behandeling hoort in handen van een arts.</w:t>
      </w:r>
    </w:p>
    <w:bookmarkEnd w:id="401"/>
    <w:bookmarkEnd w:id="402"/>
    <w:bookmarkStart w:id="477" w:name="semaglutide"/>
    <w:p>
      <w:pPr>
        <w:pStyle w:val="Heading2"/>
      </w:pPr>
      <w:r>
        <w:t xml:space="preserve">Semaglutide</w:t>
      </w:r>
    </w:p>
    <w:bookmarkStart w:id="404" w:name="profiel-3"/>
    <w:p>
      <w:pPr>
        <w:pStyle w:val="Heading3"/>
      </w:pPr>
      <w:r>
        <w:t xml:space="preserve">Profiel</w:t>
      </w:r>
    </w:p>
    <w:p>
      <w:pPr>
        <w:numPr>
          <w:ilvl w:val="0"/>
          <w:numId w:val="1054"/>
        </w:numPr>
        <w:pStyle w:val="Compact"/>
      </w:pPr>
      <w:r>
        <w:rPr>
          <w:bCs/>
          <w:b/>
        </w:rPr>
        <w:t xml:space="preserve">Soort/structuur:</w:t>
      </w:r>
      <w:r>
        <w:t xml:space="preserve"> </w:t>
      </w:r>
      <w:r>
        <w:t xml:space="preserve">gemodificeerd menselijk GLP-1 van 31 aminozuren. Ten opzichte van het lichaamseigen hormoon zijn twee aminozuren vervangen; op een derde plaats hangt via een verbindingsstuk een vetzuurketen die het molecuul sterk aan het bloedeiwit albumine bindt</w:t>
      </w:r>
      <w:r>
        <w:rPr>
          <w:rStyle w:val="FootnoteReference"/>
        </w:rPr>
        <w:footnoteReference w:id="403"/>
      </w:r>
      <w:r>
        <w:t xml:space="preserve">.</w:t>
      </w:r>
    </w:p>
    <w:p>
      <w:pPr>
        <w:numPr>
          <w:ilvl w:val="0"/>
          <w:numId w:val="1054"/>
        </w:numPr>
        <w:pStyle w:val="Compact"/>
      </w:pPr>
      <w:r>
        <w:rPr>
          <w:bCs/>
          <w:b/>
        </w:rPr>
        <w:t xml:space="preserve">Herkomst:</w:t>
      </w:r>
      <w:r>
        <w:t xml:space="preserve"> </w:t>
      </w:r>
      <w:r>
        <w:t xml:space="preserve">ontwikkeld door Novo Nordisk als verdere ontwikkeling van liraglutide.</w:t>
      </w:r>
    </w:p>
    <w:p>
      <w:pPr>
        <w:numPr>
          <w:ilvl w:val="0"/>
          <w:numId w:val="1054"/>
        </w:numPr>
        <w:pStyle w:val="Compact"/>
      </w:pPr>
      <w:r>
        <w:rPr>
          <w:bCs/>
          <w:b/>
        </w:rPr>
        <w:t xml:space="preserve">Werkingsprincipe:</w:t>
      </w:r>
      <w:r>
        <w:t xml:space="preserve"> </w:t>
      </w:r>
      <w:r>
        <w:t xml:space="preserve">GLP-1-receptoragonist met een zeer lange werkingsduur – één injectie per week of één tablet per dag.</w:t>
      </w:r>
    </w:p>
    <w:p>
      <w:pPr>
        <w:numPr>
          <w:ilvl w:val="0"/>
          <w:numId w:val="1054"/>
        </w:numPr>
        <w:pStyle w:val="Compact"/>
      </w:pPr>
      <w:r>
        <w:rPr>
          <w:bCs/>
          <w:b/>
        </w:rPr>
        <w:t xml:space="preserve">Preparaten:</w:t>
      </w:r>
      <w:r>
        <w:t xml:space="preserve"> </w:t>
      </w:r>
      <w:r>
        <w:t xml:space="preserve">Ozempic (injectie, diabetes type 2), Wegovy (injectie, gewichtsbeheersing en verlaging van het cardiovasculaire risico), Rybelsus (tablet, diabetes type 2). In de VS is sinds eind 2025 ook een Wegovy-tablet voor gewichtsbeheersing geregistreerd (actuele situatie controleren).</w:t>
      </w:r>
    </w:p>
    <w:p>
      <w:pPr>
        <w:numPr>
          <w:ilvl w:val="0"/>
          <w:numId w:val="1054"/>
        </w:numPr>
        <w:pStyle w:val="Compact"/>
      </w:pPr>
      <w:r>
        <w:rPr>
          <w:bCs/>
          <w:b/>
        </w:rPr>
        <w:t xml:space="preserve">Registratie EU:</w:t>
      </w:r>
      <w:r>
        <w:t xml:space="preserve"> </w:t>
      </w:r>
      <w:r>
        <w:t xml:space="preserve">ja – diabetes type 2 (injectie sinds 2018, tablet sinds 2020), gewichtsbeheersing (sinds 2022, ook voor jongeren vanaf 12 jaar).</w:t>
      </w:r>
    </w:p>
    <w:p>
      <w:pPr>
        <w:numPr>
          <w:ilvl w:val="0"/>
          <w:numId w:val="1054"/>
        </w:numPr>
        <w:pStyle w:val="Compact"/>
      </w:pPr>
      <w:r>
        <w:rPr>
          <w:bCs/>
          <w:b/>
        </w:rPr>
        <w:t xml:space="preserve">Registratie VS:</w:t>
      </w:r>
      <w:r>
        <w:t xml:space="preserve"> </w:t>
      </w:r>
      <w:r>
        <w:t xml:space="preserve">ja – diabetes type 2, gewichtsbeheersing, verlaging van het cardiovasculaire risico bij overgewicht met hart- en vaatziekte, nierbescherming bij diabetes type 2 en chronische nierziekte, en leverontsteking door vervetting (MASH) met fibrose.</w:t>
      </w:r>
    </w:p>
    <w:p>
      <w:pPr>
        <w:numPr>
          <w:ilvl w:val="0"/>
          <w:numId w:val="1054"/>
        </w:numPr>
        <w:pStyle w:val="Compact"/>
      </w:pPr>
      <w:r>
        <w:rPr>
          <w:bCs/>
          <w:b/>
        </w:rPr>
        <w:t xml:space="preserve">WADA:</w:t>
      </w:r>
      <w:r>
        <w:t xml:space="preserve"> </w:t>
      </w:r>
      <w:r>
        <w:t xml:space="preserve">niet vermeld.</w:t>
      </w:r>
    </w:p>
    <w:p>
      <w:pPr>
        <w:numPr>
          <w:ilvl w:val="0"/>
          <w:numId w:val="1054"/>
        </w:numPr>
        <w:pStyle w:val="Compact"/>
      </w:pPr>
      <w:r>
        <w:rPr>
          <w:bCs/>
          <w:b/>
        </w:rPr>
        <w:t xml:space="preserve">Bewijsniveau:</w:t>
      </w:r>
      <w:r>
        <w:t xml:space="preserve"> </w:t>
      </w:r>
      <w:r>
        <w:rPr>
          <w:bCs/>
          <w:b/>
        </w:rPr>
        <w:t xml:space="preserve">A</w:t>
      </w:r>
      <w:r>
        <w:t xml:space="preserve"> </w:t>
      </w:r>
      <w:r>
        <w:t xml:space="preserve">– vier grote registratieprogramma’s (SUSTAIN, PIONEER, STEP, OASIS), meerdere uitkomststudies met samen meer dan 40.000 deelnemers.</w:t>
      </w:r>
    </w:p>
    <w:bookmarkEnd w:id="404"/>
    <w:bookmarkStart w:id="407" w:name="hoe-het-zou-moeten-werken-3"/>
    <w:p>
      <w:pPr>
        <w:pStyle w:val="Heading3"/>
      </w:pPr>
      <w:r>
        <w:t xml:space="preserve">Hoe het zou moeten werken</w:t>
      </w:r>
    </w:p>
    <w:p>
      <w:pPr>
        <w:pStyle w:val="FirstParagraph"/>
      </w:pPr>
      <w:r>
        <w:t xml:space="preserve">Semaglutide werkt zoals het darmhormoon GLP-1: het versterkt de suikerafhankelijke insulineafgifte, remt het bloedsuikerverhogende glucagon, vertraagt de maaglediging en dempt in de hersenen honger en het verlangen naar eten. Het basismechanisme van de klasse wordt uitgelegd in het hoofdstuk Exenatide.</w:t>
      </w:r>
    </w:p>
    <w:p>
      <w:pPr>
        <w:pStyle w:val="BodyText"/>
      </w:pPr>
      <w:r>
        <w:t xml:space="preserve">Het nieuwe aan semaglutide is de houdbaarheid. De ontwikkelaars gingen uit van liraglutide en veranderden twee dingen</w:t>
      </w:r>
      <w:r>
        <w:rPr>
          <w:rStyle w:val="FootnoteReference"/>
        </w:rPr>
        <w:footnoteReference w:id="405"/>
      </w:r>
      <w:r>
        <w:t xml:space="preserve">: een vervanging van het aminozuur op positie 8 maakt het molecuul volledig ongevoelig voor het afbraakenzym DPP-4. En een langere vetzuurketen met een ander verbindingsstuk bindt duidelijk sterker aan albumine. Daardoor wordt semaglutide maar langzaam vrijgegeven en uitgescheiden. Bij minivarkens lag de halfwaardetijd na toediening in de ader op 46,1 uur; bij de mens is ze nog langer en maakt ze één injectie per week mogelijk.</w:t>
      </w:r>
    </w:p>
    <w:p>
      <w:pPr>
        <w:pStyle w:val="BodyText"/>
      </w:pPr>
      <w:r>
        <w:t xml:space="preserve">Voor het gewichtsverlies zijn vooral effecten in de hersenen beslissend. Semaglutide vermindert de voedselinname, het hongergevoel en de trek in bijzonder vet- en suikerrijke gerechten. Een noemenswaardig hoger energieverbruik is niet aangetoond.</w:t>
      </w:r>
    </w:p>
    <w:p>
      <w:pPr>
        <w:pStyle w:val="BodyText"/>
      </w:pPr>
      <w:r>
        <w:rPr>
          <w:bCs/>
          <w:b/>
        </w:rPr>
        <w:t xml:space="preserve">De tablet:</w:t>
      </w:r>
      <w:r>
        <w:t xml:space="preserve"> </w:t>
      </w:r>
      <w:r>
        <w:t xml:space="preserve">peptiden worden in de maag normaal gesproken verteerd en nauwelijks opgenomen. Voor Rybelsus wordt semaglutide gecombineerd met de hulpstof SNAC. Die buffert het maagzuur direct aan het oppervlak van de tablet, beschermt zo tegen afbraak en vergemakkelijkt kortstondig de opname door het maagslijmvlies – in onderzoek bij mensen en honden uitsluitend in de maag, niet in de darm</w:t>
      </w:r>
      <w:r>
        <w:rPr>
          <w:rStyle w:val="FootnoteReference"/>
        </w:rPr>
        <w:footnoteReference w:id="406"/>
      </w:r>
      <w:r>
        <w:t xml:space="preserve">. Toch komt maar een zeer kleine fractie van de werkzame stof in het bloed. De tablet bevat daarom een veelvoud van de injectiedosis en moet nuchter met weinig water worden ingenomen; de productinformatie regelt de details.</w:t>
      </w:r>
    </w:p>
    <w:bookmarkEnd w:id="407"/>
    <w:bookmarkStart w:id="448" w:name="studies-bij-mensen-3"/>
    <w:p>
      <w:pPr>
        <w:pStyle w:val="Heading3"/>
      </w:pPr>
      <w:r>
        <w:t xml:space="preserve">Studies bij mensen</w:t>
      </w:r>
    </w:p>
    <w:p>
      <w:pPr>
        <w:pStyle w:val="FirstParagraph"/>
      </w:pPr>
      <w:r>
        <w:t xml:space="preserve">Semaglutide is momenteel de meest onderzochte werkzame stof van zijn klasse. De voor dit boek geanalyseerde PubMed-zoekopdracht (zoekterm „semaglutide” in titel of abstract, zoekdatum oktober 2026) leverde 342 studies bij mensen op. Dit aantal onderschat de werkelijke hoeveelheid onderzoek, omdat veel analyses van grote studies onder hun naam zijn gepubliceerd. Op ClinicalTrials.gov staan 793 registraties – meer dan voor enig ander peptide in dit boek.</w:t>
      </w:r>
    </w:p>
    <w:p>
      <w:pPr>
        <w:pStyle w:val="BodyText"/>
      </w:pPr>
      <w:r>
        <w:t xml:space="preserve">De studies laten zich indelen in vier programma’s: SUSTAIN (injectie bij diabetes type 2), PIONEER (tablet bij diabetes type 2), STEP (injectie bij obesitas) en OASIS (tablet bij obesitas). Daarbij komen grote uitkomststudies over hart (SUSTAIN 6, PIONEER 6, SOUL, SELECT), nieren (FLOW), lever (ESSENCE), hartfalen, gewrichten en hersenen (evoke).</w:t>
      </w:r>
    </w:p>
    <w:bookmarkStart w:id="411" w:name="diabetes-type-2-met-de-injectie-sustain"/>
    <w:p>
      <w:pPr>
        <w:pStyle w:val="Heading4"/>
      </w:pPr>
      <w:r>
        <w:t xml:space="preserve">Diabetes type 2 met de injectie: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weken</w:t>
            </w:r>
          </w:p>
        </w:tc>
        <w:tc>
          <w:tcPr/>
          <w:p>
            <w:pPr>
              <w:pStyle w:val="Compact"/>
              <w:jc w:val="left"/>
            </w:pPr>
            <w:r>
              <w:t xml:space="preserve">HbA1c −1,55 (1,0 mg) vs. −0,02 procentpunt;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weken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met hoog cardiovasculair risico, vs. placebo</w:t>
            </w:r>
          </w:p>
        </w:tc>
        <w:tc>
          <w:tcPr/>
          <w:p>
            <w:pPr>
              <w:pStyle w:val="Compact"/>
              <w:jc w:val="left"/>
            </w:pPr>
            <w:r>
              <w:t xml:space="preserve">104 weken</w:t>
            </w:r>
          </w:p>
        </w:tc>
        <w:tc>
          <w:tcPr/>
          <w:p>
            <w:pPr>
              <w:pStyle w:val="Compact"/>
              <w:jc w:val="left"/>
            </w:pPr>
            <w:r>
              <w:t xml:space="preserve">ernstige cardiovasculaire gebeurtenissen 6,6% vs. 8,9%; HR 0,74</w:t>
            </w:r>
          </w:p>
        </w:tc>
      </w:tr>
    </w:tbl>
    <w:p>
      <w:pPr>
        <w:pStyle w:val="BodyText"/>
      </w:pPr>
      <w:r>
        <w:t xml:space="preserve">Al de monotherapiestudie SUSTAIN 1</w:t>
      </w:r>
      <w:r>
        <w:rPr>
          <w:rStyle w:val="FootnoteReference"/>
        </w:rPr>
        <w:footnoteReference w:id="408"/>
      </w:r>
      <w:r>
        <w:t xml:space="preserve"> </w:t>
      </w:r>
      <w:r>
        <w:t xml:space="preserve">liet zien dat semaglutide de langetermijnsuiker HbA1c met ongeveer 1,5 procentpunt verlaagt. In latere studies met deelnemers die hogere uitgangswaarden hadden, viel de daling groter uit; met de dosis van 2,0 mg bereikte ze in SUSTAIN FORTE 2,2 procentpunten</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was opgezet als veiligheidsstudie, maar liet een duidelijk voordeel zien: overlijden door een cardiovasculaire oorzaak, niet-fataal hartinfarct of beroerte trad op bij 108 van 1.648 personen met semaglutide (6,6%) tegenover 146 van 1.649 met placebo (8,9%). Beroertes waren significant zeldzamer (1,6% vs. 2,7%). Tegelijk viel een waarschuwingssignaal op: complicaties van de diabetische netvliesaandoening (retinopathie) – zoals glasvochtbloedingen of bevindingen die behandeling vereisten – kwamen onder semaglutide vaker voor (HR 1,76). Dit signaal wordt besproken in de paragraaf over risico’s.</w:t>
      </w:r>
    </w:p>
    <w:bookmarkEnd w:id="411"/>
    <w:bookmarkStart w:id="417" w:name="X496a8dfc7569ecbd598bcd58877ef83adbd37be"/>
    <w:p>
      <w:pPr>
        <w:pStyle w:val="Heading4"/>
      </w:pPr>
      <w:r>
        <w:t xml:space="preserve">Directe vergelijkingen binnen de GLP-1-klasse</w:t>
      </w:r>
    </w:p>
    <w:p>
      <w:pPr>
        <w:pStyle w:val="FirstParagraph"/>
      </w:pPr>
      <w:r>
        <w:t xml:space="preserve">Semaglutide is in directe vergelijkende studies tegen alle oudere GLP-1-receptoragonisten aangetreden en heeft ze allemaal overtroffen.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(semaglutide vs. vergelijking)</w:t>
            </w:r>
          </w:p>
        </w:tc>
      </w:tr>
      <w:tr>
        <w:tc>
          <w:tcPr/>
          <w:p>
            <w:pPr>
              <w:pStyle w:val="Compact"/>
              <w:jc w:val="left"/>
            </w:pPr>
            <w:r>
              <w:t xml:space="preserve">SUSTAIN 3 (Ahmann 2018), PMID 29246950</w:t>
            </w:r>
          </w:p>
        </w:tc>
        <w:tc>
          <w:tcPr/>
          <w:p>
            <w:pPr>
              <w:pStyle w:val="Compact"/>
              <w:jc w:val="left"/>
            </w:pPr>
            <w:r>
              <w:t xml:space="preserve">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dulaglutide 0,75/1,5 mg</w:t>
            </w:r>
          </w:p>
        </w:tc>
        <w:tc>
          <w:tcPr/>
          <w:p>
            <w:pPr>
              <w:pStyle w:val="Compact"/>
              <w:jc w:val="left"/>
            </w:pPr>
            <w:r>
              <w:t xml:space="preserve">40 weken</w:t>
            </w:r>
          </w:p>
        </w:tc>
        <w:tc>
          <w:tcPr/>
          <w:p>
            <w:pPr>
              <w:pStyle w:val="Compact"/>
              <w:jc w:val="left"/>
            </w:pPr>
            <w:r>
              <w:t xml:space="preserve">HbA1c −1,8 vs. −1,4; gewicht −6,5 vs. −3,0 kg (hoge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 14 mg vs. liraglutide-injectie 1,8 mg vs. placebo</w:t>
            </w:r>
          </w:p>
        </w:tc>
        <w:tc>
          <w:tcPr/>
          <w:p>
            <w:pPr>
              <w:pStyle w:val="Compact"/>
              <w:jc w:val="left"/>
            </w:pPr>
            <w:r>
              <w:t xml:space="preserve">52 weken (primaire analyse na 26 weken)</w:t>
            </w:r>
          </w:p>
        </w:tc>
        <w:tc>
          <w:tcPr/>
          <w:p>
            <w:pPr>
              <w:pStyle w:val="Compact"/>
              <w:jc w:val="left"/>
            </w:pPr>
            <w:r>
              <w:t xml:space="preserve">HbA1c −1,2 vs. −1,1 (niet inferieur); gewicht −4,4 vs. −3,1 kg</w:t>
            </w:r>
          </w:p>
        </w:tc>
      </w:tr>
      <w:tr>
        <w:tc>
          <w:tcPr/>
          <w:p>
            <w:pPr>
              <w:pStyle w:val="Compact"/>
              <w:jc w:val="left"/>
            </w:pPr>
            <w:r>
              <w:t xml:space="preserve">STEP 8 (Rubino 2022), PMID 35015037</w:t>
            </w:r>
          </w:p>
        </w:tc>
        <w:tc>
          <w:tcPr/>
          <w:p>
            <w:pPr>
              <w:pStyle w:val="Compact"/>
              <w:jc w:val="left"/>
            </w:pPr>
            <w:r>
              <w:t xml:space="preserve">338 personen met obesitas zonder diabetes; 2,4 mg vs. liraglutide 3,0 mg</w:t>
            </w:r>
          </w:p>
        </w:tc>
        <w:tc>
          <w:tcPr/>
          <w:p>
            <w:pPr>
              <w:pStyle w:val="Compact"/>
              <w:jc w:val="left"/>
            </w:pPr>
            <w:r>
              <w:t xml:space="preserve">68 weken</w:t>
            </w:r>
          </w:p>
        </w:tc>
        <w:tc>
          <w:tcPr/>
          <w:p>
            <w:pPr>
              <w:pStyle w:val="Compact"/>
              <w:jc w:val="left"/>
            </w:pPr>
            <w:r>
              <w:t xml:space="preserve">gewicht −15,8% vs. −6,4%</w:t>
            </w:r>
          </w:p>
        </w:tc>
      </w:tr>
    </w:tbl>
    <w:p>
      <w:pPr>
        <w:pStyle w:val="BodyText"/>
      </w:pPr>
      <w:r>
        <w:t xml:space="preserve">De verschillen in langetermijnsuiker liggen tussen 0,1 en 0,7 procentpunt in het voordeel van semaglutide, bij het gewicht tussen 1,2 en ongeveer 4 kg bij diabetes. Het duidelijkst was de afstand bij obesitas: in STEP 8</w:t>
      </w:r>
      <w:r>
        <w:rPr>
          <w:rStyle w:val="FootnoteReference"/>
        </w:rPr>
        <w:footnoteReference w:id="412"/>
      </w:r>
      <w:r>
        <w:t xml:space="preserve"> </w:t>
      </w:r>
      <w:r>
        <w:t xml:space="preserve">verloor 38,5% met semaglutide ten minste 20% van het gewicht, met liraglutide 6,0%. De prijs is bij sommige vergelijkingen een iets hoger percentage maag-darmklachten: in SUSTAIN 10 stopte 11,4% tegenover 6,6% met de behandeling vanwege bijwerkingen</w:t>
      </w:r>
      <w:r>
        <w:rPr>
          <w:rStyle w:val="FootnoteReference"/>
        </w:rPr>
        <w:footnoteReference w:id="413"/>
      </w:r>
      <w:r>
        <w:t xml:space="preserve">. In SUSTAIN 3 daarentegen kwamen reacties op de injectieplaats onder exenatide veel vaker voor (22,0% vs. 1,2%)</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 opmerkelijk, omdat hier een tablet het opnam tegen een injectie: bij de HbA1c was de semaglutidetablet niet slechter dan de liraglutide-injectie, bij het gewicht 1,2 kg beter.</w:t>
      </w:r>
    </w:p>
    <w:p>
      <w:pPr>
        <w:pStyle w:val="BodyText"/>
      </w:pPr>
      <w:r>
        <w:t xml:space="preserve">Buiten de GLP-1-klasse werd semaglutide op zijn beurt overtroffen: in de directe vergelijking met de dubbele GIP/GLP-1-agonist tirzepatide bij 751 personen met obesitas bedroeg het gewichtsverlies na 72 weken −13,7% tegenover −20,2%</w:t>
      </w:r>
      <w:r>
        <w:rPr>
          <w:rStyle w:val="FootnoteReference"/>
        </w:rPr>
        <w:footnoteReference w:id="416"/>
      </w:r>
      <w:r>
        <w:t xml:space="preserve">. Details staan in het hoofdstuk Tirzepatide.</w:t>
      </w:r>
    </w:p>
    <w:bookmarkEnd w:id="417"/>
    <w:bookmarkStart w:id="421" w:name="Xad58a43d6c7cb39ac125a09cfb357540178aec7"/>
    <w:p>
      <w:pPr>
        <w:pStyle w:val="Heading4"/>
      </w:pPr>
      <w:r>
        <w:t xml:space="preserve">Diabetes type 2 met de tablet: PIONEER en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weken</w:t>
            </w:r>
          </w:p>
        </w:tc>
        <w:tc>
          <w:tcPr/>
          <w:p>
            <w:pPr>
              <w:pStyle w:val="Compact"/>
              <w:jc w:val="left"/>
            </w:pPr>
            <w:r>
              <w:t xml:space="preserve">HbA1c −1,1 procentpunt (14 mg) ten opzichte van placebo; gewicht −2,3 kg ten opzichte van placebo</w:t>
            </w:r>
          </w:p>
        </w:tc>
      </w:tr>
      <w:tr>
        <w:tc>
          <w:tcPr/>
          <w:p>
            <w:pPr>
              <w:pStyle w:val="Compact"/>
              <w:jc w:val="left"/>
            </w:pPr>
            <w:r>
              <w:t xml:space="preserve">PIONEER 6 (Husain 2019), PMID 31185157</w:t>
            </w:r>
          </w:p>
        </w:tc>
        <w:tc>
          <w:tcPr/>
          <w:p>
            <w:pPr>
              <w:pStyle w:val="Compact"/>
              <w:jc w:val="left"/>
            </w:pPr>
            <w:r>
              <w:t xml:space="preserve">3.183 personen met hoog risico; vs. placebo</w:t>
            </w:r>
          </w:p>
        </w:tc>
        <w:tc>
          <w:tcPr/>
          <w:p>
            <w:pPr>
              <w:pStyle w:val="Compact"/>
              <w:jc w:val="left"/>
            </w:pPr>
            <w:r>
              <w:t xml:space="preserve">mediaan 15,9 maanden</w:t>
            </w:r>
          </w:p>
        </w:tc>
        <w:tc>
          <w:tcPr/>
          <w:p>
            <w:pPr>
              <w:pStyle w:val="Compact"/>
              <w:jc w:val="left"/>
            </w:pPr>
            <w:r>
              <w:t xml:space="preserve">gebeurtenissen 3,8% vs. 4,8%; HR 0,79, niet inferieur</w:t>
            </w:r>
          </w:p>
        </w:tc>
      </w:tr>
      <w:tr>
        <w:tc>
          <w:tcPr/>
          <w:p>
            <w:pPr>
              <w:pStyle w:val="Compact"/>
              <w:jc w:val="left"/>
            </w:pPr>
            <w:r>
              <w:t xml:space="preserve">PIONEER PLUS (Aroda 2023), PMID 37385279</w:t>
            </w:r>
          </w:p>
        </w:tc>
        <w:tc>
          <w:tcPr/>
          <w:p>
            <w:pPr>
              <w:pStyle w:val="Compact"/>
              <w:jc w:val="left"/>
            </w:pPr>
            <w:r>
              <w:t xml:space="preserve">1.606 personen; 25 en 50 mg vs. 14 mg</w:t>
            </w:r>
          </w:p>
        </w:tc>
        <w:tc>
          <w:tcPr/>
          <w:p>
            <w:pPr>
              <w:pStyle w:val="Compact"/>
              <w:jc w:val="left"/>
            </w:pPr>
            <w:r>
              <w:t xml:space="preserve">52 weken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met vaat- en/of nierziekte; vs. placebo</w:t>
            </w:r>
          </w:p>
        </w:tc>
        <w:tc>
          <w:tcPr/>
          <w:p>
            <w:pPr>
              <w:pStyle w:val="Compact"/>
              <w:jc w:val="left"/>
            </w:pPr>
            <w:r>
              <w:t xml:space="preserve">mediaan 49,5 maanden</w:t>
            </w:r>
          </w:p>
        </w:tc>
        <w:tc>
          <w:tcPr/>
          <w:p>
            <w:pPr>
              <w:pStyle w:val="Compact"/>
              <w:jc w:val="left"/>
            </w:pPr>
            <w:r>
              <w:t xml:space="preserve">gebeurtenissen 12,0% vs. 13,8%; HR 0,86 (0,77–0,96)</w:t>
            </w:r>
          </w:p>
        </w:tc>
      </w:tr>
    </w:tbl>
    <w:p>
      <w:pPr>
        <w:pStyle w:val="BodyText"/>
      </w:pPr>
      <w:r>
        <w:t xml:space="preserve">De tablet werkt in de standaarddosis van 14 mg iets zwakker dan de injectie. PIONEER PLUS</w:t>
      </w:r>
      <w:r>
        <w:rPr>
          <w:rStyle w:val="FootnoteReference"/>
        </w:rPr>
        <w:footnoteReference w:id="418"/>
      </w:r>
      <w:r>
        <w:t xml:space="preserve"> </w:t>
      </w:r>
      <w:r>
        <w:t xml:space="preserve">liet zien dat hogere tabletdoses de afstand verkleinen. PIONEER 6</w:t>
      </w:r>
      <w:r>
        <w:rPr>
          <w:rStyle w:val="FootnoteReference"/>
        </w:rPr>
        <w:footnoteReference w:id="419"/>
      </w:r>
      <w:r>
        <w:t xml:space="preserve"> </w:t>
      </w:r>
      <w:r>
        <w:t xml:space="preserve">was een korte veiligheidsstudie; ze bewees dat de tablet het cardiovasculaire risico niet verhoogt, maar was te klein om een nut aan te tonen.</w:t>
      </w:r>
    </w:p>
    <w:p>
      <w:pPr>
        <w:pStyle w:val="BodyText"/>
      </w:pPr>
      <w:r>
        <w:t xml:space="preserve">Dat leverde</w:t>
      </w:r>
      <w:r>
        <w:t xml:space="preserve"> </w:t>
      </w:r>
      <w:r>
        <w:rPr>
          <w:bCs/>
          <w:b/>
        </w:rPr>
        <w:t xml:space="preserve">SOUL</w:t>
      </w:r>
      <w:r>
        <w:rPr>
          <w:rStyle w:val="FootnoteReference"/>
        </w:rPr>
        <w:footnoteReference w:id="420"/>
      </w:r>
      <w:r>
        <w:t xml:space="preserve">: bij 9.650 mensen met diabetes type 2 en vaat- of nierziekte verlaagde de semaglutidetablet over ongeveer vier jaar ernstige cardiovasculaire gebeurtenissen met 14%. De bevestigende secundaire eindpunten, waaronder nieruitkomsten, verschilden niet significant. Ernstige ongewenste voorvallen waren onder semaglutide niet vaker (47,9% vs. 50,3%).</w:t>
      </w:r>
    </w:p>
    <w:bookmarkEnd w:id="421"/>
    <w:bookmarkStart w:id="427" w:name="obesitas-met-de-injectie-step"/>
    <w:p>
      <w:pPr>
        <w:pStyle w:val="Heading4"/>
      </w:pPr>
      <w:r>
        <w:t xml:space="preserve">Obesitas met de injectie: STEP</w:t>
      </w:r>
    </w:p>
    <w:p>
      <w:pPr>
        <w:pStyle w:val="FirstParagraph"/>
      </w:pPr>
      <w:r>
        <w:t xml:space="preserve">Met de dosis van 2,4 mg per week werd semaglutide als Wegovy het eerste geneesmiddel waarmee mensen met obesitas in grote studies gemiddeld ongeveer 15% van hun lichaamsgewicht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STEP 1 (Wilding 2021), PMID 33567185</w:t>
            </w:r>
          </w:p>
        </w:tc>
        <w:tc>
          <w:tcPr/>
          <w:p>
            <w:pPr>
              <w:pStyle w:val="Compact"/>
              <w:jc w:val="left"/>
            </w:pPr>
            <w:r>
              <w:t xml:space="preserve">1.961 volwassenen met obesitas zonder diabetes, RCT tegen placebo</w:t>
            </w:r>
          </w:p>
        </w:tc>
        <w:tc>
          <w:tcPr/>
          <w:p>
            <w:pPr>
              <w:pStyle w:val="Compact"/>
              <w:jc w:val="left"/>
            </w:pPr>
            <w:r>
              <w:t xml:space="preserve">68 weken</w:t>
            </w:r>
          </w:p>
        </w:tc>
        <w:tc>
          <w:tcPr/>
          <w:p>
            <w:pPr>
              <w:pStyle w:val="Compact"/>
              <w:jc w:val="left"/>
            </w:pPr>
            <w:r>
              <w:t xml:space="preserve">−14,9% lichaamsgewicht vs. −2,4%</w:t>
            </w:r>
          </w:p>
        </w:tc>
      </w:tr>
      <w:tr>
        <w:tc>
          <w:tcPr/>
          <w:p>
            <w:pPr>
              <w:pStyle w:val="Compact"/>
              <w:jc w:val="left"/>
            </w:pPr>
            <w:r>
              <w:t xml:space="preserve">STEP 2 (Davies 2021), PMID 33667417</w:t>
            </w:r>
          </w:p>
        </w:tc>
        <w:tc>
          <w:tcPr/>
          <w:p>
            <w:pPr>
              <w:pStyle w:val="Compact"/>
              <w:jc w:val="left"/>
            </w:pPr>
            <w:r>
              <w:t xml:space="preserve">1.210 personen met overgewicht en diabetes type 2</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personen, daarnaast intensieve gedragstherapie</w:t>
            </w:r>
          </w:p>
        </w:tc>
        <w:tc>
          <w:tcPr/>
          <w:p>
            <w:pPr>
              <w:pStyle w:val="Compact"/>
              <w:jc w:val="left"/>
            </w:pPr>
            <w:r>
              <w:t xml:space="preserve">68 weken</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personen na 20 weken semaglutide: doorgaan of overstap op placebo</w:t>
            </w:r>
          </w:p>
        </w:tc>
        <w:tc>
          <w:tcPr/>
          <w:p>
            <w:pPr>
              <w:pStyle w:val="Compact"/>
              <w:jc w:val="left"/>
            </w:pPr>
            <w:r>
              <w:t xml:space="preserve">48 weken</w:t>
            </w:r>
          </w:p>
        </w:tc>
        <w:tc>
          <w:tcPr/>
          <w:p>
            <w:pPr>
              <w:pStyle w:val="Compact"/>
              <w:jc w:val="left"/>
            </w:pPr>
            <w:r>
              <w:t xml:space="preserve">−7,9% (doorgaan) vs. +6,9% (gestopt)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weken</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personen in Oost-Azië</w:t>
            </w:r>
          </w:p>
        </w:tc>
        <w:tc>
          <w:tcPr/>
          <w:p>
            <w:pPr>
              <w:pStyle w:val="Compact"/>
              <w:jc w:val="left"/>
            </w:pPr>
            <w:r>
              <w:t xml:space="preserve">68 weken</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weken</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verloren de deelnemers gemiddeld 15,3 kg, tegenover 2,6 kg met placebo. De helft (50,5%) verloor ten minste 15% van het gewicht. Vanwege maag-darmklachten stopte 4,5% met de behandeling, tegenover 0,8% met placebo.</w:t>
      </w:r>
    </w:p>
    <w:p>
      <w:pPr>
        <w:pStyle w:val="BodyText"/>
      </w:pPr>
      <w:r>
        <w:t xml:space="preserve">Bij mensen met diabetes type 2 viel het gewichtsverlies lager uit (STEP 2, Davies 2021, PMID 33667417) – een patroon dat bij alle werkzame stoffen van deze klasse optreedt. In</w:t>
      </w:r>
      <w:r>
        <w:t xml:space="preserve"> </w:t>
      </w:r>
      <w:r>
        <w:rPr>
          <w:bCs/>
          <w:b/>
        </w:rPr>
        <w:t xml:space="preserve">STEP 5</w:t>
      </w:r>
      <w:r>
        <w:rPr>
          <w:rStyle w:val="FootnoteReference"/>
        </w:rPr>
        <w:footnoteReference w:id="423"/>
      </w:r>
      <w:r>
        <w:t xml:space="preserve"> </w:t>
      </w:r>
      <w:r>
        <w:t xml:space="preserve">bleef het effect over twee jaar stabiel.</w:t>
      </w:r>
    </w:p>
    <w:p>
      <w:pPr>
        <w:pStyle w:val="BodyText"/>
      </w:pPr>
      <w:r>
        <w:rPr>
          <w:bCs/>
          <w:b/>
        </w:rPr>
        <w:t xml:space="preserve">Wat gebeurt er na het stoppen?</w:t>
      </w:r>
      <w:r>
        <w:t xml:space="preserve"> </w:t>
      </w:r>
      <w:r>
        <w:t xml:space="preserve">Deze vraag is voor de praktijk centraal. In STEP 4</w:t>
      </w:r>
      <w:r>
        <w:rPr>
          <w:rStyle w:val="FootnoteReference"/>
        </w:rPr>
        <w:footnoteReference w:id="424"/>
      </w:r>
      <w:r>
        <w:t xml:space="preserve"> </w:t>
      </w:r>
      <w:r>
        <w:t xml:space="preserve">kregen alle deelnemers eerst 20 weken semaglutide en waren ze daarbij gemiddeld 10,6% afgevallen. Wie daarna overstapte op placebo, kwam in de volgende 48 weken weer 6,9% aan; wie verder werd behandeld, verloor nog eens 7,9%. In de verlenging van STEP 1</w:t>
      </w:r>
      <w:r>
        <w:rPr>
          <w:rStyle w:val="FootnoteReference"/>
        </w:rPr>
        <w:footnoteReference w:id="425"/>
      </w:r>
      <w:r>
        <w:t xml:space="preserve"> </w:t>
      </w:r>
      <w:r>
        <w:t xml:space="preserve">hadden de deelnemers een jaar na het stoppen ongeveer twee derde van het verloren gewicht weer teruggekregen; ook bloeddruk, bloedvetten en bloedsuiker kwamen weer dicht bij de uitgangswaarden. De auteurs concluderen dat obesitas een chronische ziekte is en dat de behandeling waarschijnlijk blijvend nodig is.</w:t>
      </w:r>
    </w:p>
    <w:p>
      <w:pPr>
        <w:pStyle w:val="BodyText"/>
      </w:pPr>
      <w:r>
        <w:rPr>
          <w:bCs/>
          <w:b/>
        </w:rPr>
        <w:t xml:space="preserve">Hogere dosis:</w:t>
      </w:r>
      <w:r>
        <w:t xml:space="preserve"> </w:t>
      </w:r>
      <w:r>
        <w:t xml:space="preserve">in STEP UP</w:t>
      </w:r>
      <w:r>
        <w:rPr>
          <w:rStyle w:val="FootnoteReference"/>
        </w:rPr>
        <w:footnoteReference w:id="426"/>
      </w:r>
      <w:r>
        <w:t xml:space="preserve"> </w:t>
      </w:r>
      <w:r>
        <w:t xml:space="preserve">leidde de drievoudige dosis van 7,2 mg tot 18,7% gewichtsverlies. Maag-darmklachten kwamen vaker voor (70,8% vs. 61,2% onder 2,4 mg), en 22,9% meldde abnormale gewaarwordingen van de huid (dysesthesie), tegenover 6,0% onder 2,4 mg.</w:t>
      </w:r>
    </w:p>
    <w:bookmarkEnd w:id="427"/>
    <w:bookmarkStart w:id="429" w:name="obesitas-met-de-tablet-oasis"/>
    <w:p>
      <w:pPr>
        <w:pStyle w:val="Heading4"/>
      </w:pPr>
      <w:r>
        <w:t xml:space="preserve">Obesitas met de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personen met obesitas zonder diabetes; 50 mg per dag vs. placebo</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personen; 25 mg per dag vs. placebo</w:t>
            </w:r>
          </w:p>
        </w:tc>
        <w:tc>
          <w:tcPr/>
          <w:p>
            <w:pPr>
              <w:pStyle w:val="Compact"/>
              <w:jc w:val="left"/>
            </w:pPr>
            <w:r>
              <w:t xml:space="preserve">64 weken</w:t>
            </w:r>
          </w:p>
        </w:tc>
        <w:tc>
          <w:tcPr/>
          <w:p>
            <w:pPr>
              <w:pStyle w:val="Compact"/>
              <w:jc w:val="left"/>
            </w:pPr>
            <w:r>
              <w:t xml:space="preserve">−13,6% vs. −2,2%</w:t>
            </w:r>
          </w:p>
        </w:tc>
      </w:tr>
    </w:tbl>
    <w:p>
      <w:pPr>
        <w:pStyle w:val="BodyText"/>
      </w:pPr>
      <w:r>
        <w:t xml:space="preserve">De tabletten bereikten in deze studies vergelijkbare waarden als de injectie in STEP 1</w:t>
      </w:r>
      <w:r>
        <w:rPr>
          <w:rStyle w:val="FootnoteReference"/>
        </w:rPr>
        <w:footnoteReference w:id="428"/>
      </w:r>
      <w:r>
        <w:t xml:space="preserve">. Maag-darmklachten traden op bij 74% tot 80%. De tablet van 25 mg uit OASIS 4 is de basis van de in de VS geregistreerde Wegovy-tablet. Een directe vergelijking met de injectie in een grote studie ontbreekt tot nu toe.</w:t>
      </w:r>
    </w:p>
    <w:bookmarkEnd w:id="429"/>
    <w:bookmarkStart w:id="432" w:name="kinderen-en-jongeren-2"/>
    <w:p>
      <w:pPr>
        <w:pStyle w:val="Heading4"/>
      </w:pPr>
      <w:r>
        <w:t xml:space="preserve">Kinderen en jongeren</w:t>
      </w:r>
    </w:p>
    <w:p>
      <w:pPr>
        <w:pStyle w:val="FirstParagraph"/>
      </w:pPr>
      <w:r>
        <w:t xml:space="preserve">In</w:t>
      </w:r>
      <w:r>
        <w:t xml:space="preserve"> </w:t>
      </w:r>
      <w:r>
        <w:rPr>
          <w:bCs/>
          <w:b/>
        </w:rPr>
        <w:t xml:space="preserve">STEP TEENS</w:t>
      </w:r>
      <w:r>
        <w:t xml:space="preserve"> </w:t>
      </w:r>
      <w:r>
        <w:t xml:space="preserve">met 201 jongeren met obesitas daalde de body-mass-index (BMI) na 68 weken met 16,1%, met placebo steeg hij met 0,6%</w:t>
      </w:r>
      <w:r>
        <w:rPr>
          <w:rStyle w:val="FootnoteReference"/>
        </w:rPr>
        <w:footnoteReference w:id="430"/>
      </w:r>
      <w:r>
        <w:t xml:space="preserve">. 73% verloor ten minste 5% van het gewicht, tegenover 18% met placebo. Vijf jongeren (4%) met semaglutide kregen galstenen, niemand met placebo. Een studie met kinderen vanaf 6 jaar loopt</w:t>
      </w:r>
      <w:r>
        <w:rPr>
          <w:rStyle w:val="FootnoteReference"/>
        </w:rPr>
        <w:footnoteReference w:id="431"/>
      </w:r>
      <w:r>
        <w:t xml:space="preserve">.</w:t>
      </w:r>
    </w:p>
    <w:bookmarkEnd w:id="432"/>
    <w:bookmarkStart w:id="434" w:name="X8289594122d1aa2830fb644c582ed9cbfed7328"/>
    <w:p>
      <w:pPr>
        <w:pStyle w:val="Heading4"/>
      </w:pPr>
      <w:r>
        <w:t xml:space="preserve">SELECT: hartbescherming ook zonder diabetes</w:t>
      </w:r>
    </w:p>
    <w:p>
      <w:pPr>
        <w:pStyle w:val="FirstParagraph"/>
      </w:pPr>
      <w:r>
        <w:t xml:space="preserve">SELECT was een mijlpaal, omdat ze voor het eerst liet zien dat een geneesmiddel voor gewichtsvermindering hartinfarcten, beroertes en cardiovasculaire sterfgevallen bij mensen zonder diabetes vermindert.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SELECT (Lincoff 2023), PMID 37952131</w:t>
            </w:r>
          </w:p>
        </w:tc>
        <w:tc>
          <w:tcPr/>
          <w:p>
            <w:pPr>
              <w:pStyle w:val="Compact"/>
              <w:jc w:val="left"/>
            </w:pPr>
            <w:r>
              <w:t xml:space="preserve">17.604 personen met overgewicht of obesitas en hart- en vaatziekte, zonder diabetes; 2,4 mg vs. placebo</w:t>
            </w:r>
          </w:p>
        </w:tc>
        <w:tc>
          <w:tcPr/>
          <w:p>
            <w:pPr>
              <w:pStyle w:val="Compact"/>
              <w:jc w:val="left"/>
            </w:pPr>
            <w:r>
              <w:t xml:space="preserve">gemiddelde follow-up 39,8 maanden</w:t>
            </w:r>
          </w:p>
        </w:tc>
        <w:tc>
          <w:tcPr/>
          <w:p>
            <w:pPr>
              <w:pStyle w:val="Compact"/>
              <w:jc w:val="left"/>
            </w:pPr>
            <w:r>
              <w:t xml:space="preserve">ernstige cardiovasculaire gebeurtenissen 6,5% vs. 8,0%; HR 0,80 (0,72–0,90)</w:t>
            </w:r>
          </w:p>
        </w:tc>
      </w:tr>
    </w:tbl>
    <w:p>
      <w:pPr>
        <w:pStyle w:val="BodyText"/>
      </w:pPr>
      <w:r>
        <w:t xml:space="preserve">De relatieve risicoverlaging bedroeg 20%</w:t>
      </w:r>
      <w:r>
        <w:rPr>
          <w:rStyle w:val="FootnoteReference"/>
        </w:rPr>
        <w:footnoteReference w:id="433"/>
      </w:r>
      <w:r>
        <w:t xml:space="preserve">. In absolute getallen hadden over ruim drie jaar ongeveer 1,5 op de honderd behandelden zo’n gebeurtenis minder. Opvallend was het hoge uitvalpercentage: 16,6% stopte definitief met de behandeling vanwege bijwerkingen, tegenover 8,2% met placebo. Of het nut uitsluitend berust op het gewichtsverlies of ook op directe effecten op bloedvaten en ontsteking, is niet definitief opgehelderd.</w:t>
      </w:r>
    </w:p>
    <w:bookmarkEnd w:id="434"/>
    <w:bookmarkStart w:id="436" w:name="flow-bescherming-van-de-nieren"/>
    <w:p>
      <w:pPr>
        <w:pStyle w:val="Heading4"/>
      </w:pPr>
      <w:r>
        <w:t xml:space="preserve">FLOW: bescherming van de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FLOW (Perkovic 2024), PMID 38785209</w:t>
            </w:r>
          </w:p>
        </w:tc>
        <w:tc>
          <w:tcPr/>
          <w:p>
            <w:pPr>
              <w:pStyle w:val="Compact"/>
              <w:jc w:val="left"/>
            </w:pPr>
            <w:r>
              <w:t xml:space="preserve">3.533 personen met diabetes type 2 en chronische nierziekte; 1,0 mg vs. placebo</w:t>
            </w:r>
          </w:p>
        </w:tc>
        <w:tc>
          <w:tcPr/>
          <w:p>
            <w:pPr>
              <w:pStyle w:val="Compact"/>
              <w:jc w:val="left"/>
            </w:pPr>
            <w:r>
              <w:t xml:space="preserve">mediaan 3,4 jaar (voortijdig beëindigd wegens werkzaamheid)</w:t>
            </w:r>
          </w:p>
        </w:tc>
        <w:tc>
          <w:tcPr/>
          <w:p>
            <w:pPr>
              <w:pStyle w:val="Compact"/>
              <w:jc w:val="left"/>
            </w:pPr>
            <w:r>
              <w:t xml:space="preserve">niereindpunt 331 vs. 410 gebeurtenissen; HR 0,76; totale sterfte HR 0,80</w:t>
            </w:r>
          </w:p>
        </w:tc>
      </w:tr>
    </w:tbl>
    <w:p>
      <w:pPr>
        <w:pStyle w:val="BodyText"/>
      </w:pPr>
      <w:r>
        <w:t xml:space="preserve">FLOW</w:t>
      </w:r>
      <w:r>
        <w:rPr>
          <w:rStyle w:val="FootnoteReference"/>
        </w:rPr>
        <w:footnoteReference w:id="435"/>
      </w:r>
      <w:r>
        <w:t xml:space="preserve"> </w:t>
      </w:r>
      <w:r>
        <w:t xml:space="preserve">was de eerste grote studie met een GLP-1-receptoragonist waarin een hard niereindpunt – nierfalen, sterk functieverlies of overlijden door een nier- of cardiovasculaire oorzaak – het hoofddoel was. Ze werd na een tussentijdse analyse wegens duidelijke werkzaamheid voortijdig beëindigd. Het jaarlijkse verlies aan nierfunctie (eGFR) was onder semaglutide 1,16 ml/min per 1,73 m² kleiner. Ook cardiovasculaire gebeurtenissen (HR 0,82) en de totale sterfte (HR 0,80) waren verminderd.</w:t>
      </w:r>
    </w:p>
    <w:bookmarkEnd w:id="436"/>
    <w:bookmarkStart w:id="442" w:name="Xe9b53208c4bb15950048a04ccd4fe56619a1a19"/>
    <w:p>
      <w:pPr>
        <w:pStyle w:val="Heading4"/>
      </w:pPr>
      <w:r>
        <w:t xml:space="preserve">Andere organen: lever, hartfalen, bloedvaten, gewrichten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ESSENCE (Sanyal 2025), PMID 40305708</w:t>
            </w:r>
          </w:p>
        </w:tc>
        <w:tc>
          <w:tcPr/>
          <w:p>
            <w:pPr>
              <w:pStyle w:val="Compact"/>
              <w:jc w:val="left"/>
            </w:pPr>
            <w:r>
              <w:t xml:space="preserve">1.197 personen met leverontsteking door vervetting (MASH) en fibrose stadium 2–3; tussentijdse analyse van de eerste 800</w:t>
            </w:r>
          </w:p>
        </w:tc>
        <w:tc>
          <w:tcPr/>
          <w:p>
            <w:pPr>
              <w:pStyle w:val="Compact"/>
              <w:jc w:val="left"/>
            </w:pPr>
            <w:r>
              <w:t xml:space="preserve">72 weken (eerste deel)</w:t>
            </w:r>
          </w:p>
        </w:tc>
        <w:tc>
          <w:tcPr/>
          <w:p>
            <w:pPr>
              <w:pStyle w:val="Compact"/>
              <w:jc w:val="left"/>
            </w:pPr>
            <w:r>
              <w:t xml:space="preserve">verdwijnen van de ontsteking 62,9% vs. 34,3%; minder fibrose 36,8% vs. 22,4%</w:t>
            </w:r>
          </w:p>
        </w:tc>
      </w:tr>
      <w:tr>
        <w:tc>
          <w:tcPr/>
          <w:p>
            <w:pPr>
              <w:pStyle w:val="Compact"/>
              <w:jc w:val="left"/>
            </w:pPr>
            <w:r>
              <w:t xml:space="preserve">STEP-HFpEF (Kosiborod 2023), PMID 37622681</w:t>
            </w:r>
          </w:p>
        </w:tc>
        <w:tc>
          <w:tcPr/>
          <w:p>
            <w:pPr>
              <w:pStyle w:val="Compact"/>
              <w:jc w:val="left"/>
            </w:pPr>
            <w:r>
              <w:t xml:space="preserve">529 personen met hartfalen met behouden pompfunctie en obesitas; 2,4 mg vs. placebo</w:t>
            </w:r>
          </w:p>
        </w:tc>
        <w:tc>
          <w:tcPr/>
          <w:p>
            <w:pPr>
              <w:pStyle w:val="Compact"/>
              <w:jc w:val="left"/>
            </w:pPr>
            <w:r>
              <w:t xml:space="preserve">52 weken</w:t>
            </w:r>
          </w:p>
        </w:tc>
        <w:tc>
          <w:tcPr/>
          <w:p>
            <w:pPr>
              <w:pStyle w:val="Compact"/>
              <w:jc w:val="left"/>
            </w:pPr>
            <w:r>
              <w:t xml:space="preserve">symptoomscore +16,6 vs. +8,7 punten; loopafstand +21,5 vs. +1,2 m</w:t>
            </w:r>
          </w:p>
        </w:tc>
      </w:tr>
      <w:tr>
        <w:tc>
          <w:tcPr/>
          <w:p>
            <w:pPr>
              <w:pStyle w:val="Compact"/>
              <w:jc w:val="left"/>
            </w:pPr>
            <w:r>
              <w:t xml:space="preserve">STRIDE (Bonaca 2025), PMID 40169145</w:t>
            </w:r>
          </w:p>
        </w:tc>
        <w:tc>
          <w:tcPr/>
          <w:p>
            <w:pPr>
              <w:pStyle w:val="Compact"/>
              <w:jc w:val="left"/>
            </w:pPr>
            <w:r>
              <w:t xml:space="preserve">792 personen met etalagebenen en diabetes type 2; 1,0 mg vs. placebo</w:t>
            </w:r>
          </w:p>
        </w:tc>
        <w:tc>
          <w:tcPr/>
          <w:p>
            <w:pPr>
              <w:pStyle w:val="Compact"/>
              <w:jc w:val="left"/>
            </w:pPr>
            <w:r>
              <w:t xml:space="preserve">52 weken</w:t>
            </w:r>
          </w:p>
        </w:tc>
        <w:tc>
          <w:tcPr/>
          <w:p>
            <w:pPr>
              <w:pStyle w:val="Compact"/>
              <w:jc w:val="left"/>
            </w:pPr>
            <w:r>
              <w:t xml:space="preserve">maximale loopafstand 13% sterker verbeterd</w:t>
            </w:r>
          </w:p>
        </w:tc>
      </w:tr>
      <w:tr>
        <w:tc>
          <w:tcPr/>
          <w:p>
            <w:pPr>
              <w:pStyle w:val="Compact"/>
              <w:jc w:val="left"/>
            </w:pPr>
            <w:r>
              <w:t xml:space="preserve">STEP 9 (Bliddal 2024), PMID 39476339</w:t>
            </w:r>
          </w:p>
        </w:tc>
        <w:tc>
          <w:tcPr/>
          <w:p>
            <w:pPr>
              <w:pStyle w:val="Compact"/>
              <w:jc w:val="left"/>
            </w:pPr>
            <w:r>
              <w:t xml:space="preserve">407 personen met obesitas en knieartrose</w:t>
            </w:r>
          </w:p>
        </w:tc>
        <w:tc>
          <w:tcPr/>
          <w:p>
            <w:pPr>
              <w:pStyle w:val="Compact"/>
              <w:jc w:val="left"/>
            </w:pPr>
            <w:r>
              <w:t xml:space="preserve">68 weken</w:t>
            </w:r>
          </w:p>
        </w:tc>
        <w:tc>
          <w:tcPr/>
          <w:p>
            <w:pPr>
              <w:pStyle w:val="Compact"/>
              <w:jc w:val="left"/>
            </w:pPr>
            <w:r>
              <w:t xml:space="preserve">pijnscore −41,7 vs. −27,5 punten; gewicht −13,7% vs. −3,2%</w:t>
            </w:r>
          </w:p>
        </w:tc>
      </w:tr>
    </w:tbl>
    <w:p>
      <w:pPr>
        <w:pStyle w:val="BodyText"/>
      </w:pPr>
      <w:r>
        <w:rPr>
          <w:bCs/>
          <w:b/>
        </w:rPr>
        <w:t xml:space="preserve">Lever:</w:t>
      </w:r>
      <w:r>
        <w:t xml:space="preserve"> </w:t>
      </w:r>
      <w:r>
        <w:t xml:space="preserve">in ESSENCE</w:t>
      </w:r>
      <w:r>
        <w:rPr>
          <w:rStyle w:val="FootnoteReference"/>
        </w:rPr>
        <w:footnoteReference w:id="437"/>
      </w:r>
      <w:r>
        <w:t xml:space="preserve"> </w:t>
      </w:r>
      <w:r>
        <w:t xml:space="preserve">verdween de leverontsteking door vervetting in het weefselmonster bij bijna twee derde van de behandelden, zonder dat de littekenvorming toenam. Een vermindering van de fibrose – het klinisch belangrijkere doel – bereikte 36,8% tegenover 22,4%. Het tweede deel van de studie met harde levereindpunten zoals cirrose loopt tot 2029</w:t>
      </w:r>
      <w:r>
        <w:rPr>
          <w:rStyle w:val="FootnoteReference"/>
        </w:rPr>
        <w:footnoteReference w:id="438"/>
      </w:r>
      <w:r>
        <w:t xml:space="preserve">.</w:t>
      </w:r>
    </w:p>
    <w:p>
      <w:pPr>
        <w:pStyle w:val="BodyText"/>
      </w:pPr>
      <w:r>
        <w:rPr>
          <w:bCs/>
          <w:b/>
        </w:rPr>
        <w:t xml:space="preserve">Hartfalen:</w:t>
      </w:r>
      <w:r>
        <w:t xml:space="preserve"> </w:t>
      </w:r>
      <w:r>
        <w:t xml:space="preserve">bij hartfalen met behouden pompfunctie en obesitas verbeterden klachten en belastbaarheid duidelijk</w:t>
      </w:r>
      <w:r>
        <w:rPr>
          <w:rStyle w:val="FootnoteReference"/>
        </w:rPr>
        <w:footnoteReference w:id="439"/>
      </w:r>
      <w:r>
        <w:t xml:space="preserve">. Ernstige ongewenste voorvallen waren onder semaglutide zeldzamer (13,3% vs. 26,7%). Of semaglutide ook ziekenhuisopnames of sterfgevallen door hartfalen vermindert, was niet het hoofddoel van deze studie.</w:t>
      </w:r>
    </w:p>
    <w:p>
      <w:pPr>
        <w:pStyle w:val="BodyText"/>
      </w:pPr>
      <w:r>
        <w:rPr>
          <w:bCs/>
          <w:b/>
        </w:rPr>
        <w:t xml:space="preserve">Etalagebenen:</w:t>
      </w:r>
      <w:r>
        <w:t xml:space="preserve"> </w:t>
      </w:r>
      <w:r>
        <w:t xml:space="preserve">bij perifeer arterieel vaatlijden verlengde semaglutide de maximale loopafstand</w:t>
      </w:r>
      <w:r>
        <w:rPr>
          <w:rStyle w:val="FootnoteReference"/>
        </w:rPr>
        <w:footnoteReference w:id="440"/>
      </w:r>
      <w:r>
        <w:t xml:space="preserve">.</w:t>
      </w:r>
    </w:p>
    <w:p>
      <w:pPr>
        <w:pStyle w:val="BodyText"/>
      </w:pPr>
      <w:r>
        <w:rPr>
          <w:bCs/>
          <w:b/>
        </w:rPr>
        <w:t xml:space="preserve">Knieartrose:</w:t>
      </w:r>
      <w:r>
        <w:t xml:space="preserve"> </w:t>
      </w:r>
      <w:r>
        <w:t xml:space="preserve">in STEP 9</w:t>
      </w:r>
      <w:r>
        <w:rPr>
          <w:rStyle w:val="FootnoteReference"/>
        </w:rPr>
        <w:footnoteReference w:id="441"/>
      </w:r>
      <w:r>
        <w:t xml:space="preserve"> </w:t>
      </w:r>
      <w:r>
        <w:t xml:space="preserve">nam de kniepijn sterker af dan onder placebo. Of dat uitsluitend aan het gewichtsverlies ligt, laat de studie open.</w:t>
      </w:r>
    </w:p>
    <w:bookmarkEnd w:id="442"/>
    <w:bookmarkStart w:id="447" w:name="hersenen-en-verslaving"/>
    <w:p>
      <w:pPr>
        <w:pStyle w:val="Heading4"/>
      </w:pPr>
      <w:r>
        <w:t xml:space="preserve">Hersenen en verslaving</w:t>
      </w:r>
    </w:p>
    <w:p>
      <w:pPr>
        <w:pStyle w:val="FirstParagraph"/>
      </w:pPr>
      <w:r>
        <w:rPr>
          <w:bCs/>
          <w:b/>
        </w:rPr>
        <w:t xml:space="preserve">Ziekte van Alzheimer:</w:t>
      </w:r>
      <w:r>
        <w:t xml:space="preserve"> </w:t>
      </w:r>
      <w:r>
        <w:t xml:space="preserve">de hoop dat GLP-1-receptoragonisten de cognitieve achteruitgang zouden kunnen remmen, steunde op dierproeven en observationele gegevens. Novo Nordisk toetste dat in twee grote fase 3-studies, evoke en evoke+, met samen 3.808 personen met vroege ziekte van Alzheimer, die gedurende 104 weken dagelijks semaglutidetabletten of placebo kregen</w:t>
      </w:r>
      <w:r>
        <w:rPr>
          <w:rStyle w:val="FootnoteReference"/>
        </w:rPr>
        <w:footnoteReference w:id="443"/>
      </w:r>
      <w:r>
        <w:t xml:space="preserve">. Het resultaat was eenduidig negatief: de ziekte schreed in beide groepen even snel voort (verschil op de dementieschaal CDR-SB −0,08 respectievelijk +0,10 punten, niet significant). Daarmee is semaglutide als alzheimergeneesmiddel naar de huidige stand van zaken mislukt; een commentaar in hetzelfde tijdschrift bespreekt de gevolgen voor het onderzoeksveld</w:t>
      </w:r>
      <w:r>
        <w:rPr>
          <w:rStyle w:val="FootnoteReference"/>
        </w:rPr>
        <w:footnoteReference w:id="444"/>
      </w:r>
      <w:r>
        <w:t xml:space="preserve">.</w:t>
      </w:r>
    </w:p>
    <w:p>
      <w:pPr>
        <w:pStyle w:val="BodyText"/>
      </w:pPr>
      <w:r>
        <w:rPr>
          <w:bCs/>
          <w:b/>
        </w:rPr>
        <w:t xml:space="preserve">Alcohol:</w:t>
      </w:r>
      <w:r>
        <w:t xml:space="preserve"> </w:t>
      </w:r>
      <w:r>
        <w:t xml:space="preserve">in een kleine gerandomiseerde studie met 48 personen met een alcoholgebruiksstoornis verminderde laag gedoseerd semaglutide de gedronken hoeveelheid alcohol in een laboratoriumtest, het verlangen naar alcohol en het aantal drankjes op drinkdagen; het aantal drinkdagen veranderde niet</w:t>
      </w:r>
      <w:r>
        <w:rPr>
          <w:rStyle w:val="FootnoteReference"/>
        </w:rPr>
        <w:footnoteReference w:id="445"/>
      </w:r>
      <w:r>
        <w:t xml:space="preserve">. In een Zweedse registerstudie ging semaglutide gepaard met een 36% lager risico op alcoholgerelateerde ziekenhuisopnames</w:t>
      </w:r>
      <w:r>
        <w:rPr>
          <w:rStyle w:val="FootnoteReference"/>
        </w:rPr>
        <w:footnoteReference w:id="446"/>
      </w:r>
      <w:r>
        <w:t xml:space="preserve">. Grotere gerandomiseerde studies lopen.</w:t>
      </w:r>
    </w:p>
    <w:bookmarkEnd w:id="447"/>
    <w:bookmarkEnd w:id="448"/>
    <w:bookmarkStart w:id="452" w:name="dier--en-laboratoriumstudies-3"/>
    <w:p>
      <w:pPr>
        <w:pStyle w:val="Heading3"/>
      </w:pPr>
      <w:r>
        <w:t xml:space="preserve">Dier- en laboratoriumstudies</w:t>
      </w:r>
    </w:p>
    <w:p>
      <w:pPr>
        <w:pStyle w:val="FirstParagraph"/>
      </w:pPr>
      <w:r>
        <w:t xml:space="preserve">Semaglutide werd gericht op de tekentafel ontworpen: uit talrijke varianten kozen de ontwikkelaars die met de beste combinatie van albuminebinding, receptorwerking en stabiliteit</w:t>
      </w:r>
      <w:r>
        <w:rPr>
          <w:rStyle w:val="FootnoteReference"/>
        </w:rPr>
        <w:footnoteReference w:id="449"/>
      </w:r>
      <w:r>
        <w:t xml:space="preserve">. De halfwaardetijd werd eerst bij minivarkens bepaald. De opname van de tablet via het maagslijmvlies werd bij honden en bij de mens onderzocht</w:t>
      </w:r>
      <w:r>
        <w:rPr>
          <w:rStyle w:val="FootnoteReference"/>
        </w:rPr>
        <w:footnoteReference w:id="450"/>
      </w:r>
      <w:r>
        <w:t xml:space="preserve">.</w:t>
      </w:r>
    </w:p>
    <w:p>
      <w:pPr>
        <w:pStyle w:val="BodyText"/>
      </w:pPr>
      <w:r>
        <w:t xml:space="preserve">Net als bij liraglutide leidden langetermijnproeven bij knaagdieren tot C-celtumoren van de schildklier; de vertaalbaarheid naar de mens wordt vanwege de geringe receptordichtheid in menselijke C-cellen als twijfelachtig beschouwd</w:t>
      </w:r>
      <w:r>
        <w:rPr>
          <w:rStyle w:val="FootnoteReference"/>
        </w:rPr>
        <w:footnoteReference w:id="451"/>
      </w:r>
      <w:r>
        <w:t xml:space="preserve">. Dierproeven naar zenuwbescherming, verslaving en ontsteking vormden de basis voor de hierboven beschreven studies bij mensen – met wisselend resultaat, zoals het mislukken van evoke laat zien.</w:t>
      </w:r>
    </w:p>
    <w:bookmarkEnd w:id="452"/>
    <w:bookmarkStart w:id="464" w:name="risicos-en-bijwerkingen-3"/>
    <w:p>
      <w:pPr>
        <w:pStyle w:val="Heading3"/>
      </w:pPr>
      <w:r>
        <w:t xml:space="preserve">Risico’s en bijwerkingen</w:t>
      </w:r>
    </w:p>
    <w:p>
      <w:pPr>
        <w:pStyle w:val="FirstParagraph"/>
      </w:pPr>
      <w:r>
        <w:rPr>
          <w:bCs/>
          <w:b/>
        </w:rPr>
        <w:t xml:space="preserve">Aangetoond in gerandomiseerde studies:</w:t>
      </w:r>
    </w:p>
    <w:p>
      <w:pPr>
        <w:numPr>
          <w:ilvl w:val="0"/>
          <w:numId w:val="1055"/>
        </w:numPr>
        <w:pStyle w:val="Compact"/>
      </w:pPr>
      <w:r>
        <w:rPr>
          <w:bCs/>
          <w:b/>
        </w:rPr>
        <w:t xml:space="preserve">Maag-darmklachten:</w:t>
      </w:r>
      <w:r>
        <w:t xml:space="preserve"> </w:t>
      </w:r>
      <w:r>
        <w:t xml:space="preserve">misselijkheid, diarree, braken en obstipatie treffen in de obesitasstudies de meerderheid van de behandelden, meestal licht tot matig en tijdelijk, vooral tijdens de dosisverhoging</w:t>
      </w:r>
      <w:r>
        <w:rPr>
          <w:rStyle w:val="FootnoteReference"/>
        </w:rPr>
        <w:footnoteReference w:id="453"/>
      </w:r>
      <w:r>
        <w:t xml:space="preserve">. Ze zijn de meest voorkomende reden om met de therapie te stoppen.</w:t>
      </w:r>
    </w:p>
    <w:p>
      <w:pPr>
        <w:numPr>
          <w:ilvl w:val="0"/>
          <w:numId w:val="1055"/>
        </w:numPr>
        <w:pStyle w:val="Compact"/>
      </w:pPr>
      <w:r>
        <w:rPr>
          <w:bCs/>
          <w:b/>
        </w:rPr>
        <w:t xml:space="preserve">Galstenen en galblaasontsteking:</w:t>
      </w:r>
      <w:r>
        <w:t xml:space="preserve"> </w:t>
      </w:r>
      <w:r>
        <w:t xml:space="preserve">in de klasse als geheel verhoogd, vooral bij hoge doses en bij gebruik voor gewichtsvermindering</w:t>
      </w:r>
      <w:r>
        <w:rPr>
          <w:rStyle w:val="FootnoteReference"/>
        </w:rPr>
        <w:footnoteReference w:id="454"/>
      </w:r>
      <w:r>
        <w:t xml:space="preserve">; in STEP TEENS bij 4% van de jongeren</w:t>
      </w:r>
      <w:r>
        <w:rPr>
          <w:rStyle w:val="FootnoteReference"/>
        </w:rPr>
        <w:footnoteReference w:id="455"/>
      </w:r>
      <w:r>
        <w:t xml:space="preserve">.</w:t>
      </w:r>
    </w:p>
    <w:p>
      <w:pPr>
        <w:numPr>
          <w:ilvl w:val="0"/>
          <w:numId w:val="1055"/>
        </w:numPr>
        <w:pStyle w:val="Compact"/>
      </w:pPr>
      <w:r>
        <w:rPr>
          <w:bCs/>
          <w:b/>
        </w:rPr>
        <w:t xml:space="preserve">Verslechtering van een diabetische netvliesaandoening:</w:t>
      </w:r>
      <w:r>
        <w:t xml:space="preserve"> </w:t>
      </w:r>
      <w:r>
        <w:t xml:space="preserve">in SUSTAIN 6 vaker (HR 1,76)</w:t>
      </w:r>
      <w:r>
        <w:rPr>
          <w:rStyle w:val="FootnoteReference"/>
        </w:rPr>
        <w:footnoteReference w:id="456"/>
      </w:r>
      <w:r>
        <w:t xml:space="preserve">. Vermoed wordt dat een zeer snelle bloedsuikerdaling bij reeds bestaande retinopathie tijdelijk schaadt – een effect dat ook van insuline bekend is. Een eigen studie met 1.500 deelnemers naar deze vraag loopt</w:t>
      </w:r>
      <w:r>
        <w:rPr>
          <w:rStyle w:val="FootnoteReference"/>
        </w:rPr>
        <w:footnoteReference w:id="457"/>
      </w:r>
      <w:r>
        <w:t xml:space="preserve">. Mensen met retinopathie moeten door een oogarts worden begeleid.</w:t>
      </w:r>
    </w:p>
    <w:p>
      <w:pPr>
        <w:numPr>
          <w:ilvl w:val="0"/>
          <w:numId w:val="1055"/>
        </w:numPr>
        <w:pStyle w:val="Compact"/>
      </w:pPr>
      <w:r>
        <w:rPr>
          <w:bCs/>
          <w:b/>
        </w:rPr>
        <w:t xml:space="preserve">Verlies van spiermassa:</w:t>
      </w:r>
      <w:r>
        <w:t xml:space="preserve"> </w:t>
      </w:r>
      <w:r>
        <w:t xml:space="preserve">bij elk sterk gewichtsverlies gaat ook vetvrije massa verloren. Hoe belangrijk dat onder semaglutide is, vooral bij ouderen, wordt nog onderzocht; deel IV gaat daarop in.</w:t>
      </w:r>
    </w:p>
    <w:p>
      <w:pPr>
        <w:pStyle w:val="FirstParagraph"/>
      </w:pPr>
      <w:r>
        <w:rPr>
          <w:bCs/>
          <w:b/>
        </w:rPr>
        <w:t xml:space="preserve">Observationele gegevens en signalen:</w:t>
      </w:r>
    </w:p>
    <w:p>
      <w:pPr>
        <w:numPr>
          <w:ilvl w:val="0"/>
          <w:numId w:val="1056"/>
        </w:numPr>
        <w:pStyle w:val="Compact"/>
      </w:pPr>
      <w:r>
        <w:rPr>
          <w:bCs/>
          <w:b/>
        </w:rPr>
        <w:t xml:space="preserve">NAION (doorbloedingsstoornis van de oogzenuw):</w:t>
      </w:r>
      <w:r>
        <w:t xml:space="preserve"> </w:t>
      </w:r>
      <w:r>
        <w:t xml:space="preserve">in 2024 rapporteerde een Amerikaanse studie uit een oogkliniek een duidelijk verhoogd risico op een niet-arteritische anterieure ischemische opticusneuropathie, een plotseling, meestal pijnloos verlies van gezichtsvermogen in één oog</w:t>
      </w:r>
      <w:r>
        <w:rPr>
          <w:rStyle w:val="FootnoteReference"/>
        </w:rPr>
        <w:footnoteReference w:id="458"/>
      </w:r>
      <w:r>
        <w:t xml:space="preserve">. In deze studie lag de hazard ratio op 4,28 (diabetes) respectievelijk 7,64 (obesitas), maar bij zeer kleine aantallen gevallen. Een Deens-Noorse registerstudie met meer dan 60.000 mensen met diabetes type 2 bevestigde een verhoogd relatief risico (HR 2,81), bij een laag absoluut risico: ongeveer 1,4 extra gevallen per 10.000 persoonsjaren</w:t>
      </w:r>
      <w:r>
        <w:rPr>
          <w:rStyle w:val="FootnoteReference"/>
        </w:rPr>
        <w:footnoteReference w:id="459"/>
      </w:r>
      <w:r>
        <w:t xml:space="preserve">. Een meta-analyse uit 2026 vond het signaal alleen in observationele studies bij diabetes (HR 1,85), niet in gerandomiseerde studies en niet bij obesitas</w:t>
      </w:r>
      <w:r>
        <w:rPr>
          <w:rStyle w:val="FootnoteReference"/>
        </w:rPr>
        <w:footnoteReference w:id="460"/>
      </w:r>
      <w:r>
        <w:t xml:space="preserve">. Het Europees Geneesmiddelenbureau heeft NAION in 2025 als zeer zeldzame bijwerking in de productinformatie opgenomen. Wie onder semaglutide plotseling slechter ziet, moet onmiddellijk medische hulp zoeken.</w:t>
      </w:r>
    </w:p>
    <w:p>
      <w:pPr>
        <w:numPr>
          <w:ilvl w:val="0"/>
          <w:numId w:val="1056"/>
        </w:numPr>
        <w:pStyle w:val="Compact"/>
      </w:pPr>
      <w:r>
        <w:rPr>
          <w:bCs/>
          <w:b/>
        </w:rPr>
        <w:t xml:space="preserve">Alvleesklierontsteking en darmobstructie:</w:t>
      </w:r>
      <w:r>
        <w:t xml:space="preserve"> </w:t>
      </w:r>
      <w:r>
        <w:t xml:space="preserve">een analyse van verzekeringsgegevens vond bij GLP-1-receptoragonisten voor gewichtsverlies een verhoogd risico op alvleesklierontsteking, darmobstructie en maagverlamming</w:t>
      </w:r>
      <w:r>
        <w:rPr>
          <w:rStyle w:val="FootnoteReference"/>
        </w:rPr>
        <w:footnoteReference w:id="461"/>
      </w:r>
      <w:r>
        <w:t xml:space="preserve">. In de grote gerandomiseerde studies was pancreatitis zeldzaam. De productinformatie noemt haar als mogelijke bijwerking.</w:t>
      </w:r>
    </w:p>
    <w:p>
      <w:pPr>
        <w:numPr>
          <w:ilvl w:val="0"/>
          <w:numId w:val="1056"/>
        </w:numPr>
        <w:pStyle w:val="Compact"/>
      </w:pPr>
      <w:r>
        <w:rPr>
          <w:bCs/>
          <w:b/>
        </w:rPr>
        <w:t xml:space="preserve">Schildklierkanker:</w:t>
      </w:r>
      <w:r>
        <w:t xml:space="preserve"> </w:t>
      </w:r>
      <w:r>
        <w:t xml:space="preserve">signaal in observationele studies en meta-analyses voor de klasse</w:t>
      </w:r>
      <w:r>
        <w:rPr>
          <w:rStyle w:val="FootnoteReference"/>
        </w:rPr>
        <w:footnoteReference w:id="462"/>
      </w:r>
      <w:r>
        <w:t xml:space="preserve">; zie hoofdstuk Liraglutide.</w:t>
      </w:r>
    </w:p>
    <w:p>
      <w:pPr>
        <w:numPr>
          <w:ilvl w:val="0"/>
          <w:numId w:val="1056"/>
        </w:numPr>
        <w:pStyle w:val="Compact"/>
      </w:pPr>
      <w:r>
        <w:rPr>
          <w:bCs/>
          <w:b/>
        </w:rPr>
        <w:t xml:space="preserve">Psychische bijwerkingen:</w:t>
      </w:r>
      <w:r>
        <w:t xml:space="preserve"> </w:t>
      </w:r>
      <w:r>
        <w:t xml:space="preserve">na meldingen over suïcidale gedachten deden de autoriteiten in 2023/2024 onderzoek en vonden geen bewijs voor een oorzakelijk verband. In een groot Amerikaans cohort met 240.618 mensen met overgewicht ging semaglutide zelfs gepaard met minder nieuw optredende suïcidale gedachten dan andere middelen voor gewichtsvermindering</w:t>
      </w:r>
      <w:r>
        <w:rPr>
          <w:rStyle w:val="FootnoteReference"/>
        </w:rPr>
        <w:footnoteReference w:id="463"/>
      </w:r>
      <w:r>
        <w:t xml:space="preserve">. Observationele gegevens kunnen vertekeningen niet zeker uitsluiten.</w:t>
      </w:r>
    </w:p>
    <w:p>
      <w:pPr>
        <w:pStyle w:val="FirstParagraph"/>
      </w:pPr>
      <w:r>
        <w:rPr>
          <w:bCs/>
          <w:b/>
        </w:rPr>
        <w:t xml:space="preserve">Aanwijzingen voor de praktijk:</w:t>
      </w:r>
      <w:r>
        <w:t xml:space="preserve"> </w:t>
      </w:r>
      <w:r>
        <w:t xml:space="preserve">semaglutide is tijdens de zwangerschap niet geïndiceerd; de productinformatie adviseert tijdig te stoppen vóór een geplande zwangerschap. Door de vertraagde maaglediging kan bij narcoses een verhoogd risico bestaan dat maaginhoud in de longen komt; behandelden moeten dat vóór operaties en gastroscopieën melden. Voor gebruik, dosisverhoging en contra-indicaties zijn de productinformatie en de begeleiding door een arts bepalend.</w:t>
      </w:r>
    </w:p>
    <w:bookmarkEnd w:id="464"/>
    <w:bookmarkStart w:id="468" w:name="grijze-markt-compounding-en-vervalsingen"/>
    <w:p>
      <w:pPr>
        <w:pStyle w:val="Heading3"/>
      </w:pPr>
      <w:r>
        <w:t xml:space="preserve">Grijze markt, compounding en vervalsingen</w:t>
      </w:r>
    </w:p>
    <w:p>
      <w:pPr>
        <w:pStyle w:val="FirstParagraph"/>
      </w:pPr>
      <w:r>
        <w:t xml:space="preserve">Geen ander peptide in dit boek wordt zo vaak buiten de reguliere kanalen verkregen als semaglutide. De vraag overtrof vanaf 2022 jarenlang het aanbod. Er zijn drie problemen te onderscheiden.</w:t>
      </w:r>
    </w:p>
    <w:p>
      <w:pPr>
        <w:pStyle w:val="BodyText"/>
      </w:pPr>
      <w:r>
        <w:rPr>
          <w:bCs/>
          <w:b/>
        </w:rPr>
        <w:t xml:space="preserve">Compounding (VS):</w:t>
      </w:r>
      <w:r>
        <w:t xml:space="preserve"> </w:t>
      </w:r>
      <w:r>
        <w:t xml:space="preserve">tijdens de officiële leveringstekorten mochten Amerikaanse apotheken semaglutide zelf bereiden („compounding”), vaak als poeder of oplossing in flesjes, deels met andere zoutvormen van de werkzame stof. Na het einde van het tekort heeft de FDA deze praktijk sterk ingeperkt. Een casusreeks van een vergiftigingeninformatiecentrum beschreef tienvoudige overdoseringen, doordat patiënten met spuiten en flesjes in plaats van voorgevulde pennen werkten en milliliters, eenheden en milligrammen door elkaar haalden</w:t>
      </w:r>
      <w:r>
        <w:rPr>
          <w:rStyle w:val="FootnoteReference"/>
        </w:rPr>
        <w:footnoteReference w:id="465"/>
      </w:r>
      <w:r>
        <w:t xml:space="preserve">. In een analyse van de Amerikaanse bijwerkingendatabase waren bij bereide producten meldingen over productiefouten, verontreiniging en ziekenhuisopnames onevenredig vaak</w:t>
      </w:r>
      <w:r>
        <w:rPr>
          <w:rStyle w:val="FootnoteReference"/>
        </w:rPr>
        <w:footnoteReference w:id="466"/>
      </w:r>
      <w:r>
        <w:t xml:space="preserve">.</w:t>
      </w:r>
    </w:p>
    <w:p>
      <w:pPr>
        <w:pStyle w:val="BodyText"/>
      </w:pPr>
      <w:r>
        <w:rPr>
          <w:bCs/>
          <w:b/>
        </w:rPr>
        <w:t xml:space="preserve">Illegale webwinkels:</w:t>
      </w:r>
      <w:r>
        <w:t xml:space="preserve"> </w:t>
      </w:r>
      <w:r>
        <w:t xml:space="preserve">in een marktonderzoek leidde 42,3% van de gevonden links naar online apotheken naar illegale aanbieders die semaglutide zonder recept verkochten</w:t>
      </w:r>
      <w:r>
        <w:rPr>
          <w:rStyle w:val="FootnoteReference"/>
        </w:rPr>
        <w:footnoteReference w:id="467"/>
      </w:r>
      <w:r>
        <w:t xml:space="preserve">. Bij proefaankopen kwamen bestelde Ozempic-pennen helemaal niet aan. De geleverde flesjes bevatten weliswaar semaglutide, maar de zuiverheid lag slechts op 7,7% tot 14,37% in plaats van de opgegeven 99%, en in alle monsters werden endotoxinen (bestanddelen van bacteriën die koorts en ontstekingen kunnen veroorzaken) aangetoond.</w:t>
      </w:r>
    </w:p>
    <w:p>
      <w:pPr>
        <w:pStyle w:val="BodyText"/>
      </w:pPr>
      <w:r>
        <w:rPr>
          <w:bCs/>
          <w:b/>
        </w:rPr>
        <w:t xml:space="preserve">Vervalsingen:</w:t>
      </w:r>
      <w:r>
        <w:t xml:space="preserve"> </w:t>
      </w:r>
      <w:r>
        <w:t xml:space="preserve">vervalste Ozempic-pennen zijn in Europa en de VS opgedoken, deels gevuld met insuline of zonder werkzame stof; de geneesmiddelenautoriteiten en de Wereldgezondheidsorganisatie hebben meermaals gewaarschuwd. Algemene informatie over producten van de grijze markt vind je in deel I en deel IV. Veilig is alleen de reguliere weg: voorschrift door een arts en afgifte door de apotheek.</w:t>
      </w:r>
    </w:p>
    <w:bookmarkEnd w:id="468"/>
    <w:bookmarkStart w:id="469" w:name="juridische-status-3"/>
    <w:p>
      <w:pPr>
        <w:pStyle w:val="Heading3"/>
      </w:pPr>
      <w:r>
        <w:t xml:space="preserve">Juridische status</w:t>
      </w:r>
    </w:p>
    <w:p>
      <w:pPr>
        <w:numPr>
          <w:ilvl w:val="0"/>
          <w:numId w:val="1057"/>
        </w:numPr>
        <w:pStyle w:val="Compact"/>
      </w:pPr>
      <w:r>
        <w:rPr>
          <w:bCs/>
          <w:b/>
        </w:rPr>
        <w:t xml:space="preserve">EU:</w:t>
      </w:r>
      <w:r>
        <w:t xml:space="preserve"> </w:t>
      </w:r>
      <w:r>
        <w:t xml:space="preserve">Ozempic (2018), Rybelsus (2020) en Wegovy (2022) zijn centraal geregistreerd en receptplichtig. Wegovy is geregistreerd voor gewichtsbeheersing bij volwassenen en jongeren vanaf 12 jaar; de productinformatie bevat inmiddels ook gegevens over de verlaging van het cardiovasculaire risico uit SELECT.</w:t>
      </w:r>
    </w:p>
    <w:p>
      <w:pPr>
        <w:numPr>
          <w:ilvl w:val="0"/>
          <w:numId w:val="1057"/>
        </w:numPr>
        <w:pStyle w:val="Compact"/>
      </w:pPr>
      <w:r>
        <w:rPr>
          <w:bCs/>
          <w:b/>
        </w:rPr>
        <w:t xml:space="preserve">Duitsland:</w:t>
      </w:r>
      <w:r>
        <w:t xml:space="preserve"> </w:t>
      </w:r>
      <w:r>
        <w:t xml:space="preserve">Ozempic en Rybelsus worden bij diabetes type 2 vergoed. Wegovy geldt als middel voor gewichtsvermindering en is volgens § 34 SGB V in principe uitgesloten van vergoeding door de wettelijke zorgverzekering; een wijziging wordt politiek besproken. Het voorschrijven van Ozempic uitsluitend om af te vallen is off-label en werd tijdens de leveringstekorten door de autoriteiten uitdrukkelijk bekritiseerd.</w:t>
      </w:r>
    </w:p>
    <w:p>
      <w:pPr>
        <w:numPr>
          <w:ilvl w:val="0"/>
          <w:numId w:val="1057"/>
        </w:numPr>
        <w:pStyle w:val="Compact"/>
      </w:pPr>
      <w:r>
        <w:rPr>
          <w:bCs/>
          <w:b/>
        </w:rPr>
        <w:t xml:space="preserve">Oostenrijk:</w:t>
      </w:r>
      <w:r>
        <w:t xml:space="preserve"> </w:t>
      </w:r>
      <w:r>
        <w:t xml:space="preserve">receptplichtig; vergoeding voor gewichtsbeheersing slechts beperkt (actuele situatie controleren).</w:t>
      </w:r>
    </w:p>
    <w:p>
      <w:pPr>
        <w:numPr>
          <w:ilvl w:val="0"/>
          <w:numId w:val="1057"/>
        </w:numPr>
        <w:pStyle w:val="Compact"/>
      </w:pPr>
      <w:r>
        <w:rPr>
          <w:bCs/>
          <w:b/>
        </w:rPr>
        <w:t xml:space="preserve">VS:</w:t>
      </w:r>
      <w:r>
        <w:t xml:space="preserve"> </w:t>
      </w:r>
      <w:r>
        <w:t xml:space="preserve">Ozempic, Rybelsus en Wegovy (injectie en tablet) geregistreerd, met uitgebreide toepassingsgebieden voor hart, nieren en MASH.</w:t>
      </w:r>
    </w:p>
    <w:p>
      <w:pPr>
        <w:numPr>
          <w:ilvl w:val="0"/>
          <w:numId w:val="1057"/>
        </w:numPr>
        <w:pStyle w:val="Compact"/>
      </w:pPr>
      <w:r>
        <w:rPr>
          <w:bCs/>
          <w:b/>
        </w:rPr>
        <w:t xml:space="preserve">Octrooien en generieke middelen:</w:t>
      </w:r>
      <w:r>
        <w:t xml:space="preserve"> </w:t>
      </w:r>
      <w:r>
        <w:t xml:space="preserve">in meerdere grote markten buiten de EU en de VS – waaronder Canada, China, India en Brazilië – loopt de octrooibescherming van semaglutide in 2026 af; eerste generieke preparaten zijn daar aangekondigd of op de markt. In de EU en de VS wordt pas rond 2031/2032 met generieke middelen gerekend. Meer daarover in deel V.</w:t>
      </w:r>
    </w:p>
    <w:p>
      <w:pPr>
        <w:numPr>
          <w:ilvl w:val="0"/>
          <w:numId w:val="1057"/>
        </w:numPr>
        <w:pStyle w:val="Compact"/>
      </w:pPr>
      <w:r>
        <w:rPr>
          <w:bCs/>
          <w:b/>
        </w:rPr>
        <w:t xml:space="preserve">Sport (WADA):</w:t>
      </w:r>
      <w:r>
        <w:t xml:space="preserve"> </w:t>
      </w:r>
      <w:r>
        <w:t xml:space="preserve">niet vermeld (stand 2026, actuele situatie controleren).</w:t>
      </w:r>
    </w:p>
    <w:bookmarkEnd w:id="469"/>
    <w:bookmarkStart w:id="475" w:name="lopende-studies-en-vooruitzichten-3"/>
    <w:p>
      <w:pPr>
        <w:pStyle w:val="Heading3"/>
      </w:pPr>
      <w:r>
        <w:t xml:space="preserve">Lopende studies en vooruitzichten</w:t>
      </w:r>
    </w:p>
    <w:p>
      <w:pPr>
        <w:pStyle w:val="FirstParagraph"/>
      </w:pPr>
      <w:r>
        <w:rPr>
          <w:bCs/>
          <w:b/>
        </w:rPr>
        <w:t xml:space="preserve">Vaststaand (geregistreerde studies):</w:t>
      </w:r>
      <w:r>
        <w:t xml:space="preserve"> </w:t>
      </w:r>
      <w:r>
        <w:t xml:space="preserve">van de 793 registraties betreft een groot deel combinaties en opvolgers. Voorbeelden:</w:t>
      </w:r>
    </w:p>
    <w:p>
      <w:pPr>
        <w:numPr>
          <w:ilvl w:val="0"/>
          <w:numId w:val="1058"/>
        </w:numPr>
        <w:pStyle w:val="Compact"/>
      </w:pPr>
      <w:r>
        <w:rPr>
          <w:bCs/>
          <w:b/>
        </w:rPr>
        <w:t xml:space="preserve">Ogen:</w:t>
      </w:r>
      <w:r>
        <w:t xml:space="preserve"> </w:t>
      </w:r>
      <w:r>
        <w:t xml:space="preserve">een studie met 1.500 deelnemers onderzoekt gericht het effect op de diabetische retinopathie</w:t>
      </w:r>
      <w:r>
        <w:rPr>
          <w:rStyle w:val="FootnoteReference"/>
        </w:rPr>
        <w:footnoteReference w:id="470"/>
      </w:r>
      <w:r>
        <w:t xml:space="preserve">.</w:t>
      </w:r>
    </w:p>
    <w:p>
      <w:pPr>
        <w:numPr>
          <w:ilvl w:val="0"/>
          <w:numId w:val="1058"/>
        </w:numPr>
        <w:pStyle w:val="Compact"/>
      </w:pPr>
      <w:r>
        <w:rPr>
          <w:bCs/>
          <w:b/>
        </w:rPr>
        <w:t xml:space="preserve">Lever:</w:t>
      </w:r>
      <w:r>
        <w:t xml:space="preserve"> </w:t>
      </w:r>
      <w:r>
        <w:t xml:space="preserve">het tweede deel van ESSENCE met 1.205 deelnemers moet ophelderen of semaglutide levercirrose en levercomplicaties voorkomt</w:t>
      </w:r>
      <w:r>
        <w:rPr>
          <w:rStyle w:val="FootnoteReference"/>
        </w:rPr>
        <w:footnoteReference w:id="471"/>
      </w:r>
      <w:r>
        <w:t xml:space="preserve">.</w:t>
      </w:r>
    </w:p>
    <w:p>
      <w:pPr>
        <w:numPr>
          <w:ilvl w:val="0"/>
          <w:numId w:val="1058"/>
        </w:numPr>
        <w:pStyle w:val="Compact"/>
      </w:pPr>
      <w:r>
        <w:rPr>
          <w:bCs/>
          <w:b/>
        </w:rPr>
        <w:t xml:space="preserve">Kinderen:</w:t>
      </w:r>
      <w:r>
        <w:t xml:space="preserve"> </w:t>
      </w:r>
      <w:r>
        <w:t xml:space="preserve">een studie met 212 kinderen en jongeren loopt</w:t>
      </w:r>
      <w:r>
        <w:rPr>
          <w:rStyle w:val="FootnoteReference"/>
        </w:rPr>
        <w:footnoteReference w:id="472"/>
      </w:r>
      <w:r>
        <w:t xml:space="preserve">.</w:t>
      </w:r>
    </w:p>
    <w:p>
      <w:pPr>
        <w:numPr>
          <w:ilvl w:val="0"/>
          <w:numId w:val="1058"/>
        </w:numPr>
        <w:pStyle w:val="Compact"/>
      </w:pPr>
      <w:r>
        <w:rPr>
          <w:bCs/>
          <w:b/>
        </w:rPr>
        <w:t xml:space="preserve">Tablet:</w:t>
      </w:r>
      <w:r>
        <w:t xml:space="preserve"> </w:t>
      </w:r>
      <w:r>
        <w:t xml:space="preserve">verdere fase 3-studies naar de tablet bij obesitas zijn gestart</w:t>
      </w:r>
      <w:r>
        <w:rPr>
          <w:rStyle w:val="FootnoteReference"/>
        </w:rPr>
        <w:footnoteReference w:id="473"/>
      </w:r>
      <w:r>
        <w:t xml:space="preserve">.</w:t>
      </w:r>
    </w:p>
    <w:p>
      <w:pPr>
        <w:numPr>
          <w:ilvl w:val="0"/>
          <w:numId w:val="1058"/>
        </w:numPr>
        <w:pStyle w:val="Compact"/>
      </w:pPr>
      <w:r>
        <w:rPr>
          <w:bCs/>
          <w:b/>
        </w:rPr>
        <w:t xml:space="preserve">Combinatie CagriSema:</w:t>
      </w:r>
      <w:r>
        <w:t xml:space="preserve"> </w:t>
      </w:r>
      <w:r>
        <w:t xml:space="preserve">semaglutide in vaste combinatie met het amyline-analoog cagrilintide wordt getest in een cardiovasculaire studie met 7.101 deelnemers</w:t>
      </w:r>
      <w:r>
        <w:rPr>
          <w:rStyle w:val="FootnoteReference"/>
        </w:rPr>
        <w:footnoteReference w:id="474"/>
      </w:r>
      <w:r>
        <w:t xml:space="preserve">; details in het hoofdstuk Cagrilintide/CagriSema.</w:t>
      </w:r>
    </w:p>
    <w:p>
      <w:pPr>
        <w:pStyle w:val="FirstParagraph"/>
      </w:pPr>
      <w:r>
        <w:rPr>
          <w:bCs/>
          <w:b/>
        </w:rPr>
        <w:t xml:space="preserve">Inschatting:</w:t>
      </w:r>
      <w:r>
        <w:t xml:space="preserve"> </w:t>
      </w:r>
      <w:r>
        <w:t xml:space="preserve">semaglutide zal de komende jaren van twee kanten onder druk komen te staan – door werkzamere opvolgers zoals tirzepatide, CagriSema of retatrutide en door generieke middelen in grote markten. Tegelijk is het de werkzame stof met de breedste bewijsbasis voor harde eindpunten (hart, nieren, lever). De tabletvorm zou de toegang aanzienlijk kunnen vergroten. De mislukte alzheimerstudies laten zien dat niet elke hoop uit dierproeven en observationele gegevens standhoudt.</w:t>
      </w:r>
    </w:p>
    <w:bookmarkEnd w:id="475"/>
    <w:bookmarkStart w:id="476" w:name="conclusie-3"/>
    <w:p>
      <w:pPr>
        <w:pStyle w:val="Heading3"/>
      </w:pPr>
      <w:r>
        <w:t xml:space="preserve">Conclusie</w:t>
      </w:r>
    </w:p>
    <w:p>
      <w:pPr>
        <w:pStyle w:val="FirstParagraph"/>
      </w:pPr>
      <w:r>
        <w:t xml:space="preserve">Semaglutide is de meest uitgebreid onderzochte GLP-1-receptoragonist en heeft in directe vergelijkingen exenatide, liraglutide en dulaglutide overtroffen. Bij de dosis van 2,4 mg per week verloren mensen met obesitas in STEP 1 gemiddeld 14,9% van hun gewicht; na het stoppen komt het grootste deel van het gewicht terug. Grote uitkomststudies lieten een verlaging van ernstige cardiovasculaire gebeurtenissen zien – ook zonder diabetes (SELECT, 20%) – en daarnaast bescherming van de nieren (FLOW) en verbeteringen bij leverontsteking door vervetting. Vaak voorkomende bijwerkingen betreffen het maag-darmkanaal en de galblaas; zeldzame signalen zoals NAION worden verder gevolgd, terwijl de alzheimerstudies geen nut lieten zien. Producten van de grijze markt brengen aanzienlijke risico’s met zich mee – de behandeling hoort in handen van een arts en bij de apotheek.</w:t>
      </w:r>
    </w:p>
    <w:bookmarkEnd w:id="476"/>
    <w:bookmarkEnd w:id="477"/>
    <w:bookmarkStart w:id="537" w:name="tirzepatide"/>
    <w:p>
      <w:pPr>
        <w:pStyle w:val="Heading2"/>
      </w:pPr>
      <w:r>
        <w:t xml:space="preserve">Tirzepatide</w:t>
      </w:r>
    </w:p>
    <w:bookmarkStart w:id="478" w:name="profiel-4"/>
    <w:p>
      <w:pPr>
        <w:pStyle w:val="Heading3"/>
      </w:pPr>
      <w:r>
        <w:t xml:space="preserve">Profiel</w:t>
      </w:r>
    </w:p>
    <w:p>
      <w:pPr>
        <w:numPr>
          <w:ilvl w:val="0"/>
          <w:numId w:val="1059"/>
        </w:numPr>
        <w:pStyle w:val="Compact"/>
      </w:pPr>
      <w:r>
        <w:rPr>
          <w:bCs/>
          <w:b/>
        </w:rPr>
        <w:t xml:space="preserve">Soort/structuur:</w:t>
      </w:r>
      <w:r>
        <w:t xml:space="preserve"> </w:t>
      </w:r>
      <w:r>
        <w:t xml:space="preserve">synthetisch peptide waarvan het basisskelet is gemodelleerd naar het lichaamseigen darmhormoon GIP; een aangehangen vetzuurketen bindt het in het bloed aan albumine en verlengt de werkingsduur zo ver dat één injectie per week volstaat.</w:t>
      </w:r>
    </w:p>
    <w:p>
      <w:pPr>
        <w:numPr>
          <w:ilvl w:val="0"/>
          <w:numId w:val="1059"/>
        </w:numPr>
        <w:pStyle w:val="Compact"/>
      </w:pPr>
      <w:r>
        <w:rPr>
          <w:bCs/>
          <w:b/>
        </w:rPr>
        <w:t xml:space="preserve">Herkomst:</w:t>
      </w:r>
      <w:r>
        <w:t xml:space="preserve"> </w:t>
      </w:r>
      <w:r>
        <w:t xml:space="preserve">ontwikkeld door Eli Lilly, in vroege studies aangeduid met de code LY3298176.</w:t>
      </w:r>
    </w:p>
    <w:p>
      <w:pPr>
        <w:numPr>
          <w:ilvl w:val="0"/>
          <w:numId w:val="1059"/>
        </w:numPr>
        <w:pStyle w:val="Compact"/>
      </w:pPr>
      <w:r>
        <w:rPr>
          <w:bCs/>
          <w:b/>
        </w:rPr>
        <w:t xml:space="preserve">Werkingsprincipe:</w:t>
      </w:r>
      <w:r>
        <w:t xml:space="preserve"> </w:t>
      </w:r>
      <w:r>
        <w:t xml:space="preserve">dubbele agonist (activator) van twee receptoren: de GIP-receptor en de GLP-1-receptor. Daarom ook „twincretine” of „duale incretineagonist” genoemd.</w:t>
      </w:r>
    </w:p>
    <w:p>
      <w:pPr>
        <w:numPr>
          <w:ilvl w:val="0"/>
          <w:numId w:val="1059"/>
        </w:numPr>
        <w:pStyle w:val="Compact"/>
      </w:pPr>
      <w:r>
        <w:rPr>
          <w:bCs/>
          <w:b/>
        </w:rPr>
        <w:t xml:space="preserve">Registratie EU:</w:t>
      </w:r>
      <w:r>
        <w:t xml:space="preserve"> </w:t>
      </w:r>
      <w:r>
        <w:t xml:space="preserve">ja (Mounjaro) voor diabetes type 2 en voor gewichtsbeheersing bij obesitas en overgewicht met bijkomende aandoeningen.</w:t>
      </w:r>
    </w:p>
    <w:p>
      <w:pPr>
        <w:numPr>
          <w:ilvl w:val="0"/>
          <w:numId w:val="1059"/>
        </w:numPr>
        <w:pStyle w:val="Compact"/>
      </w:pPr>
      <w:r>
        <w:rPr>
          <w:bCs/>
          <w:b/>
        </w:rPr>
        <w:t xml:space="preserve">Registratie VS:</w:t>
      </w:r>
      <w:r>
        <w:t xml:space="preserve"> </w:t>
      </w:r>
      <w:r>
        <w:t xml:space="preserve">ja (Mounjaro voor diabetes type 2; Zepbound voor obesitas en voor matige tot ernstige obstructieve slaapapneu bij obesitas).</w:t>
      </w:r>
    </w:p>
    <w:p>
      <w:pPr>
        <w:numPr>
          <w:ilvl w:val="0"/>
          <w:numId w:val="1059"/>
        </w:numPr>
        <w:pStyle w:val="Compact"/>
      </w:pPr>
      <w:r>
        <w:rPr>
          <w:bCs/>
          <w:b/>
        </w:rPr>
        <w:t xml:space="preserve">WADA:</w:t>
      </w:r>
      <w:r>
        <w:t xml:space="preserve"> </w:t>
      </w:r>
      <w:r>
        <w:t xml:space="preserve">niet op de verboden lijst.</w:t>
      </w:r>
    </w:p>
    <w:p>
      <w:pPr>
        <w:numPr>
          <w:ilvl w:val="0"/>
          <w:numId w:val="1059"/>
        </w:numPr>
        <w:pStyle w:val="Compact"/>
      </w:pPr>
      <w:r>
        <w:rPr>
          <w:bCs/>
          <w:b/>
        </w:rPr>
        <w:t xml:space="preserve">Bewijsniveau:</w:t>
      </w:r>
      <w:r>
        <w:t xml:space="preserve"> </w:t>
      </w:r>
      <w:r>
        <w:rPr>
          <w:bCs/>
          <w:b/>
        </w:rPr>
        <w:t xml:space="preserve">A</w:t>
      </w:r>
      <w:r>
        <w:t xml:space="preserve"> </w:t>
      </w:r>
      <w:r>
        <w:t xml:space="preserve">– talrijke grote gerandomiseerde studies, uitkomststudies over hart en hartfalen, registratie in veel landen.</w:t>
      </w:r>
    </w:p>
    <w:bookmarkEnd w:id="478"/>
    <w:bookmarkStart w:id="482" w:name="hoe-het-zou-moeten-werken-4"/>
    <w:p>
      <w:pPr>
        <w:pStyle w:val="Heading3"/>
      </w:pPr>
      <w:r>
        <w:t xml:space="preserve">Hoe het zou moeten werken</w:t>
      </w:r>
    </w:p>
    <w:p>
      <w:pPr>
        <w:pStyle w:val="FirstParagraph"/>
      </w:pPr>
      <w:r>
        <w:t xml:space="preserve">Na een maaltijd geeft de darm twee hormonen af die men incretines noemt: GLP-1 (glucagon-like peptide-1) en GIP (glucoseafhankelijk insulinotroop polypeptide). Beide melden de alvleesklier „er komt voedsel” en versterken de insulineafgifte – maar alleen zolang de bloedsuiker verhoogd is. Dat is de reden waarom incretinegeneesmiddelen op zichzelf zelden hypoglykemieën veroorzaken. GLP-1 remt daarnaast de maaglediging en werkt in de hersenen op verzadigingscentra. Welke rol GIP bij de eetlust speelt, is minder duidelijk en was lang omstreden; in sommige oudere publicaties gold GIP zelfs eerder als „dikmakend hormoon”.</w:t>
      </w:r>
    </w:p>
    <w:p>
      <w:pPr>
        <w:pStyle w:val="BodyText"/>
      </w:pPr>
      <w:r>
        <w:t xml:space="preserve">Tirzepatide combineert beide signalen in één enkel molecuul. Laboratoriumonderzoek met cellijnen liet twee bijzonderheden zien</w:t>
      </w:r>
      <w:r>
        <w:rPr>
          <w:rStyle w:val="FootnoteReference"/>
        </w:rPr>
        <w:footnoteReference w:id="479"/>
      </w:r>
      <w:r>
        <w:t xml:space="preserve">: ten eerste is tirzepatide „onevenwichtig” – bij de concentraties die met behandeldoses worden bereikt, bezet het de GIP-receptor sterker dan de GLP-1-receptor. Ten tweede activeert het op de GLP-1-receptor bij voorkeur een bepaalde signaalroute (cAMP) en veroorzaakt het minder receptorinternalisatie, waarbij de receptor naar het celinnerste wordt getrokken en daarmee tijdelijk uitgeschakeld. Of deze „scheve” signaaloverdracht bij de mens een rol speelt, is een hypothese op basis van laboratoriumgegevens.</w:t>
      </w:r>
    </w:p>
    <w:p>
      <w:pPr>
        <w:pStyle w:val="BodyText"/>
      </w:pPr>
      <w:r>
        <w:t xml:space="preserve">Bij muizen met overgewicht verbeterde tirzepatide de insulinegevoeligheid sterker dan een zuivere GLP-1-agonist, en wel deels onafhankelijk van het gewichtsverlies – via de GIP-receptor en een betere glucoseopname in het vetweefsel</w:t>
      </w:r>
      <w:r>
        <w:rPr>
          <w:rStyle w:val="FootnoteReference"/>
        </w:rPr>
        <w:footnoteReference w:id="480"/>
      </w:r>
      <w:r>
        <w:t xml:space="preserve">. Bij de mens daalt onder tirzepatide vooral de voedselinname; in een studie met 117 mensen met diabetes type 2 namen onder tirzepatide eetlust, energie-inname en vetmassa af ten opzichte van placebo. Wat de eetlust betreft verschilde het echter niet meetbaar van semaglutide, hoewel het gewichtsverlies groter was – de auteurs achten daarom andere mechanismen mogelijk</w:t>
      </w:r>
      <w:r>
        <w:rPr>
          <w:rStyle w:val="FootnoteReference"/>
        </w:rPr>
        <w:footnoteReference w:id="481"/>
      </w:r>
      <w:r>
        <w:t xml:space="preserve">.</w:t>
      </w:r>
    </w:p>
    <w:p>
      <w:pPr>
        <w:pStyle w:val="BodyText"/>
      </w:pPr>
      <w:r>
        <w:t xml:space="preserve">Eenvoudig gezegd: tirzepatide werkt als een GLP-1-geneesmiddel met een extra GIP-„versterker”. De studies laten zien dat dit pakket bij gewicht en bloedsuiker meer bereikt dan de tot nu toe beschikbare zuivere GLP-1-agonisten – waarom precies, is nog niet volledig begrepen.</w:t>
      </w:r>
    </w:p>
    <w:bookmarkEnd w:id="482"/>
    <w:bookmarkStart w:id="515" w:name="studies-bij-mensen-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144 als studies bij mensen geclassificeerde publicaties op met „tirzepatide” in titel of abstract, daarnaast zeer veel overzichtsartikelen en meta-analyses. Op ClinicalTrials.gov waren 307 studies geregistreerd, waarvan meer dan 100 nog in de werving (een overduidelijk fictieve voorbeeldregistratie van een onbekende sponsor is niet meegeteld). Tirzepatide behoort daarmee tot de best onderzochte werkzame stoffen in dit boek. Het zwaartepunt ligt bij twee registratieprogramma’s:</w:t>
      </w:r>
      <w:r>
        <w:t xml:space="preserve"> </w:t>
      </w:r>
      <w:r>
        <w:rPr>
          <w:bCs/>
          <w:b/>
        </w:rPr>
        <w:t xml:space="preserve">SURPASS</w:t>
      </w:r>
      <w:r>
        <w:t xml:space="preserve"> </w:t>
      </w:r>
      <w:r>
        <w:t xml:space="preserve">(diabetes type 2) en</w:t>
      </w:r>
      <w:r>
        <w:t xml:space="preserve"> </w:t>
      </w:r>
      <w:r>
        <w:rPr>
          <w:bCs/>
          <w:b/>
        </w:rPr>
        <w:t xml:space="preserve">SURMOUNT</w:t>
      </w:r>
      <w:r>
        <w:t xml:space="preserve"> </w:t>
      </w:r>
      <w:r>
        <w:t xml:space="preserve">(obesitas), aangevuld met studies naar hartfalen, slaapapneu en leververvetting.</w:t>
      </w:r>
    </w:p>
    <w:bookmarkStart w:id="485" w:name="Xe735968c1eab8d1268761dd72e8f554908c836e"/>
    <w:p>
      <w:pPr>
        <w:pStyle w:val="Heading4"/>
      </w:pPr>
      <w:r>
        <w:t xml:space="preserve">Van het laboratorium naar de kliniek: fase 1 en 2</w:t>
      </w:r>
    </w:p>
    <w:p>
      <w:pPr>
        <w:pStyle w:val="FirstParagraph"/>
      </w:pPr>
      <w:r>
        <w:t xml:space="preserve">De eerste gegevens bij de mens komen uit een gecombineerde fase 1-studie met 142 personen die tirzepatide, dulaglutide of placebo kregen. Bij mensen met diabetes type 2 verlaagden hogere doses na vier weken de nuchtere bloedsuiker duidelijk; de meest voorkomende bijwerkingen betroffen het maag-darmkanaal</w:t>
      </w:r>
      <w:r>
        <w:rPr>
          <w:rStyle w:val="FootnoteReference"/>
        </w:rPr>
        <w:footnoteReference w:id="483"/>
      </w:r>
      <w:r>
        <w:t xml:space="preserve">.</w:t>
      </w:r>
    </w:p>
    <w:p>
      <w:pPr>
        <w:pStyle w:val="BodyText"/>
      </w:pPr>
      <w:r>
        <w:t xml:space="preserve">In de fase 2-studie kregen 318 mensen met diabetes type 2 gedurende 26 weken een van vier tirzepatidedoses, dulaglutide of placebo. De langetermijnsuikerwaarde HbA1c daalde dosisafhankelijk met maximaal 1,94 procentpunt (dulaglutide: −1,21; placebo: −0,06). Het lichaamsgewicht veranderde onder tirzepatide met −0,9 tot −11,3 kg, onder dulaglutide met −2,7 kg</w:t>
      </w:r>
      <w:r>
        <w:rPr>
          <w:rStyle w:val="FootnoteReference"/>
        </w:rPr>
        <w:footnoteReference w:id="484"/>
      </w:r>
      <w:r>
        <w:t xml:space="preserve">. Deze orde van grootte van het gewichtsverlies – in een diabetesstudie – was de aanleiding voor het grote obesitasprogramma.</w:t>
      </w:r>
    </w:p>
    <w:bookmarkEnd w:id="485"/>
    <w:bookmarkStart w:id="491" w:name="surpass-diabetes-type-2"/>
    <w:p>
      <w:pPr>
        <w:pStyle w:val="Heading4"/>
      </w:pPr>
      <w:r>
        <w:t xml:space="preserve">SURPASS: diabetes type 2</w:t>
      </w:r>
    </w:p>
    <w:p>
      <w:pPr>
        <w:pStyle w:val="FirstParagraph"/>
      </w:pPr>
      <w:r>
        <w:t xml:space="preserve">Het SURPASS-programma testte tirzepatide in drie doses (5, 10 en 15 mg per week) tegen placebo, tegen semaglutide en tegen insulines. De HbA1c-waarde weerspiegelt de gemiddelde bloedsuiker van de afgelopen twee tot drie maanden; een waarde onder 7% geldt voor veel mensen met diabetes als behandeldoel.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SURPASS-1 (Rosenstock 2021), PMID 34186022</w:t>
            </w:r>
          </w:p>
        </w:tc>
        <w:tc>
          <w:tcPr/>
          <w:p>
            <w:pPr>
              <w:pStyle w:val="Compact"/>
              <w:jc w:val="left"/>
            </w:pPr>
            <w:r>
              <w:t xml:space="preserve">478 volwassenen, alleen dieet/beweging, tegen placebo</w:t>
            </w:r>
          </w:p>
        </w:tc>
        <w:tc>
          <w:tcPr/>
          <w:p>
            <w:pPr>
              <w:pStyle w:val="Compact"/>
              <w:jc w:val="left"/>
            </w:pPr>
            <w:r>
              <w:t xml:space="preserve">40 weken</w:t>
            </w:r>
          </w:p>
        </w:tc>
        <w:tc>
          <w:tcPr/>
          <w:p>
            <w:pPr>
              <w:pStyle w:val="Compact"/>
              <w:jc w:val="left"/>
            </w:pPr>
            <w:r>
              <w:t xml:space="preserve">HbA1c −1,87 tot −2,07 punten vs. +0,04; gewicht −7,0 tot −9,5 kg</w:t>
            </w:r>
          </w:p>
        </w:tc>
      </w:tr>
      <w:tr>
        <w:tc>
          <w:tcPr/>
          <w:p>
            <w:pPr>
              <w:pStyle w:val="Compact"/>
              <w:jc w:val="left"/>
            </w:pPr>
            <w:r>
              <w:t xml:space="preserve">SURPASS-2 (Frías 2021), PMID 34170647</w:t>
            </w:r>
          </w:p>
        </w:tc>
        <w:tc>
          <w:tcPr/>
          <w:p>
            <w:pPr>
              <w:pStyle w:val="Compact"/>
              <w:jc w:val="left"/>
            </w:pPr>
            <w:r>
              <w:t xml:space="preserve">1.879 volwassenen met metformine, open tegen semaglutide 1 mg</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SURPASS-3 (Ludvik 2021), PMID 34370970</w:t>
            </w:r>
          </w:p>
        </w:tc>
        <w:tc>
          <w:tcPr/>
          <w:p>
            <w:pPr>
              <w:pStyle w:val="Compact"/>
              <w:jc w:val="left"/>
            </w:pPr>
            <w:r>
              <w:t xml:space="preserve">1.444 volwassenen, open tegen insuline degludec</w:t>
            </w:r>
          </w:p>
        </w:tc>
        <w:tc>
          <w:tcPr/>
          <w:p>
            <w:pPr>
              <w:pStyle w:val="Compact"/>
              <w:jc w:val="left"/>
            </w:pPr>
            <w:r>
              <w:t xml:space="preserve">52 weken</w:t>
            </w:r>
          </w:p>
        </w:tc>
        <w:tc>
          <w:tcPr/>
          <w:p>
            <w:pPr>
              <w:pStyle w:val="Compact"/>
              <w:jc w:val="left"/>
            </w:pPr>
            <w:r>
              <w:t xml:space="preserve">HbA1c −1,93 tot −2,37 vs. −1,34; gewicht −7,5 tot −12,9 kg vs. +2,3 kg</w:t>
            </w:r>
          </w:p>
        </w:tc>
      </w:tr>
      <w:tr>
        <w:tc>
          <w:tcPr/>
          <w:p>
            <w:pPr>
              <w:pStyle w:val="Compact"/>
              <w:jc w:val="left"/>
            </w:pPr>
            <w:r>
              <w:t xml:space="preserve">SURPASS-4 (Del Prato 2021), PMID 34672967</w:t>
            </w:r>
          </w:p>
        </w:tc>
        <w:tc>
          <w:tcPr/>
          <w:p>
            <w:pPr>
              <w:pStyle w:val="Compact"/>
              <w:jc w:val="left"/>
            </w:pPr>
            <w:r>
              <w:t xml:space="preserve">2.002 volwassenen met hoog cardiovasculair risico, open tegen insuline glargine</w:t>
            </w:r>
          </w:p>
        </w:tc>
        <w:tc>
          <w:tcPr/>
          <w:p>
            <w:pPr>
              <w:pStyle w:val="Compact"/>
              <w:jc w:val="left"/>
            </w:pPr>
            <w:r>
              <w:t xml:space="preserve">52 tot 104 weken</w:t>
            </w:r>
          </w:p>
        </w:tc>
        <w:tc>
          <w:tcPr/>
          <w:p>
            <w:pPr>
              <w:pStyle w:val="Compact"/>
              <w:jc w:val="left"/>
            </w:pPr>
            <w:r>
              <w:t xml:space="preserve">HbA1c −2,43/−2,58 vs. −1,44; MACE-4 niet verhoogd (HR 0,74)</w:t>
            </w:r>
          </w:p>
        </w:tc>
      </w:tr>
      <w:tr>
        <w:tc>
          <w:tcPr/>
          <w:p>
            <w:pPr>
              <w:pStyle w:val="Compact"/>
              <w:jc w:val="left"/>
            </w:pPr>
            <w:r>
              <w:t xml:space="preserve">SURPASS-5 (Dahl 2022), PMID 35133415</w:t>
            </w:r>
          </w:p>
        </w:tc>
        <w:tc>
          <w:tcPr/>
          <w:p>
            <w:pPr>
              <w:pStyle w:val="Compact"/>
              <w:jc w:val="left"/>
            </w:pPr>
            <w:r>
              <w:t xml:space="preserve">475 volwassenen met insuline glargine, tegen placebo</w:t>
            </w:r>
          </w:p>
        </w:tc>
        <w:tc>
          <w:tcPr/>
          <w:p>
            <w:pPr>
              <w:pStyle w:val="Compact"/>
              <w:jc w:val="left"/>
            </w:pPr>
            <w:r>
              <w:t xml:space="preserve">40 weken</w:t>
            </w:r>
          </w:p>
        </w:tc>
        <w:tc>
          <w:tcPr/>
          <w:p>
            <w:pPr>
              <w:pStyle w:val="Compact"/>
              <w:jc w:val="left"/>
            </w:pPr>
            <w:r>
              <w:t xml:space="preserve">HbA1c −2,11 tot −2,40 vs. −0,86; gewicht −5,4 tot −8,8 kg vs. +1,6 kg</w:t>
            </w:r>
          </w:p>
        </w:tc>
      </w:tr>
      <w:tr>
        <w:tc>
          <w:tcPr/>
          <w:p>
            <w:pPr>
              <w:pStyle w:val="Compact"/>
              <w:jc w:val="left"/>
            </w:pPr>
            <w:r>
              <w:t xml:space="preserve">SURPASS-PEDS (Hannon 2025), PMID 40975112</w:t>
            </w:r>
          </w:p>
        </w:tc>
        <w:tc>
          <w:tcPr/>
          <w:p>
            <w:pPr>
              <w:pStyle w:val="Compact"/>
              <w:jc w:val="left"/>
            </w:pPr>
            <w:r>
              <w:t xml:space="preserve">99 jongeren (10–17 jaar) met diabetes type 2, tegen placebo</w:t>
            </w:r>
          </w:p>
        </w:tc>
        <w:tc>
          <w:tcPr/>
          <w:p>
            <w:pPr>
              <w:pStyle w:val="Compact"/>
              <w:jc w:val="left"/>
            </w:pPr>
            <w:r>
              <w:t xml:space="preserve">30 weken (+22 open)</w:t>
            </w:r>
          </w:p>
        </w:tc>
        <w:tc>
          <w:tcPr/>
          <w:p>
            <w:pPr>
              <w:pStyle w:val="Compact"/>
              <w:jc w:val="left"/>
            </w:pPr>
            <w:r>
              <w:t xml:space="preserve">HbA1c −2,23 vs. +0,05; BMI −7,4 tot −11,2%</w:t>
            </w:r>
          </w:p>
        </w:tc>
      </w:tr>
    </w:tbl>
    <w:p>
      <w:pPr>
        <w:pStyle w:val="BodyText"/>
      </w:pPr>
      <w:r>
        <w:t xml:space="preserve">Enkele punten verdienen nadruk:</w:t>
      </w:r>
    </w:p>
    <w:p>
      <w:pPr>
        <w:numPr>
          <w:ilvl w:val="0"/>
          <w:numId w:val="1060"/>
        </w:numPr>
        <w:pStyle w:val="Compact"/>
      </w:pPr>
      <w:r>
        <w:rPr>
          <w:bCs/>
          <w:b/>
        </w:rPr>
        <w:t xml:space="preserve">In de directe vergelijking met semaglutide</w:t>
      </w:r>
      <w:r>
        <w:t xml:space="preserve"> </w:t>
      </w:r>
      <w:r>
        <w:t xml:space="preserve">(SURPASS-2) was tirzepatide in alle drie doses bij de HbA1c niet inferieur en superieur. De studie gebruikte semaglutide echter in de dosis van 1 mg; de later geregistreerde hogere diabetesdosis was niet de vergelijking. De frequentie van misselijkheid (17–22% vs. 18%) en braken (6–10% vs. 8%) was vergelijkbaar; ernstige ongewenste voorvallen traden onder tirzepatide op bij 5–7% tegenover 3% onder semaglutide</w:t>
      </w:r>
      <w:r>
        <w:rPr>
          <w:rStyle w:val="FootnoteReference"/>
        </w:rPr>
        <w:footnoteReference w:id="486"/>
      </w:r>
      <w:r>
        <w:t xml:space="preserve">.</w:t>
      </w:r>
    </w:p>
    <w:p>
      <w:pPr>
        <w:numPr>
          <w:ilvl w:val="0"/>
          <w:numId w:val="1060"/>
        </w:numPr>
        <w:pStyle w:val="Compact"/>
      </w:pPr>
      <w:r>
        <w:rPr>
          <w:bCs/>
          <w:b/>
        </w:rPr>
        <w:t xml:space="preserve">Tegenover insuline</w:t>
      </w:r>
      <w:r>
        <w:t xml:space="preserve"> </w:t>
      </w:r>
      <w:r>
        <w:t xml:space="preserve">leidde tirzepatide tot meer bloedsuikerverlaging en tegelijk tot gewichtsverlies in plaats van gewichtstoename. Hypoglykemieën (onder 54 mg/dl of ernstig) waren in SURPASS-3 duidelijk zeldzamer: 1–2% tegenover 7% onder insuline degludec</w:t>
      </w:r>
      <w:r>
        <w:rPr>
          <w:rStyle w:val="FootnoteReference"/>
        </w:rPr>
        <w:footnoteReference w:id="487"/>
      </w:r>
      <w:r>
        <w:t xml:space="preserve">.</w:t>
      </w:r>
    </w:p>
    <w:p>
      <w:pPr>
        <w:numPr>
          <w:ilvl w:val="0"/>
          <w:numId w:val="1060"/>
        </w:numPr>
        <w:pStyle w:val="Compact"/>
      </w:pPr>
      <w:r>
        <w:rPr>
          <w:bCs/>
          <w:b/>
        </w:rPr>
        <w:t xml:space="preserve">Kinderen en jongeren:</w:t>
      </w:r>
      <w:r>
        <w:t xml:space="preserve"> </w:t>
      </w:r>
      <w:r>
        <w:t xml:space="preserve">SURPASS-PEDS is een van de weinige incretinestudies bij diabetes type 2 op jonge leeftijd. Het effect bleef in de open verlenging tot week 52 behouden; het bijwerkingenprofiel kwam overeen met dat bij volwassenen</w:t>
      </w:r>
      <w:r>
        <w:rPr>
          <w:rStyle w:val="FootnoteReference"/>
        </w:rPr>
        <w:footnoteReference w:id="488"/>
      </w:r>
      <w:r>
        <w:t xml:space="preserve">.</w:t>
      </w:r>
    </w:p>
    <w:p>
      <w:pPr>
        <w:numPr>
          <w:ilvl w:val="0"/>
          <w:numId w:val="1060"/>
        </w:numPr>
        <w:pStyle w:val="Compact"/>
      </w:pPr>
      <w:r>
        <w:rPr>
          <w:bCs/>
          <w:b/>
        </w:rPr>
        <w:t xml:space="preserve">Diabetes type 1:</w:t>
      </w:r>
      <w:r>
        <w:t xml:space="preserve"> </w:t>
      </w:r>
      <w:r>
        <w:t xml:space="preserve">een kleine fase 2-studie met 24 volwassenen met diabetes type 1 en obesitas liet na twaalf weken een gewichtsverlies zien van 10,3 kg tegenover 0,7 kg onder placebo en een 35% lagere insulinebehoefte</w:t>
      </w:r>
      <w:r>
        <w:rPr>
          <w:rStyle w:val="FootnoteReference"/>
        </w:rPr>
        <w:footnoteReference w:id="489"/>
      </w:r>
      <w:r>
        <w:t xml:space="preserve">. Tirzepatide is niet geregistreerd voor diabetes type 1; grotere studies lopen (zie vooruitzichten).</w:t>
      </w:r>
    </w:p>
    <w:p>
      <w:pPr>
        <w:pStyle w:val="FirstParagraph"/>
      </w:pPr>
      <w:r>
        <w:t xml:space="preserve">Een vooraf geplande meta-analyse van alle zeven SURPASS-studies van ten minste 26 weken (4.887 personen met tirzepatide, 2.328 in controlegroepen) vond geen verhoogd risico op ernstige cardiovasculaire gebeurtenissen (MACE-4, hazard ratio 0,80; 95%-betrouwbaarheidsinterval 0,57–1,11)</w:t>
      </w:r>
      <w:r>
        <w:rPr>
          <w:rStyle w:val="FootnoteReference"/>
        </w:rPr>
        <w:footnoteReference w:id="490"/>
      </w:r>
      <w:r>
        <w:t xml:space="preserve">. Dat is een uitspraak over veiligheid, niet over nut – daarvoor was de uitkomststudie SURPASS-CVOT nodig.</w:t>
      </w:r>
    </w:p>
    <w:bookmarkEnd w:id="491"/>
    <w:bookmarkStart w:id="495" w:name="surpass-cvot-cardiovasculaire-eindpunten"/>
    <w:p>
      <w:pPr>
        <w:pStyle w:val="Heading4"/>
      </w:pPr>
      <w:r>
        <w:t xml:space="preserve">SURPASS-CVOT: cardiovasculaire eindpunten</w:t>
      </w:r>
    </w:p>
    <w:p>
      <w:pPr>
        <w:pStyle w:val="FirstParagraph"/>
      </w:pPr>
      <w:r>
        <w:t xml:space="preserve">Bij diabetesgeneesmiddelen eisen autoriteiten het bewijs dat ze het hart niet in gevaar brengen. SURPASS-CVOT ging een stap verder: in plaats van tegen placebo nam tirzepatide het op tegen dulaglutide, een GLP-1-geneesmiddel dat in de REWIND-studie zelf cardiovasculaire gebeurtenissen had verminderd. 13.299 mensen met diabetes type 2 en een bestaande atherosclerotische aandoening werden gerandomiseerd; 13.165 werden geanalyseerd</w:t>
      </w:r>
      <w:r>
        <w:rPr>
          <w:rStyle w:val="FootnoteReference"/>
        </w:rPr>
        <w:footnoteReference w:id="492"/>
      </w:r>
      <w:r>
        <w:t xml:space="preserve">.</w:t>
      </w:r>
    </w:p>
    <w:p>
      <w:pPr>
        <w:pStyle w:val="BodyText"/>
      </w:pPr>
      <w:r>
        <w:t xml:space="preserve">Het primaire eindpunt – cardiovasculaire dood, hartinfarct of beroerte – trad op bij 801 personen (12,2%) met tirzepatide en bij 862 (13,1%) met dulaglutide (hazard ratio 0,92; 95,3%-BI 0,83–1,01). Daarmee was tirzepatide</w:t>
      </w:r>
      <w:r>
        <w:t xml:space="preserve"> </w:t>
      </w:r>
      <w:r>
        <w:rPr>
          <w:bCs/>
          <w:b/>
        </w:rPr>
        <w:t xml:space="preserve">niet inferieur</w:t>
      </w:r>
      <w:r>
        <w:t xml:space="preserve">; de formele superioriteit werd nipt niet gehaald (p = 0,09). Maag-darmbijwerkingen kwamen onder tirzepatide vaker voor.</w:t>
      </w:r>
    </w:p>
    <w:p>
      <w:pPr>
        <w:pStyle w:val="BodyText"/>
      </w:pPr>
      <w:r>
        <w:t xml:space="preserve">Een achteraf uitgevoerde (post hoc) analyse met een breder eindpunt uit zes componenten – overlijden door welke oorzaak ook, hartinfarct, beroerte, revascularisatie, ziekenhuisopname wegens hartfalen en niergebeurtenissen – vond na een mediane behandelduur van bijna vier jaar gebeurtenissen bij 23,7% tegenover 27,4% (hazard ratio 0,84; 95%-BI 0,79–0,90)</w:t>
      </w:r>
      <w:r>
        <w:rPr>
          <w:rStyle w:val="FootnoteReference"/>
        </w:rPr>
        <w:footnoteReference w:id="493"/>
      </w:r>
      <w:r>
        <w:t xml:space="preserve">. Post-hocanalyses zijn hypothesevormend; ze kunnen een vooraf vastgelegde primaire analyse niet vervangen.</w:t>
      </w:r>
    </w:p>
    <w:p>
      <w:pPr>
        <w:pStyle w:val="BodyText"/>
      </w:pPr>
      <w:r>
        <w:t xml:space="preserve">Hoe groot het nut ten opzichte van</w:t>
      </w:r>
      <w:r>
        <w:t xml:space="preserve"> </w:t>
      </w:r>
      <w:r>
        <w:rPr>
          <w:iCs/>
          <w:i/>
        </w:rPr>
        <w:t xml:space="preserve">geen</w:t>
      </w:r>
      <w:r>
        <w:t xml:space="preserve"> </w:t>
      </w:r>
      <w:r>
        <w:t xml:space="preserve">behandeling zou zijn, valt uit een vergelijking met een werkzaam geneesmiddel niet direct af te lezen. Een vooraf geplande, maar indirecte analyse berekende een „placebo-arm” uit de gegevens van de REWIND-studie en kwam voor tirzepatide ten opzichte van deze berekende placebo uit op een hazard ratio van 0,72 (95%-BI 0,55–0,94) voor cardiovasculaire dood, hartinfarct of beroerte</w:t>
      </w:r>
      <w:r>
        <w:rPr>
          <w:rStyle w:val="FootnoteReference"/>
        </w:rPr>
        <w:footnoteReference w:id="494"/>
      </w:r>
      <w:r>
        <w:t xml:space="preserve">. Zulke modelberekeningen berusten op aannames en vervangen geen echte placebovergelijking.</w:t>
      </w:r>
    </w:p>
    <w:bookmarkEnd w:id="495"/>
    <w:bookmarkStart w:id="501" w:name="surmount-obesitas"/>
    <w:p>
      <w:pPr>
        <w:pStyle w:val="Heading4"/>
      </w:pPr>
      <w:r>
        <w:t xml:space="preserve">SURMOUNT: obesitas</w:t>
      </w:r>
    </w:p>
    <w:p>
      <w:pPr>
        <w:pStyle w:val="FirstParagraph"/>
      </w:pPr>
      <w:r>
        <w:t xml:space="preserve">In het obesitasprogramma werd tirzepatide onderzocht bij mensen met een body-mass-index (BMI) vanaf 30 of vanaf 27 plus een bijkomende aandoening, steeds naast voedings- en bewegingsadvies.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SURMOUNT-1 (Jastreboff 2022), PMID 35658024</w:t>
            </w:r>
          </w:p>
        </w:tc>
        <w:tc>
          <w:tcPr/>
          <w:p>
            <w:pPr>
              <w:pStyle w:val="Compact"/>
              <w:jc w:val="left"/>
            </w:pPr>
            <w:r>
              <w:t xml:space="preserve">2.539 volwassenen zonder diabetes, tegen placebo</w:t>
            </w:r>
          </w:p>
        </w:tc>
        <w:tc>
          <w:tcPr/>
          <w:p>
            <w:pPr>
              <w:pStyle w:val="Compact"/>
              <w:jc w:val="left"/>
            </w:pPr>
            <w:r>
              <w:t xml:space="preserve">72 weken</w:t>
            </w:r>
          </w:p>
        </w:tc>
        <w:tc>
          <w:tcPr/>
          <w:p>
            <w:pPr>
              <w:pStyle w:val="Compact"/>
              <w:jc w:val="left"/>
            </w:pPr>
            <w:r>
              <w:t xml:space="preserve">−15,0 / −19,5 / −20,9% gewicht (5/10/15 mg) vs. −3,1%</w:t>
            </w:r>
          </w:p>
        </w:tc>
      </w:tr>
      <w:tr>
        <w:tc>
          <w:tcPr/>
          <w:p>
            <w:pPr>
              <w:pStyle w:val="Compact"/>
              <w:jc w:val="left"/>
            </w:pPr>
            <w:r>
              <w:t xml:space="preserve">SURMOUNT-2 (Garvey 2023), PMID 37385275</w:t>
            </w:r>
          </w:p>
        </w:tc>
        <w:tc>
          <w:tcPr/>
          <w:p>
            <w:pPr>
              <w:pStyle w:val="Compact"/>
              <w:jc w:val="left"/>
            </w:pPr>
            <w:r>
              <w:t xml:space="preserve">938 volwassenen met diabetes type 2, tegen placebo</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volwassenen na een geslaagde leefstijlinterventie van 12 weken</w:t>
            </w:r>
          </w:p>
        </w:tc>
        <w:tc>
          <w:tcPr/>
          <w:p>
            <w:pPr>
              <w:pStyle w:val="Compact"/>
              <w:jc w:val="left"/>
            </w:pPr>
            <w:r>
              <w:t xml:space="preserve">72 weken</w:t>
            </w:r>
          </w:p>
        </w:tc>
        <w:tc>
          <w:tcPr/>
          <w:p>
            <w:pPr>
              <w:pStyle w:val="Compact"/>
              <w:jc w:val="left"/>
            </w:pPr>
            <w:r>
              <w:t xml:space="preserve">extra −18,4% vs. +2,5%</w:t>
            </w:r>
          </w:p>
        </w:tc>
      </w:tr>
      <w:tr>
        <w:tc>
          <w:tcPr/>
          <w:p>
            <w:pPr>
              <w:pStyle w:val="Compact"/>
              <w:jc w:val="left"/>
            </w:pPr>
            <w:r>
              <w:t xml:space="preserve">SURMOUNT-4 (Aronne 2024), PMID 38078870</w:t>
            </w:r>
          </w:p>
        </w:tc>
        <w:tc>
          <w:tcPr/>
          <w:p>
            <w:pPr>
              <w:pStyle w:val="Compact"/>
              <w:jc w:val="left"/>
            </w:pPr>
            <w:r>
              <w:t xml:space="preserve">670 volwassenen na 36 weken tirzepatide, doorgaan vs. stoppen</w:t>
            </w:r>
          </w:p>
        </w:tc>
        <w:tc>
          <w:tcPr/>
          <w:p>
            <w:pPr>
              <w:pStyle w:val="Compact"/>
              <w:jc w:val="left"/>
            </w:pPr>
            <w:r>
              <w:t xml:space="preserve">52 weken (na inleiding)</w:t>
            </w:r>
          </w:p>
        </w:tc>
        <w:tc>
          <w:tcPr/>
          <w:p>
            <w:pPr>
              <w:pStyle w:val="Compact"/>
              <w:jc w:val="left"/>
            </w:pPr>
            <w:r>
              <w:t xml:space="preserve">−5,5% doorgaan vs. +14,0% hertoename</w:t>
            </w:r>
          </w:p>
        </w:tc>
      </w:tr>
      <w:tr>
        <w:tc>
          <w:tcPr/>
          <w:p>
            <w:pPr>
              <w:pStyle w:val="Compact"/>
              <w:jc w:val="left"/>
            </w:pPr>
            <w:r>
              <w:t xml:space="preserve">SURMOUNT-5 (Aronne 2025), PMID 40353578</w:t>
            </w:r>
          </w:p>
        </w:tc>
        <w:tc>
          <w:tcPr/>
          <w:p>
            <w:pPr>
              <w:pStyle w:val="Compact"/>
              <w:jc w:val="left"/>
            </w:pPr>
            <w:r>
              <w:t xml:space="preserve">751 volwassenen zonder diabetes, open tegen semaglutide 2,4 mg</w:t>
            </w:r>
          </w:p>
        </w:tc>
        <w:tc>
          <w:tcPr/>
          <w:p>
            <w:pPr>
              <w:pStyle w:val="Compact"/>
              <w:jc w:val="left"/>
            </w:pPr>
            <w:r>
              <w:t xml:space="preserve">72 weken</w:t>
            </w:r>
          </w:p>
        </w:tc>
        <w:tc>
          <w:tcPr/>
          <w:p>
            <w:pPr>
              <w:pStyle w:val="Compact"/>
              <w:jc w:val="left"/>
            </w:pPr>
            <w:r>
              <w:t xml:space="preserve">−20,2% vs. −13,7%</w:t>
            </w:r>
          </w:p>
        </w:tc>
      </w:tr>
      <w:tr>
        <w:tc>
          <w:tcPr/>
          <w:p>
            <w:pPr>
              <w:pStyle w:val="Compact"/>
              <w:jc w:val="left"/>
            </w:pPr>
            <w:r>
              <w:t xml:space="preserve">SURMOUNT-1, 3-jaarsgegevens (Jastreboff 2025), PMID 39536238</w:t>
            </w:r>
          </w:p>
        </w:tc>
        <w:tc>
          <w:tcPr/>
          <w:p>
            <w:pPr>
              <w:pStyle w:val="Compact"/>
              <w:jc w:val="left"/>
            </w:pPr>
            <w:r>
              <w:t xml:space="preserve">1.032 volwassenen met obesitas en prediabetes</w:t>
            </w:r>
          </w:p>
        </w:tc>
        <w:tc>
          <w:tcPr/>
          <w:p>
            <w:pPr>
              <w:pStyle w:val="Compact"/>
              <w:jc w:val="left"/>
            </w:pPr>
            <w:r>
              <w:t xml:space="preserve">176 weken</w:t>
            </w:r>
          </w:p>
        </w:tc>
        <w:tc>
          <w:tcPr/>
          <w:p>
            <w:pPr>
              <w:pStyle w:val="Compact"/>
              <w:jc w:val="left"/>
            </w:pPr>
            <w:r>
              <w:t xml:space="preserve">−12,3 tot −19,7% vs. −1,3%; diabetes type 2 1,3% vs. 13,3%</w:t>
            </w:r>
          </w:p>
        </w:tc>
      </w:tr>
    </w:tbl>
    <w:p>
      <w:pPr>
        <w:pStyle w:val="BodyText"/>
      </w:pPr>
      <w:r>
        <w:rPr>
          <w:bCs/>
          <w:b/>
        </w:rPr>
        <w:t xml:space="preserve">SURMOUNT-1</w:t>
      </w:r>
      <w:r>
        <w:t xml:space="preserve"> </w:t>
      </w:r>
      <w:r>
        <w:t xml:space="preserve">was de studie die tirzepatide als obesitasgeneesmiddel bekend maakte. Bij een uitgangsgewicht van gemiddeld 104,8 kg verloren de deelnemers in de hoogste dosis gemiddeld 20,9% van hun lichaamsgewicht. 57% in de 15-mg-groep bereikte ten minste 20% gewichtsverlies, onder placebo 3%. Vanwege bijwerkingen stopte 4,3–7,1% met tirzepatide en 2,6% met placebo met de behandeling</w:t>
      </w:r>
      <w:r>
        <w:rPr>
          <w:rStyle w:val="FootnoteReference"/>
        </w:rPr>
        <w:footnoteReference w:id="496"/>
      </w:r>
      <w:r>
        <w:t xml:space="preserve">.</w:t>
      </w:r>
    </w:p>
    <w:p>
      <w:pPr>
        <w:pStyle w:val="BodyText"/>
      </w:pPr>
      <w:r>
        <w:rPr>
          <w:bCs/>
          <w:b/>
        </w:rPr>
        <w:t xml:space="preserve">Mensen met diabetes type 2</w:t>
      </w:r>
      <w:r>
        <w:t xml:space="preserve"> </w:t>
      </w:r>
      <w:r>
        <w:t xml:space="preserve">verliezen met alle incretinegeneesmiddelen minder gewicht dan mensen zonder diabetes. Dat liet ook SURMOUNT-2 zien: het verschil met placebo bedroeg 9,6 respectievelijk 11,6 procentpunten</w:t>
      </w:r>
      <w:r>
        <w:rPr>
          <w:rStyle w:val="FootnoteReference"/>
        </w:rPr>
        <w:footnoteReference w:id="497"/>
      </w:r>
      <w:r>
        <w:t xml:space="preserve">.</w:t>
      </w:r>
    </w:p>
    <w:p>
      <w:pPr>
        <w:pStyle w:val="BodyText"/>
      </w:pPr>
      <w:r>
        <w:rPr>
          <w:bCs/>
          <w:b/>
        </w:rPr>
        <w:t xml:space="preserve">Wat gebeurt er na het stoppen?</w:t>
      </w:r>
      <w:r>
        <w:t xml:space="preserve"> </w:t>
      </w:r>
      <w:r>
        <w:t xml:space="preserve">SURMOUNT-4 beantwoordde deze vraag met een „randomized withdrawal”-opzet: iedereen kreeg eerst 36 weken tirzepatide en verloor gemiddeld 20,9%. Daarna werd geloot wie verder tirzepatide en wie ongemerkt placebo kreeg. In de volgende 52 weken kwam de placebogroep 14,0% weer aan, de tirzepatidegroep verloor nog eens 5,5%. Over de hele studieduur bedroeg het gewichtsverlies 25,3% tegenover 9,9%</w:t>
      </w:r>
      <w:r>
        <w:rPr>
          <w:rStyle w:val="FootnoteReference"/>
        </w:rPr>
        <w:footnoteReference w:id="498"/>
      </w:r>
      <w:r>
        <w:t xml:space="preserve">. De boodschap van de auteurs: obesitas gedraagt zich als een chronische ziekte waarvan de behandeling meestal blijvend moet zijn.</w:t>
      </w:r>
    </w:p>
    <w:p>
      <w:pPr>
        <w:pStyle w:val="BodyText"/>
      </w:pPr>
      <w:r>
        <w:rPr>
          <w:bCs/>
          <w:b/>
        </w:rPr>
        <w:t xml:space="preserve">Lagere onderhoudsdosis:</w:t>
      </w:r>
      <w:r>
        <w:t xml:space="preserve"> </w:t>
      </w:r>
      <w:r>
        <w:t xml:space="preserve">of men na het afvallen kan overstappen op een lagere dosis, onderzocht SURMOUNT-MAINTAIN met 378 gerandomiseerde personen in de VS. Na 60 weken op de hoogste dosis werden ze over drie groepen verdeeld. In week 112 lag het gewichtsverlies sinds het begin van de studie op −21,9% (hoogste dosis voortgezet), −16,6% (verlaging naar 5 mg) en −9,9% (placebo). Een noodbehandeling wegens hertoename van ten minste 50% hadden 8%, 25% respectievelijk 67% nodig</w:t>
      </w:r>
      <w:r>
        <w:rPr>
          <w:rStyle w:val="FootnoteReference"/>
        </w:rPr>
        <w:footnoteReference w:id="499"/>
      </w:r>
      <w:r>
        <w:t xml:space="preserve">. Dosisverlaging is dus een tussenoplossing met individueel zeer wisselend succes.</w:t>
      </w:r>
    </w:p>
    <w:p>
      <w:pPr>
        <w:pStyle w:val="BodyText"/>
      </w:pPr>
      <w:r>
        <w:rPr>
          <w:bCs/>
          <w:b/>
        </w:rPr>
        <w:t xml:space="preserve">Diabetespreventie:</w:t>
      </w:r>
      <w:r>
        <w:t xml:space="preserve"> </w:t>
      </w:r>
      <w:r>
        <w:t xml:space="preserve">in de driejaarsanalyse van SURMOUNT-1 bij personen met prediabetes (voorstadium van diabetes) ontwikkelde 1,3% met tirzepatide en 13,3% met placebo diabetes type 2. Ook 17 weken na het stoppen bleef het verschil duidelijk (2,4% vs. 13,7%). Nieuwe veiligheidssignalen kwamen in deze drie jaar niet naar voren</w:t>
      </w:r>
      <w:r>
        <w:rPr>
          <w:rStyle w:val="FootnoteReference"/>
        </w:rPr>
        <w:footnoteReference w:id="500"/>
      </w:r>
      <w:r>
        <w:t xml:space="preserve">.</w:t>
      </w:r>
    </w:p>
    <w:bookmarkEnd w:id="501"/>
    <w:bookmarkStart w:id="504" w:name="surmount-5-tirzepatide-tegen-semaglutide"/>
    <w:p>
      <w:pPr>
        <w:pStyle w:val="Heading4"/>
      </w:pPr>
      <w:r>
        <w:t xml:space="preserve">SURMOUNT-5: tirzepatide tegen semaglutide</w:t>
      </w:r>
    </w:p>
    <w:p>
      <w:pPr>
        <w:pStyle w:val="FirstParagraph"/>
      </w:pPr>
      <w:r>
        <w:t xml:space="preserve">De door velen verwachte directe vergelijking bij obesitas zonder diabetes leverde SURMOUNT-5</w:t>
      </w:r>
      <w:r>
        <w:rPr>
          <w:rStyle w:val="FootnoteReference"/>
        </w:rPr>
        <w:footnoteReference w:id="502"/>
      </w:r>
      <w:r>
        <w:t xml:space="preserve">. 751 volwassenen kregen open (dus zonder blindering) de telkens hoogst verdragen dosis tirzepatide (10 of 15 mg) of semaglutide (1,7 of 2,4 mg). Na 72 weken:</w:t>
      </w:r>
    </w:p>
    <w:p>
      <w:pPr>
        <w:numPr>
          <w:ilvl w:val="0"/>
          <w:numId w:val="1061"/>
        </w:numPr>
        <w:pStyle w:val="Compact"/>
      </w:pPr>
      <w:r>
        <w:t xml:space="preserve">Gewichtsverandering: −20,2% met tirzepatide tegenover −13,7% met semaglutide.</w:t>
      </w:r>
    </w:p>
    <w:p>
      <w:pPr>
        <w:numPr>
          <w:ilvl w:val="0"/>
          <w:numId w:val="1061"/>
        </w:numPr>
        <w:pStyle w:val="Compact"/>
      </w:pPr>
      <w:r>
        <w:t xml:space="preserve">Buikomvang: −18,4 cm tegenover −13,0 cm.</w:t>
      </w:r>
    </w:p>
    <w:p>
      <w:pPr>
        <w:numPr>
          <w:ilvl w:val="0"/>
          <w:numId w:val="1061"/>
        </w:numPr>
        <w:pStyle w:val="Compact"/>
      </w:pPr>
      <w:r>
        <w:t xml:space="preserve">Meer deelnemers met tirzepatide bereikten elk van de drempels 10, 15, 20 en 25%.</w:t>
      </w:r>
    </w:p>
    <w:p>
      <w:pPr>
        <w:numPr>
          <w:ilvl w:val="0"/>
          <w:numId w:val="1061"/>
        </w:numPr>
        <w:pStyle w:val="Compact"/>
      </w:pPr>
      <w:r>
        <w:t xml:space="preserve">De bijwerkingen waren in beide groepen overwegend maag-darmklachten, meestal licht tot matig en vooral in de opbouwfase.</w:t>
      </w:r>
    </w:p>
    <w:p>
      <w:pPr>
        <w:pStyle w:val="FirstParagraph"/>
      </w:pPr>
      <w:r>
        <w:t xml:space="preserve">Een nadere analyse liet zien dat 44% met tirzepatide en 21% met semaglutide tegen week 24 al ten minste 15% was afgevallen („snelle responders”). Zij hadden iets meer maag-darm- en galweggebeurtenissen, maar stopten niet vaker met de behandeling</w:t>
      </w:r>
      <w:r>
        <w:rPr>
          <w:rStyle w:val="FootnoteReference"/>
        </w:rPr>
        <w:footnoteReference w:id="503"/>
      </w:r>
      <w:r>
        <w:t xml:space="preserve">.</w:t>
      </w:r>
    </w:p>
    <w:p>
      <w:pPr>
        <w:pStyle w:val="BodyText"/>
      </w:pPr>
      <w:r>
        <w:t xml:space="preserve">Ter plaatsing: SURMOUNT-5 werd gefinancierd door de fabrikant van tirzepatide en open uitgevoerd. Het verschil is toch groot genoeg dat het nauwelijks alleen door deze beperkingen te verklaren is. Een vergelijking van alle GLP-1-geneesmiddelen vind je in deel III.</w:t>
      </w:r>
    </w:p>
    <w:bookmarkEnd w:id="504"/>
    <w:bookmarkStart w:id="507" w:name="hartfalen-summit"/>
    <w:p>
      <w:pPr>
        <w:pStyle w:val="Heading4"/>
      </w:pPr>
      <w:r>
        <w:t xml:space="preserve">Hartfalen: SUMMIT</w:t>
      </w:r>
    </w:p>
    <w:p>
      <w:pPr>
        <w:pStyle w:val="FirstParagraph"/>
      </w:pPr>
      <w:r>
        <w:t xml:space="preserve">Hartfalen met behouden pompfunctie (HFpEF) is een veelvoorkomende vorm van hartfalen waarbij het hart weliswaar normaal uitpompt, maar zich slecht vult. Obesitas is een belangrijke aanjager. In SUMMIT werden 731 mensen met HFpEF en een BMI vanaf 30 gerandomiseerd naar tirzepatide of placebo en mediaan 104 weken gevolgd</w:t>
      </w:r>
      <w:r>
        <w:rPr>
          <w:rStyle w:val="FootnoteReference"/>
        </w:rPr>
        <w:footnoteReference w:id="505"/>
      </w:r>
      <w:r>
        <w:t xml:space="preserve">.</w:t>
      </w:r>
    </w:p>
    <w:p>
      <w:pPr>
        <w:numPr>
          <w:ilvl w:val="0"/>
          <w:numId w:val="1062"/>
        </w:numPr>
        <w:pStyle w:val="Compact"/>
      </w:pPr>
      <w:r>
        <w:t xml:space="preserve">Cardiovasculaire dood of verslechtering van het hartfalen: 9,9% met tirzepatide vs. 15,3% met placebo (hazard ratio 0,62; 95%-BI 0,41–0,95).</w:t>
      </w:r>
    </w:p>
    <w:p>
      <w:pPr>
        <w:numPr>
          <w:ilvl w:val="0"/>
          <w:numId w:val="1062"/>
        </w:numPr>
        <w:pStyle w:val="Compact"/>
      </w:pPr>
      <w:r>
        <w:t xml:space="preserve">Dit verschil berustte op minder verslechteringsgebeurtenissen (8,0% vs. 14,2%). Cardiovasculaire sterfgevallen waren zeldzaam en kwamen in aantal onder tirzepatide zelfs iets vaker voor (2,2% vs. 1,4%), met een zeer brede onzekerheidsmarge.</w:t>
      </w:r>
    </w:p>
    <w:p>
      <w:pPr>
        <w:numPr>
          <w:ilvl w:val="0"/>
          <w:numId w:val="1062"/>
        </w:numPr>
        <w:pStyle w:val="Compact"/>
      </w:pPr>
      <w:r>
        <w:t xml:space="preserve">De kwaliteit van leven (KCCQ-vragenlijst) verbeterde sterker: +19,5 tegenover +12,7 punten.</w:t>
      </w:r>
    </w:p>
    <w:p>
      <w:pPr>
        <w:numPr>
          <w:ilvl w:val="0"/>
          <w:numId w:val="1062"/>
        </w:numPr>
        <w:pStyle w:val="Compact"/>
      </w:pPr>
      <w:r>
        <w:t xml:space="preserve">Stoppen wegens bijwerkingen: 6,3% vs. 1,4%.</w:t>
      </w:r>
    </w:p>
    <w:p>
      <w:pPr>
        <w:pStyle w:val="FirstParagraph"/>
      </w:pPr>
      <w:r>
        <w:t xml:space="preserve">Een hart-MRI-substudie liet een afname zien van de linkerventrikelspiermassa en van het vetweefsel rond het hart</w:t>
      </w:r>
      <w:r>
        <w:rPr>
          <w:rStyle w:val="FootnoteReference"/>
        </w:rPr>
        <w:footnoteReference w:id="506"/>
      </w:r>
      <w:r>
        <w:t xml:space="preserve">. Met 731 personen en 92 eindpuntgebeurtenissen is SUMMIT een relatief kleine uitkomststudie; de resultaten zijn bemoedigend, maar niet zo solide als gegevens uit studies met duizenden deelnemers.</w:t>
      </w:r>
    </w:p>
    <w:bookmarkEnd w:id="507"/>
    <w:bookmarkStart w:id="509" w:name="obstructieve-slaapapneu-surmount-osa"/>
    <w:p>
      <w:pPr>
        <w:pStyle w:val="Heading4"/>
      </w:pPr>
      <w:r>
        <w:t xml:space="preserve">Obstructieve slaapapneu: SURMOUNT-OSA</w:t>
      </w:r>
    </w:p>
    <w:p>
      <w:pPr>
        <w:pStyle w:val="FirstParagraph"/>
      </w:pPr>
      <w:r>
        <w:t xml:space="preserve">Bij obstructieve slaapapneu vallen de bovenste luchtwegen tijdens de slaap telkens dicht; de ademhaling stopt (apneu) of wordt oppervlakkig (hypopneu). De apneu-hypopneu-index (AHI) telt deze gebeurtenissen per uur; vanaf 30 geldt de slaapapneu als ernstig. Overgewicht is een belangrijke risicofactor.</w:t>
      </w:r>
    </w:p>
    <w:p>
      <w:pPr>
        <w:pStyle w:val="BodyText"/>
      </w:pPr>
      <w:r>
        <w:t xml:space="preserve">SURMOUNT-OSA bestond uit twee parallelle studies met mensen met obesitas en matige tot ernstige slaapapneu: zonder ademhalingsmaskertherapie (studie 1) en met ademhalingsmasker (CPAP, studie 2). Uitgangs-AHI ongeveer 50 gebeurtenissen per uur. Na 52 weken</w:t>
      </w:r>
      <w:r>
        <w:rPr>
          <w:rStyle w:val="FootnoteReference"/>
        </w:rPr>
        <w:footnoteReference w:id="508"/>
      </w:r>
      <w:r>
        <w:t xml:space="preserve">:</w:t>
      </w:r>
    </w:p>
    <w:p>
      <w:pPr>
        <w:numPr>
          <w:ilvl w:val="0"/>
          <w:numId w:val="1063"/>
        </w:numPr>
        <w:pStyle w:val="Compact"/>
      </w:pPr>
      <w:r>
        <w:t xml:space="preserve">Studie 1: AHI −25,3 gebeurtenissen/uur met tirzepatide vs. −5,3 met placebo.</w:t>
      </w:r>
    </w:p>
    <w:p>
      <w:pPr>
        <w:numPr>
          <w:ilvl w:val="0"/>
          <w:numId w:val="1063"/>
        </w:numPr>
        <w:pStyle w:val="Compact"/>
      </w:pPr>
      <w:r>
        <w:t xml:space="preserve">Studie 2: AHI −29,3 vs. −5,5.</w:t>
      </w:r>
    </w:p>
    <w:p>
      <w:pPr>
        <w:numPr>
          <w:ilvl w:val="0"/>
          <w:numId w:val="1063"/>
        </w:numPr>
        <w:pStyle w:val="Compact"/>
      </w:pPr>
      <w:r>
        <w:t xml:space="preserve">Daarnaast verbeterden de belasting door zuurstoftekort, ontstekingsmarkers (hsCRP), bloeddruk en door de deelnemers gerapporteerde slaapklachten.</w:t>
      </w:r>
    </w:p>
    <w:p>
      <w:pPr>
        <w:pStyle w:val="FirstParagraph"/>
      </w:pPr>
      <w:r>
        <w:t xml:space="preserve">Op deze basis werd tirzepatide in de VS geregistreerd als eerste geneesmiddel voor de behandeling van slaapapneu bij obesitas. Een ademhalingsmasker vervangt het niet automatisch: ook na de daling lag de AHI bij veel deelnemers nog in het gebied waarin behandeling nodig is. De beslissing over de therapie hoort in handen van slaapgeneeskundigen.</w:t>
      </w:r>
    </w:p>
    <w:bookmarkEnd w:id="509"/>
    <w:bookmarkStart w:id="511" w:name="leververvetting-mash"/>
    <w:p>
      <w:pPr>
        <w:pStyle w:val="Heading4"/>
      </w:pPr>
      <w:r>
        <w:t xml:space="preserve">Leververvetting (MASH)</w:t>
      </w:r>
    </w:p>
    <w:p>
      <w:pPr>
        <w:pStyle w:val="FirstParagraph"/>
      </w:pPr>
      <w:r>
        <w:t xml:space="preserve">Metabool bepaalde steatohepatitis (MASH, vroeger NASH) is een ontstekingsvorm van leververvetting die kan voortschrijden tot littekenvorming (fibrose) en cirrose. In de fase 2-studie SYNERGY-NASH kregen 190 personen met door biopsie bevestigde MASH en matige tot ernstige fibrose tirzepatide of placebo. Na 52 weken verdween de MASH zonder verslechtering van de fibrose bij 44–62% met tirzepatide tegenover 10% met placebo; een verbetering van de fibrose met ten minste één stadium lieten 51–55% tegenover 30% zien</w:t>
      </w:r>
      <w:r>
        <w:rPr>
          <w:rStyle w:val="FootnoteReference"/>
        </w:rPr>
        <w:footnoteReference w:id="510"/>
      </w:r>
      <w:r>
        <w:t xml:space="preserve">. Een fase 3-studie loopt (zie vooruitzichten).</w:t>
      </w:r>
    </w:p>
    <w:bookmarkEnd w:id="511"/>
    <w:bookmarkStart w:id="514" w:name="X4d8051020440205ebb57a7c646617f409bc06cc"/>
    <w:p>
      <w:pPr>
        <w:pStyle w:val="Heading4"/>
      </w:pPr>
      <w:r>
        <w:t xml:space="preserve">Andere toepassingsgebieden en meta-analyses</w:t>
      </w:r>
    </w:p>
    <w:p>
      <w:pPr>
        <w:pStyle w:val="FirstParagraph"/>
      </w:pPr>
      <w:r>
        <w:t xml:space="preserve">De literatuur over tirzepatide groeit zeer snel. Naast de grote programma’s zijn er studies naar psoriasis en artritis psoriatica in combinatie met biologische geneesmiddelen: in een open fase 3b-studie met 274 personen bereikte onder ixekizumab plus tirzepatide 27,1% tegelijk een volledige genezing van de huidletsels (PASI 100) en ten minste 10% gewichtsverlies, onder ixekizumab alleen 5,8%</w:t>
      </w:r>
      <w:r>
        <w:rPr>
          <w:rStyle w:val="FootnoteReference"/>
        </w:rPr>
        <w:footnoteReference w:id="512"/>
      </w:r>
      <w:r>
        <w:t xml:space="preserve">. Andere publicaties gaan over polycysteus ovariumsyndroom, de nierfunctie en Azië-specifieke populaties (SURMOUNT-J, SURMOUNT-CN, SURPASS-AP-Combo). Een volledige weergave van alle afzonderlijke studies zou het kader te buiten gaan; ze zijn opgenomen in de studielijst in de bijlage.</w:t>
      </w:r>
    </w:p>
    <w:p>
      <w:pPr>
        <w:pStyle w:val="BodyText"/>
      </w:pPr>
      <w:r>
        <w:t xml:space="preserve">Over de lichaamssamenstelling: in een DXA-substudie van SURMOUNT-1 met 160 personen bestond ongeveer 75% van het verloren gewicht uit vet en ongeveer 25% uit vetvrije massa (waartoe de spieren behoren) – in dezelfde verhouding als in de placebogroep</w:t>
      </w:r>
      <w:r>
        <w:rPr>
          <w:rStyle w:val="FootnoteReference"/>
        </w:rPr>
        <w:footnoteReference w:id="513"/>
      </w:r>
      <w:r>
        <w:t xml:space="preserve">. De zorg over spierverlies is dus terecht, maar geen effect dat specifiek is voor tirzepatide; het is typisch voor elk duidelijk gewichtsverlies.</w:t>
      </w:r>
    </w:p>
    <w:bookmarkEnd w:id="514"/>
    <w:bookmarkEnd w:id="515"/>
    <w:bookmarkStart w:id="519" w:name="dier--en-laboratoriumstudies-4"/>
    <w:p>
      <w:pPr>
        <w:pStyle w:val="Heading3"/>
      </w:pPr>
      <w:r>
        <w:t xml:space="preserve">Dier- en laboratoriumstudies</w:t>
      </w:r>
    </w:p>
    <w:p>
      <w:pPr>
        <w:pStyle w:val="FirstParagraph"/>
      </w:pPr>
      <w:r>
        <w:t xml:space="preserve">De preklinische ontwikkeling is ongewoon goed gepubliceerd. In celkweken activeert tirzepatide beide receptoren; bij muizen verlaagde het gewicht en voedselinname sterker dan een zuivere GLP-1-agonist</w:t>
      </w:r>
      <w:r>
        <w:rPr>
          <w:rStyle w:val="FootnoteReference"/>
        </w:rPr>
        <w:footnoteReference w:id="516"/>
      </w:r>
      <w:r>
        <w:t xml:space="preserve">. Studies bij muizen zonder werkende GLP-1-receptor lieten zien dat het GIP-aandeel de insulinegevoeligheid in het vetweefsel verbetert</w:t>
      </w:r>
      <w:r>
        <w:rPr>
          <w:rStyle w:val="FootnoteReference"/>
        </w:rPr>
        <w:footnoteReference w:id="517"/>
      </w:r>
      <w:r>
        <w:t xml:space="preserve">. Over de verdeling en afbraak in het lichaam zijn er onderzoeken bij mensen, ratten en apen: het molecuul wordt gemetaboliseerd via splitsing van het peptideskelet en afbraak van de vetzuurketen; bij de mens werd ongeveer 66% van de gemerkte stof teruggevonden in de urine en ongeveer 33% in de ontlasting, onveranderd tirzepatide daarentegen in geen van beide</w:t>
      </w:r>
      <w:r>
        <w:rPr>
          <w:rStyle w:val="FootnoteReference"/>
        </w:rPr>
        <w:footnoteReference w:id="518"/>
      </w:r>
      <w:r>
        <w:t xml:space="preserve">.</w:t>
      </w:r>
    </w:p>
    <w:p>
      <w:pPr>
        <w:pStyle w:val="BodyText"/>
      </w:pPr>
      <w:r>
        <w:t xml:space="preserve">Zoals bij alle langwerkende GLP-1-agonisten traden in langetermijnstudies bij knaagdieren tumoren van de C-cellen van de schildklier op. Of deze bevinding naar de mens te vertalen is, is onduidelijk, omdat knaagdieren duidelijk meer GLP-1-receptoren op deze cellen dragen. Dit dierresultaat is de basis voor de waarschuwingen in de productinformatie (zie hieronder).</w:t>
      </w:r>
    </w:p>
    <w:bookmarkEnd w:id="519"/>
    <w:bookmarkStart w:id="528" w:name="risicos-en-bijwerkingen-4"/>
    <w:p>
      <w:pPr>
        <w:pStyle w:val="Heading3"/>
      </w:pPr>
      <w:r>
        <w:t xml:space="preserve">Risico’s en bijwerkingen</w:t>
      </w:r>
    </w:p>
    <w:p>
      <w:pPr>
        <w:pStyle w:val="FirstParagraph"/>
      </w:pPr>
      <w:r>
        <w:rPr>
          <w:bCs/>
          <w:b/>
        </w:rPr>
        <w:t xml:space="preserve">Aangetoond in studies:</w:t>
      </w:r>
    </w:p>
    <w:p>
      <w:pPr>
        <w:numPr>
          <w:ilvl w:val="0"/>
          <w:numId w:val="1064"/>
        </w:numPr>
        <w:pStyle w:val="Compact"/>
      </w:pPr>
      <w:r>
        <w:rPr>
          <w:bCs/>
          <w:b/>
        </w:rPr>
        <w:t xml:space="preserve">Maag-darmklachten</w:t>
      </w:r>
      <w:r>
        <w:t xml:space="preserve"> </w:t>
      </w:r>
      <w:r>
        <w:t xml:space="preserve">zijn verreweg het meest voorkomend: misselijkheid, diarree, braken, obstipatie, verminderde eetlust. In SURPASS-3 meldde 12–24% misselijkheid, 15–17% diarree en 6–10% braken</w:t>
      </w:r>
      <w:r>
        <w:rPr>
          <w:rStyle w:val="FootnoteReference"/>
        </w:rPr>
        <w:footnoteReference w:id="520"/>
      </w:r>
      <w:r>
        <w:t xml:space="preserve">. De klachten treden vooral op in de opbouwfase en nemen meestal af. Ze zijn de meest voorkomende reden om met de therapie te stoppen.</w:t>
      </w:r>
    </w:p>
    <w:p>
      <w:pPr>
        <w:numPr>
          <w:ilvl w:val="0"/>
          <w:numId w:val="1064"/>
        </w:numPr>
        <w:pStyle w:val="Compact"/>
      </w:pPr>
      <w:r>
        <w:rPr>
          <w:bCs/>
          <w:b/>
        </w:rPr>
        <w:t xml:space="preserve">Galblaas en galwegen:</w:t>
      </w:r>
      <w:r>
        <w:t xml:space="preserve"> </w:t>
      </w:r>
      <w:r>
        <w:t xml:space="preserve">een meta-analyse van negen studies met 9.871 deelnemers vond een verhoogd risico voor de verzamelcategorie aandoeningen van galblaas of galwegen ten opzichte van placebo of insuline (relatief risico 1,97; 95%-BI 1,14–3,42), voor alvleesklierontsteking (pancreatitis) daarentegen geen statistisch significante stijging</w:t>
      </w:r>
      <w:r>
        <w:rPr>
          <w:rStyle w:val="FootnoteReference"/>
        </w:rPr>
        <w:footnoteReference w:id="521"/>
      </w:r>
      <w:r>
        <w:t xml:space="preserve">. Snel gewichtsverlies zelf bevordert galstenen.</w:t>
      </w:r>
    </w:p>
    <w:p>
      <w:pPr>
        <w:numPr>
          <w:ilvl w:val="0"/>
          <w:numId w:val="1064"/>
        </w:numPr>
        <w:pStyle w:val="Compact"/>
      </w:pPr>
      <w:r>
        <w:rPr>
          <w:bCs/>
          <w:b/>
        </w:rPr>
        <w:t xml:space="preserve">Hypoglykemie:</w:t>
      </w:r>
      <w:r>
        <w:t xml:space="preserve"> </w:t>
      </w:r>
      <w:r>
        <w:t xml:space="preserve">op zichzelf zeldzaam. Het risico stijgt wanneer tegelijk insuline of sulfonylureumderivaten worden gebruikt – in SURPASS-4 traden hypoglykemieën zonder sulfonylureumderivaat op bij 1–3%</w:t>
      </w:r>
      <w:r>
        <w:rPr>
          <w:rStyle w:val="FootnoteReference"/>
        </w:rPr>
        <w:footnoteReference w:id="522"/>
      </w:r>
      <w:r>
        <w:t xml:space="preserve">.</w:t>
      </w:r>
    </w:p>
    <w:p>
      <w:pPr>
        <w:numPr>
          <w:ilvl w:val="0"/>
          <w:numId w:val="1064"/>
        </w:numPr>
        <w:pStyle w:val="Compact"/>
      </w:pPr>
      <w:r>
        <w:rPr>
          <w:bCs/>
          <w:b/>
        </w:rPr>
        <w:t xml:space="preserve">Psychische gezondheid:</w:t>
      </w:r>
      <w:r>
        <w:t xml:space="preserve"> </w:t>
      </w:r>
      <w:r>
        <w:t xml:space="preserve">een nadere analyse van SURMOUNT-1 tot en met -3 met 4.056 personen zonder bekende ernstige psychische aandoening vond geen aanwijzing voor meer depressies; suïcidale gedachten werden in beide groepen door 0,6% gemeld</w:t>
      </w:r>
      <w:r>
        <w:rPr>
          <w:rStyle w:val="FootnoteReference"/>
        </w:rPr>
        <w:footnoteReference w:id="523"/>
      </w:r>
      <w:r>
        <w:t xml:space="preserve">. Voor mensen met ernstige psychische aandoeningen ontbreken voldoende gegevens.</w:t>
      </w:r>
    </w:p>
    <w:p>
      <w:pPr>
        <w:numPr>
          <w:ilvl w:val="0"/>
          <w:numId w:val="1064"/>
        </w:numPr>
        <w:pStyle w:val="Compact"/>
      </w:pPr>
      <w:r>
        <w:rPr>
          <w:bCs/>
          <w:b/>
        </w:rPr>
        <w:t xml:space="preserve">Verlies van vetvrije massa:</w:t>
      </w:r>
      <w:r>
        <w:t xml:space="preserve"> </w:t>
      </w:r>
      <w:r>
        <w:t xml:space="preserve">ongeveer een kwart van het verloren gewicht</w:t>
      </w:r>
      <w:r>
        <w:rPr>
          <w:rStyle w:val="FootnoteReference"/>
        </w:rPr>
        <w:footnoteReference w:id="524"/>
      </w:r>
      <w:r>
        <w:t xml:space="preserve">. Krachttraining en voldoende eiwitinname worden in vakkringen aanbevolen om dit tegen te gaan; harde studiegegevens over het functionele nut zijn beperkt.</w:t>
      </w:r>
    </w:p>
    <w:p>
      <w:pPr>
        <w:pStyle w:val="FirstParagraph"/>
      </w:pPr>
      <w:r>
        <w:rPr>
          <w:bCs/>
          <w:b/>
        </w:rPr>
        <w:t xml:space="preserve">Uit gegevens na de marktintroductie:</w:t>
      </w:r>
      <w:r>
        <w:t xml:space="preserve"> </w:t>
      </w:r>
      <w:r>
        <w:t xml:space="preserve">een analyse van de Amerikaanse bijwerkingendatabase FAERS vond onevenredig veel meldingen van misselijkheid, pancreatitis, diabetische netvliesaandoening en medullaire schildklierkanker – vergeleken met andere GLP-1-agonisten echter geen verhoogd risico</w:t>
      </w:r>
      <w:r>
        <w:rPr>
          <w:rStyle w:val="FootnoteReference"/>
        </w:rPr>
        <w:footnoteReference w:id="525"/>
      </w:r>
      <w:r>
        <w:t xml:space="preserve">. Zulke meldgegevens tonen signalen, geen oorzaken: bekende risico’s worden vaker gemeld. In een grote cohortstudie met meer dan 46.000 paren in de routinezorg verschilde het risico op ernstige maag-darmgebeurtenissen (pancreatitis, galwegaandoeningen, darmobstructie, maagverlamming, ernstige obstipatie) tussen tirzepatide en semaglutide niet wezenlijk (hazard ratio 1,07; 95%-BI 0,90–1,26)</w:t>
      </w:r>
      <w:r>
        <w:rPr>
          <w:rStyle w:val="FootnoteReference"/>
        </w:rPr>
        <w:footnoteReference w:id="526"/>
      </w:r>
      <w:r>
        <w:t xml:space="preserve">.</w:t>
      </w:r>
    </w:p>
    <w:p>
      <w:pPr>
        <w:pStyle w:val="BodyText"/>
      </w:pPr>
      <w:r>
        <w:rPr>
          <w:bCs/>
          <w:b/>
        </w:rPr>
        <w:t xml:space="preserve">Theoretisch of afgeleid uit dierdata:</w:t>
      </w:r>
      <w:r>
        <w:t xml:space="preserve"> </w:t>
      </w:r>
      <w:r>
        <w:t xml:space="preserve">medullaire schildklierkanker (dierbevinding, zie hierboven). Daarom geldt in de productinformatie een waarschuwing respectievelijk een contra-indicatie bij medullair schildkliercarcinoom in de eigen of familiaire voorgeschiedenis en bij het MEN-2-syndroom.</w:t>
      </w:r>
    </w:p>
    <w:p>
      <w:pPr>
        <w:pStyle w:val="BodyText"/>
      </w:pPr>
      <w:r>
        <w:rPr>
          <w:bCs/>
          <w:b/>
        </w:rPr>
        <w:t xml:space="preserve">Belangrijk voor de praktijk (volgens de productinformatie, niet bedoeld als instructie):</w:t>
      </w:r>
      <w:r>
        <w:t xml:space="preserve"> </w:t>
      </w:r>
      <w:r>
        <w:t xml:space="preserve">de vertraagde maaglediging kan de opname van tabletten beïnvloeden, wat bijvoorbeeld relevant is voor de anticonceptiepil. Tijdens zwangerschap en borstvoeding wordt tirzepatide niet gebruikt. Vóór operaties onder narcose moet rekening worden gehouden met de vertraagde maaglediging. Over alle details informeren de productinformatie en de behandelend arts.</w:t>
      </w:r>
    </w:p>
    <w:p>
      <w:pPr>
        <w:pStyle w:val="BodyText"/>
      </w:pPr>
      <w:r>
        <w:rPr>
          <w:bCs/>
          <w:b/>
        </w:rPr>
        <w:t xml:space="preserve">Nagemaakte producten:</w:t>
      </w:r>
      <w:r>
        <w:t xml:space="preserve"> </w:t>
      </w:r>
      <w:r>
        <w:t xml:space="preserve">tijdens de leveringstekorten van 2022 tot 2024 werden in de VS tirzepatidebereidingen in apotheken gemaakt („compounding”), tegelijk ontstond een grote online grijze markt. Een onderzoek uit 2025 vond 33 bereidingen met semaglutide of tirzepatide in toedieningsvormen die niet geregistreerd zijn – zoals zuigtabletten of mengsels met vitaminen; gegevens over werkzaamheid en veiligheid ontbreken voor deze producten</w:t>
      </w:r>
      <w:r>
        <w:rPr>
          <w:rStyle w:val="FootnoteReference"/>
        </w:rPr>
        <w:footnoteReference w:id="527"/>
      </w:r>
      <w:r>
        <w:t xml:space="preserve">. Voor „research”-waar zonder registratie als geneesmiddel geldt dat in nog sterkere mate (zie deel I en deel IV).</w:t>
      </w:r>
    </w:p>
    <w:bookmarkEnd w:id="528"/>
    <w:bookmarkStart w:id="529" w:name="juridische-status-4"/>
    <w:p>
      <w:pPr>
        <w:pStyle w:val="Heading3"/>
      </w:pPr>
      <w:r>
        <w:t xml:space="preserve">Juridische status</w:t>
      </w:r>
    </w:p>
    <w:p>
      <w:pPr>
        <w:numPr>
          <w:ilvl w:val="0"/>
          <w:numId w:val="1065"/>
        </w:numPr>
        <w:pStyle w:val="Compact"/>
      </w:pPr>
      <w:r>
        <w:rPr>
          <w:bCs/>
          <w:b/>
        </w:rPr>
        <w:t xml:space="preserve">EU / Oostenrijk / Duitsland:</w:t>
      </w:r>
      <w:r>
        <w:t xml:space="preserve"> </w:t>
      </w:r>
      <w:r>
        <w:t xml:space="preserve">tirzepatide is als Mounjaro centraal in de EU geregistreerd (2022 voor diabetes type 2, sinds eind 2023 ook voor gewichtsbeheersing). Het is receptplichtig. Of de zorgverzekeraar de kosten vergoedt, hangt af van het toepassingsgebied: voor diabetes type 2 is vergoeding in principe mogelijk; geneesmiddelen voor gewichtsvermindering zijn in Duitsland wettelijk grotendeels van vergoeding uitgesloten, in Oostenrijk gelden eigen, restrictieve regels. Details veranderen – actuele situatie controleren.</w:t>
      </w:r>
    </w:p>
    <w:p>
      <w:pPr>
        <w:numPr>
          <w:ilvl w:val="0"/>
          <w:numId w:val="1065"/>
        </w:numPr>
        <w:pStyle w:val="Compact"/>
      </w:pPr>
      <w:r>
        <w:rPr>
          <w:bCs/>
          <w:b/>
        </w:rPr>
        <w:t xml:space="preserve">VS:</w:t>
      </w:r>
      <w:r>
        <w:t xml:space="preserve"> </w:t>
      </w:r>
      <w:r>
        <w:t xml:space="preserve">geregistreerd als Mounjaro (2022, diabetes type 2) en als Zepbound (2023, chronische gewichtsbeheersing; 2024 daarnaast obstructieve slaapapneu bij obesitas). Na het einde van het officiële leveringstekort heeft de FDA het maken van kopieën in apotheken sterk ingeperkt.</w:t>
      </w:r>
    </w:p>
    <w:p>
      <w:pPr>
        <w:numPr>
          <w:ilvl w:val="0"/>
          <w:numId w:val="1065"/>
        </w:numPr>
        <w:pStyle w:val="Compact"/>
      </w:pPr>
      <w:r>
        <w:rPr>
          <w:bCs/>
          <w:b/>
        </w:rPr>
        <w:t xml:space="preserve">Sport:</w:t>
      </w:r>
      <w:r>
        <w:t xml:space="preserve"> </w:t>
      </w:r>
      <w:r>
        <w:t xml:space="preserve">tirzepatide staat niet op de verboden lijst van het WADA (stand 2026, actuele situatie controleren).</w:t>
      </w:r>
    </w:p>
    <w:p>
      <w:pPr>
        <w:numPr>
          <w:ilvl w:val="0"/>
          <w:numId w:val="1065"/>
        </w:numPr>
        <w:pStyle w:val="Compact"/>
      </w:pPr>
      <w:r>
        <w:rPr>
          <w:bCs/>
          <w:b/>
        </w:rPr>
        <w:t xml:space="preserve">Grijze markt:</w:t>
      </w:r>
      <w:r>
        <w:t xml:space="preserve"> </w:t>
      </w:r>
      <w:r>
        <w:t xml:space="preserve">de handel in niet-geregistreerde tirzepatideproducten („for research use only”) is in de EU geen legale weg naar een geneesmiddel; de producten zijn aan geen enkele kwaliteitscontrole onderworpen.</w:t>
      </w:r>
    </w:p>
    <w:bookmarkEnd w:id="529"/>
    <w:bookmarkStart w:id="535" w:name="lopende-studies-en-vooruitzichten-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66"/>
        </w:numPr>
        <w:pStyle w:val="Compact"/>
      </w:pPr>
      <w:r>
        <w:rPr>
          <w:bCs/>
          <w:b/>
        </w:rPr>
        <w:t xml:space="preserve">SURMOUNT-MMO</w:t>
      </w:r>
      <w:r>
        <w:rPr>
          <w:rStyle w:val="FootnoteReference"/>
        </w:rPr>
        <w:footnoteReference w:id="530"/>
      </w:r>
      <w:r>
        <w:t xml:space="preserve">: uitkomststudie met ongeveer 15.000 mensen met obesitas zonder diabetes en hoog cardiovasculair risico, tirzepatide tegen placebo. Primair eindpunt zijn hartinfarct, beroerte, revascularisatie, gebeurtenissen door hartfalen en overlijden door welke oorzaak ook; gepland einde 2027. Volgens de publicatie van de opzet is het de eerste incretine-uitkomststudie die zowel de primaire als de secundaire preventie van hart- en vaatziekten onderzoekt</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fase 3-masterprotocol over leververvetting met gepland 4.500 deelnemers.</w:t>
      </w:r>
    </w:p>
    <w:p>
      <w:pPr>
        <w:numPr>
          <w:ilvl w:val="0"/>
          <w:numId w:val="1066"/>
        </w:numPr>
        <w:pStyle w:val="Compact"/>
      </w:pPr>
      <w:r>
        <w:rPr>
          <w:bCs/>
          <w:b/>
        </w:rPr>
        <w:t xml:space="preserve">Diabetes type 1 met obesitas</w:t>
      </w:r>
      <w:r>
        <w:rPr>
          <w:rStyle w:val="FootnoteReference"/>
        </w:rPr>
        <w:footnoteReference w:id="533"/>
      </w:r>
      <w:r>
        <w:t xml:space="preserve">: twee fase 3-studies.</w:t>
      </w:r>
    </w:p>
    <w:p>
      <w:pPr>
        <w:numPr>
          <w:ilvl w:val="0"/>
          <w:numId w:val="1066"/>
        </w:numPr>
        <w:pStyle w:val="Compact"/>
      </w:pPr>
      <w:r>
        <w:rPr>
          <w:bCs/>
          <w:b/>
        </w:rPr>
        <w:t xml:space="preserve">Jongeren met obesitas</w:t>
      </w:r>
      <w:r>
        <w:t xml:space="preserve"> </w:t>
      </w:r>
      <w:r>
        <w:t xml:space="preserve">(NCT06439277, SURMOUNT-ADOLESCENTS-2) en kinderen</w:t>
      </w:r>
      <w:r>
        <w:rPr>
          <w:rStyle w:val="FootnoteReference"/>
        </w:rPr>
        <w:footnoteReference w:id="534"/>
      </w:r>
      <w:r>
        <w:t xml:space="preserve">.</w:t>
      </w:r>
    </w:p>
    <w:p>
      <w:pPr>
        <w:numPr>
          <w:ilvl w:val="0"/>
          <w:numId w:val="1066"/>
        </w:numPr>
        <w:pStyle w:val="Compact"/>
      </w:pPr>
      <w:r>
        <w:rPr>
          <w:bCs/>
          <w:b/>
        </w:rPr>
        <w:t xml:space="preserve">Directe vergelijking met de opvolger retatrutide</w:t>
      </w:r>
      <w:r>
        <w:t xml:space="preserve"> </w:t>
      </w:r>
      <w:r>
        <w:t xml:space="preserve">(NCT06662383, zie hoofdstuk Retatrutide).</w:t>
      </w:r>
    </w:p>
    <w:p>
      <w:pPr>
        <w:numPr>
          <w:ilvl w:val="0"/>
          <w:numId w:val="1066"/>
        </w:numPr>
        <w:pStyle w:val="Compact"/>
      </w:pPr>
      <w:r>
        <w:t xml:space="preserve">Talrijke studies over knieartrose, psoriasis, nierziekten en beroerte.</w:t>
      </w:r>
    </w:p>
    <w:p>
      <w:pPr>
        <w:pStyle w:val="FirstParagraph"/>
      </w:pPr>
      <w:r>
        <w:rPr>
          <w:bCs/>
          <w:b/>
        </w:rPr>
        <w:t xml:space="preserve">Inschatting:</w:t>
      </w:r>
      <w:r>
        <w:t xml:space="preserve"> </w:t>
      </w:r>
      <w:r>
        <w:t xml:space="preserve">tirzepatide is in 2026 de maatstaf waaraan nieuwe afslankmiddelen zich moeten meten. De volgende grote vraag is of SURMOUNT-MMO bij mensen zonder diabetes een vergelijkbaar cardiovasculair nut laat zien als de SELECT-studie voor semaglutide. Concurrentie komt van drievoudige agonisten (retatrutide), amylinecombinaties (CagriSema, amycretine) en tabletten (orforglipron). Wanneer de octrooien aflopen en goedkopere generieke preparaten mogelijk worden, behandelt deel V.</w:t>
      </w:r>
    </w:p>
    <w:bookmarkEnd w:id="535"/>
    <w:bookmarkStart w:id="536" w:name="conclusie-4"/>
    <w:p>
      <w:pPr>
        <w:pStyle w:val="Heading3"/>
      </w:pPr>
      <w:r>
        <w:t xml:space="preserve">Conclusie</w:t>
      </w:r>
    </w:p>
    <w:p>
      <w:pPr>
        <w:pStyle w:val="FirstParagraph"/>
      </w:pPr>
      <w:r>
        <w:t xml:space="preserve">Tirzepatide is een dubbele GIP/GLP-1-agonist die is onderzocht in een van de grootste studieprogramma’s van de diabetes- en obesitasgeneeskunde. In SURMOUNT-1 daalde het lichaamsgewicht bij de hoogste dosis gemiddeld met ongeveer 21%, in de directe vergelijking met semaglutide (SURMOUNT-5) met 20,2% tegenover 13,7%. Tegenover dulaglutide was het bij cardiovasculaire gebeurtenissen niet inferieur, bij hartfalen met behouden pompfunctie en bij slaapapneu bleken gunstige effecten. De bijwerkingen betreffen vooral het maag-darmkanaal en de galblaas; na het stoppen komt een groot deel van het gewicht terug. De behandeling hoort in handen van een arts – met het originele preparaat, niet met waar van de grijze markt.</w:t>
      </w:r>
    </w:p>
    <w:bookmarkEnd w:id="536"/>
    <w:bookmarkEnd w:id="537"/>
    <w:bookmarkStart w:id="577" w:name="retatrutide"/>
    <w:p>
      <w:pPr>
        <w:pStyle w:val="Heading2"/>
      </w:pPr>
      <w:r>
        <w:t xml:space="preserve">Retatrutide</w:t>
      </w:r>
    </w:p>
    <w:bookmarkStart w:id="538" w:name="profiel-5"/>
    <w:p>
      <w:pPr>
        <w:pStyle w:val="Heading3"/>
      </w:pPr>
      <w:r>
        <w:t xml:space="preserve">Profiel</w:t>
      </w:r>
    </w:p>
    <w:p>
      <w:pPr>
        <w:numPr>
          <w:ilvl w:val="0"/>
          <w:numId w:val="1067"/>
        </w:numPr>
        <w:pStyle w:val="Compact"/>
      </w:pPr>
      <w:r>
        <w:rPr>
          <w:bCs/>
          <w:b/>
        </w:rPr>
        <w:t xml:space="preserve">Soort/structuur:</w:t>
      </w:r>
      <w:r>
        <w:t xml:space="preserve"> </w:t>
      </w:r>
      <w:r>
        <w:t xml:space="preserve">synthetisch peptide met een aangehechte vetzuurketen voor toediening eenmaal per week onder de huid; ontwikkelingscode LY3437943.</w:t>
      </w:r>
    </w:p>
    <w:p>
      <w:pPr>
        <w:numPr>
          <w:ilvl w:val="0"/>
          <w:numId w:val="1067"/>
        </w:numPr>
        <w:pStyle w:val="Compact"/>
      </w:pPr>
      <w:r>
        <w:rPr>
          <w:bCs/>
          <w:b/>
        </w:rPr>
        <w:t xml:space="preserve">Herkomst:</w:t>
      </w:r>
      <w:r>
        <w:t xml:space="preserve"> </w:t>
      </w:r>
      <w:r>
        <w:t xml:space="preserve">ontwikkeld door Eli Lilly als opvolger van tirzepatide.</w:t>
      </w:r>
    </w:p>
    <w:p>
      <w:pPr>
        <w:numPr>
          <w:ilvl w:val="0"/>
          <w:numId w:val="1067"/>
        </w:numPr>
        <w:pStyle w:val="Compact"/>
      </w:pPr>
      <w:r>
        <w:rPr>
          <w:bCs/>
          <w:b/>
        </w:rPr>
        <w:t xml:space="preserve">Werkingsprincipe:</w:t>
      </w:r>
      <w:r>
        <w:t xml:space="preserve"> </w:t>
      </w:r>
      <w:r>
        <w:t xml:space="preserve">‘</w:t>
      </w:r>
      <w:r>
        <w:t xml:space="preserve">drievoudige agonist</w:t>
      </w:r>
      <w:r>
        <w:t xml:space="preserve">’</w:t>
      </w:r>
      <w:r>
        <w:t xml:space="preserve"> </w:t>
      </w:r>
      <w:r>
        <w:t xml:space="preserve">(triple-agonist) op drie receptoren: GIP, GLP-1 en glucagon. In de media vaak</w:t>
      </w:r>
      <w:r>
        <w:t xml:space="preserve"> </w:t>
      </w:r>
      <w:r>
        <w:t xml:space="preserve">‘</w:t>
      </w:r>
      <w:r>
        <w:t xml:space="preserve">Triple G</w:t>
      </w:r>
      <w:r>
        <w:t xml:space="preserve">’</w:t>
      </w:r>
      <w:r>
        <w:t xml:space="preserve"> </w:t>
      </w:r>
      <w:r>
        <w:t xml:space="preserve">genoemd.</w:t>
      </w:r>
    </w:p>
    <w:p>
      <w:pPr>
        <w:numPr>
          <w:ilvl w:val="0"/>
          <w:numId w:val="1067"/>
        </w:numPr>
        <w:pStyle w:val="Compact"/>
      </w:pPr>
      <w:r>
        <w:rPr>
          <w:bCs/>
          <w:b/>
        </w:rPr>
        <w:t xml:space="preserve">Registratie EU:</w:t>
      </w:r>
      <w:r>
        <w:t xml:space="preserve"> </w:t>
      </w:r>
      <w:r>
        <w:t xml:space="preserve">nee (stand oktober 2026; fase 3-programma TRIUMPH deels afgerond).</w:t>
      </w:r>
    </w:p>
    <w:p>
      <w:pPr>
        <w:numPr>
          <w:ilvl w:val="0"/>
          <w:numId w:val="1067"/>
        </w:numPr>
        <w:pStyle w:val="Compact"/>
      </w:pPr>
      <w:r>
        <w:rPr>
          <w:bCs/>
          <w:b/>
        </w:rPr>
        <w:t xml:space="preserve">Registratie VS:</w:t>
      </w:r>
      <w:r>
        <w:t xml:space="preserve"> </w:t>
      </w:r>
      <w:r>
        <w:t xml:space="preserve">nee (stand oktober 2026, actuele situatie controleren).</w:t>
      </w:r>
    </w:p>
    <w:p>
      <w:pPr>
        <w:numPr>
          <w:ilvl w:val="0"/>
          <w:numId w:val="1067"/>
        </w:numPr>
        <w:pStyle w:val="Compact"/>
      </w:pPr>
      <w:r>
        <w:rPr>
          <w:bCs/>
          <w:b/>
        </w:rPr>
        <w:t xml:space="preserve">WADA:</w:t>
      </w:r>
      <w:r>
        <w:t xml:space="preserve"> </w:t>
      </w:r>
      <w:r>
        <w:t xml:space="preserve">niet bij naam vermeld; als nergens geregistreerde werkzame stof valt retatrutide echter onder klasse S0</w:t>
      </w:r>
      <w:r>
        <w:t xml:space="preserve"> </w:t>
      </w:r>
      <w:r>
        <w:t xml:space="preserve">‘</w:t>
      </w:r>
      <w:r>
        <w:t xml:space="preserve">Niet-goedgekeurde stoffen</w:t>
      </w:r>
      <w:r>
        <w:t xml:space="preserve">’</w:t>
      </w:r>
      <w:r>
        <w:t xml:space="preserve"> </w:t>
      </w:r>
      <w:r>
        <w:t xml:space="preserve">en is daarmee in de sport te allen tijde verboden.</w:t>
      </w:r>
    </w:p>
    <w:p>
      <w:pPr>
        <w:numPr>
          <w:ilvl w:val="0"/>
          <w:numId w:val="1067"/>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en geen eindpuntgegevens over hart en nieren. Met een registratie zou niveau A bereikt zijn.</w:t>
      </w:r>
    </w:p>
    <w:bookmarkEnd w:id="538"/>
    <w:bookmarkStart w:id="542" w:name="hoe-het-zou-moeten-werken-5"/>
    <w:p>
      <w:pPr>
        <w:pStyle w:val="Heading3"/>
      </w:pPr>
      <w:r>
        <w:t xml:space="preserve">Hoe het zou moeten werken</w:t>
      </w:r>
    </w:p>
    <w:p>
      <w:pPr>
        <w:pStyle w:val="FirstParagraph"/>
      </w:pPr>
      <w:r>
        <w:t xml:space="preserve">Retatrutide bouwt voort op het principe van tirzepatide (zie aldaar) en voegt een derde aangrijpingspunt toe: de glucagonreceptor. Dat klinkt in eerste instantie tegenstrijdig, want glucagon is het</w:t>
      </w:r>
      <w:r>
        <w:t xml:space="preserve"> </w:t>
      </w:r>
      <w:r>
        <w:t xml:space="preserve">‘</w:t>
      </w:r>
      <w:r>
        <w:t xml:space="preserve">tegenhormoon</w:t>
      </w:r>
      <w:r>
        <w:t xml:space="preserve">’</w:t>
      </w:r>
      <w:r>
        <w:t xml:space="preserve"> </w:t>
      </w:r>
      <w:r>
        <w:t xml:space="preserve">van insuline – het laat de lever suiker vrijgeven en verhoogt de bloedsuiker. Glucagon heeft echter nog andere effecten: het verhoogt het energieverbruik, bevordert de vetafbraak in de lever en draagt bij aan verzadiging. Het idee achter retatrutide is deze gunstige effecten te benutten, terwijl het GLP-1- en GIP-aandeel het bloedsuikerverhogende effect compenseert.</w:t>
      </w:r>
    </w:p>
    <w:p>
      <w:pPr>
        <w:pStyle w:val="BodyText"/>
      </w:pPr>
      <w:r>
        <w:t xml:space="preserve">In celexperimenten werkt retatrutide op de glucagon- en GLP-1-receptor ongeveer even sterk, op de GIP-receptor sterker. Bij muizen met overgewicht versterkte het glucagonaandeel het gewichtsverlies via een verhoogd energieverbruik, terwijl GIP en GLP-1 de calorie-inname verminderden</w:t>
      </w:r>
      <w:r>
        <w:rPr>
          <w:rStyle w:val="FootnoteReference"/>
        </w:rPr>
        <w:footnoteReference w:id="539"/>
      </w:r>
      <w:r>
        <w:t xml:space="preserve">. Of het energieverbruik ook bij de mens noemenswaardig stijgt, is nog onvoldoende onderzocht; een daarop gerichte fase 1-studie is geregistreerd</w:t>
      </w:r>
      <w:r>
        <w:rPr>
          <w:rStyle w:val="FootnoteReference"/>
        </w:rPr>
        <w:footnoteReference w:id="540"/>
      </w:r>
      <w:r>
        <w:t xml:space="preserve">.</w:t>
      </w:r>
    </w:p>
    <w:p>
      <w:pPr>
        <w:pStyle w:val="BodyText"/>
      </w:pPr>
      <w:r>
        <w:t xml:space="preserve">Bij de mens meldden deelnemers aan een fase 2-studie bij hogere doses minder honger en minder neiging tot</w:t>
      </w:r>
      <w:r>
        <w:t xml:space="preserve"> </w:t>
      </w:r>
      <w:r>
        <w:t xml:space="preserve">‘</w:t>
      </w:r>
      <w:r>
        <w:t xml:space="preserve">controleverlies</w:t>
      </w:r>
      <w:r>
        <w:t xml:space="preserve">’</w:t>
      </w:r>
      <w:r>
        <w:t xml:space="preserve"> </w:t>
      </w:r>
      <w:r>
        <w:t xml:space="preserve">bij het eten; deze veranderingen hingen samen met het gewichtsverlies</w:t>
      </w:r>
      <w:r>
        <w:rPr>
          <w:rStyle w:val="FootnoteReference"/>
        </w:rPr>
        <w:footnoteReference w:id="541"/>
      </w:r>
      <w:r>
        <w:t xml:space="preserve">.</w:t>
      </w:r>
    </w:p>
    <w:bookmarkEnd w:id="542"/>
    <w:bookmarkStart w:id="557" w:name="studies-bij-mensen-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aangevuld met gericht zoeken naar de fase 1- en fase 3-publicaties. Op ClinicalTrials.gov waren 32 studies geregistreerd (een overduidelijk fictieve voorbeeldregistratie is niet meegeteld), waaronder het registratieprogramma TRIUMPH (obesitas) en TRANSCEND (diabetes type 2). Voor een werkzame stof zonder registratie is dat een ongewoon solide gegevensbasis – die echter vrijwel volledig afkomstig is uit door de fabrikant gefinancierde studies.</w:t>
      </w:r>
    </w:p>
    <w:bookmarkStart w:id="545" w:name="vroege-studies"/>
    <w:p>
      <w:pPr>
        <w:pStyle w:val="Heading4"/>
      </w:pPr>
      <w:r>
        <w:t xml:space="preserve">Vroege studies</w:t>
      </w:r>
    </w:p>
    <w:p>
      <w:pPr>
        <w:pStyle w:val="FirstParagraph"/>
      </w:pPr>
      <w:r>
        <w:t xml:space="preserve">Na een studie met een eenmalige dosis bij gezonde personen, waarin het lichaamsgewicht na één enkele injectie tot 43 dagen verlaagd bleef</w:t>
      </w:r>
      <w:r>
        <w:rPr>
          <w:rStyle w:val="FootnoteReference"/>
        </w:rPr>
        <w:footnoteReference w:id="543"/>
      </w:r>
      <w:r>
        <w:t xml:space="preserve">, volgde een fase 1b-studie van twaalf weken met 72 mensen met diabetes type 2. De halfwaardetijd bedroeg ongeveer zes dagen, wat toediening eenmaal per week mogelijk maakt. In de hoogste dosisgroep lag het gewichtsverlies ten opzichte van placebo op bijna 9 kg</w:t>
      </w:r>
      <w:r>
        <w:rPr>
          <w:rStyle w:val="FootnoteReference"/>
        </w:rPr>
        <w:footnoteReference w:id="544"/>
      </w:r>
      <w:r>
        <w:t xml:space="preserve">.</w:t>
      </w:r>
    </w:p>
    <w:bookmarkEnd w:id="545"/>
    <w:bookmarkStart w:id="551" w:name="fase-2-obesitas-en-diabetes-type-2"/>
    <w:p>
      <w:pPr>
        <w:pStyle w:val="Heading4"/>
      </w:pPr>
      <w:r>
        <w:t xml:space="preserve">Fase 2: obesitas en diabetes type 2</w:t>
      </w:r>
    </w:p>
    <w:p>
      <w:pPr>
        <w:pStyle w:val="FirstParagraph"/>
      </w:pPr>
      <w:r>
        <w:t xml:space="preserve">De fase 2-studie bij obesitas haalde in 2023 de krantenkoppen</w:t>
      </w:r>
      <w:r>
        <w:rPr>
          <w:rStyle w:val="FootnoteReference"/>
        </w:rPr>
        <w:footnoteReference w:id="546"/>
      </w:r>
      <w:r>
        <w:t xml:space="preserve">. 338 volwassenen kregen 48 weken lang verschillende doses of placebo. In de hoogste dosisgroep daalde het lichaamsgewicht gemiddeld met 24,2% (placebo: −2,1%); 83% van deze groep verloor ten minste 15%. Dat waren de hoogste waarden die tot dan toe in een geneesmiddelenstudie naar obesitas waren gemeten. De maag-darmbijwerkingen namen toe met de dosis en vielen lager uit bij een langzamere opbouw van de dosis. De hartslag steeg dosisafhankelijk, bereikte na 24 weken het hoogste punt en daalde daarna weer.</w:t>
      </w:r>
    </w:p>
    <w:p>
      <w:pPr>
        <w:pStyle w:val="BodyText"/>
      </w:pPr>
      <w:r>
        <w:t xml:space="preserve">De parallelle fase 2-studie bij 281 mensen met diabetes type 2 liet na 24 weken HbA1c-dalingen zien van tot 2,02 procentpunt (dulaglutide: −1,41) en na 36 weken een gewichtsverlies van tot 16,94%</w:t>
      </w:r>
      <w:r>
        <w:rPr>
          <w:rStyle w:val="FootnoteReference"/>
        </w:rPr>
        <w:footnoteReference w:id="547"/>
      </w:r>
      <w:r>
        <w:t xml:space="preserve">. In een substudie met meting van de lichaamssamenstelling (DXA) daalde de vetmassa bij de hogere doses met 23–26%</w:t>
      </w:r>
      <w:r>
        <w:rPr>
          <w:rStyle w:val="FootnoteReference"/>
        </w:rPr>
        <w:footnoteReference w:id="548"/>
      </w:r>
      <w:r>
        <w:t xml:space="preserve">.</w:t>
      </w:r>
    </w:p>
    <w:p>
      <w:pPr>
        <w:pStyle w:val="BodyText"/>
      </w:pPr>
      <w:r>
        <w:t xml:space="preserve">Een substudie bij 98 deelnemers met leververvetting (ten minste 10% levervet) vond na 24 weken een relatieve afname van het levervet van tot 82,4%; bij de hoogste dosis had 86% daarna normale levervetwaarden, bij placebo niemand</w:t>
      </w:r>
      <w:r>
        <w:rPr>
          <w:rStyle w:val="FootnoteReference"/>
        </w:rPr>
        <w:footnoteReference w:id="549"/>
      </w:r>
      <w:r>
        <w:t xml:space="preserve">. Het levervetgehalte is een surrogaatparameter – of daardoor leverontsteking, fibrose en cirrose afnemen, is nog niet aangetoond.</w:t>
      </w:r>
    </w:p>
    <w:p>
      <w:pPr>
        <w:pStyle w:val="BodyText"/>
      </w:pPr>
      <w:r>
        <w:t xml:space="preserve">Nadere analyses van de fase 2-studies lieten verbeteringen zien in bloedvetten en ontstekingsmarkers, zoals een tot 26,9% lager non-HDL-cholesterol en een 54,8% lagere CRP-waarde in de obesitasstudie</w:t>
      </w:r>
      <w:r>
        <w:rPr>
          <w:rStyle w:val="FootnoteReference"/>
        </w:rPr>
        <w:footnoteReference w:id="550"/>
      </w:r>
      <w:r>
        <w:t xml:space="preserve">. Ook dat zijn laboratoriumwaarden, geen harde eindpunten.</w:t>
      </w:r>
    </w:p>
    <w:bookmarkEnd w:id="551"/>
    <w:bookmarkStart w:id="556" w:name="X7780197d11e4e57ec48aa6ccaa1e6145c07a9ed"/>
    <w:p>
      <w:pPr>
        <w:pStyle w:val="Heading4"/>
      </w:pPr>
      <w:r>
        <w:t xml:space="preserve">Fase 3: het TRIUMPH- en TRANSCEND-programma</w:t>
      </w:r>
    </w:p>
    <w:p>
      <w:pPr>
        <w:pStyle w:val="FirstParagraph"/>
      </w:pPr>
      <w:r>
        <w:t xml:space="preserve">Het registratieprogramma voor obesitas, TRIUMPH, omvat vier studies met samen ruim 5.800 deelnemers. Een bijzonderheid is het</w:t>
      </w:r>
      <w:r>
        <w:t xml:space="preserve"> </w:t>
      </w:r>
      <w:r>
        <w:t xml:space="preserve">‘</w:t>
      </w:r>
      <w:r>
        <w:t xml:space="preserve">basket</w:t>
      </w:r>
      <w:r>
        <w:t xml:space="preserve">’</w:t>
      </w:r>
      <w:r>
        <w:t xml:space="preserve">-design: binnen de grote gewichtsstudies werden subgroepen met knieartrose of slaapapneu met eigen primaire eindpunten geanalyseerd</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(Jastreboff 2023), PMID 37366315</w:t>
            </w:r>
          </w:p>
        </w:tc>
        <w:tc>
          <w:tcPr/>
          <w:p>
            <w:pPr>
              <w:pStyle w:val="Compact"/>
              <w:jc w:val="left"/>
            </w:pPr>
            <w:r>
              <w:t xml:space="preserve">338 volwassenen zonder diabetes, tegen placebo</w:t>
            </w:r>
          </w:p>
        </w:tc>
        <w:tc>
          <w:tcPr/>
          <w:p>
            <w:pPr>
              <w:pStyle w:val="Compact"/>
              <w:jc w:val="left"/>
            </w:pPr>
            <w:r>
              <w:t xml:space="preserve">48 weken</w:t>
            </w:r>
          </w:p>
        </w:tc>
        <w:tc>
          <w:tcPr/>
          <w:p>
            <w:pPr>
              <w:pStyle w:val="Compact"/>
              <w:jc w:val="left"/>
            </w:pPr>
            <w:r>
              <w:t xml:space="preserve">tot −24,2% gewicht vs. −2,1%</w:t>
            </w:r>
          </w:p>
        </w:tc>
      </w:tr>
      <w:tr>
        <w:tc>
          <w:tcPr/>
          <w:p>
            <w:pPr>
              <w:pStyle w:val="Compact"/>
              <w:jc w:val="left"/>
            </w:pPr>
            <w:r>
              <w:t xml:space="preserve">Fase 2 diabetes type 2 (Rosenstock 2023), PMID 37385280</w:t>
            </w:r>
          </w:p>
        </w:tc>
        <w:tc>
          <w:tcPr/>
          <w:p>
            <w:pPr>
              <w:pStyle w:val="Compact"/>
              <w:jc w:val="left"/>
            </w:pPr>
            <w:r>
              <w:t xml:space="preserve">281 volwassenen, tegen placebo en dulaglutide</w:t>
            </w:r>
          </w:p>
        </w:tc>
        <w:tc>
          <w:tcPr/>
          <w:p>
            <w:pPr>
              <w:pStyle w:val="Compact"/>
              <w:jc w:val="left"/>
            </w:pPr>
            <w:r>
              <w:t xml:space="preserve">36 weken</w:t>
            </w:r>
          </w:p>
        </w:tc>
        <w:tc>
          <w:tcPr/>
          <w:p>
            <w:pPr>
              <w:pStyle w:val="Compact"/>
              <w:jc w:val="left"/>
            </w:pPr>
            <w:r>
              <w:t xml:space="preserve">HbA1c tot −2,02 punt; gewicht tot −16,94%</w:t>
            </w:r>
          </w:p>
        </w:tc>
      </w:tr>
      <w:tr>
        <w:tc>
          <w:tcPr/>
          <w:p>
            <w:pPr>
              <w:pStyle w:val="Compact"/>
              <w:jc w:val="left"/>
            </w:pPr>
            <w:r>
              <w:t xml:space="preserve">TRIUMPH-1 (Jastreboff 2026), PMID 42814954</w:t>
            </w:r>
          </w:p>
        </w:tc>
        <w:tc>
          <w:tcPr/>
          <w:p>
            <w:pPr>
              <w:pStyle w:val="Compact"/>
              <w:jc w:val="left"/>
            </w:pPr>
            <w:r>
              <w:t xml:space="preserve">2.339 volwassenen met obesitas zonder diabetes, tegen placebo</w:t>
            </w:r>
          </w:p>
        </w:tc>
        <w:tc>
          <w:tcPr/>
          <w:p>
            <w:pPr>
              <w:pStyle w:val="Compact"/>
              <w:jc w:val="left"/>
            </w:pPr>
            <w:r>
              <w:t xml:space="preserve">80 weken</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volwassenen met obesitas en diabetes type 2, tegen placebo</w:t>
            </w:r>
          </w:p>
        </w:tc>
        <w:tc>
          <w:tcPr/>
          <w:p>
            <w:pPr>
              <w:pStyle w:val="Compact"/>
              <w:jc w:val="left"/>
            </w:pPr>
            <w:r>
              <w:t xml:space="preserve">80 weken</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volwassenen met diabetes type 2 zonder medicatie, tegen placebo</w:t>
            </w:r>
          </w:p>
        </w:tc>
        <w:tc>
          <w:tcPr/>
          <w:p>
            <w:pPr>
              <w:pStyle w:val="Compact"/>
              <w:jc w:val="left"/>
            </w:pPr>
            <w:r>
              <w:t xml:space="preserve">40 weken</w:t>
            </w:r>
          </w:p>
        </w:tc>
        <w:tc>
          <w:tcPr/>
          <w:p>
            <w:pPr>
              <w:pStyle w:val="Compact"/>
              <w:jc w:val="left"/>
            </w:pPr>
            <w:r>
              <w:t xml:space="preserve">HbA1c −1,69 tot −1,94 vs. −0,81; gewicht tot −15,3%</w:t>
            </w:r>
          </w:p>
        </w:tc>
      </w:tr>
    </w:tbl>
    <w:p>
      <w:pPr>
        <w:pStyle w:val="BodyText"/>
      </w:pPr>
      <w:r>
        <w:rPr>
          <w:bCs/>
          <w:b/>
        </w:rPr>
        <w:t xml:space="preserve">TRIUMPH-1</w:t>
      </w:r>
      <w:r>
        <w:rPr>
          <w:rStyle w:val="FootnoteReference"/>
        </w:rPr>
        <w:footnoteReference w:id="553"/>
      </w:r>
      <w:r>
        <w:t xml:space="preserve"> </w:t>
      </w:r>
      <w:r>
        <w:t xml:space="preserve">is de hoofdstudie. Bij 2.339 volwassenen met obesitas zonder diabetes daalde het lichaamsgewicht na 80 weken bij de hoogste dosis gemiddeld met 25,0%. Ter vergelijking: in SURMOUNT-1 bereikte tirzepatide bij de hoogste dosis na 72 weken 20,9%. Zo’n vergelijking tussen studies met een verschillende duur en populatie geeft echter alleen een ruwe indicatie; de directe vergelijking moet uit een lopende studie komen (zie vooruitzichten).</w:t>
      </w:r>
    </w:p>
    <w:p>
      <w:pPr>
        <w:pStyle w:val="BodyText"/>
      </w:pPr>
      <w:r>
        <w:t xml:space="preserve">In de ingebedde deelstudies:</w:t>
      </w:r>
    </w:p>
    <w:p>
      <w:pPr>
        <w:numPr>
          <w:ilvl w:val="0"/>
          <w:numId w:val="1068"/>
        </w:numPr>
        <w:pStyle w:val="Compact"/>
      </w:pPr>
      <w:r>
        <w:rPr>
          <w:bCs/>
          <w:b/>
        </w:rPr>
        <w:t xml:space="preserve">Knieartrose</w:t>
      </w:r>
      <w:r>
        <w:t xml:space="preserve"> </w:t>
      </w:r>
      <w:r>
        <w:t xml:space="preserve">(574 deelnemers): de pijnscore (WOMAC, schaal 1 tot 10) daalde met 3,5 resp. 3,6 punten bij 9 resp. 12 mg, tegenover 1,9 punten bij placebo.</w:t>
      </w:r>
    </w:p>
    <w:p>
      <w:pPr>
        <w:numPr>
          <w:ilvl w:val="0"/>
          <w:numId w:val="1068"/>
        </w:numPr>
        <w:pStyle w:val="Compact"/>
      </w:pPr>
      <w:r>
        <w:rPr>
          <w:bCs/>
          <w:b/>
        </w:rPr>
        <w:t xml:space="preserve">Slaapapneu</w:t>
      </w:r>
      <w:r>
        <w:t xml:space="preserve"> </w:t>
      </w:r>
      <w:r>
        <w:t xml:space="preserve">(243 deelnemers): de apneu-hypopneu-index daalde met ongeveer 32 tot 34 voorvallen per uur, bij placebo met bijna 10.</w:t>
      </w:r>
    </w:p>
    <w:p>
      <w:pPr>
        <w:pStyle w:val="FirstParagraph"/>
      </w:pPr>
      <w:r>
        <w:rPr>
          <w:bCs/>
          <w:b/>
        </w:rPr>
        <w:t xml:space="preserve">TRIUMPH-2</w:t>
      </w:r>
      <w:r>
        <w:rPr>
          <w:rStyle w:val="FootnoteReference"/>
        </w:rPr>
        <w:footnoteReference w:id="554"/>
      </w:r>
      <w:r>
        <w:t xml:space="preserve"> </w:t>
      </w:r>
      <w:r>
        <w:t xml:space="preserve">bevestigde het bekende patroon dat mensen met diabetes type 2 minder afvallen: −18,8% bij de hoogste dosis tegenover −5,1% bij placebo. Deze studie leverde ook de tot nu toe nauwkeurigste veiligheidsgegevens (zie hieronder).</w:t>
      </w:r>
    </w:p>
    <w:p>
      <w:pPr>
        <w:pStyle w:val="BodyText"/>
      </w:pPr>
      <w:r>
        <w:rPr>
          <w:bCs/>
          <w:b/>
        </w:rPr>
        <w:t xml:space="preserve">TRANSCEND-T2D-1</w:t>
      </w:r>
      <w:r>
        <w:rPr>
          <w:rStyle w:val="FootnoteReference"/>
        </w:rPr>
        <w:footnoteReference w:id="555"/>
      </w:r>
      <w:r>
        <w:t xml:space="preserve"> </w:t>
      </w:r>
      <w:r>
        <w:t xml:space="preserve">onderzocht retatrutide als enige diabetesbehandeling bij mensen die nog maar kort diabetes hadden. De HbA1c-waarde daalde met tot 1,94 procentpunt, het gewicht met tot 15,3%; ernstige hypoglykemieën kwamen niet voor.</w:t>
      </w:r>
    </w:p>
    <w:p>
      <w:pPr>
        <w:pStyle w:val="BodyText"/>
      </w:pPr>
      <w:r>
        <w:t xml:space="preserve">De studies TRIUMPH-3 (obesitas met hart- en vaatziekte, NCT05882045) en TRIUMPH-4 (knieartrose, NCT05931367) zijn volgens het register afgerond; een collegiaal getoetste publicatie lag bij het afsluiten van de redactie voor deze hoofdstukken nog niet voor.</w:t>
      </w:r>
    </w:p>
    <w:bookmarkEnd w:id="556"/>
    <w:bookmarkEnd w:id="557"/>
    <w:bookmarkStart w:id="561" w:name="dier--en-laboratoriumstudies-5"/>
    <w:p>
      <w:pPr>
        <w:pStyle w:val="Heading3"/>
      </w:pPr>
      <w:r>
        <w:t xml:space="preserve">Dier- en laboratoriumstudies</w:t>
      </w:r>
    </w:p>
    <w:p>
      <w:pPr>
        <w:pStyle w:val="FirstParagraph"/>
      </w:pPr>
      <w:r>
        <w:t xml:space="preserve">De preklinische basis is overwegend afkomstig van de fabrikant. In celkweken activeert retatrutide alle drie de receptoren; bij muizen met overgewicht verlaagde het gewicht en bloedsuiker, waarbij het glucagonaandeel het energieverbruik verhoogde</w:t>
      </w:r>
      <w:r>
        <w:rPr>
          <w:rStyle w:val="FootnoteReference"/>
        </w:rPr>
        <w:footnoteReference w:id="558"/>
      </w:r>
      <w:r>
        <w:t xml:space="preserve">. Een studie bij muizen met overgewicht beschrijft dat getransplanteerde alvleesklier- en longtumoren onder retatrutide minder vaak aansloegen en langzamer groeiden</w:t>
      </w:r>
      <w:r>
        <w:rPr>
          <w:rStyle w:val="FootnoteReference"/>
        </w:rPr>
        <w:footnoteReference w:id="559"/>
      </w:r>
      <w:r>
        <w:t xml:space="preserve"> </w:t>
      </w:r>
      <w:r>
        <w:t xml:space="preserve">– een dierbevinding waaruit voor mensen niets valt af te leiden.</w:t>
      </w:r>
    </w:p>
    <w:p>
      <w:pPr>
        <w:pStyle w:val="BodyText"/>
      </w:pPr>
      <w:r>
        <w:t xml:space="preserve">Voor de dopinganalyse werd in 2026 een detectiemethode ontwikkeld. Daarvoor werden bloed- en urinemonsters onderzocht van vier personen die retatrutide buiten studies om bij zichzelf hadden geïnjecteerd. In de urine werd geen intact retatrutide gevonden; in het bloed was het tot ongeveer 56 dagen na de eerste injectie aantoonbaar</w:t>
      </w:r>
      <w:r>
        <w:rPr>
          <w:rStyle w:val="FootnoteReference"/>
        </w:rPr>
        <w:footnoteReference w:id="560"/>
      </w:r>
      <w:r>
        <w:t xml:space="preserve">. De auteurs verwijzen naar berichten over gebruik onder recreatieve sporters.</w:t>
      </w:r>
    </w:p>
    <w:bookmarkEnd w:id="561"/>
    <w:bookmarkStart w:id="565" w:name="risicos-en-bijwerkingen-5"/>
    <w:p>
      <w:pPr>
        <w:pStyle w:val="Heading3"/>
      </w:pPr>
      <w:r>
        <w:t xml:space="preserve">Risico’s en bijwerkingen</w:t>
      </w:r>
    </w:p>
    <w:p>
      <w:pPr>
        <w:pStyle w:val="FirstParagraph"/>
      </w:pPr>
      <w:r>
        <w:rPr>
          <w:bCs/>
          <w:b/>
        </w:rPr>
        <w:t xml:space="preserve">Aangetoond in studies:</w:t>
      </w:r>
    </w:p>
    <w:p>
      <w:pPr>
        <w:numPr>
          <w:ilvl w:val="0"/>
          <w:numId w:val="1069"/>
        </w:numPr>
        <w:pStyle w:val="Compact"/>
      </w:pPr>
      <w:r>
        <w:rPr>
          <w:bCs/>
          <w:b/>
        </w:rPr>
        <w:t xml:space="preserve">Maag-darmklachten</w:t>
      </w:r>
      <w:r>
        <w:t xml:space="preserve"> </w:t>
      </w:r>
      <w:r>
        <w:t xml:space="preserve">zijn de meest voorkomende bijwerkingen en duidelijk dosisafhankelijk. In TRIUMPH-2 kwam diarree voor bij 27–34% (placebo 13%) en misselijkheid bij 14–28% (placebo 8%)</w:t>
      </w:r>
      <w:r>
        <w:rPr>
          <w:rStyle w:val="FootnoteReference"/>
        </w:rPr>
        <w:footnoteReference w:id="562"/>
      </w:r>
      <w:r>
        <w:t xml:space="preserve">.</w:t>
      </w:r>
    </w:p>
    <w:p>
      <w:pPr>
        <w:numPr>
          <w:ilvl w:val="0"/>
          <w:numId w:val="1069"/>
        </w:numPr>
        <w:pStyle w:val="Compact"/>
      </w:pPr>
      <w:r>
        <w:rPr>
          <w:bCs/>
          <w:b/>
        </w:rPr>
        <w:t xml:space="preserve">Stoppen met de behandeling:</w:t>
      </w:r>
      <w:r>
        <w:t xml:space="preserve"> </w:t>
      </w:r>
      <w:r>
        <w:t xml:space="preserve">in TRIUMPH-2 stopte 12% (9 mg) resp. 8% (12 mg) met de behandeling vanwege bijwerkingen of overlijden, bij 4 mg 4% en bij placebo 5%.</w:t>
      </w:r>
    </w:p>
    <w:p>
      <w:pPr>
        <w:numPr>
          <w:ilvl w:val="0"/>
          <w:numId w:val="1069"/>
        </w:numPr>
        <w:pStyle w:val="Compact"/>
      </w:pPr>
      <w:r>
        <w:rPr>
          <w:bCs/>
          <w:b/>
        </w:rPr>
        <w:t xml:space="preserve">Dysesthesie</w:t>
      </w:r>
      <w:r>
        <w:t xml:space="preserve"> </w:t>
      </w:r>
      <w:r>
        <w:t xml:space="preserve">– onaangename gevoelsstoornissen van de huid zoals tintelingen, branderigheid of overgevoeligheid voor aanraking – kwam in TRIUMPH-2 dosisafhankelijk voor bij 4–7% tegenover 1% bij placebo. Dit signaal is voor retatrutide relatief nieuw; de oorzaak is onopgehelderd.</w:t>
      </w:r>
    </w:p>
    <w:p>
      <w:pPr>
        <w:numPr>
          <w:ilvl w:val="0"/>
          <w:numId w:val="1069"/>
        </w:numPr>
        <w:pStyle w:val="Compact"/>
      </w:pPr>
      <w:r>
        <w:rPr>
          <w:bCs/>
          <w:b/>
        </w:rPr>
        <w:t xml:space="preserve">Lage bloeddruk</w:t>
      </w:r>
      <w:r>
        <w:t xml:space="preserve"> </w:t>
      </w:r>
      <w:r>
        <w:t xml:space="preserve">(hypotensie): 1–6% tegenover minder dan 1% bij placebo (TRIUMPH-2).</w:t>
      </w:r>
    </w:p>
    <w:p>
      <w:pPr>
        <w:numPr>
          <w:ilvl w:val="0"/>
          <w:numId w:val="1069"/>
        </w:numPr>
        <w:pStyle w:val="Compact"/>
      </w:pPr>
      <w:r>
        <w:rPr>
          <w:bCs/>
          <w:b/>
        </w:rPr>
        <w:t xml:space="preserve">Hartslag:</w:t>
      </w:r>
      <w:r>
        <w:t xml:space="preserve"> </w:t>
      </w:r>
      <w:r>
        <w:t xml:space="preserve">in de fase 2-studie steeg de polsslag dosisafhankelijk en daalde na 24 weken weer</w:t>
      </w:r>
      <w:r>
        <w:rPr>
          <w:rStyle w:val="FootnoteReference"/>
        </w:rPr>
        <w:footnoteReference w:id="563"/>
      </w:r>
      <w:r>
        <w:t xml:space="preserve">. Een hogere rustpols is bij alle GLP-1-middelen bekend; of die bij de drievoudige agonist klinisch van belang is, moeten de eindpuntstudies uitwijzen.</w:t>
      </w:r>
    </w:p>
    <w:p>
      <w:pPr>
        <w:numPr>
          <w:ilvl w:val="0"/>
          <w:numId w:val="1069"/>
        </w:numPr>
        <w:pStyle w:val="Compact"/>
      </w:pPr>
      <w:r>
        <w:rPr>
          <w:bCs/>
          <w:b/>
        </w:rPr>
        <w:t xml:space="preserve">Verlies van vetvrije massa:</w:t>
      </w:r>
      <w:r>
        <w:t xml:space="preserve"> </w:t>
      </w:r>
      <w:r>
        <w:t xml:space="preserve">zoals bij elk sterk gewichtsverlies (zie tirzepatide).</w:t>
      </w:r>
    </w:p>
    <w:p>
      <w:pPr>
        <w:pStyle w:val="FirstParagraph"/>
      </w:pPr>
      <w:r>
        <w:rPr>
          <w:bCs/>
          <w:b/>
        </w:rPr>
        <w:t xml:space="preserve">Theoretisch of nog onvoldoende onderzocht:</w:t>
      </w:r>
      <w:r>
        <w:t xml:space="preserve"> </w:t>
      </w:r>
      <w:r>
        <w:t xml:space="preserve">het glucagonaandeel zou op lange termijn gevolgen kunnen hebben voor de aminozuurstofwisseling, het hartritme en de botten; betrouwbare langetermijngegevens daarover zijn er niet. Voor de klasserisico’s van de GLP-1-middelen (galblaas, alvleesklier, C-cellen van de schildklier in dierproeven) zijn voor retatrutide nog te weinig patiëntjaren beschikbaar om er eigen uitspraken over te doen.</w:t>
      </w:r>
    </w:p>
    <w:p>
      <w:pPr>
        <w:pStyle w:val="BodyText"/>
      </w:pPr>
      <w:r>
        <w:rPr>
          <w:bCs/>
          <w:b/>
        </w:rPr>
        <w:t xml:space="preserve">Grijze markt:</w:t>
      </w:r>
      <w:r>
        <w:t xml:space="preserve"> </w:t>
      </w:r>
      <w:r>
        <w:t xml:space="preserve">retatrutide wordt sinds de publicatie van fase 2 op internet aangeboden als</w:t>
      </w:r>
      <w:r>
        <w:t xml:space="preserve"> </w:t>
      </w:r>
      <w:r>
        <w:t xml:space="preserve">‘</w:t>
      </w:r>
      <w:r>
        <w:t xml:space="preserve">research peptide</w:t>
      </w:r>
      <w:r>
        <w:t xml:space="preserve">’</w:t>
      </w:r>
      <w:r>
        <w:t xml:space="preserve">; het vaktijdschrift JAMA berichtte in 2026 over een groeiende zwarte markt voor retatrutide en zenagamtide</w:t>
      </w:r>
      <w:r>
        <w:rPr>
          <w:rStyle w:val="FootnoteReference"/>
        </w:rPr>
        <w:footnoteReference w:id="564"/>
      </w:r>
      <w:r>
        <w:t xml:space="preserve">. Deze producten zijn geen geneesmiddelen, hun inhoud is niet gecontroleerd en de in studies gebruikte schema’s voor dosisopbouw zijn er niet betrouwbaar mee na te bootsen. De opeenstapeling van bijwerkingen bij snelle dosisverhoging in de studies laat zien dat juist dit punt doorslaggevend is voor de verdraagbaarheid. Zie daarover deel I en deel IV.</w:t>
      </w:r>
    </w:p>
    <w:bookmarkEnd w:id="565"/>
    <w:bookmarkStart w:id="567" w:name="juridische-status-5"/>
    <w:p>
      <w:pPr>
        <w:pStyle w:val="Heading3"/>
      </w:pPr>
      <w:r>
        <w:t xml:space="preserve">Juridische status</w:t>
      </w:r>
    </w:p>
    <w:p>
      <w:pPr>
        <w:numPr>
          <w:ilvl w:val="0"/>
          <w:numId w:val="1070"/>
        </w:numPr>
        <w:pStyle w:val="Compact"/>
      </w:pPr>
      <w:r>
        <w:rPr>
          <w:bCs/>
          <w:b/>
        </w:rPr>
        <w:t xml:space="preserve">EU / Oostenrijk / Duitsland:</w:t>
      </w:r>
      <w:r>
        <w:t xml:space="preserve"> </w:t>
      </w:r>
      <w:r>
        <w:t xml:space="preserve">niet geregistreerd. Retatrutide mag alleen in het kader van klinische studies worden toegepast. De verkoop als</w:t>
      </w:r>
      <w:r>
        <w:t xml:space="preserve"> </w:t>
      </w:r>
      <w:r>
        <w:t xml:space="preserve">‘</w:t>
      </w:r>
      <w:r>
        <w:t xml:space="preserve">onderzoekschemicalie</w:t>
      </w:r>
      <w:r>
        <w:t xml:space="preserve">’</w:t>
      </w:r>
      <w:r>
        <w:t xml:space="preserve"> </w:t>
      </w:r>
      <w:r>
        <w:t xml:space="preserve">voor gebruik bij mensen is volgens het geneesmiddelenrecht niet toegestaan.</w:t>
      </w:r>
    </w:p>
    <w:p>
      <w:pPr>
        <w:numPr>
          <w:ilvl w:val="0"/>
          <w:numId w:val="1070"/>
        </w:numPr>
        <w:pStyle w:val="Compact"/>
      </w:pPr>
      <w:r>
        <w:rPr>
          <w:bCs/>
          <w:b/>
        </w:rPr>
        <w:t xml:space="preserve">VS:</w:t>
      </w:r>
      <w:r>
        <w:t xml:space="preserve"> </w:t>
      </w:r>
      <w:r>
        <w:t xml:space="preserve">niet geregistreerd (stand oktober 2026). In het register staat een programma voor uitgebreide toegang vóór de registratie (</w:t>
      </w:r>
      <w:r>
        <w:t xml:space="preserve">‘</w:t>
      </w:r>
      <w:r>
        <w:t xml:space="preserve">Expanded Access</w:t>
      </w:r>
      <w:r>
        <w:t xml:space="preserve">’</w:t>
      </w:r>
      <w:r>
        <w:t xml:space="preserve">) ingeschreven</w:t>
      </w:r>
      <w:r>
        <w:rPr>
          <w:rStyle w:val="FootnoteReference"/>
        </w:rPr>
        <w:footnoteReference w:id="566"/>
      </w:r>
      <w:r>
        <w:t xml:space="preserve">. Of en wanneer een registratieaanvraag wordt of werd ingediend: actuele situatie controleren.</w:t>
      </w:r>
    </w:p>
    <w:p>
      <w:pPr>
        <w:numPr>
          <w:ilvl w:val="0"/>
          <w:numId w:val="1070"/>
        </w:numPr>
        <w:pStyle w:val="Compact"/>
      </w:pPr>
      <w:r>
        <w:rPr>
          <w:bCs/>
          <w:b/>
        </w:rPr>
        <w:t xml:space="preserve">Sport:</w:t>
      </w:r>
      <w:r>
        <w:t xml:space="preserve"> </w:t>
      </w:r>
      <w:r>
        <w:t xml:space="preserve">als niet-geregistreerde werkzame stof valt retatrutide onder WADA-klasse S0 (stand 2026, actuele situatie controleren). Een specifieke detectiemethode in het bloed is beschreven.</w:t>
      </w:r>
    </w:p>
    <w:bookmarkEnd w:id="567"/>
    <w:bookmarkStart w:id="575" w:name="lopende-studies-en-vooruitzichten-5"/>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1"/>
        </w:numPr>
        <w:pStyle w:val="Compact"/>
      </w:pPr>
      <w:r>
        <w:rPr>
          <w:bCs/>
          <w:b/>
        </w:rPr>
        <w:t xml:space="preserve">TRIUMPH-Outcomes</w:t>
      </w:r>
      <w:r>
        <w:rPr>
          <w:rStyle w:val="FootnoteReference"/>
        </w:rPr>
        <w:footnoteReference w:id="568"/>
      </w:r>
      <w:r>
        <w:t xml:space="preserve">: eindpuntstudie naar hart- en vaat- en nierincidenten met ongeveer 10.000 deelnemers met obesitas, gepland einde 2029.</w:t>
      </w:r>
    </w:p>
    <w:p>
      <w:pPr>
        <w:numPr>
          <w:ilvl w:val="0"/>
          <w:numId w:val="1071"/>
        </w:numPr>
        <w:pStyle w:val="Compact"/>
      </w:pPr>
      <w:r>
        <w:rPr>
          <w:bCs/>
          <w:b/>
        </w:rPr>
        <w:t xml:space="preserve">Retatrutide tegen tirzepatide</w:t>
      </w:r>
      <w:r>
        <w:rPr>
          <w:rStyle w:val="FootnoteReference"/>
        </w:rPr>
        <w:footnoteReference w:id="569"/>
      </w:r>
      <w:r>
        <w:t xml:space="preserve">: directe vergelijking bij 800 volwassenen met obesitas, gepland einde van de studie december 2026.</w:t>
      </w:r>
    </w:p>
    <w:p>
      <w:pPr>
        <w:numPr>
          <w:ilvl w:val="0"/>
          <w:numId w:val="1071"/>
        </w:numPr>
        <w:pStyle w:val="Compact"/>
      </w:pPr>
      <w:r>
        <w:rPr>
          <w:bCs/>
          <w:b/>
        </w:rPr>
        <w:t xml:space="preserve">Retatrutide tegen semaglutide</w:t>
      </w:r>
      <w:r>
        <w:t xml:space="preserve"> </w:t>
      </w:r>
      <w:r>
        <w:t xml:space="preserve">bij diabetes type 2</w:t>
      </w:r>
      <w:r>
        <w:rPr>
          <w:rStyle w:val="FootnoteReference"/>
        </w:rPr>
        <w:footnoteReference w:id="570"/>
      </w:r>
      <w:r>
        <w:t xml:space="preserve">.</w:t>
      </w:r>
    </w:p>
    <w:p>
      <w:pPr>
        <w:numPr>
          <w:ilvl w:val="0"/>
          <w:numId w:val="1071"/>
        </w:numPr>
        <w:pStyle w:val="Compact"/>
      </w:pPr>
      <w:r>
        <w:rPr>
          <w:bCs/>
          <w:b/>
        </w:rPr>
        <w:t xml:space="preserve">Gewichtsbehoud</w:t>
      </w:r>
      <w:r>
        <w:t xml:space="preserve"> </w:t>
      </w:r>
      <w:r>
        <w:t xml:space="preserve">na afvallen</w:t>
      </w:r>
      <w:r>
        <w:rPr>
          <w:rStyle w:val="FootnoteReference"/>
        </w:rPr>
        <w:footnoteReference w:id="571"/>
      </w:r>
      <w:r>
        <w:t xml:space="preserve">,</w:t>
      </w:r>
      <w:r>
        <w:t xml:space="preserve"> </w:t>
      </w:r>
      <w:r>
        <w:rPr>
          <w:bCs/>
          <w:b/>
        </w:rPr>
        <w:t xml:space="preserve">nierfunctie</w:t>
      </w:r>
      <w:r>
        <w:t xml:space="preserve"> </w:t>
      </w:r>
      <w:r>
        <w:t xml:space="preserve">bij diabetes type 2 met nierinsufficiëntie</w:t>
      </w:r>
      <w:r>
        <w:rPr>
          <w:rStyle w:val="FootnoteReference"/>
        </w:rPr>
        <w:footnoteReference w:id="572"/>
      </w:r>
      <w:r>
        <w:t xml:space="preserve">,</w:t>
      </w:r>
      <w:r>
        <w:t xml:space="preserve"> </w:t>
      </w:r>
      <w:r>
        <w:rPr>
          <w:bCs/>
          <w:b/>
        </w:rPr>
        <w:t xml:space="preserve">chronische rugpijn</w:t>
      </w:r>
      <w:r>
        <w:t xml:space="preserve"> </w:t>
      </w:r>
      <w:r>
        <w:t xml:space="preserve">bij obesitas</w:t>
      </w:r>
      <w:r>
        <w:rPr>
          <w:rStyle w:val="FootnoteReference"/>
        </w:rPr>
        <w:footnoteReference w:id="573"/>
      </w:r>
      <w:r>
        <w:t xml:space="preserve">.</w:t>
      </w:r>
    </w:p>
    <w:p>
      <w:pPr>
        <w:numPr>
          <w:ilvl w:val="0"/>
          <w:numId w:val="1071"/>
        </w:numPr>
        <w:pStyle w:val="Compact"/>
      </w:pPr>
      <w:r>
        <w:t xml:space="preserve">Retatrutide maakt bovendien deel uit van een fase 3-masterprotocol voor leververvetting</w:t>
      </w:r>
      <w:r>
        <w:rPr>
          <w:rStyle w:val="FootnoteReference"/>
        </w:rPr>
        <w:footnoteReference w:id="574"/>
      </w:r>
      <w:r>
        <w:t xml:space="preserve">.</w:t>
      </w:r>
    </w:p>
    <w:p>
      <w:pPr>
        <w:pStyle w:val="FirstParagraph"/>
      </w:pPr>
      <w:r>
        <w:rPr>
          <w:bCs/>
          <w:b/>
        </w:rPr>
        <w:t xml:space="preserve">Inschatting:</w:t>
      </w:r>
      <w:r>
        <w:t xml:space="preserve"> </w:t>
      </w:r>
      <w:r>
        <w:t xml:space="preserve">na de gegevens van TRIUMPH-1 en TRIUMPH-2 valt te verwachten dat registratieaanvragen in de VS en de EU volgen; een marktintroductie in 2027 of 2028 lijkt aannemelijk, maar staat niet vast. Of extra gewichtsverlies ten opzichte van tirzepatide opweegt tegen de iets hogere uitvalpercentages en het nieuwe signaal van dysesthesie, zal de directe vergelijking laten zien. Voor veel mensen is een gemiddeld, goed verdraagbaar gewichtsverlies belangrijker dan een recordwaarde.</w:t>
      </w:r>
    </w:p>
    <w:bookmarkEnd w:id="575"/>
    <w:bookmarkStart w:id="576" w:name="conclusie-5"/>
    <w:p>
      <w:pPr>
        <w:pStyle w:val="Heading3"/>
      </w:pPr>
      <w:r>
        <w:t xml:space="preserve">Conclusie</w:t>
      </w:r>
    </w:p>
    <w:p>
      <w:pPr>
        <w:pStyle w:val="FirstParagraph"/>
      </w:pPr>
      <w:r>
        <w:t xml:space="preserve">Retatrutide is een drievoudige agonist op de GIP-, GLP-1- en glucagonreceptor en heeft in de fase 3-studie TRIUMPH-1 een gemiddeld gewichtsverlies van 25,0% na 80 weken bereikt – de hoogste waarde die tot nu toe in een grote geneesmiddelenstudie is gemeten. Ook bij diabetes type 2, knieartrose en slaapapneu waren duidelijke effecten te zien. De bijwerkingen betreffen vooral het maag-darmkanaal; nieuw zijn gevoelsstoornissen van de huid, en de uitvalpercentages stijgen bij hoge doses. Gegevens over hart- en vaatincidenten en een registratie zijn er nog niet. Producten van de grijze markt met het opschrift</w:t>
      </w:r>
      <w:r>
        <w:t xml:space="preserve"> </w:t>
      </w:r>
      <w:r>
        <w:t xml:space="preserve">‘</w:t>
      </w:r>
      <w:r>
        <w:t xml:space="preserve">Retatrutide</w:t>
      </w:r>
      <w:r>
        <w:t xml:space="preserve">’</w:t>
      </w:r>
      <w:r>
        <w:t xml:space="preserve"> </w:t>
      </w:r>
      <w:r>
        <w:t xml:space="preserve">zijn geen veilige kortere weg naar dit geneesmiddel.</w:t>
      </w:r>
    </w:p>
    <w:bookmarkEnd w:id="576"/>
    <w:bookmarkEnd w:id="577"/>
    <w:bookmarkStart w:id="613" w:name="survodutide"/>
    <w:p>
      <w:pPr>
        <w:pStyle w:val="Heading2"/>
      </w:pPr>
      <w:r>
        <w:t xml:space="preserve">Survodutide</w:t>
      </w:r>
    </w:p>
    <w:bookmarkStart w:id="578" w:name="profiel-6"/>
    <w:p>
      <w:pPr>
        <w:pStyle w:val="Heading3"/>
      </w:pPr>
      <w:r>
        <w:t xml:space="preserve">Profiel</w:t>
      </w:r>
    </w:p>
    <w:p>
      <w:pPr>
        <w:numPr>
          <w:ilvl w:val="0"/>
          <w:numId w:val="1072"/>
        </w:numPr>
        <w:pStyle w:val="Compact"/>
      </w:pPr>
      <w:r>
        <w:rPr>
          <w:bCs/>
          <w:b/>
        </w:rPr>
        <w:t xml:space="preserve">Soort/structuur:</w:t>
      </w:r>
      <w:r>
        <w:t xml:space="preserve"> </w:t>
      </w:r>
      <w:r>
        <w:t xml:space="preserve">synthetisch, met een vetzuur gemodificeerd peptide voor toediening eenmaal per week onder de huid; ontwikkelingscode BI 456906.</w:t>
      </w:r>
    </w:p>
    <w:p>
      <w:pPr>
        <w:numPr>
          <w:ilvl w:val="0"/>
          <w:numId w:val="1072"/>
        </w:numPr>
        <w:pStyle w:val="Compact"/>
      </w:pPr>
      <w:r>
        <w:rPr>
          <w:bCs/>
          <w:b/>
        </w:rPr>
        <w:t xml:space="preserve">Herkomst:</w:t>
      </w:r>
      <w:r>
        <w:t xml:space="preserve"> </w:t>
      </w:r>
      <w:r>
        <w:t xml:space="preserve">ontwikkeld door Boehringer Ingelheim in samenwerking met het Deense bedrijf Zealand Pharma.</w:t>
      </w:r>
    </w:p>
    <w:p>
      <w:pPr>
        <w:numPr>
          <w:ilvl w:val="0"/>
          <w:numId w:val="1072"/>
        </w:numPr>
        <w:pStyle w:val="Compact"/>
      </w:pPr>
      <w:r>
        <w:rPr>
          <w:bCs/>
          <w:b/>
        </w:rPr>
        <w:t xml:space="preserve">Werkingsprincipe:</w:t>
      </w:r>
      <w:r>
        <w:t xml:space="preserve"> </w:t>
      </w:r>
      <w:r>
        <w:t xml:space="preserve">dubbele agonist op de glucagonreceptor en de GLP-1-receptor (zonder GIP-aandeel).</w:t>
      </w:r>
    </w:p>
    <w:p>
      <w:pPr>
        <w:numPr>
          <w:ilvl w:val="0"/>
          <w:numId w:val="1072"/>
        </w:numPr>
        <w:pStyle w:val="Compact"/>
      </w:pPr>
      <w:r>
        <w:rPr>
          <w:bCs/>
          <w:b/>
        </w:rPr>
        <w:t xml:space="preserve">Registratie EU:</w:t>
      </w:r>
      <w:r>
        <w:t xml:space="preserve"> </w:t>
      </w:r>
      <w:r>
        <w:t xml:space="preserve">nee (stand oktober 2026).</w:t>
      </w:r>
    </w:p>
    <w:p>
      <w:pPr>
        <w:numPr>
          <w:ilvl w:val="0"/>
          <w:numId w:val="1072"/>
        </w:numPr>
        <w:pStyle w:val="Compact"/>
      </w:pPr>
      <w:r>
        <w:rPr>
          <w:bCs/>
          <w:b/>
        </w:rPr>
        <w:t xml:space="preserve">Registratie VS:</w:t>
      </w:r>
      <w:r>
        <w:t xml:space="preserve"> </w:t>
      </w:r>
      <w:r>
        <w:t xml:space="preserve">nee (stand oktober 2026).</w:t>
      </w:r>
    </w:p>
    <w:p>
      <w:pPr>
        <w:numPr>
          <w:ilvl w:val="0"/>
          <w:numId w:val="1072"/>
        </w:numPr>
        <w:pStyle w:val="Compact"/>
      </w:pPr>
      <w:r>
        <w:rPr>
          <w:bCs/>
          <w:b/>
        </w:rPr>
        <w:t xml:space="preserve">WADA:</w:t>
      </w:r>
      <w:r>
        <w:t xml:space="preserve"> </w:t>
      </w:r>
      <w:r>
        <w:t xml:space="preserve">als nergens geregistreerde werkzame stof verboden onder S0</w:t>
      </w:r>
      <w:r>
        <w:t xml:space="preserve"> </w:t>
      </w:r>
      <w:r>
        <w:t xml:space="preserve">‘</w:t>
      </w:r>
      <w:r>
        <w:t xml:space="preserve">Niet-goedgekeurde stoffen</w:t>
      </w:r>
      <w:r>
        <w:t xml:space="preserve">’</w:t>
      </w:r>
      <w:r>
        <w:t xml:space="preserve">.</w:t>
      </w:r>
    </w:p>
    <w:p>
      <w:pPr>
        <w:numPr>
          <w:ilvl w:val="0"/>
          <w:numId w:val="1072"/>
        </w:numPr>
        <w:pStyle w:val="Compact"/>
      </w:pPr>
      <w:r>
        <w:rPr>
          <w:bCs/>
          <w:b/>
        </w:rPr>
        <w:t xml:space="preserve">Bewijsniveau:</w:t>
      </w:r>
      <w:r>
        <w:t xml:space="preserve"> </w:t>
      </w:r>
      <w:r>
        <w:rPr>
          <w:bCs/>
          <w:b/>
        </w:rPr>
        <w:t xml:space="preserve">B</w:t>
      </w:r>
      <w:r>
        <w:t xml:space="preserve"> </w:t>
      </w:r>
      <w:r>
        <w:t xml:space="preserve">– gerandomiseerde fase 2- en eerste fase 3-studies gepubliceerd, geen registratie.</w:t>
      </w:r>
    </w:p>
    <w:bookmarkEnd w:id="578"/>
    <w:bookmarkStart w:id="582" w:name="hoe-het-zou-moeten-werken-6"/>
    <w:p>
      <w:pPr>
        <w:pStyle w:val="Heading3"/>
      </w:pPr>
      <w:r>
        <w:t xml:space="preserve">Hoe het zou moeten werken</w:t>
      </w:r>
    </w:p>
    <w:p>
      <w:pPr>
        <w:pStyle w:val="FirstParagraph"/>
      </w:pPr>
      <w:r>
        <w:t xml:space="preserve">Survodutide combineert twee darm- resp. alvleesklierhormonen: GLP-1, dat verzadiging bevordert en de insulineafgifte versterkt, en glucagon, dat het energieverbruik verhoogt en de lever aanzet tot vetafbraak. Terwijl tirzepatide inzet op GIP plus GLP-1 en retatrutide alle drie de signalen verenigt, ziet survodutide af van het GIP-aandeel en legt het in plaats daarvan de nadruk op de glucagonwerking. De fabrikant richt zich daarmee vooral op de lever: de leververvettingsziekte MASH is naast obesitas het tweede belangrijke ontwikkelingsgebied.</w:t>
      </w:r>
    </w:p>
    <w:p>
      <w:pPr>
        <w:pStyle w:val="BodyText"/>
      </w:pPr>
      <w:r>
        <w:t xml:space="preserve">Uit 19 vergelijkbare kandidaten werd survodutide gekozen omdat het in dierproeven beide receptoren evenwichtig aansprak. Bij muizen met overgewicht daalde het lichaamsgewicht met ongeveer een kwart</w:t>
      </w:r>
      <w:r>
        <w:rPr>
          <w:rStyle w:val="FootnoteReference"/>
        </w:rPr>
        <w:footnoteReference w:id="579"/>
      </w:r>
      <w:r>
        <w:t xml:space="preserve">. Onderzoek bij muizen wijst erop dat het eetlustremmende effect in de hersenen vooral via de GLP-1-receptor verloopt; het glucagonaandeel werkt eerder in het lichaam, bijvoorbeeld in de lever</w:t>
      </w:r>
      <w:r>
        <w:rPr>
          <w:rStyle w:val="FootnoteReference"/>
        </w:rPr>
        <w:footnoteReference w:id="580"/>
      </w:r>
      <w:r>
        <w:t xml:space="preserve">. Dit zijn dierbevindingen; bij de mens wordt het effect op het energieverbruik momenteel in een eigen studie gemeten</w:t>
      </w:r>
      <w:r>
        <w:rPr>
          <w:rStyle w:val="FootnoteReference"/>
        </w:rPr>
        <w:footnoteReference w:id="581"/>
      </w:r>
      <w:r>
        <w:t xml:space="preserve">.</w:t>
      </w:r>
    </w:p>
    <w:bookmarkEnd w:id="582"/>
    <w:bookmarkStart w:id="592" w:name="studies-bij-mensen-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daarbij komt de gericht nagezochte publicatie van de fase 3-studie SYNCHRONIZE-2. Op ClinicalTrials.gov waren 29 studies geregistreerd, waaronder het fase 3-programma SYNCHRONIZE (obesitas) en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diabetes type 2 (Blüher 2024), PMID 38095657</w:t>
            </w:r>
          </w:p>
        </w:tc>
        <w:tc>
          <w:tcPr/>
          <w:p>
            <w:pPr>
              <w:pStyle w:val="Compact"/>
              <w:jc w:val="left"/>
            </w:pPr>
            <w:r>
              <w:t xml:space="preserve">413 volwassenen met metformine, tegen placebo en open-label semaglutide</w:t>
            </w:r>
          </w:p>
        </w:tc>
        <w:tc>
          <w:tcPr/>
          <w:p>
            <w:pPr>
              <w:pStyle w:val="Compact"/>
              <w:jc w:val="left"/>
            </w:pPr>
            <w:r>
              <w:t xml:space="preserve">16 weken</w:t>
            </w:r>
          </w:p>
        </w:tc>
        <w:tc>
          <w:tcPr/>
          <w:p>
            <w:pPr>
              <w:pStyle w:val="Compact"/>
              <w:jc w:val="left"/>
            </w:pPr>
            <w:r>
              <w:t xml:space="preserve">HbA1c tot −1,71 punt; gewicht tot −8,7% (semaglutide −5,3%)</w:t>
            </w:r>
          </w:p>
        </w:tc>
      </w:tr>
      <w:tr>
        <w:tc>
          <w:tcPr/>
          <w:p>
            <w:pPr>
              <w:pStyle w:val="Compact"/>
              <w:jc w:val="left"/>
            </w:pPr>
            <w:r>
              <w:t xml:space="preserve">Fase 2 obesitas (le Roux 2024), PMID 38330987</w:t>
            </w:r>
          </w:p>
        </w:tc>
        <w:tc>
          <w:tcPr/>
          <w:p>
            <w:pPr>
              <w:pStyle w:val="Compact"/>
              <w:jc w:val="left"/>
            </w:pPr>
            <w:r>
              <w:t xml:space="preserve">387 volwassenen zonder diabetes, tegen placebo</w:t>
            </w:r>
          </w:p>
        </w:tc>
        <w:tc>
          <w:tcPr/>
          <w:p>
            <w:pPr>
              <w:pStyle w:val="Compact"/>
              <w:jc w:val="left"/>
            </w:pPr>
            <w:r>
              <w:t xml:space="preserve">46 weken</w:t>
            </w:r>
          </w:p>
        </w:tc>
        <w:tc>
          <w:tcPr/>
          <w:p>
            <w:pPr>
              <w:pStyle w:val="Compact"/>
              <w:jc w:val="left"/>
            </w:pPr>
            <w:r>
              <w:t xml:space="preserve">−6,2 tot −14,9% gewicht vs. −2,8%</w:t>
            </w:r>
          </w:p>
        </w:tc>
      </w:tr>
      <w:tr>
        <w:tc>
          <w:tcPr/>
          <w:p>
            <w:pPr>
              <w:pStyle w:val="Compact"/>
              <w:jc w:val="left"/>
            </w:pPr>
            <w:r>
              <w:t xml:space="preserve">Fase 2 MASH (Sanyal 2024), PMID 38847460</w:t>
            </w:r>
          </w:p>
        </w:tc>
        <w:tc>
          <w:tcPr/>
          <w:p>
            <w:pPr>
              <w:pStyle w:val="Compact"/>
              <w:jc w:val="left"/>
            </w:pPr>
            <w:r>
              <w:t xml:space="preserve">293 volwassenen met met biopsie bevestigde MASH en fibrose F1–F3</w:t>
            </w:r>
          </w:p>
        </w:tc>
        <w:tc>
          <w:tcPr/>
          <w:p>
            <w:pPr>
              <w:pStyle w:val="Compact"/>
              <w:jc w:val="left"/>
            </w:pPr>
            <w:r>
              <w:t xml:space="preserve">48 weken</w:t>
            </w:r>
          </w:p>
        </w:tc>
        <w:tc>
          <w:tcPr/>
          <w:p>
            <w:pPr>
              <w:pStyle w:val="Compact"/>
              <w:jc w:val="left"/>
            </w:pPr>
            <w:r>
              <w:t xml:space="preserve">verbetering van MASH bij 43–62% vs. 14%</w:t>
            </w:r>
          </w:p>
        </w:tc>
      </w:tr>
      <w:tr>
        <w:tc>
          <w:tcPr/>
          <w:p>
            <w:pPr>
              <w:pStyle w:val="Compact"/>
              <w:jc w:val="left"/>
            </w:pPr>
            <w:r>
              <w:t xml:space="preserve">SYNCHRONIZE-1 (le Roux 2026), PMID 42253238</w:t>
            </w:r>
          </w:p>
        </w:tc>
        <w:tc>
          <w:tcPr/>
          <w:p>
            <w:pPr>
              <w:pStyle w:val="Compact"/>
              <w:jc w:val="left"/>
            </w:pPr>
            <w:r>
              <w:t xml:space="preserve">725 volwassenen met obesitas zonder diabetes, tegen placebo</w:t>
            </w:r>
          </w:p>
        </w:tc>
        <w:tc>
          <w:tcPr/>
          <w:p>
            <w:pPr>
              <w:pStyle w:val="Compact"/>
              <w:jc w:val="left"/>
            </w:pPr>
            <w:r>
              <w:t xml:space="preserve">76 weken</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volwassenen met obesitas en diabetes type 2, tegen placebo</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volwassenen met obesitas en leververvetting met risicotekenen</w:t>
            </w:r>
          </w:p>
        </w:tc>
        <w:tc>
          <w:tcPr/>
          <w:p>
            <w:pPr>
              <w:pStyle w:val="Compact"/>
              <w:jc w:val="left"/>
            </w:pPr>
            <w:r>
              <w:t xml:space="preserve">48 weken</w:t>
            </w:r>
          </w:p>
        </w:tc>
        <w:tc>
          <w:tcPr/>
          <w:p>
            <w:pPr>
              <w:pStyle w:val="Compact"/>
              <w:jc w:val="left"/>
            </w:pPr>
            <w:r>
              <w:t xml:space="preserve">levervet −30% of meer bij 84,2% vs. 24,3%</w:t>
            </w:r>
          </w:p>
        </w:tc>
      </w:tr>
    </w:tbl>
    <w:bookmarkStart w:id="587" w:name="obesitas-en-diabetes-type-2"/>
    <w:p>
      <w:pPr>
        <w:pStyle w:val="Heading4"/>
      </w:pPr>
      <w:r>
        <w:t xml:space="preserve">Obesitas en diabetes type 2</w:t>
      </w:r>
    </w:p>
    <w:p>
      <w:pPr>
        <w:pStyle w:val="FirstParagraph"/>
      </w:pPr>
      <w:r>
        <w:t xml:space="preserve">De fase 2-studie bij obesitas</w:t>
      </w:r>
      <w:r>
        <w:rPr>
          <w:rStyle w:val="FootnoteReference"/>
        </w:rPr>
        <w:footnoteReference w:id="583"/>
      </w:r>
      <w:r>
        <w:t xml:space="preserve"> </w:t>
      </w:r>
      <w:r>
        <w:t xml:space="preserve">liet na 46 weken een dosisafhankelijk gewichtsverlies zien van tot 14,9%. Opvallend was het hoge uitvalpercentage: slechts 61% van de deelnemers met survodutide voltooide de 46 behandelweken, maar ook slechts 60% met placebo. Maag-darmbijwerkingen kwamen voor bij 75% met survodutide en 42% met placebo. De dosisopbouw was in deze studie relatief snel.</w:t>
      </w:r>
    </w:p>
    <w:p>
      <w:pPr>
        <w:pStyle w:val="BodyText"/>
      </w:pPr>
      <w:r>
        <w:t xml:space="preserve">In de fase 3-studie</w:t>
      </w:r>
      <w:r>
        <w:t xml:space="preserve"> </w:t>
      </w:r>
      <w:r>
        <w:rPr>
          <w:bCs/>
          <w:b/>
        </w:rPr>
        <w:t xml:space="preserve">SYNCHRONIZE-1</w:t>
      </w:r>
      <w:r>
        <w:rPr>
          <w:rStyle w:val="FootnoteReference"/>
        </w:rPr>
        <w:footnoteReference w:id="584"/>
      </w:r>
      <w:r>
        <w:t xml:space="preserve"> </w:t>
      </w:r>
      <w:r>
        <w:t xml:space="preserve">werd de dosis langzamer opgebouwd. Na 76 weken verloren de deelnemers bij de hogere dosis 13,0% van hun lichaamsgewicht, bij placebo 5,4%. Dat ligt onder de waarden die tirzepatide of retatrutide in vergelijkbaar opgezette studies bereikten. Daarbij moet worden bedacht dat de hoofdanalyse alle personen omvatte – ook degenen die met de behandeling stopten of bij wie de dosisopbouw werd verlengd. Maag-darmklachten troffen 80,9% resp. 89,7% tegenover 47,9% bij placebo; sterfgevallen kwamen niet voor.</w:t>
      </w:r>
    </w:p>
    <w:p>
      <w:pPr>
        <w:pStyle w:val="BodyText"/>
      </w:pPr>
      <w:r>
        <w:rPr>
          <w:bCs/>
          <w:b/>
        </w:rPr>
        <w:t xml:space="preserve">SYNCHRONIZE-2</w:t>
      </w:r>
      <w:r>
        <w:rPr>
          <w:rStyle w:val="FootnoteReference"/>
        </w:rPr>
        <w:footnoteReference w:id="585"/>
      </w:r>
      <w:r>
        <w:t xml:space="preserve"> </w:t>
      </w:r>
      <w:r>
        <w:t xml:space="preserve">onderzocht 752 mensen met obesitas en diabetes type 2. Het gewichtsverlies bedroeg na 76 weken 8,2% resp. 9,8% tegenover 3,9% bij placebo; de HbA1c-waarde daalde vanaf 7,4% met 0,8 tot 0,9 procentpunt.</w:t>
      </w:r>
    </w:p>
    <w:p>
      <w:pPr>
        <w:pStyle w:val="BodyText"/>
      </w:pPr>
      <w:r>
        <w:t xml:space="preserve">In de fase 2-studie bij diabetes type 2 verlaagde survodutide de HbA1c-waarde na 16 weken in een lage dosis ongeveer even sterk als semaglutide 1 mg (respectievelijk ongeveer −1,46 en −1,47 punt); de hogere doses leidden tot meer gewichtsverlies dan semaglutide</w:t>
      </w:r>
      <w:r>
        <w:rPr>
          <w:rStyle w:val="FootnoteReference"/>
        </w:rPr>
        <w:footnoteReference w:id="586"/>
      </w:r>
      <w:r>
        <w:t xml:space="preserve">. De semaglutide-arm was echter open-label en de studie kort.</w:t>
      </w:r>
    </w:p>
    <w:bookmarkEnd w:id="587"/>
    <w:bookmarkStart w:id="591" w:name="leververvetting-masld-en-mash"/>
    <w:p>
      <w:pPr>
        <w:pStyle w:val="Heading4"/>
      </w:pPr>
      <w:r>
        <w:t xml:space="preserve">Leververvetting (MASLD en MASH)</w:t>
      </w:r>
    </w:p>
    <w:p>
      <w:pPr>
        <w:pStyle w:val="FirstParagraph"/>
      </w:pPr>
      <w:r>
        <w:t xml:space="preserve">Hier ligt de eigenlijke kracht van de gegevens tot nu toe. In de fase 2-studie bij met biopsie bevestigde MASH met fibrose</w:t>
      </w:r>
      <w:r>
        <w:rPr>
          <w:rStyle w:val="FootnoteReference"/>
        </w:rPr>
        <w:footnoteReference w:id="588"/>
      </w:r>
      <w:r>
        <w:t xml:space="preserve"> </w:t>
      </w:r>
      <w:r>
        <w:t xml:space="preserve">verbeterde de leverontsteking zonder verslechtering van de fibrose bij 47%, 62% en 43% van de drie dosisgroepen tegenover 14% bij placebo. Een verbetering van de fibrose met ten minste één stadium was te zien bij 34–36% tegenover 22%. De dosis-responscurve verliep daarbij niet lineair: de middelste dosis presteerde het best.</w:t>
      </w:r>
    </w:p>
    <w:p>
      <w:pPr>
        <w:pStyle w:val="BodyText"/>
      </w:pPr>
      <w:r>
        <w:t xml:space="preserve">De fase 3-studie</w:t>
      </w:r>
      <w:r>
        <w:t xml:space="preserve"> </w:t>
      </w:r>
      <w:r>
        <w:rPr>
          <w:bCs/>
          <w:b/>
        </w:rPr>
        <w:t xml:space="preserve">SYNCHRONIZE-MASLD</w:t>
      </w:r>
      <w:r>
        <w:rPr>
          <w:rStyle w:val="FootnoteReference"/>
        </w:rPr>
        <w:footnoteReference w:id="589"/>
      </w:r>
      <w:r>
        <w:t xml:space="preserve"> </w:t>
      </w:r>
      <w:r>
        <w:t xml:space="preserve">met 216 volwassenen liet na 48 weken bij 84,2% met survodutide een afname van het levervet van ten minste 30% zien (placebo 24,3%), gemeten met MRI. Volgens de strengere analyse, die ook het stoppen met de behandeling meeneemt, waren het 68,5% tegenover 28,6%. De auteurs noemen zelf de korte duur en de werving alleen in de VS en Spanje als beperkingen.</w:t>
      </w:r>
    </w:p>
    <w:p>
      <w:pPr>
        <w:pStyle w:val="BodyText"/>
      </w:pPr>
      <w:r>
        <w:t xml:space="preserve">In een open-label fase 1-studie werd survodutide ook onderzocht bij mensen met levercirrose, inclusief gevorderde stadia. De bloedspiegels verschilden niet wezenlijk van die van mensen met een gezonde lever; levervet, leverstijfheid en lichaamsgewicht namen over 28 weken af</w:t>
      </w:r>
      <w:r>
        <w:rPr>
          <w:rStyle w:val="FootnoteReference"/>
        </w:rPr>
        <w:footnoteReference w:id="590"/>
      </w:r>
      <w:r>
        <w:t xml:space="preserve">. Deze studie was klein en niet gecontroleerd.</w:t>
      </w:r>
    </w:p>
    <w:bookmarkEnd w:id="591"/>
    <w:bookmarkEnd w:id="592"/>
    <w:bookmarkStart w:id="595" w:name="dier--en-laboratoriumstudies-6"/>
    <w:p>
      <w:pPr>
        <w:pStyle w:val="Heading3"/>
      </w:pPr>
      <w:r>
        <w:t xml:space="preserve">Dier- en laboratoriumstudies</w:t>
      </w:r>
    </w:p>
    <w:p>
      <w:pPr>
        <w:pStyle w:val="FirstParagraph"/>
      </w:pPr>
      <w:r>
        <w:t xml:space="preserve">De preklinische gegevens zijn overwegend afkomstig uit de laboratoria van de fabrikant: receptorprofielen in cellijnen, gewichtsverlies bij muizen met door voeding veroorzaakte obesitas en bloedsuikerverlaging bij diabetische muizen</w:t>
      </w:r>
      <w:r>
        <w:rPr>
          <w:rStyle w:val="FootnoteReference"/>
        </w:rPr>
        <w:footnoteReference w:id="593"/>
      </w:r>
      <w:r>
        <w:t xml:space="preserve">. Over de plaats van werking in de hersenen is er onderzoek bij muizen en in menselijk weefsel</w:t>
      </w:r>
      <w:r>
        <w:rPr>
          <w:rStyle w:val="FootnoteReference"/>
        </w:rPr>
        <w:footnoteReference w:id="594"/>
      </w:r>
      <w:r>
        <w:t xml:space="preserve">. Onafhankelijke dierstudies zijn zeldzaam.</w:t>
      </w:r>
    </w:p>
    <w:bookmarkEnd w:id="595"/>
    <w:bookmarkStart w:id="599" w:name="risicos-en-bijwerkingen-6"/>
    <w:p>
      <w:pPr>
        <w:pStyle w:val="Heading3"/>
      </w:pPr>
      <w:r>
        <w:t xml:space="preserve">Risico’s en bijwerkingen</w:t>
      </w:r>
    </w:p>
    <w:p>
      <w:pPr>
        <w:pStyle w:val="FirstParagraph"/>
      </w:pPr>
      <w:r>
        <w:rPr>
          <w:bCs/>
          <w:b/>
        </w:rPr>
        <w:t xml:space="preserve">Aangetoond in studies:</w:t>
      </w:r>
    </w:p>
    <w:p>
      <w:pPr>
        <w:numPr>
          <w:ilvl w:val="0"/>
          <w:numId w:val="1073"/>
        </w:numPr>
        <w:pStyle w:val="Compact"/>
      </w:pPr>
      <w:r>
        <w:rPr>
          <w:bCs/>
          <w:b/>
        </w:rPr>
        <w:t xml:space="preserve">Maag-darmklachten</w:t>
      </w:r>
      <w:r>
        <w:t xml:space="preserve"> </w:t>
      </w:r>
      <w:r>
        <w:t xml:space="preserve">komen bij survodutide bijzonder vaak voor. In de MASH-studie kwamen misselijkheid bij 66% (placebo 23%), diarree bij 49% (23%) en braken bij 41% (4%) voor</w:t>
      </w:r>
      <w:r>
        <w:rPr>
          <w:rStyle w:val="FootnoteReference"/>
        </w:rPr>
        <w:footnoteReference w:id="596"/>
      </w:r>
      <w:r>
        <w:t xml:space="preserve">. In SYNCHRONIZE-1 meldde tot 89,7% maag-darmklachten</w:t>
      </w:r>
      <w:r>
        <w:rPr>
          <w:rStyle w:val="FootnoteReference"/>
        </w:rPr>
        <w:footnoteReference w:id="597"/>
      </w:r>
      <w:r>
        <w:t xml:space="preserve">. De frequentie is in vergelijking met andere incretinemiddelen hoog, ook al waren de meeste klachten licht tot matig.</w:t>
      </w:r>
    </w:p>
    <w:p>
      <w:pPr>
        <w:numPr>
          <w:ilvl w:val="0"/>
          <w:numId w:val="1073"/>
        </w:numPr>
        <w:pStyle w:val="Compact"/>
      </w:pPr>
      <w:r>
        <w:rPr>
          <w:bCs/>
          <w:b/>
        </w:rPr>
        <w:t xml:space="preserve">Ernstige ongewenste voorvallen</w:t>
      </w:r>
      <w:r>
        <w:t xml:space="preserve"> </w:t>
      </w:r>
      <w:r>
        <w:t xml:space="preserve">kwamen in de MASH-studie met 8% bij survodutide en 7% bij placebo ongeveer even vaak voor.</w:t>
      </w:r>
    </w:p>
    <w:p>
      <w:pPr>
        <w:numPr>
          <w:ilvl w:val="0"/>
          <w:numId w:val="1073"/>
        </w:numPr>
        <w:pStyle w:val="Compact"/>
      </w:pPr>
      <w:r>
        <w:rPr>
          <w:bCs/>
          <w:b/>
        </w:rPr>
        <w:t xml:space="preserve">Uitval:</w:t>
      </w:r>
      <w:r>
        <w:t xml:space="preserve"> </w:t>
      </w:r>
      <w:r>
        <w:t xml:space="preserve">in de fase 2-obesitasstudie voltooide slechts ongeveer 60% de behandelfase – in beide groepen.</w:t>
      </w:r>
    </w:p>
    <w:p>
      <w:pPr>
        <w:pStyle w:val="FirstParagraph"/>
      </w:pPr>
      <w:r>
        <w:rPr>
          <w:bCs/>
          <w:b/>
        </w:rPr>
        <w:t xml:space="preserve">Nog open:</w:t>
      </w:r>
      <w:r>
        <w:t xml:space="preserve"> </w:t>
      </w:r>
      <w:r>
        <w:t xml:space="preserve">stijging van de hartslag is bekend bij glucagon- en GLP-1-agonisten; er is een aparte studie naar de cardiale veiligheid uitgevoerd</w:t>
      </w:r>
      <w:r>
        <w:rPr>
          <w:rStyle w:val="FootnoteReference"/>
        </w:rPr>
        <w:footnoteReference w:id="598"/>
      </w:r>
      <w:r>
        <w:t xml:space="preserve">. De grote cardiovasculaire veiligheidsstudie SYNCHRONIZE-CVOT is volgens het register afgerond; de resultaten waren bij het afsluiten van de redactie nog niet gepubliceerd in een collegiaal getoetst vaktijdschrift. Langetermijneffecten van de glucagoncomponent op spieren, botten en aminozuurstofwisseling zijn niet onderzocht.</w:t>
      </w:r>
    </w:p>
    <w:bookmarkEnd w:id="599"/>
    <w:bookmarkStart w:id="600" w:name="juridische-status-6"/>
    <w:p>
      <w:pPr>
        <w:pStyle w:val="Heading3"/>
      </w:pPr>
      <w:r>
        <w:t xml:space="preserve">Juridische status</w:t>
      </w:r>
    </w:p>
    <w:p>
      <w:pPr>
        <w:numPr>
          <w:ilvl w:val="0"/>
          <w:numId w:val="1074"/>
        </w:numPr>
        <w:pStyle w:val="Compact"/>
      </w:pPr>
      <w:r>
        <w:rPr>
          <w:bCs/>
          <w:b/>
        </w:rPr>
        <w:t xml:space="preserve">EU / Oostenrijk / Duitsland:</w:t>
      </w:r>
      <w:r>
        <w:t xml:space="preserve"> </w:t>
      </w:r>
      <w:r>
        <w:t xml:space="preserve">niet geregistreerd; toepassing alleen in klinische studies. Aanbiedingen op de grijze markt zijn geen legale geneesmiddelen.</w:t>
      </w:r>
    </w:p>
    <w:p>
      <w:pPr>
        <w:numPr>
          <w:ilvl w:val="0"/>
          <w:numId w:val="1074"/>
        </w:numPr>
        <w:pStyle w:val="Compact"/>
      </w:pPr>
      <w:r>
        <w:rPr>
          <w:bCs/>
          <w:b/>
        </w:rPr>
        <w:t xml:space="preserve">VS:</w:t>
      </w:r>
      <w:r>
        <w:t xml:space="preserve"> </w:t>
      </w:r>
      <w:r>
        <w:t xml:space="preserve">niet geregistreerd. De FDA heeft survodutide voor de behandeling van MASH aangemerkt als</w:t>
      </w:r>
      <w:r>
        <w:t xml:space="preserve"> </w:t>
      </w:r>
      <w:r>
        <w:t xml:space="preserve">‘</w:t>
      </w:r>
      <w:r>
        <w:t xml:space="preserve">Breakthrough Therapy</w:t>
      </w:r>
      <w:r>
        <w:t xml:space="preserve">’</w:t>
      </w:r>
      <w:r>
        <w:t xml:space="preserve">, wat de beoordelingsprocedure kan versnellen.</w:t>
      </w:r>
    </w:p>
    <w:p>
      <w:pPr>
        <w:numPr>
          <w:ilvl w:val="0"/>
          <w:numId w:val="1074"/>
        </w:numPr>
        <w:pStyle w:val="Compact"/>
      </w:pPr>
      <w:r>
        <w:rPr>
          <w:bCs/>
          <w:b/>
        </w:rPr>
        <w:t xml:space="preserve">Sport:</w:t>
      </w:r>
      <w:r>
        <w:t xml:space="preserve"> </w:t>
      </w:r>
      <w:r>
        <w:t xml:space="preserve">WADA-klasse S0 (niet-goedgekeurde stof), stand 2026, actuele situatie controleren.</w:t>
      </w:r>
    </w:p>
    <w:bookmarkEnd w:id="600"/>
    <w:bookmarkStart w:id="611" w:name="lopende-studies-en-vooruitzichten-6"/>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5"/>
        </w:numPr>
        <w:pStyle w:val="Compact"/>
      </w:pPr>
      <w:r>
        <w:rPr>
          <w:bCs/>
          <w:b/>
        </w:rPr>
        <w:t xml:space="preserve">SYNCHRONIZE-CVOT</w:t>
      </w:r>
      <w:r>
        <w:rPr>
          <w:rStyle w:val="FootnoteReference"/>
        </w:rPr>
        <w:footnoteReference w:id="601"/>
      </w:r>
      <w:r>
        <w:t xml:space="preserve">: cardiovasculaire veiligheidsstudie met 5.531 deelnemers, volgens het register afgerond; design beschreven bij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met 1.800 deelnemers met MASH en fibrose en</w:t>
      </w:r>
      <w:r>
        <w:t xml:space="preserve"> </w:t>
      </w:r>
      <w:r>
        <w:rPr>
          <w:bCs/>
          <w:b/>
        </w:rPr>
        <w:t xml:space="preserve">LIVERAGE-Cirrhosis</w:t>
      </w:r>
      <w:r>
        <w:rPr>
          <w:rStyle w:val="FootnoteReference"/>
        </w:rPr>
        <w:footnoteReference w:id="604"/>
      </w:r>
      <w:r>
        <w:t xml:space="preserve"> </w:t>
      </w:r>
      <w:r>
        <w:t xml:space="preserve">met 1.590 deelnemers met MASH-cirrose – de beslissende studies voor een registratie in de leverziektekunde, met geplande einddata tussen 2029 en 2031.</w:t>
      </w:r>
    </w:p>
    <w:p>
      <w:pPr>
        <w:numPr>
          <w:ilvl w:val="0"/>
          <w:numId w:val="1075"/>
        </w:numPr>
        <w:pStyle w:val="Compact"/>
      </w:pPr>
      <w:r>
        <w:t xml:space="preserve">Verdere fase 3-studies: diabetes type 2</w:t>
      </w:r>
      <w:r>
        <w:rPr>
          <w:rStyle w:val="FootnoteReference"/>
        </w:rPr>
        <w:footnoteReference w:id="605"/>
      </w:r>
      <w:r>
        <w:t xml:space="preserve">, vrouwen met obesitas</w:t>
      </w:r>
      <w:r>
        <w:rPr>
          <w:rStyle w:val="FootnoteReference"/>
        </w:rPr>
        <w:footnoteReference w:id="606"/>
      </w:r>
      <w:r>
        <w:t xml:space="preserve">, hartstructuur bij obesitas</w:t>
      </w:r>
      <w:r>
        <w:rPr>
          <w:rStyle w:val="FootnoteReference"/>
        </w:rPr>
        <w:footnoteReference w:id="607"/>
      </w:r>
      <w:r>
        <w:t xml:space="preserve">, personen zonder eerdere behandeling</w:t>
      </w:r>
      <w:r>
        <w:rPr>
          <w:rStyle w:val="FootnoteReference"/>
        </w:rPr>
        <w:footnoteReference w:id="608"/>
      </w:r>
      <w:r>
        <w:t xml:space="preserve">.</w:t>
      </w:r>
    </w:p>
    <w:p>
      <w:pPr>
        <w:numPr>
          <w:ilvl w:val="0"/>
          <w:numId w:val="1075"/>
        </w:numPr>
        <w:pStyle w:val="Compact"/>
      </w:pPr>
      <w:r>
        <w:t xml:space="preserve">Fase 3-studies in China</w:t>
      </w:r>
      <w:r>
        <w:rPr>
          <w:rStyle w:val="FootnoteReference"/>
        </w:rPr>
        <w:footnoteReference w:id="609"/>
      </w:r>
      <w:r>
        <w:t xml:space="preserve"> </w:t>
      </w:r>
      <w:r>
        <w:t xml:space="preserve">en Japan</w:t>
      </w:r>
      <w:r>
        <w:rPr>
          <w:rStyle w:val="FootnoteReference"/>
        </w:rPr>
        <w:footnoteReference w:id="610"/>
      </w:r>
      <w:r>
        <w:t xml:space="preserve"> </w:t>
      </w:r>
      <w:r>
        <w:t xml:space="preserve">zijn afgerond.</w:t>
      </w:r>
    </w:p>
    <w:p>
      <w:pPr>
        <w:pStyle w:val="FirstParagraph"/>
      </w:pPr>
      <w:r>
        <w:rPr>
          <w:bCs/>
          <w:b/>
        </w:rPr>
        <w:t xml:space="preserve">Inschatting:</w:t>
      </w:r>
      <w:r>
        <w:t xml:space="preserve"> </w:t>
      </w:r>
      <w:r>
        <w:t xml:space="preserve">als zuiver afslankmiddel zal survodutide het moeilijk krijgen tegen tirzepatide, semaglutide en de komende drievoudige agonisten – het gewichtsverlies in SYNCHRONIZE-1 was kleiner, de maag-darmbijwerkingen kwamen vaak voor. Zijn niche zou leververvetting kunnen worden, vooral de gevorderde stadia tot en met cirrose, waarvoor nauwelijks behandelmogelijkheden bestaan. Of dat lukt, zullen de LIVERAGE-studies beslissen.</w:t>
      </w:r>
    </w:p>
    <w:bookmarkEnd w:id="611"/>
    <w:bookmarkStart w:id="612" w:name="conclusie-6"/>
    <w:p>
      <w:pPr>
        <w:pStyle w:val="Heading3"/>
      </w:pPr>
      <w:r>
        <w:t xml:space="preserve">Conclusie</w:t>
      </w:r>
    </w:p>
    <w:p>
      <w:pPr>
        <w:pStyle w:val="FirstParagraph"/>
      </w:pPr>
      <w:r>
        <w:t xml:space="preserve">Survodutide is een dubbele glucagon- en GLP-1-agonist die in fase 3-studies het lichaamsgewicht na 76 weken met tot 13,0% (zonder diabetes) resp. 9,8% (met diabetes type 2) verlaagde. Duidelijker waren de effecten op de lever: in de fase 2-studie verbeterde de leverontsteking bij tot 62% tegenover 14% bij placebo. Maag-darmklachten komen zeer vaak voor. Survodutide is niet geregistreerd; of het als levergeneesmiddel een toekomst heeft, zullen de lopende fase 3-studies laten zien.</w:t>
      </w:r>
    </w:p>
    <w:bookmarkEnd w:id="612"/>
    <w:bookmarkEnd w:id="613"/>
    <w:bookmarkStart w:id="651" w:name="mazdutide"/>
    <w:p>
      <w:pPr>
        <w:pStyle w:val="Heading2"/>
      </w:pPr>
      <w:r>
        <w:t xml:space="preserve">Mazdutide</w:t>
      </w:r>
    </w:p>
    <w:bookmarkStart w:id="614" w:name="profiel-7"/>
    <w:p>
      <w:pPr>
        <w:pStyle w:val="Heading3"/>
      </w:pPr>
      <w:r>
        <w:t xml:space="preserve">Profiel</w:t>
      </w:r>
    </w:p>
    <w:p>
      <w:pPr>
        <w:numPr>
          <w:ilvl w:val="0"/>
          <w:numId w:val="1076"/>
        </w:numPr>
        <w:pStyle w:val="Compact"/>
      </w:pPr>
      <w:r>
        <w:rPr>
          <w:bCs/>
          <w:b/>
        </w:rPr>
        <w:t xml:space="preserve">Soort/structuur:</w:t>
      </w:r>
      <w:r>
        <w:t xml:space="preserve"> </w:t>
      </w:r>
      <w:r>
        <w:t xml:space="preserve">synthetisch, met een vetzuur gemodificeerd peptide, afgeleid van het darmhormoon oxyntomoduline; toediening eenmaal per week onder de huid. Ontwikkelingscodes LY3305677 (Eli Lilly) en IBI362 (Innovent Biologics).</w:t>
      </w:r>
    </w:p>
    <w:p>
      <w:pPr>
        <w:numPr>
          <w:ilvl w:val="0"/>
          <w:numId w:val="1076"/>
        </w:numPr>
        <w:pStyle w:val="Compact"/>
      </w:pPr>
      <w:r>
        <w:rPr>
          <w:bCs/>
          <w:b/>
        </w:rPr>
        <w:t xml:space="preserve">Herkomst:</w:t>
      </w:r>
      <w:r>
        <w:t xml:space="preserve"> </w:t>
      </w:r>
      <w:r>
        <w:t xml:space="preserve">oorspronkelijk ontwikkeld door Eli Lilly; in China door Innovent Biologics tot registratie gebracht, buiten China verder onderzocht door Lilly.</w:t>
      </w:r>
    </w:p>
    <w:p>
      <w:pPr>
        <w:numPr>
          <w:ilvl w:val="0"/>
          <w:numId w:val="1076"/>
        </w:numPr>
        <w:pStyle w:val="Compact"/>
      </w:pPr>
      <w:r>
        <w:rPr>
          <w:bCs/>
          <w:b/>
        </w:rPr>
        <w:t xml:space="preserve">Werkingsprincipe:</w:t>
      </w:r>
      <w:r>
        <w:t xml:space="preserve"> </w:t>
      </w:r>
      <w:r>
        <w:t xml:space="preserve">dubbele agonist op de GLP-1- en glucagonreceptor – zoals survodutide, maar een zelfstandig molecuul.</w:t>
      </w:r>
    </w:p>
    <w:p>
      <w:pPr>
        <w:numPr>
          <w:ilvl w:val="0"/>
          <w:numId w:val="1076"/>
        </w:numPr>
        <w:pStyle w:val="Compact"/>
      </w:pPr>
      <w:r>
        <w:rPr>
          <w:bCs/>
          <w:b/>
        </w:rPr>
        <w:t xml:space="preserve">Registratie EU:</w:t>
      </w:r>
      <w:r>
        <w:t xml:space="preserve"> </w:t>
      </w:r>
      <w:r>
        <w:t xml:space="preserve">nee.</w:t>
      </w:r>
    </w:p>
    <w:p>
      <w:pPr>
        <w:numPr>
          <w:ilvl w:val="0"/>
          <w:numId w:val="1076"/>
        </w:numPr>
        <w:pStyle w:val="Compact"/>
      </w:pPr>
      <w:r>
        <w:rPr>
          <w:bCs/>
          <w:b/>
        </w:rPr>
        <w:t xml:space="preserve">Registratie VS:</w:t>
      </w:r>
      <w:r>
        <w:t xml:space="preserve"> </w:t>
      </w:r>
      <w:r>
        <w:t xml:space="preserve">nee.</w:t>
      </w:r>
    </w:p>
    <w:p>
      <w:pPr>
        <w:numPr>
          <w:ilvl w:val="0"/>
          <w:numId w:val="1076"/>
        </w:numPr>
        <w:pStyle w:val="Compact"/>
      </w:pPr>
      <w:r>
        <w:rPr>
          <w:bCs/>
          <w:b/>
        </w:rPr>
        <w:t xml:space="preserve">Registratie China:</w:t>
      </w:r>
      <w:r>
        <w:t xml:space="preserve"> </w:t>
      </w:r>
      <w:r>
        <w:t xml:space="preserve">ja, sinds juni 2025 voor gewichtsbeheersing, sinds september 2025 ook voor diabetes type 2 (handelsnaam Xinermei).</w:t>
      </w:r>
    </w:p>
    <w:p>
      <w:pPr>
        <w:numPr>
          <w:ilvl w:val="0"/>
          <w:numId w:val="1076"/>
        </w:numPr>
        <w:pStyle w:val="Compact"/>
      </w:pPr>
      <w:r>
        <w:rPr>
          <w:bCs/>
          <w:b/>
        </w:rPr>
        <w:t xml:space="preserve">WADA:</w:t>
      </w:r>
      <w:r>
        <w:t xml:space="preserve"> </w:t>
      </w:r>
      <w:r>
        <w:t xml:space="preserve">niet bij naam vermeld. Omdat mazdutide door een overheidsinstantie voor gezondheid (China) is geregistreerd, valt het naar de letter niet meer onder S0; gebruik in de sport zonder medische indicatie is desondanks problematisch.</w:t>
      </w:r>
    </w:p>
    <w:p>
      <w:pPr>
        <w:numPr>
          <w:ilvl w:val="0"/>
          <w:numId w:val="1076"/>
        </w:numPr>
        <w:pStyle w:val="Compact"/>
      </w:pPr>
      <w:r>
        <w:rPr>
          <w:bCs/>
          <w:b/>
        </w:rPr>
        <w:t xml:space="preserve">Bewijsniveau:</w:t>
      </w:r>
      <w:r>
        <w:t xml:space="preserve"> </w:t>
      </w:r>
      <w:r>
        <w:rPr>
          <w:bCs/>
          <w:b/>
        </w:rPr>
        <w:t xml:space="preserve">A</w:t>
      </w:r>
      <w:r>
        <w:t xml:space="preserve"> </w:t>
      </w:r>
      <w:r>
        <w:t xml:space="preserve">– meerdere grote fase 3-studies en een registratie, zij het vrijwel uitsluitend bij Chinese deelnemers.</w:t>
      </w:r>
    </w:p>
    <w:bookmarkEnd w:id="614"/>
    <w:bookmarkStart w:id="615" w:name="hoe-het-zou-moeten-werken-7"/>
    <w:p>
      <w:pPr>
        <w:pStyle w:val="Heading3"/>
      </w:pPr>
      <w:r>
        <w:t xml:space="preserve">Hoe het zou moeten werken</w:t>
      </w:r>
    </w:p>
    <w:p>
      <w:pPr>
        <w:pStyle w:val="FirstParagraph"/>
      </w:pPr>
      <w:r>
        <w:t xml:space="preserve">Oxyntomoduline is een natuurlijk hormoon uit de darm dat – net als GLP-1 – na het eten wordt afgegeven. Het activeert zowel de GLP-1- als de glucagonreceptor, maar slechts zwak en zeer kort. Mazdutide is een gestabiliseerde, langwerkende versie van dit principe.</w:t>
      </w:r>
    </w:p>
    <w:p>
      <w:pPr>
        <w:pStyle w:val="BodyText"/>
      </w:pPr>
      <w:r>
        <w:t xml:space="preserve">Het GLP-1-aandeel remt de eetlust, vertraagt de maaglediging en bevordert de bloedsuikerafhankelijke insulineafgifte. Het glucagonaandeel zou het energieverbruik moeten verhogen en de vetafbraak in de lever bevorderen (zie ook het hoofdstuk Survodutide). Bij de mens is de bijdrage van het glucagonaandeel aan het gewichtsverlies niet direct gemeten; de hypothese steunt vooral op dierexperimentele gegevens.</w:t>
      </w:r>
    </w:p>
    <w:bookmarkEnd w:id="615"/>
    <w:bookmarkStart w:id="630" w:name="studies-bij-mensen-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9 studies bij mensen op, aangevuld met een fase 1-studie met hoge doses en een casusbeschrijving. Op ClinicalTrials.gov waren 44 studies geregistreerd, de meeste daarvan in China. De registratiestudies heten</w:t>
      </w:r>
      <w:r>
        <w:t xml:space="preserve"> </w:t>
      </w:r>
      <w:r>
        <w:rPr>
          <w:bCs/>
          <w:b/>
        </w:rPr>
        <w:t xml:space="preserve">GLORY</w:t>
      </w:r>
      <w:r>
        <w:t xml:space="preserve"> </w:t>
      </w:r>
      <w:r>
        <w:t xml:space="preserve">(obesitas) en</w:t>
      </w:r>
      <w:r>
        <w:t xml:space="preserve"> </w:t>
      </w:r>
      <w:r>
        <w:rPr>
          <w:bCs/>
          <w:b/>
        </w:rPr>
        <w:t xml:space="preserve">DREAMS</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(Ji 2023), PMID 38092790</w:t>
            </w:r>
          </w:p>
        </w:tc>
        <w:tc>
          <w:tcPr/>
          <w:p>
            <w:pPr>
              <w:pStyle w:val="Compact"/>
              <w:jc w:val="left"/>
            </w:pPr>
            <w:r>
              <w:t xml:space="preserve">248 Chinese volwassenen met overgewicht/obesitas</w:t>
            </w:r>
          </w:p>
        </w:tc>
        <w:tc>
          <w:tcPr/>
          <w:p>
            <w:pPr>
              <w:pStyle w:val="Compact"/>
              <w:jc w:val="left"/>
            </w:pPr>
            <w:r>
              <w:t xml:space="preserve">24 weken</w:t>
            </w:r>
          </w:p>
        </w:tc>
        <w:tc>
          <w:tcPr/>
          <w:p>
            <w:pPr>
              <w:pStyle w:val="Compact"/>
              <w:jc w:val="left"/>
            </w:pPr>
            <w:r>
              <w:t xml:space="preserve">−6,7 tot −11,3% gewicht vs. +1,0%</w:t>
            </w:r>
          </w:p>
        </w:tc>
      </w:tr>
      <w:tr>
        <w:tc>
          <w:tcPr/>
          <w:p>
            <w:pPr>
              <w:pStyle w:val="Compact"/>
              <w:jc w:val="left"/>
            </w:pPr>
            <w:r>
              <w:t xml:space="preserve">Fase 2 diabetes type 2 (Zhang 2024), PMID 37943529</w:t>
            </w:r>
          </w:p>
        </w:tc>
        <w:tc>
          <w:tcPr/>
          <w:p>
            <w:pPr>
              <w:pStyle w:val="Compact"/>
              <w:jc w:val="left"/>
            </w:pPr>
            <w:r>
              <w:t xml:space="preserve">250 Chinese volwassenen, tegen placebo en open-label dulaglutide</w:t>
            </w:r>
          </w:p>
        </w:tc>
        <w:tc>
          <w:tcPr/>
          <w:p>
            <w:pPr>
              <w:pStyle w:val="Compact"/>
              <w:jc w:val="left"/>
            </w:pPr>
            <w:r>
              <w:t xml:space="preserve">20 weken</w:t>
            </w:r>
          </w:p>
        </w:tc>
        <w:tc>
          <w:tcPr/>
          <w:p>
            <w:pPr>
              <w:pStyle w:val="Compact"/>
              <w:jc w:val="left"/>
            </w:pPr>
            <w:r>
              <w:t xml:space="preserve">HbA1c −1,41 tot −1,67 (dulaglutide −1,35)</w:t>
            </w:r>
          </w:p>
        </w:tc>
      </w:tr>
      <w:tr>
        <w:tc>
          <w:tcPr/>
          <w:p>
            <w:pPr>
              <w:pStyle w:val="Compact"/>
              <w:jc w:val="left"/>
            </w:pPr>
            <w:r>
              <w:t xml:space="preserve">GLORY-1 (Ji 2025), PMID 40421736</w:t>
            </w:r>
          </w:p>
        </w:tc>
        <w:tc>
          <w:tcPr/>
          <w:p>
            <w:pPr>
              <w:pStyle w:val="Compact"/>
              <w:jc w:val="left"/>
            </w:pPr>
            <w:r>
              <w:t xml:space="preserve">610 Chinese volwassenen met overgewicht/obesitas, tegen placebo</w:t>
            </w:r>
          </w:p>
        </w:tc>
        <w:tc>
          <w:tcPr/>
          <w:p>
            <w:pPr>
              <w:pStyle w:val="Compact"/>
              <w:jc w:val="left"/>
            </w:pPr>
            <w:r>
              <w:t xml:space="preserve">48 weken</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volwassenen met obesitas, hogere dosis tegen placebo</w:t>
            </w:r>
          </w:p>
        </w:tc>
        <w:tc>
          <w:tcPr/>
          <w:p>
            <w:pPr>
              <w:pStyle w:val="Compact"/>
              <w:jc w:val="left"/>
            </w:pPr>
            <w:r>
              <w:t xml:space="preserve">60 weken</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volwassenen met diabetes type 2, tegen placebo</w:t>
            </w:r>
          </w:p>
        </w:tc>
        <w:tc>
          <w:tcPr/>
          <w:p>
            <w:pPr>
              <w:pStyle w:val="Compact"/>
              <w:jc w:val="left"/>
            </w:pPr>
            <w:r>
              <w:t xml:space="preserve">24 weken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volwassenen met diabetes type 2, tegen dulaglutide</w:t>
            </w:r>
          </w:p>
        </w:tc>
        <w:tc>
          <w:tcPr/>
          <w:p>
            <w:pPr>
              <w:pStyle w:val="Compact"/>
              <w:jc w:val="left"/>
            </w:pPr>
            <w:r>
              <w:t xml:space="preserve">28 weken</w:t>
            </w:r>
          </w:p>
        </w:tc>
        <w:tc>
          <w:tcPr/>
          <w:p>
            <w:pPr>
              <w:pStyle w:val="Compact"/>
              <w:jc w:val="left"/>
            </w:pPr>
            <w:r>
              <w:t xml:space="preserve">HbA1c extra −0,24 / −0,30; gewicht extra −3,78 / −5,76%</w:t>
            </w:r>
          </w:p>
        </w:tc>
      </w:tr>
      <w:tr>
        <w:tc>
          <w:tcPr/>
          <w:p>
            <w:pPr>
              <w:pStyle w:val="Compact"/>
              <w:jc w:val="left"/>
            </w:pPr>
            <w:r>
              <w:t xml:space="preserve">Fase 2 VS (Hsia 2026), PMID 42628555</w:t>
            </w:r>
          </w:p>
        </w:tc>
        <w:tc>
          <w:tcPr/>
          <w:p>
            <w:pPr>
              <w:pStyle w:val="Compact"/>
              <w:jc w:val="left"/>
            </w:pPr>
            <w:r>
              <w:t xml:space="preserve">179 volwassenen met overgewicht/obesitas, tegen placebo</w:t>
            </w:r>
          </w:p>
        </w:tc>
        <w:tc>
          <w:tcPr/>
          <w:p>
            <w:pPr>
              <w:pStyle w:val="Compact"/>
              <w:jc w:val="left"/>
            </w:pPr>
            <w:r>
              <w:t xml:space="preserve">48 weken (primair eindpunt 32)</w:t>
            </w:r>
          </w:p>
        </w:tc>
        <w:tc>
          <w:tcPr/>
          <w:p>
            <w:pPr>
              <w:pStyle w:val="Compact"/>
              <w:jc w:val="left"/>
            </w:pPr>
            <w:r>
              <w:t xml:space="preserve">−7,3 tot −18,1% na 32 weken vs. −0,9%</w:t>
            </w:r>
          </w:p>
        </w:tc>
      </w:tr>
    </w:tbl>
    <w:bookmarkStart w:id="618" w:name="obesitas-glory-1-en-glory-2"/>
    <w:p>
      <w:pPr>
        <w:pStyle w:val="Heading4"/>
      </w:pPr>
      <w:r>
        <w:t xml:space="preserve">Obesitas: GLORY-1 en GLORY-2</w:t>
      </w:r>
    </w:p>
    <w:p>
      <w:pPr>
        <w:pStyle w:val="FirstParagraph"/>
      </w:pPr>
      <w:r>
        <w:rPr>
          <w:bCs/>
          <w:b/>
        </w:rPr>
        <w:t xml:space="preserve">GLORY-1</w:t>
      </w:r>
      <w:r>
        <w:rPr>
          <w:rStyle w:val="FootnoteReference"/>
        </w:rPr>
        <w:footnoteReference w:id="616"/>
      </w:r>
      <w:r>
        <w:t xml:space="preserve"> </w:t>
      </w:r>
      <w:r>
        <w:t xml:space="preserve">was de registratiestudie voor China. De inclusiecriteria waren gebaseerd op Chinese grenswaarden: BMI vanaf 28 of vanaf 24 met bijkomende aandoening. Bij een uitgangsgewicht van 87,2 kg daalde het gewicht na 48 weken met 11,0% (4 mg) resp. 14,0% (6 mg); bij placebo bleef het vrijwel gelijk. Ten minste 15% verloren 35,7% resp. 49,5% van de deelnemers. Stoppen vanwege bijwerkingen was met 0,5–1,5% zeer zeldzaam.</w:t>
      </w:r>
    </w:p>
    <w:p>
      <w:pPr>
        <w:pStyle w:val="BodyText"/>
      </w:pPr>
      <w:r>
        <w:rPr>
          <w:bCs/>
          <w:b/>
        </w:rPr>
        <w:t xml:space="preserve">GLORY-2</w:t>
      </w:r>
      <w:r>
        <w:rPr>
          <w:rStyle w:val="FootnoteReference"/>
        </w:rPr>
        <w:footnoteReference w:id="617"/>
      </w:r>
      <w:r>
        <w:t xml:space="preserve"> </w:t>
      </w:r>
      <w:r>
        <w:t xml:space="preserve">onderzocht een hogere dosis bij mensen met een BMI vanaf 30. De deelnemers waren met gemiddeld 33,9 jaar opvallend jong. Na 60 weken bedroeg het gewichtsverlies 16,65% tegenover 1,50% bij placebo. De prijs was duidelijk meer maag-darmklachten: braken bij 53,1% (placebo 1,3%), misselijkheid bij 46,9% (3,2%) en diarree bij 39,4% (6,5%). Toch stopte slechts 2,9% vanwege bijwerkingen met de behandeling.</w:t>
      </w:r>
    </w:p>
    <w:bookmarkEnd w:id="618"/>
    <w:bookmarkStart w:id="623" w:name="diabetes-type-2-dreams-1-en-dreams-2"/>
    <w:p>
      <w:pPr>
        <w:pStyle w:val="Heading4"/>
      </w:pPr>
      <w:r>
        <w:t xml:space="preserve">Diabetes type 2: DREAMS-1 en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kregen mensen met diabetes type 2 die met voeding en beweging alleen niet voldoende was ingesteld (gemiddelde diabetesduur 1,9 jaar) mazdutide zonder andere diabetesmiddelen. De HbA1c-waarde daalde bij de hogere dosis na 24 weken met 2,15 procentpunt (placebo −0,14), het gewicht met 7,81%.</w:t>
      </w:r>
    </w:p>
    <w:p>
      <w:pPr>
        <w:pStyle w:val="BodyText"/>
      </w:pPr>
      <w:r>
        <w:rPr>
          <w:bCs/>
          <w:b/>
        </w:rPr>
        <w:t xml:space="preserve">DREAMS-2</w:t>
      </w:r>
      <w:r>
        <w:rPr>
          <w:rStyle w:val="FootnoteReference"/>
        </w:rPr>
        <w:footnoteReference w:id="620"/>
      </w:r>
      <w:r>
        <w:t xml:space="preserve"> </w:t>
      </w:r>
      <w:r>
        <w:t xml:space="preserve">is tot nu toe de belangrijkste vergelijkende studie: tegenover het gevestigde GLP-1-middel dulaglutide was mazdutide bij de HbA1c niet inferieur en superieur, zij het met een kleine marge (−0,24 resp. −0,30 procentpunt extra). Duidelijker was het verschil bij het gewicht (extra −3,78 resp. −5,76%). Maag-darmbijwerkingen kwamen bij mazdutide vaker voor dan bij dulaglutide.</w:t>
      </w:r>
    </w:p>
    <w:p>
      <w:pPr>
        <w:pStyle w:val="BodyText"/>
      </w:pPr>
      <w:r>
        <w:t xml:space="preserve">Een vergelijkende studie tegen semaglutide bij mensen met vroege diabetes type 2 en obesitas (DREAMS-3) is volgens het register afgerond</w:t>
      </w:r>
      <w:r>
        <w:rPr>
          <w:rStyle w:val="FootnoteReference"/>
        </w:rPr>
        <w:footnoteReference w:id="621"/>
      </w:r>
      <w:r>
        <w:t xml:space="preserve">; het design en de uitgangsgegevens van de 349 deelnemers zijn gepubliceerd</w:t>
      </w:r>
      <w:r>
        <w:rPr>
          <w:rStyle w:val="FootnoteReference"/>
        </w:rPr>
        <w:footnoteReference w:id="622"/>
      </w:r>
      <w:r>
        <w:t xml:space="preserve">, de resultaten nog niet.</w:t>
      </w:r>
    </w:p>
    <w:bookmarkEnd w:id="623"/>
    <w:bookmarkStart w:id="626" w:name="studies-buiten-china-en-hogere-doses"/>
    <w:p>
      <w:pPr>
        <w:pStyle w:val="Heading4"/>
      </w:pPr>
      <w:r>
        <w:t xml:space="preserve">Studies buiten China en hogere doses</w:t>
      </w:r>
    </w:p>
    <w:p>
      <w:pPr>
        <w:pStyle w:val="FirstParagraph"/>
      </w:pPr>
      <w:r>
        <w:t xml:space="preserve">Lilly onderzoekt mazdutide buiten China in hogere doses. In een kleine fase 1-studie met 32 volwassenen in de VS daalde het lichaamsgewicht bij de hoogste dosis na 20 weken met 20,0 resp. 21,0% (twee schema’s voor dosisopbouw) tegenover 0,1% bij placebo; ernstige bijwerkingen kwamen niet voor</w:t>
      </w:r>
      <w:r>
        <w:rPr>
          <w:rStyle w:val="FootnoteReference"/>
        </w:rPr>
        <w:footnoteReference w:id="624"/>
      </w:r>
      <w:r>
        <w:t xml:space="preserve">.</w:t>
      </w:r>
    </w:p>
    <w:p>
      <w:pPr>
        <w:pStyle w:val="BodyText"/>
      </w:pPr>
      <w:r>
        <w:t xml:space="preserve">In de Amerikaanse fase 2-studie met 179 deelnemers</w:t>
      </w:r>
      <w:r>
        <w:rPr>
          <w:rStyle w:val="FootnoteReference"/>
        </w:rPr>
        <w:footnoteReference w:id="625"/>
      </w:r>
      <w:r>
        <w:t xml:space="preserve"> </w:t>
      </w:r>
      <w:r>
        <w:t xml:space="preserve">bedroeg het gewichtsverlies na 32 weken tot 18,1% bij de hoogste dosis. Daar stopte bij de hoogste dosis echter 20% met de behandeling vanwege bijwerkingen, overwegend vanwege maag-darmklachten. De hoofdanalyse gebruikte bovendien de</w:t>
      </w:r>
      <w:r>
        <w:t xml:space="preserve"> </w:t>
      </w:r>
      <w:r>
        <w:t xml:space="preserve">‘</w:t>
      </w:r>
      <w:r>
        <w:t xml:space="preserve">werkzaamheidsschatter</w:t>
      </w:r>
      <w:r>
        <w:t xml:space="preserve">’</w:t>
      </w:r>
      <w:r>
        <w:t xml:space="preserve">, die personen na stoppen niet meer meeneemt en het effect daardoor eerder gunstiger voorstelt.</w:t>
      </w:r>
    </w:p>
    <w:bookmarkEnd w:id="626"/>
    <w:bookmarkStart w:id="629" w:name="casusbeschrijvingen"/>
    <w:p>
      <w:pPr>
        <w:pStyle w:val="Heading4"/>
      </w:pPr>
      <w:r>
        <w:t xml:space="preserve">Casusbeschrijvingen</w:t>
      </w:r>
    </w:p>
    <w:p>
      <w:pPr>
        <w:pStyle w:val="FirstParagraph"/>
      </w:pPr>
      <w:r>
        <w:t xml:space="preserve">Een casusbeschrijving beschrijft een 15-jarige patiënt met obesitas, diabetes type 2 en verhoogd urinezuur, die mazdutide kreeg naast metformine en insuline en na 36 weken 16,8 kg afviel</w:t>
      </w:r>
      <w:r>
        <w:rPr>
          <w:rStyle w:val="FootnoteReference"/>
        </w:rPr>
        <w:footnoteReference w:id="627"/>
      </w:r>
      <w:r>
        <w:t xml:space="preserve">. Eén enkel geval laat geen uitspraak toe over werkzaamheid of veiligheid bij jongeren; een studie daarnaar loopt</w:t>
      </w:r>
      <w:r>
        <w:rPr>
          <w:rStyle w:val="FootnoteReference"/>
        </w:rPr>
        <w:footnoteReference w:id="628"/>
      </w:r>
      <w:r>
        <w:t xml:space="preserve">.</w:t>
      </w:r>
    </w:p>
    <w:bookmarkEnd w:id="629"/>
    <w:bookmarkEnd w:id="630"/>
    <w:bookmarkStart w:id="634" w:name="dier--en-laboratoriumstudies-7"/>
    <w:p>
      <w:pPr>
        <w:pStyle w:val="Heading3"/>
      </w:pPr>
      <w:r>
        <w:t xml:space="preserve">Dier- en laboratoriumstudies</w:t>
      </w:r>
    </w:p>
    <w:p>
      <w:pPr>
        <w:pStyle w:val="FirstParagraph"/>
      </w:pPr>
      <w:r>
        <w:t xml:space="preserve">Bij diabetische muizen (db/db-model) presteerde mazdutide in geheugen- en gedragstests beter dan dulaglutide; in het hersenweefsel was minder schade te zien</w:t>
      </w:r>
      <w:r>
        <w:rPr>
          <w:rStyle w:val="FootnoteReference"/>
        </w:rPr>
        <w:footnoteReference w:id="631"/>
      </w:r>
      <w:r>
        <w:t xml:space="preserve">. Bij muizen met door voeding veroorzaakte leververvetting en in levercelkweken verminderde mazdutide vetopslag en ontstekingskenmerken</w:t>
      </w:r>
      <w:r>
        <w:rPr>
          <w:rStyle w:val="FootnoteReference"/>
        </w:rPr>
        <w:footnoteReference w:id="632"/>
      </w:r>
      <w:r>
        <w:t xml:space="preserve">. Of daaruit voordelen voor mensen voortvloeien, is open; een studie naar diabetes type 2 met beginnende cognitieve achteruitgang is in China geregistreerd</w:t>
      </w:r>
      <w:r>
        <w:rPr>
          <w:rStyle w:val="FootnoteReference"/>
        </w:rPr>
        <w:footnoteReference w:id="633"/>
      </w:r>
      <w:r>
        <w:t xml:space="preserve">.</w:t>
      </w:r>
    </w:p>
    <w:bookmarkEnd w:id="634"/>
    <w:bookmarkStart w:id="639" w:name="risicos-en-bijwerkingen-7"/>
    <w:p>
      <w:pPr>
        <w:pStyle w:val="Heading3"/>
      </w:pPr>
      <w:r>
        <w:t xml:space="preserve">Risico’s en bijwerkingen</w:t>
      </w:r>
    </w:p>
    <w:p>
      <w:pPr>
        <w:pStyle w:val="FirstParagraph"/>
      </w:pPr>
      <w:r>
        <w:rPr>
          <w:bCs/>
          <w:b/>
        </w:rPr>
        <w:t xml:space="preserve">Aangetoond in studies:</w:t>
      </w:r>
    </w:p>
    <w:p>
      <w:pPr>
        <w:numPr>
          <w:ilvl w:val="0"/>
          <w:numId w:val="1077"/>
        </w:numPr>
        <w:pStyle w:val="Compact"/>
      </w:pPr>
      <w:r>
        <w:rPr>
          <w:bCs/>
          <w:b/>
        </w:rPr>
        <w:t xml:space="preserve">Maag-darmklachten</w:t>
      </w:r>
      <w:r>
        <w:t xml:space="preserve"> </w:t>
      </w:r>
      <w:r>
        <w:t xml:space="preserve">zijn de meest voorkomende bijwerkingen; hun frequentie stijgt met de dosis. In de fase 2-diabetesstudie kwamen diarree bij 36%, verminderde eetlust bij 29%, misselijkheid bij 23% en braken bij 14% voor</w:t>
      </w:r>
      <w:r>
        <w:rPr>
          <w:rStyle w:val="FootnoteReference"/>
        </w:rPr>
        <w:footnoteReference w:id="635"/>
      </w:r>
      <w:r>
        <w:t xml:space="preserve">. In GLORY-2 braakte meer dan de helft van de deelnemers minstens één keer</w:t>
      </w:r>
      <w:r>
        <w:rPr>
          <w:rStyle w:val="FootnoteReference"/>
        </w:rPr>
        <w:footnoteReference w:id="636"/>
      </w:r>
      <w:r>
        <w:t xml:space="preserve">.</w:t>
      </w:r>
    </w:p>
    <w:p>
      <w:pPr>
        <w:numPr>
          <w:ilvl w:val="0"/>
          <w:numId w:val="1077"/>
        </w:numPr>
        <w:pStyle w:val="Compact"/>
      </w:pPr>
      <w:r>
        <w:rPr>
          <w:bCs/>
          <w:b/>
        </w:rPr>
        <w:t xml:space="preserve">Hypoglykemie:</w:t>
      </w:r>
      <w:r>
        <w:t xml:space="preserve"> </w:t>
      </w:r>
      <w:r>
        <w:t xml:space="preserve">in de fase 2-diabetesstudie werden hypoglykemieën gemeld bij 10% met mazdutide en 8% met placebo</w:t>
      </w:r>
      <w:r>
        <w:rPr>
          <w:rStyle w:val="FootnoteReference"/>
        </w:rPr>
        <w:footnoteReference w:id="637"/>
      </w:r>
      <w:r>
        <w:t xml:space="preserve">.</w:t>
      </w:r>
    </w:p>
    <w:p>
      <w:pPr>
        <w:numPr>
          <w:ilvl w:val="0"/>
          <w:numId w:val="1077"/>
        </w:numPr>
        <w:pStyle w:val="Compact"/>
      </w:pPr>
      <w:r>
        <w:rPr>
          <w:bCs/>
          <w:b/>
        </w:rPr>
        <w:t xml:space="preserve">Stoppen bij hoge doses:</w:t>
      </w:r>
      <w:r>
        <w:t xml:space="preserve"> </w:t>
      </w:r>
      <w:r>
        <w:t xml:space="preserve">tot 20% in de Amerikaanse fase 2-studie</w:t>
      </w:r>
      <w:r>
        <w:rPr>
          <w:rStyle w:val="FootnoteReference"/>
        </w:rPr>
        <w:footnoteReference w:id="638"/>
      </w:r>
      <w:r>
        <w:t xml:space="preserve">.</w:t>
      </w:r>
    </w:p>
    <w:p>
      <w:pPr>
        <w:pStyle w:val="FirstParagraph"/>
      </w:pPr>
      <w:r>
        <w:rPr>
          <w:bCs/>
          <w:b/>
        </w:rPr>
        <w:t xml:space="preserve">Nog open:</w:t>
      </w:r>
      <w:r>
        <w:t xml:space="preserve"> </w:t>
      </w:r>
      <w:r>
        <w:t xml:space="preserve">er is geen cardiovasculaire eindpuntstudie. Langetermijngegevens over meer dan 60 weken ontbreken. De studies omvatten vrijwel uitsluitend mensen van Chinese afkomst, die bij hetzelfde gewichtsverlies andere uitgangswaarden (lager lichaamsgewicht) hadden dan Europese studiepopulaties. De voor GLP-1-middelen bekende klasserisico’s (galblaas, alvleesklier, C-cellen van de schildklier in dierproeven) zijn bij mazdutide bij gebrek aan patiëntjaren nog niet zelfstandig beoordeeld.</w:t>
      </w:r>
    </w:p>
    <w:bookmarkEnd w:id="639"/>
    <w:bookmarkStart w:id="641" w:name="juridische-status-7"/>
    <w:p>
      <w:pPr>
        <w:pStyle w:val="Heading3"/>
      </w:pPr>
      <w:r>
        <w:t xml:space="preserve">Juridische status</w:t>
      </w:r>
    </w:p>
    <w:p>
      <w:pPr>
        <w:numPr>
          <w:ilvl w:val="0"/>
          <w:numId w:val="1078"/>
        </w:numPr>
        <w:pStyle w:val="Compact"/>
      </w:pPr>
      <w:r>
        <w:rPr>
          <w:bCs/>
          <w:b/>
        </w:rPr>
        <w:t xml:space="preserve">China:</w:t>
      </w:r>
      <w:r>
        <w:t xml:space="preserve"> </w:t>
      </w:r>
      <w:r>
        <w:t xml:space="preserve">geregistreerd (juni 2025 voor gewichtsbeheersing, september 2025 voor diabetes type 2)</w:t>
      </w:r>
      <w:r>
        <w:rPr>
          <w:rStyle w:val="FootnoteReference"/>
        </w:rPr>
        <w:footnoteReference w:id="640"/>
      </w:r>
      <w:r>
        <w:t xml:space="preserve">.</w:t>
      </w:r>
    </w:p>
    <w:p>
      <w:pPr>
        <w:numPr>
          <w:ilvl w:val="0"/>
          <w:numId w:val="1078"/>
        </w:numPr>
        <w:pStyle w:val="Compact"/>
      </w:pPr>
      <w:r>
        <w:rPr>
          <w:bCs/>
          <w:b/>
        </w:rPr>
        <w:t xml:space="preserve">EU / Oostenrijk / Duitsland:</w:t>
      </w:r>
      <w:r>
        <w:t xml:space="preserve"> </w:t>
      </w:r>
      <w:r>
        <w:t xml:space="preserve">niet geregistreerd. Invoer voor gebruik is zonder registratie niet legaal; via de grijze markt aangeboden</w:t>
      </w:r>
      <w:r>
        <w:t xml:space="preserve"> </w:t>
      </w:r>
      <w:r>
        <w:t xml:space="preserve">‘</w:t>
      </w:r>
      <w:r>
        <w:t xml:space="preserve">Mazdutide</w:t>
      </w:r>
      <w:r>
        <w:t xml:space="preserve">’</w:t>
      </w:r>
      <w:r>
        <w:t xml:space="preserve">-producten zijn geen gecontroleerde geneesmiddelen.</w:t>
      </w:r>
    </w:p>
    <w:p>
      <w:pPr>
        <w:numPr>
          <w:ilvl w:val="0"/>
          <w:numId w:val="1078"/>
        </w:numPr>
        <w:pStyle w:val="Compact"/>
      </w:pPr>
      <w:r>
        <w:rPr>
          <w:bCs/>
          <w:b/>
        </w:rPr>
        <w:t xml:space="preserve">VS:</w:t>
      </w:r>
      <w:r>
        <w:t xml:space="preserve"> </w:t>
      </w:r>
      <w:r>
        <w:t xml:space="preserve">niet geregistreerd; Lilly voert eigen studies uit.</w:t>
      </w:r>
    </w:p>
    <w:p>
      <w:pPr>
        <w:numPr>
          <w:ilvl w:val="0"/>
          <w:numId w:val="1078"/>
        </w:numPr>
        <w:pStyle w:val="Compact"/>
      </w:pPr>
      <w:r>
        <w:rPr>
          <w:bCs/>
          <w:b/>
        </w:rPr>
        <w:t xml:space="preserve">Sport:</w:t>
      </w:r>
      <w:r>
        <w:t xml:space="preserve"> </w:t>
      </w:r>
      <w:r>
        <w:t xml:space="preserve">niet bij naam vermeld; status onder S0 vanwege de Chinese registratie onduidelijk – stand 2026, actuele situatie controleren.</w:t>
      </w:r>
    </w:p>
    <w:bookmarkEnd w:id="641"/>
    <w:bookmarkStart w:id="649" w:name="lopende-studies-en-vooruitzichten-7"/>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9"/>
        </w:numPr>
        <w:pStyle w:val="Compact"/>
      </w:pPr>
      <w:r>
        <w:t xml:space="preserve">Vergelijking met semaglutide bij leververvetting</w:t>
      </w:r>
      <w:r>
        <w:rPr>
          <w:rStyle w:val="FootnoteReference"/>
        </w:rPr>
        <w:footnoteReference w:id="642"/>
      </w:r>
      <w:r>
        <w:t xml:space="preserve"> </w:t>
      </w:r>
      <w:r>
        <w:t xml:space="preserve">en bij vroege diabetes type 2 (NCT06184568, afgerond).</w:t>
      </w:r>
    </w:p>
    <w:p>
      <w:pPr>
        <w:numPr>
          <w:ilvl w:val="0"/>
          <w:numId w:val="1079"/>
        </w:numPr>
        <w:pStyle w:val="Compact"/>
      </w:pPr>
      <w:r>
        <w:t xml:space="preserve">Slaapapneu</w:t>
      </w:r>
      <w:r>
        <w:rPr>
          <w:rStyle w:val="FootnoteReference"/>
        </w:rPr>
        <w:footnoteReference w:id="643"/>
      </w:r>
      <w:r>
        <w:t xml:space="preserve">, hoge bloeddruk met obesitas</w:t>
      </w:r>
      <w:r>
        <w:rPr>
          <w:rStyle w:val="FootnoteReference"/>
        </w:rPr>
        <w:footnoteReference w:id="644"/>
      </w:r>
      <w:r>
        <w:t xml:space="preserve">, jongeren</w:t>
      </w:r>
      <w:r>
        <w:rPr>
          <w:rStyle w:val="FootnoteReference"/>
        </w:rPr>
        <w:footnoteReference w:id="645"/>
      </w:r>
      <w:r>
        <w:t xml:space="preserve">.</w:t>
      </w:r>
    </w:p>
    <w:p>
      <w:pPr>
        <w:numPr>
          <w:ilvl w:val="0"/>
          <w:numId w:val="1079"/>
        </w:numPr>
        <w:pStyle w:val="Compact"/>
      </w:pPr>
      <w:r>
        <w:t xml:space="preserve">Fase 2-studies naar MASH</w:t>
      </w:r>
      <w:r>
        <w:rPr>
          <w:rStyle w:val="FootnoteReference"/>
        </w:rPr>
        <w:footnoteReference w:id="646"/>
      </w:r>
      <w:r>
        <w:t xml:space="preserve">, hartfalen met obesitas</w:t>
      </w:r>
      <w:r>
        <w:rPr>
          <w:rStyle w:val="FootnoteReference"/>
        </w:rPr>
        <w:footnoteReference w:id="647"/>
      </w:r>
      <w:r>
        <w:t xml:space="preserve"> </w:t>
      </w:r>
      <w:r>
        <w:t xml:space="preserve">en alcoholgebruiksstoornis (NCT06817356, afgerond, sponsor Lilly).</w:t>
      </w:r>
    </w:p>
    <w:p>
      <w:pPr>
        <w:numPr>
          <w:ilvl w:val="0"/>
          <w:numId w:val="1079"/>
        </w:numPr>
        <w:pStyle w:val="Compact"/>
      </w:pPr>
      <w:r>
        <w:t xml:space="preserve">Lilly onderzoekt mazdutide bovendien in een fase 2-masterprotocol</w:t>
      </w:r>
      <w:r>
        <w:rPr>
          <w:rStyle w:val="FootnoteReference"/>
        </w:rPr>
        <w:footnoteReference w:id="648"/>
      </w:r>
      <w:r>
        <w:t xml:space="preserve">.</w:t>
      </w:r>
    </w:p>
    <w:p>
      <w:pPr>
        <w:pStyle w:val="FirstParagraph"/>
      </w:pPr>
      <w:r>
        <w:rPr>
          <w:bCs/>
          <w:b/>
        </w:rPr>
        <w:t xml:space="preserve">Inschatting:</w:t>
      </w:r>
      <w:r>
        <w:t xml:space="preserve"> </w:t>
      </w:r>
      <w:r>
        <w:t xml:space="preserve">mazdutide is het eerste dubbele glucagon/GLP-1-middel met een registratie – zij het alleen in China. Of Lilly registratie in de VS en Europa nastreeft, hangt vermoedelijk af van de vraag of het molecuul zich naast tirzepatide en retatrutide uit hetzelfde huis kan onderscheiden, bijvoorbeeld bij leververvetting of alcoholgebruiksstoornis. Dat is een inschatting; concrete registratieaanvragen buiten China zijn niet bekend.</w:t>
      </w:r>
    </w:p>
    <w:bookmarkEnd w:id="649"/>
    <w:bookmarkStart w:id="650" w:name="conclusie-7"/>
    <w:p>
      <w:pPr>
        <w:pStyle w:val="Heading3"/>
      </w:pPr>
      <w:r>
        <w:t xml:space="preserve">Conclusie</w:t>
      </w:r>
    </w:p>
    <w:p>
      <w:pPr>
        <w:pStyle w:val="FirstParagraph"/>
      </w:pPr>
      <w:r>
        <w:t xml:space="preserve">Mazdutide is een langwerkende afgeleide van het darmhormoon oxyntomoduline die de GLP-1- en glucagonreceptor tegelijk activeert. In Chinese fase 3-studies daalde het lichaamsgewicht met 11–14% na 48 weken resp. met 16,65% na 60 weken bij een hogere dosis; bij diabetes type 2 was het licht superieur aan dulaglutide. De meest voorkomende bijwerkingen zijn maag-darmklachten, die bij hogere doses zeer vaak voorkomen. Mazdutide is alleen in China geregistreerd; gegevens over cardiovasculaire eindpunten en over niet-Aziatische bevolkingsgroepen ontbreken grotendeels.</w:t>
      </w:r>
    </w:p>
    <w:bookmarkEnd w:id="650"/>
    <w:bookmarkEnd w:id="651"/>
    <w:bookmarkStart w:id="699" w:name="cagrilintide-en-cagrisema"/>
    <w:p>
      <w:pPr>
        <w:pStyle w:val="Heading2"/>
      </w:pPr>
      <w:r>
        <w:t xml:space="preserve">Cagrilintide en CagriSema</w:t>
      </w:r>
    </w:p>
    <w:bookmarkStart w:id="652" w:name="profiel-8"/>
    <w:p>
      <w:pPr>
        <w:pStyle w:val="Heading3"/>
      </w:pPr>
      <w:r>
        <w:t xml:space="preserve">Profiel</w:t>
      </w:r>
    </w:p>
    <w:p>
      <w:pPr>
        <w:numPr>
          <w:ilvl w:val="0"/>
          <w:numId w:val="1080"/>
        </w:numPr>
        <w:pStyle w:val="Compact"/>
      </w:pPr>
      <w:r>
        <w:rPr>
          <w:bCs/>
          <w:b/>
        </w:rPr>
        <w:t xml:space="preserve">Soort/structuur:</w:t>
      </w:r>
      <w:r>
        <w:t xml:space="preserve"> </w:t>
      </w:r>
      <w:r>
        <w:t xml:space="preserve">cagrilintide is een synthetisch, met een vetzuur gemodificeerd analoog van het hormoon amyline voor toediening eenmaal per week onder de huid.</w:t>
      </w:r>
      <w:r>
        <w:t xml:space="preserve"> </w:t>
      </w:r>
      <w:r>
        <w:rPr>
          <w:bCs/>
          <w:b/>
        </w:rPr>
        <w:t xml:space="preserve">CagriSema</w:t>
      </w:r>
      <w:r>
        <w:t xml:space="preserve"> </w:t>
      </w:r>
      <w:r>
        <w:t xml:space="preserve">is de vaste combinatie van cagrilintide en semaglutide in één injectiepen.</w:t>
      </w:r>
    </w:p>
    <w:p>
      <w:pPr>
        <w:numPr>
          <w:ilvl w:val="0"/>
          <w:numId w:val="1080"/>
        </w:numPr>
        <w:pStyle w:val="Compact"/>
      </w:pPr>
      <w:r>
        <w:rPr>
          <w:bCs/>
          <w:b/>
        </w:rPr>
        <w:t xml:space="preserve">Herkomst:</w:t>
      </w:r>
      <w:r>
        <w:t xml:space="preserve"> </w:t>
      </w:r>
      <w:r>
        <w:t xml:space="preserve">ontwikkeld door Novo Nordisk, de fabrikant van semaglutide.</w:t>
      </w:r>
    </w:p>
    <w:p>
      <w:pPr>
        <w:numPr>
          <w:ilvl w:val="0"/>
          <w:numId w:val="1080"/>
        </w:numPr>
        <w:pStyle w:val="Compact"/>
      </w:pPr>
      <w:r>
        <w:rPr>
          <w:bCs/>
          <w:b/>
        </w:rPr>
        <w:t xml:space="preserve">Werkingsprincipe:</w:t>
      </w:r>
      <w:r>
        <w:t xml:space="preserve"> </w:t>
      </w:r>
      <w:r>
        <w:t xml:space="preserve">cagrilintide activeert amylinereceptoren en daarnaast de verwante calcitoninereceptor (een</w:t>
      </w:r>
      <w:r>
        <w:t xml:space="preserve"> </w:t>
      </w:r>
      <w:r>
        <w:t xml:space="preserve">‘</w:t>
      </w:r>
      <w:r>
        <w:t xml:space="preserve">duale amyline- en calcitoninereceptoragonist</w:t>
      </w:r>
      <w:r>
        <w:t xml:space="preserve">’</w:t>
      </w:r>
      <w:r>
        <w:t xml:space="preserve">). In CagriSema komt daar de GLP-1-werking van semaglutide bij.</w:t>
      </w:r>
    </w:p>
    <w:p>
      <w:pPr>
        <w:numPr>
          <w:ilvl w:val="0"/>
          <w:numId w:val="1080"/>
        </w:numPr>
        <w:pStyle w:val="Compact"/>
      </w:pPr>
      <w:r>
        <w:rPr>
          <w:bCs/>
          <w:b/>
        </w:rPr>
        <w:t xml:space="preserve">Registratie EU:</w:t>
      </w:r>
      <w:r>
        <w:t xml:space="preserve"> </w:t>
      </w:r>
      <w:r>
        <w:t xml:space="preserve">nee (stand oktober 2026).</w:t>
      </w:r>
    </w:p>
    <w:p>
      <w:pPr>
        <w:numPr>
          <w:ilvl w:val="0"/>
          <w:numId w:val="1080"/>
        </w:numPr>
        <w:pStyle w:val="Compact"/>
      </w:pPr>
      <w:r>
        <w:rPr>
          <w:bCs/>
          <w:b/>
        </w:rPr>
        <w:t xml:space="preserve">Registratie VS:</w:t>
      </w:r>
      <w:r>
        <w:t xml:space="preserve"> </w:t>
      </w:r>
      <w:r>
        <w:t xml:space="preserve">nee (stand oktober 2026; een registratieprocedure voor CagriSema is aangekondigd of zou al kunnen lopen – actuele situatie controleren).</w:t>
      </w:r>
    </w:p>
    <w:p>
      <w:pPr>
        <w:numPr>
          <w:ilvl w:val="0"/>
          <w:numId w:val="1080"/>
        </w:numPr>
        <w:pStyle w:val="Compact"/>
      </w:pPr>
      <w:r>
        <w:rPr>
          <w:bCs/>
          <w:b/>
        </w:rPr>
        <w:t xml:space="preserve">WADA:</w:t>
      </w:r>
      <w:r>
        <w:t xml:space="preserve"> </w:t>
      </w:r>
      <w:r>
        <w:t xml:space="preserve">als niet-geregistreerde stof verboden onder S0.</w:t>
      </w:r>
    </w:p>
    <w:p>
      <w:pPr>
        <w:numPr>
          <w:ilvl w:val="0"/>
          <w:numId w:val="1080"/>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Met registratie zou CagriSema niveau A bereiken.</w:t>
      </w:r>
    </w:p>
    <w:bookmarkEnd w:id="652"/>
    <w:bookmarkStart w:id="657" w:name="hoe-het-zou-moeten-werken-8"/>
    <w:p>
      <w:pPr>
        <w:pStyle w:val="Heading3"/>
      </w:pPr>
      <w:r>
        <w:t xml:space="preserve">Hoe het zou moeten werken</w:t>
      </w:r>
    </w:p>
    <w:p>
      <w:pPr>
        <w:pStyle w:val="FirstParagraph"/>
      </w:pPr>
      <w:r>
        <w:t xml:space="preserve">Amyline is een hormoon dat de bètacellen van de alvleesklier samen met insuline afgeven. Het werkt vooral in de hersenstam: het bevordert het verzadigingsgevoel, vertraagt de maaglediging en remt de afgifte van glucagon na het eten. Mensen met diabetes type 1 missen naast insuline ook amyline.</w:t>
      </w:r>
    </w:p>
    <w:p>
      <w:pPr>
        <w:pStyle w:val="BodyText"/>
      </w:pPr>
      <w:r>
        <w:t xml:space="preserve">Natuurlijk amyline is ongeschikt als geneesmiddel, omdat het de neiging heeft samen te klonteren (het vormt zogeheten amyloïdfibrillen) en slechts minuten in het bloed overleeft. Het eerste amylinegeneesmiddel, pramlintide (zie het eigen hoofdstuk), moet daarom meerdere keren per dag worden geïnjecteerd. Cagrilintide werd doelgericht zo veranderd dat het stabiel blijft en dankzij een vetzuurketen een week lang werkt</w:t>
      </w:r>
      <w:r>
        <w:rPr>
          <w:rStyle w:val="FootnoteReference"/>
        </w:rPr>
        <w:footnoteReference w:id="653"/>
      </w:r>
      <w:r>
        <w:t xml:space="preserve">. In fase 1-gegevens lag de halfwaardetijd tussen 159 en 195 uur, dus ongeveer een week</w:t>
      </w:r>
      <w:r>
        <w:rPr>
          <w:rStyle w:val="FootnoteReference"/>
        </w:rPr>
        <w:footnoteReference w:id="654"/>
      </w:r>
      <w:r>
        <w:t xml:space="preserve">.</w:t>
      </w:r>
    </w:p>
    <w:p>
      <w:pPr>
        <w:pStyle w:val="BodyText"/>
      </w:pPr>
      <w:r>
        <w:t xml:space="preserve">De combinatie met semaglutide volgt een eenvoudig idee: amyline en GLP-1 werken via verschillende receptoren en deels via verschillende hersengebieden op de verzadiging – de effecten zouden elkaar kunnen versterken. Onderzoek bij genetisch gemodificeerde muizen laat zien dat cagrilintide voor zijn gewichtsverlagende werking de amylinereceptor-subtypen 1 en 3 in de hersenen nodig heeft</w:t>
      </w:r>
      <w:r>
        <w:rPr>
          <w:rStyle w:val="FootnoteReference"/>
        </w:rPr>
        <w:footnoteReference w:id="655"/>
      </w:r>
      <w:r>
        <w:t xml:space="preserve">. Bij ratten verlaagde CagriSema vooral de energie-inname, terwijl het energieverbruik grotendeels behouden bleef</w:t>
      </w:r>
      <w:r>
        <w:rPr>
          <w:rStyle w:val="FootnoteReference"/>
        </w:rPr>
        <w:footnoteReference w:id="656"/>
      </w:r>
      <w:r>
        <w:t xml:space="preserve">.</w:t>
      </w:r>
    </w:p>
    <w:bookmarkEnd w:id="657"/>
    <w:bookmarkStart w:id="672" w:name="studies-bij-mensen-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naar cagrilintide resp. CagriSema. Op ClinicalTrials.gov waren 44 studies geregistreerd. Het registratieprogramma heet</w:t>
      </w:r>
      <w:r>
        <w:t xml:space="preserve"> </w:t>
      </w:r>
      <w:r>
        <w:rPr>
          <w:bCs/>
          <w:b/>
        </w:rPr>
        <w:t xml:space="preserve">REDEFINE</w:t>
      </w:r>
      <w:r>
        <w:t xml:space="preserve"> </w:t>
      </w:r>
      <w:r>
        <w:t xml:space="preserve">(gewichtsbeheersing) resp.</w:t>
      </w:r>
      <w:r>
        <w:t xml:space="preserve"> </w:t>
      </w:r>
      <w:r>
        <w:rPr>
          <w:bCs/>
          <w:b/>
        </w:rPr>
        <w:t xml:space="preserve">REIMAGINE</w:t>
      </w:r>
      <w:r>
        <w:t xml:space="preserve"> </w:t>
      </w:r>
      <w:r>
        <w:t xml:space="preserve">(diabetes type 2).</w:t>
      </w:r>
    </w:p>
    <w:bookmarkStart w:id="660" w:name="cagrilintide-alleen"/>
    <w:p>
      <w:pPr>
        <w:pStyle w:val="Heading4"/>
      </w:pPr>
      <w:r>
        <w:t xml:space="preserve">Cagrilintide alleen</w:t>
      </w:r>
    </w:p>
    <w:p>
      <w:pPr>
        <w:pStyle w:val="FirstParagraph"/>
      </w:pPr>
      <w:r>
        <w:t xml:space="preserve">In de fase 2-dosisbepalingsstudie</w:t>
      </w:r>
      <w:r>
        <w:rPr>
          <w:rStyle w:val="FootnoteReference"/>
        </w:rPr>
        <w:footnoteReference w:id="658"/>
      </w:r>
      <w:r>
        <w:t xml:space="preserve"> </w:t>
      </w:r>
      <w:r>
        <w:t xml:space="preserve">kregen 706 volwassenen met overgewicht of obesitas 26 weken lang cagrilintide in vijf doses, 99 liraglutide en 101 placebo. Het gewicht daalde dosisafhankelijk met 6,0 tot 10,8% (placebo 3,0%). De hoogste dosis was licht superieur aan liraglutide 3,0 mg (10,8% vs. 9,0%). Misselijkheid kwam voor bij 20–47% (placebo 18%). Cagrilintide alleen bereikt daarmee ongeveer de orde van grootte van oudere GLP-1-middelen, niet die van semaglutide of tirzepatide. Inmiddels wordt het ook als afzonderlijke stof in fase 3 onderzocht</w:t>
      </w:r>
      <w:r>
        <w:rPr>
          <w:rStyle w:val="FootnoteReference"/>
        </w:rPr>
        <w:footnoteReference w:id="659"/>
      </w:r>
      <w:r>
        <w:t xml:space="preserve">.</w:t>
      </w:r>
    </w:p>
    <w:bookmarkEnd w:id="660"/>
    <w:bookmarkStart w:id="663" w:name="cagrisema-vroege-studies"/>
    <w:p>
      <w:pPr>
        <w:pStyle w:val="Heading4"/>
      </w:pPr>
      <w:r>
        <w:t xml:space="preserve">CagriSema: vroege studies</w:t>
      </w:r>
    </w:p>
    <w:p>
      <w:pPr>
        <w:pStyle w:val="FirstParagraph"/>
      </w:pPr>
      <w:r>
        <w:t xml:space="preserve">In een fase 1b-studie bij 95 gezonde personen met overgewicht verloren de deelnemers met semaglutide plus cagrilintide na 20 weken tot 17,1% van hun gewicht, met semaglutide plus placebo 9,8%</w:t>
      </w:r>
      <w:r>
        <w:rPr>
          <w:rStyle w:val="FootnoteReference"/>
        </w:rPr>
        <w:footnoteReference w:id="661"/>
      </w:r>
      <w:r>
        <w:t xml:space="preserve">. Cagrilintide veranderde de bloedspiegels van semaglutide niet.</w:t>
      </w:r>
    </w:p>
    <w:p>
      <w:pPr>
        <w:pStyle w:val="BodyText"/>
      </w:pPr>
      <w:r>
        <w:t xml:space="preserve">Een kleine fase 2-studie bij 92 mensen met diabetes type 2 vergeleek CagriSema rechtstreeks met beide afzonderlijke stoffen</w:t>
      </w:r>
      <w:r>
        <w:rPr>
          <w:rStyle w:val="FootnoteReference"/>
        </w:rPr>
        <w:footnoteReference w:id="662"/>
      </w:r>
      <w:r>
        <w:t xml:space="preserve">. Na 32 weken bedroeg het gewichtsverlies 15,6% met CagriSema, 5,1% met semaglutide en 8,1% met cagrilintide. Bij de HbA1c was CagriSema met −2,2 procentpunt statistisch niet superieur aan semaglutide (−1,8).</w:t>
      </w:r>
    </w:p>
    <w:bookmarkEnd w:id="663"/>
    <w:bookmarkStart w:id="671" w:name="cagrisema-fase-3-redefine-en-reimagine"/>
    <w:p>
      <w:pPr>
        <w:pStyle w:val="Heading4"/>
      </w:pPr>
      <w:r>
        <w:t xml:space="preserve">CagriSema: fase 3 (REDEFINE en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REDEFINE 1 (Garvey 2025), PMID 40544433</w:t>
            </w:r>
          </w:p>
        </w:tc>
        <w:tc>
          <w:tcPr/>
          <w:p>
            <w:pPr>
              <w:pStyle w:val="Compact"/>
              <w:jc w:val="left"/>
            </w:pPr>
            <w:r>
              <w:t xml:space="preserve">3.417 volwassenen met overgewicht/obesitas zonder diabetes; tegen placebo en afzonderlijke stoffen</w:t>
            </w:r>
          </w:p>
        </w:tc>
        <w:tc>
          <w:tcPr/>
          <w:p>
            <w:pPr>
              <w:pStyle w:val="Compact"/>
              <w:jc w:val="left"/>
            </w:pPr>
            <w:r>
              <w:t xml:space="preserve">68 weken</w:t>
            </w:r>
          </w:p>
        </w:tc>
        <w:tc>
          <w:tcPr/>
          <w:p>
            <w:pPr>
              <w:pStyle w:val="Compact"/>
              <w:jc w:val="left"/>
            </w:pPr>
            <w:r>
              <w:t xml:space="preserve">−20,4% gewicht vs. −3,0%</w:t>
            </w:r>
          </w:p>
        </w:tc>
      </w:tr>
      <w:tr>
        <w:tc>
          <w:tcPr/>
          <w:p>
            <w:pPr>
              <w:pStyle w:val="Compact"/>
              <w:jc w:val="left"/>
            </w:pPr>
            <w:r>
              <w:t xml:space="preserve">REDEFINE 2 (Davies 2025), PMID 40544432</w:t>
            </w:r>
          </w:p>
        </w:tc>
        <w:tc>
          <w:tcPr/>
          <w:p>
            <w:pPr>
              <w:pStyle w:val="Compact"/>
              <w:jc w:val="left"/>
            </w:pPr>
            <w:r>
              <w:t xml:space="preserve">1.206 volwassenen met obesitas en diabetes type 2, tegen placebo</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volwassenen in Japan en Taiwan, tegen semaglutide</w:t>
            </w:r>
          </w:p>
        </w:tc>
        <w:tc>
          <w:tcPr/>
          <w:p>
            <w:pPr>
              <w:pStyle w:val="Compact"/>
              <w:jc w:val="left"/>
            </w:pPr>
            <w:r>
              <w:t xml:space="preserve">68 weken</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volwassenen met diabetes type 2 zonder medicatie, tegen placebo</w:t>
            </w:r>
          </w:p>
        </w:tc>
        <w:tc>
          <w:tcPr/>
          <w:p>
            <w:pPr>
              <w:pStyle w:val="Compact"/>
              <w:jc w:val="left"/>
            </w:pPr>
            <w:r>
              <w:t xml:space="preserve">40 weken</w:t>
            </w:r>
          </w:p>
        </w:tc>
        <w:tc>
          <w:tcPr/>
          <w:p>
            <w:pPr>
              <w:pStyle w:val="Compact"/>
              <w:jc w:val="left"/>
            </w:pPr>
            <w:r>
              <w:t xml:space="preserve">HbA1c −1,8 vs. −0,1; gewicht −13,8% vs. −1,4%</w:t>
            </w:r>
          </w:p>
        </w:tc>
      </w:tr>
      <w:tr>
        <w:tc>
          <w:tcPr/>
          <w:p>
            <w:pPr>
              <w:pStyle w:val="Compact"/>
              <w:jc w:val="left"/>
            </w:pPr>
            <w:r>
              <w:t xml:space="preserve">REIMAGINE 2 (Buse 2026), PMID 42251859</w:t>
            </w:r>
          </w:p>
        </w:tc>
        <w:tc>
          <w:tcPr/>
          <w:p>
            <w:pPr>
              <w:pStyle w:val="Compact"/>
              <w:jc w:val="left"/>
            </w:pPr>
            <w:r>
              <w:t xml:space="preserve">2.713 volwassenen met diabetes type 2, tegen semaglutide, cagrilintide en placebo</w:t>
            </w:r>
          </w:p>
        </w:tc>
        <w:tc>
          <w:tcPr/>
          <w:p>
            <w:pPr>
              <w:pStyle w:val="Compact"/>
              <w:jc w:val="left"/>
            </w:pPr>
            <w:r>
              <w:t xml:space="preserve">68 weken</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volwassenen met diabetes type 2 en basale insuline, tegen placebo</w:t>
            </w:r>
          </w:p>
        </w:tc>
        <w:tc>
          <w:tcPr/>
          <w:p>
            <w:pPr>
              <w:pStyle w:val="Compact"/>
              <w:jc w:val="left"/>
            </w:pPr>
            <w:r>
              <w:t xml:space="preserve">40 weken</w:t>
            </w:r>
          </w:p>
        </w:tc>
        <w:tc>
          <w:tcPr/>
          <w:p>
            <w:pPr>
              <w:pStyle w:val="Compact"/>
              <w:jc w:val="left"/>
            </w:pPr>
            <w:r>
              <w:t xml:space="preserve">HbA1c −2,33 vs. −0,66; gewicht −10 tot −12%</w:t>
            </w:r>
          </w:p>
        </w:tc>
      </w:tr>
    </w:tbl>
    <w:p>
      <w:pPr>
        <w:pStyle w:val="BodyText"/>
      </w:pPr>
      <w:r>
        <w:rPr>
          <w:bCs/>
          <w:b/>
        </w:rPr>
        <w:t xml:space="preserve">REDEFINE 1</w:t>
      </w:r>
      <w:r>
        <w:rPr>
          <w:rStyle w:val="FootnoteReference"/>
        </w:rPr>
        <w:footnoteReference w:id="664"/>
      </w:r>
      <w:r>
        <w:t xml:space="preserve"> </w:t>
      </w:r>
      <w:r>
        <w:t xml:space="preserve">is de hoofdstudie. Bij 3.417 volwassenen zonder diabetes daalde het lichaamsgewicht na 68 weken gemiddeld met 20,4% tegenover 3,0% bij placebo. De studie omvatte ook kleinere groepen met alleen semaglutide en alleen cagrilintide. In een nadere analyse bereikten 30,3% met CagriSema, 19,1% met semaglutide, 9,0% met cagrilintide en 3,3% met placebo zowel een BMI onder 27 als een gunstige verhouding tussen taille en lichaamslengte</w:t>
      </w:r>
      <w:r>
        <w:rPr>
          <w:rStyle w:val="FootnoteReference"/>
        </w:rPr>
        <w:footnoteReference w:id="665"/>
      </w:r>
      <w:r>
        <w:t xml:space="preserve">. De systolische bloeddruk daalde met CagriSema met 10,9 mmHg (placebo −2,8)</w:t>
      </w:r>
      <w:r>
        <w:rPr>
          <w:rStyle w:val="FootnoteReference"/>
        </w:rPr>
        <w:footnoteReference w:id="666"/>
      </w:r>
      <w:r>
        <w:t xml:space="preserve">.</w:t>
      </w:r>
    </w:p>
    <w:p>
      <w:pPr>
        <w:pStyle w:val="BodyText"/>
      </w:pPr>
      <w:r>
        <w:t xml:space="preserve">Ter duiding: de bereikte 20,4% liggen in de orde van grootte van tirzepatide in SURMOUNT-1 (20,9% na 72 weken bij de hoogste dosis). Zo’n vergelijking tussen verschillende studies geeft slechts een ruwe indicatie; de directe vergelijking ontbreekt nog (zie hieronder).</w:t>
      </w:r>
    </w:p>
    <w:p>
      <w:pPr>
        <w:pStyle w:val="BodyText"/>
      </w:pPr>
      <w:r>
        <w:rPr>
          <w:bCs/>
          <w:b/>
        </w:rPr>
        <w:t xml:space="preserve">REDEFINE 2</w:t>
      </w:r>
      <w:r>
        <w:rPr>
          <w:rStyle w:val="FootnoteReference"/>
        </w:rPr>
        <w:footnoteReference w:id="667"/>
      </w:r>
      <w:r>
        <w:t xml:space="preserve"> </w:t>
      </w:r>
      <w:r>
        <w:t xml:space="preserve">bevestigde het patroon bij mensen met diabetes type 2: −13,7% tegenover −3,4%. 73,5% bereikte een HbA1c-waarde van ten hoogste 6,5% (placebo 15,9%).</w:t>
      </w:r>
    </w:p>
    <w:p>
      <w:pPr>
        <w:pStyle w:val="BodyText"/>
      </w:pPr>
      <w:r>
        <w:rPr>
          <w:bCs/>
          <w:b/>
        </w:rPr>
        <w:t xml:space="preserve">REDEFINE 5</w:t>
      </w:r>
      <w:r>
        <w:rPr>
          <w:rStyle w:val="FootnoteReference"/>
        </w:rPr>
        <w:footnoteReference w:id="668"/>
      </w:r>
      <w:r>
        <w:t xml:space="preserve"> </w:t>
      </w:r>
      <w:r>
        <w:t xml:space="preserve">is de eerste gepubliceerde geblindeerde fase 3-studie in directe vergelijking met semaglutide 2,4 mg: in Japan en Taiwan verloren de deelnemers 18,4% met CagriSema tegenover 11,9% met alleen semaglutide. Maag-darmklachten kwamen met 53% tegenover 51% ongeveer even vaak voor.</w:t>
      </w:r>
    </w:p>
    <w:p>
      <w:pPr>
        <w:pStyle w:val="BodyText"/>
      </w:pPr>
      <w:r>
        <w:rPr>
          <w:bCs/>
          <w:b/>
        </w:rPr>
        <w:t xml:space="preserve">REIMAGINE 2</w:t>
      </w:r>
      <w:r>
        <w:rPr>
          <w:rStyle w:val="FootnoteReference"/>
        </w:rPr>
        <w:footnoteReference w:id="669"/>
      </w:r>
      <w:r>
        <w:t xml:space="preserve"> </w:t>
      </w:r>
      <w:r>
        <w:t xml:space="preserve">liet bij diabetes type 2 zien dat CagriSema de HbA1c-waarde slechts iets sterker verlaagt dan semaglutide 2,4 mg alleen (−1,91 vs. −1,75 procentpunt). Het extra voordeel van cagrilintide ligt dus vooral bij het gewicht, nauwelijks bij de bloedsuiker.</w:t>
      </w:r>
    </w:p>
    <w:p>
      <w:pPr>
        <w:pStyle w:val="BodyText"/>
      </w:pPr>
      <w:r>
        <w:t xml:space="preserve">De directe vergelijkende studie tegen tirzepatide bij obesitas (REDEFINE 4, NCT06131437) en twee vergelijkende studies tegen tirzepatide bij diabetes type 2</w:t>
      </w:r>
      <w:r>
        <w:rPr>
          <w:rStyle w:val="FootnoteReference"/>
        </w:rPr>
        <w:footnoteReference w:id="670"/>
      </w:r>
      <w:r>
        <w:t xml:space="preserve"> </w:t>
      </w:r>
      <w:r>
        <w:t xml:space="preserve">zijn volgens het register afgerond; collegiaal getoetste publicaties lagen bij het onderzoek nog niet voor.</w:t>
      </w:r>
    </w:p>
    <w:bookmarkEnd w:id="671"/>
    <w:bookmarkEnd w:id="672"/>
    <w:bookmarkStart w:id="677" w:name="dier--en-laboratoriumstudies-8"/>
    <w:p>
      <w:pPr>
        <w:pStyle w:val="Heading3"/>
      </w:pPr>
      <w:r>
        <w:t xml:space="preserve">Dier- en laboratoriumstudies</w:t>
      </w:r>
    </w:p>
    <w:p>
      <w:pPr>
        <w:pStyle w:val="FirstParagraph"/>
      </w:pPr>
      <w:r>
        <w:t xml:space="preserve">Structuurbiologisch onderzoek laat zien hoe cagrilintide aan amyline- en calcitoninereceptoren bindt</w:t>
      </w:r>
      <w:r>
        <w:rPr>
          <w:rStyle w:val="FootnoteReference"/>
        </w:rPr>
        <w:footnoteReference w:id="673"/>
      </w:r>
      <w:r>
        <w:t xml:space="preserve">. Bij muizen zonder de amylinereceptor-subtypen 1 en 3 was de werking sterk verzwakt</w:t>
      </w:r>
      <w:r>
        <w:rPr>
          <w:rStyle w:val="FootnoteReference"/>
        </w:rPr>
        <w:footnoteReference w:id="674"/>
      </w:r>
      <w:r>
        <w:t xml:space="preserve">. Bij ratten verlaagde CagriSema de voedselinname met 39%; volgens berekening van de auteurs was ongeveer een derde van het gewichtsverlies terug te voeren op het feit dat het energieverbruik niet in de gebruikelijke mate daalde</w:t>
      </w:r>
      <w:r>
        <w:rPr>
          <w:rStyle w:val="FootnoteReference"/>
        </w:rPr>
        <w:footnoteReference w:id="675"/>
      </w:r>
      <w:r>
        <w:t xml:space="preserve">. In een andere rattenstudie versterkte de combinatie van cagrilintide met retatrutide het gewichtsverlies</w:t>
      </w:r>
      <w:r>
        <w:rPr>
          <w:rStyle w:val="FootnoteReference"/>
        </w:rPr>
        <w:footnoteReference w:id="676"/>
      </w:r>
      <w:r>
        <w:t xml:space="preserve"> </w:t>
      </w:r>
      <w:r>
        <w:t xml:space="preserve">– een aanwijzing dat amylinemiddelen in de toekomst ook met andere incretinemiddelen gecombineerd zouden kunnen worden. Al deze resultaten komen uit dierproeven.</w:t>
      </w:r>
    </w:p>
    <w:bookmarkEnd w:id="677"/>
    <w:bookmarkStart w:id="685" w:name="risicos-en-bijwerkingen-8"/>
    <w:p>
      <w:pPr>
        <w:pStyle w:val="Heading3"/>
      </w:pPr>
      <w:r>
        <w:t xml:space="preserve">Risico’s en bijwerkingen</w:t>
      </w:r>
    </w:p>
    <w:p>
      <w:pPr>
        <w:pStyle w:val="FirstParagraph"/>
      </w:pPr>
      <w:r>
        <w:rPr>
          <w:bCs/>
          <w:b/>
        </w:rPr>
        <w:t xml:space="preserve">Aangetoond in studies:</w:t>
      </w:r>
    </w:p>
    <w:p>
      <w:pPr>
        <w:numPr>
          <w:ilvl w:val="0"/>
          <w:numId w:val="1081"/>
        </w:numPr>
        <w:pStyle w:val="Compact"/>
      </w:pPr>
      <w:r>
        <w:rPr>
          <w:bCs/>
          <w:b/>
        </w:rPr>
        <w:t xml:space="preserve">Maag-darmklachten</w:t>
      </w:r>
      <w:r>
        <w:t xml:space="preserve"> </w:t>
      </w:r>
      <w:r>
        <w:t xml:space="preserve">– misselijkheid, braken, diarree, obstipatie, buikpijn – troffen in REDEFINE 1 79,6% met CagriSema tegenover 39,9% met placebo; ze waren meestal van voorbijgaande aard en licht tot matig</w:t>
      </w:r>
      <w:r>
        <w:rPr>
          <w:rStyle w:val="FootnoteReference"/>
        </w:rPr>
        <w:footnoteReference w:id="678"/>
      </w:r>
      <w:r>
        <w:t xml:space="preserve">. In REDEFINE 2 was dat 72,5% tegenover 34,4%</w:t>
      </w:r>
      <w:r>
        <w:rPr>
          <w:rStyle w:val="FootnoteReference"/>
        </w:rPr>
        <w:footnoteReference w:id="679"/>
      </w:r>
      <w:r>
        <w:t xml:space="preserve">.</w:t>
      </w:r>
    </w:p>
    <w:p>
      <w:pPr>
        <w:numPr>
          <w:ilvl w:val="0"/>
          <w:numId w:val="1081"/>
        </w:numPr>
        <w:pStyle w:val="Compact"/>
      </w:pPr>
      <w:r>
        <w:rPr>
          <w:bCs/>
          <w:b/>
        </w:rPr>
        <w:t xml:space="preserve">Hypoglykemie:</w:t>
      </w:r>
      <w:r>
        <w:t xml:space="preserve"> </w:t>
      </w:r>
      <w:r>
        <w:t xml:space="preserve">in REIMAGINE 3 kwamen ondanks gelijktijdige insulinebehandeling geen ernstige hypoglykemieën voor</w:t>
      </w:r>
      <w:r>
        <w:rPr>
          <w:rStyle w:val="FootnoteReference"/>
        </w:rPr>
        <w:footnoteReference w:id="680"/>
      </w:r>
      <w:r>
        <w:t xml:space="preserve">. Bij combinatie met insuline of sulfonylureumderivaten blijft het risico echter in principe bestaan.</w:t>
      </w:r>
    </w:p>
    <w:p>
      <w:pPr>
        <w:numPr>
          <w:ilvl w:val="0"/>
          <w:numId w:val="1081"/>
        </w:numPr>
        <w:pStyle w:val="Compact"/>
      </w:pPr>
      <w:r>
        <w:rPr>
          <w:bCs/>
          <w:b/>
        </w:rPr>
        <w:t xml:space="preserve">Hartritme:</w:t>
      </w:r>
      <w:r>
        <w:t xml:space="preserve"> </w:t>
      </w:r>
      <w:r>
        <w:t xml:space="preserve">in een aparte studie met 105 gezonde personen verlengde cagrilintide de QT-tijd op het ecg niet in klinisch relevante mate</w:t>
      </w:r>
      <w:r>
        <w:rPr>
          <w:rStyle w:val="FootnoteReference"/>
        </w:rPr>
        <w:footnoteReference w:id="681"/>
      </w:r>
      <w:r>
        <w:t xml:space="preserve">.</w:t>
      </w:r>
    </w:p>
    <w:p>
      <w:pPr>
        <w:numPr>
          <w:ilvl w:val="0"/>
          <w:numId w:val="1081"/>
        </w:numPr>
        <w:pStyle w:val="Compact"/>
      </w:pPr>
      <w:r>
        <w:rPr>
          <w:bCs/>
          <w:b/>
        </w:rPr>
        <w:t xml:space="preserve">Nier- en leverfunctie:</w:t>
      </w:r>
      <w:r>
        <w:t xml:space="preserve"> </w:t>
      </w:r>
      <w:r>
        <w:t xml:space="preserve">de bloedspiegels van cagrilintide veranderden bij een verminderde nier- of leverfunctie niet wezenlijk</w:t>
      </w:r>
      <w:r>
        <w:rPr>
          <w:rStyle w:val="FootnoteReference"/>
        </w:rPr>
        <w:footnoteReference w:id="682"/>
      </w:r>
      <w:r>
        <w:t xml:space="preserve">.</w:t>
      </w:r>
    </w:p>
    <w:p>
      <w:pPr>
        <w:pStyle w:val="FirstParagraph"/>
      </w:pPr>
      <w:r>
        <w:rPr>
          <w:bCs/>
          <w:b/>
        </w:rPr>
        <w:t xml:space="preserve">Theoretisch of nog onvoldoende onderzocht:</w:t>
      </w:r>
      <w:r>
        <w:t xml:space="preserve"> </w:t>
      </w:r>
      <w:r>
        <w:t xml:space="preserve">de calcitoninereceptor komt ook in botten voor; welk effect de voortdurende stimulatie heeft op de botstofwisseling, wordt momenteel onderzocht</w:t>
      </w:r>
      <w:r>
        <w:rPr>
          <w:rStyle w:val="FootnoteReference"/>
        </w:rPr>
        <w:footnoteReference w:id="683"/>
      </w:r>
      <w:r>
        <w:t xml:space="preserve">. Evenmin opgehelderd is of de combinatie het verlies van spiermassa beïnvloedt</w:t>
      </w:r>
      <w:r>
        <w:rPr>
          <w:rStyle w:val="FootnoteReference"/>
        </w:rPr>
        <w:footnoteReference w:id="684"/>
      </w:r>
      <w:r>
        <w:t xml:space="preserve">. Voor de klasserisico’s van semaglutide (galblaas, alvleesklier, C-cellen van de schildklier in dierproeven) zie het hoofdstuk Semaglutide.</w:t>
      </w:r>
    </w:p>
    <w:bookmarkEnd w:id="685"/>
    <w:bookmarkStart w:id="686" w:name="juridische-status-8"/>
    <w:p>
      <w:pPr>
        <w:pStyle w:val="Heading3"/>
      </w:pPr>
      <w:r>
        <w:t xml:space="preserve">Juridische status</w:t>
      </w:r>
    </w:p>
    <w:p>
      <w:pPr>
        <w:numPr>
          <w:ilvl w:val="0"/>
          <w:numId w:val="1082"/>
        </w:numPr>
        <w:pStyle w:val="Compact"/>
      </w:pPr>
      <w:r>
        <w:rPr>
          <w:bCs/>
          <w:b/>
        </w:rPr>
        <w:t xml:space="preserve">EU / Oostenrijk / Duitsland:</w:t>
      </w:r>
      <w:r>
        <w:t xml:space="preserve"> </w:t>
      </w:r>
      <w:r>
        <w:t xml:space="preserve">cagrilintide noch CagriSema is geregistreerd; toepassing alleen in studies. Aanbiedingen van</w:t>
      </w:r>
      <w:r>
        <w:t xml:space="preserve"> </w:t>
      </w:r>
      <w:r>
        <w:t xml:space="preserve">‘</w:t>
      </w:r>
      <w:r>
        <w:t xml:space="preserve">Cagrilintide</w:t>
      </w:r>
      <w:r>
        <w:t xml:space="preserve">’</w:t>
      </w:r>
      <w:r>
        <w:t xml:space="preserve"> </w:t>
      </w:r>
      <w:r>
        <w:t xml:space="preserve">op de grijze markt zijn geen geneesmiddelen en niet gecontroleerd.</w:t>
      </w:r>
    </w:p>
    <w:p>
      <w:pPr>
        <w:numPr>
          <w:ilvl w:val="0"/>
          <w:numId w:val="1082"/>
        </w:numPr>
        <w:pStyle w:val="Compact"/>
      </w:pPr>
      <w:r>
        <w:rPr>
          <w:bCs/>
          <w:b/>
        </w:rPr>
        <w:t xml:space="preserve">VS:</w:t>
      </w:r>
      <w:r>
        <w:t xml:space="preserve"> </w:t>
      </w:r>
      <w:r>
        <w:t xml:space="preserve">niet geregistreerd (stand oktober 2026, actuele situatie controleren).</w:t>
      </w:r>
    </w:p>
    <w:p>
      <w:pPr>
        <w:numPr>
          <w:ilvl w:val="0"/>
          <w:numId w:val="1082"/>
        </w:numPr>
        <w:pStyle w:val="Compact"/>
      </w:pPr>
      <w:r>
        <w:rPr>
          <w:bCs/>
          <w:b/>
        </w:rPr>
        <w:t xml:space="preserve">Sport:</w:t>
      </w:r>
      <w:r>
        <w:t xml:space="preserve"> </w:t>
      </w:r>
      <w:r>
        <w:t xml:space="preserve">WADA-klasse S0 (niet geregistreerd), stand 2026, actuele situatie controleren.</w:t>
      </w:r>
    </w:p>
    <w:bookmarkEnd w:id="686"/>
    <w:bookmarkStart w:id="697" w:name="lopende-studies-en-vooruitzichten-8"/>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3"/>
        </w:numPr>
        <w:pStyle w:val="Compact"/>
      </w:pPr>
      <w:r>
        <w:rPr>
          <w:bCs/>
          <w:b/>
        </w:rPr>
        <w:t xml:space="preserve">REDEFINE 3</w:t>
      </w:r>
      <w:r>
        <w:rPr>
          <w:rStyle w:val="FootnoteReference"/>
        </w:rPr>
        <w:footnoteReference w:id="687"/>
      </w:r>
      <w:r>
        <w:t xml:space="preserve">: cardiovasculaire eindpuntstudie met 7.076 gerandomiseerde mensen met bestaande hart- en vaatziekte en overgewicht; gepland einde 2027. Design en uitgangsgegevens zijn gepubliceerd</w:t>
      </w:r>
      <w:r>
        <w:rPr>
          <w:rStyle w:val="FootnoteReference"/>
        </w:rPr>
        <w:footnoteReference w:id="688"/>
      </w:r>
      <w:r>
        <w:t xml:space="preserve">.</w:t>
      </w:r>
    </w:p>
    <w:p>
      <w:pPr>
        <w:numPr>
          <w:ilvl w:val="0"/>
          <w:numId w:val="1083"/>
        </w:numPr>
        <w:pStyle w:val="Compact"/>
      </w:pPr>
      <w:r>
        <w:rPr>
          <w:bCs/>
          <w:b/>
        </w:rPr>
        <w:t xml:space="preserve">Vergelijkingen met tirzepatide</w:t>
      </w:r>
      <w:r>
        <w:rPr>
          <w:rStyle w:val="FootnoteReference"/>
        </w:rPr>
        <w:footnoteReference w:id="689"/>
      </w:r>
      <w:r>
        <w:t xml:space="preserve">: afgerond, publicatie volgt nog.</w:t>
      </w:r>
    </w:p>
    <w:p>
      <w:pPr>
        <w:numPr>
          <w:ilvl w:val="0"/>
          <w:numId w:val="1083"/>
        </w:numPr>
        <w:pStyle w:val="Compact"/>
      </w:pPr>
      <w:r>
        <w:rPr>
          <w:bCs/>
          <w:b/>
        </w:rPr>
        <w:t xml:space="preserve">Hogere CagriSema-doses</w:t>
      </w:r>
      <w:r>
        <w:t xml:space="preserve"> </w:t>
      </w:r>
      <w:r>
        <w:t xml:space="preserve">tegen semaglutide</w:t>
      </w:r>
      <w:r>
        <w:rPr>
          <w:rStyle w:val="FootnoteReference"/>
        </w:rPr>
        <w:footnoteReference w:id="690"/>
      </w:r>
      <w:r>
        <w:t xml:space="preserve"> </w:t>
      </w:r>
      <w:r>
        <w:t xml:space="preserve">en langetermijnstudie naar gewichtsbehoud</w:t>
      </w:r>
      <w:r>
        <w:rPr>
          <w:rStyle w:val="FootnoteReference"/>
        </w:rPr>
        <w:footnoteReference w:id="691"/>
      </w:r>
      <w:r>
        <w:t xml:space="preserve">.</w:t>
      </w:r>
    </w:p>
    <w:p>
      <w:pPr>
        <w:numPr>
          <w:ilvl w:val="0"/>
          <w:numId w:val="1083"/>
        </w:numPr>
        <w:pStyle w:val="Compact"/>
      </w:pPr>
      <w:r>
        <w:rPr>
          <w:bCs/>
          <w:b/>
        </w:rPr>
        <w:t xml:space="preserve">Kinderen en jongeren</w:t>
      </w:r>
      <w:r>
        <w:rPr>
          <w:rStyle w:val="FootnoteReference"/>
        </w:rPr>
        <w:footnoteReference w:id="692"/>
      </w:r>
      <w:r>
        <w:t xml:space="preserve"> </w:t>
      </w:r>
      <w:r>
        <w:t xml:space="preserve">en cagrilintide alleen</w:t>
      </w:r>
      <w:r>
        <w:rPr>
          <w:rStyle w:val="FootnoteReference"/>
        </w:rPr>
        <w:footnoteReference w:id="693"/>
      </w:r>
      <w:r>
        <w:t xml:space="preserve">.</w:t>
      </w:r>
    </w:p>
    <w:p>
      <w:pPr>
        <w:numPr>
          <w:ilvl w:val="0"/>
          <w:numId w:val="1083"/>
        </w:numPr>
        <w:pStyle w:val="Compact"/>
      </w:pPr>
      <w:r>
        <w:t xml:space="preserve">Kleinere studies naar botten</w:t>
      </w:r>
      <w:r>
        <w:rPr>
          <w:rStyle w:val="FootnoteReference"/>
        </w:rPr>
        <w:footnoteReference w:id="694"/>
      </w:r>
      <w:r>
        <w:t xml:space="preserve">, spieren</w:t>
      </w:r>
      <w:r>
        <w:rPr>
          <w:rStyle w:val="FootnoteReference"/>
        </w:rPr>
        <w:footnoteReference w:id="695"/>
      </w:r>
      <w:r>
        <w:t xml:space="preserve"> </w:t>
      </w:r>
      <w:r>
        <w:t xml:space="preserve">en naar mensen die GLP-1-middelen niet verdragen</w:t>
      </w:r>
      <w:r>
        <w:rPr>
          <w:rStyle w:val="FootnoteReference"/>
        </w:rPr>
        <w:footnoteReference w:id="696"/>
      </w:r>
      <w:r>
        <w:t xml:space="preserve">.</w:t>
      </w:r>
    </w:p>
    <w:p>
      <w:pPr>
        <w:pStyle w:val="FirstParagraph"/>
      </w:pPr>
      <w:r>
        <w:rPr>
          <w:bCs/>
          <w:b/>
        </w:rPr>
        <w:t xml:space="preserve">Inschatting:</w:t>
      </w:r>
      <w:r>
        <w:t xml:space="preserve"> </w:t>
      </w:r>
      <w:r>
        <w:t xml:space="preserve">CagriSema zal waarschijnlijk als eerste amyline-GLP-1-combinatie op de markt komen. Of het zich tegen tirzepatide en de komende drievoudige agonisten staande houdt, hangt af van de vergelijkende studies en de verdraagbaarheid. Het wetenschappelijk interessantere aspect is de uitbreiding van de gereedschapskist: amyline is na GLP-1, GIP en glucagon de vierde hormoonroute die voor de behandeling van obesitas wordt ontsloten (zie ook Amycretin).</w:t>
      </w:r>
    </w:p>
    <w:bookmarkEnd w:id="697"/>
    <w:bookmarkStart w:id="698" w:name="conclusie-8"/>
    <w:p>
      <w:pPr>
        <w:pStyle w:val="Heading3"/>
      </w:pPr>
      <w:r>
        <w:t xml:space="preserve">Conclusie</w:t>
      </w:r>
    </w:p>
    <w:p>
      <w:pPr>
        <w:pStyle w:val="FirstParagraph"/>
      </w:pPr>
      <w:r>
        <w:t xml:space="preserve">Cagrilintide is een langwerkend amyline-analoog dat alleen het gewicht in fase 2 met tot 10,8% verlaagde. In combinatie met semaglutide (CagriSema) bereikte het in REDEFINE 1 na 68 weken een gewichtsverlies van 20,4% en was het in Oost-Azië duidelijk superieur aan semaglutide alleen (18,4% vs. 11,9%). Maag-darmklachten treffen ongeveer vier op de vijf behandelden. CagriSema is nog niet geregistreerd; gegevens over hart- en vaatincidenten en over de directe vergelijking met tirzepatide ontbreken nog.</w:t>
      </w:r>
    </w:p>
    <w:bookmarkEnd w:id="698"/>
    <w:bookmarkEnd w:id="699"/>
    <w:bookmarkStart w:id="728" w:name="amycretine-zenagamtide"/>
    <w:p>
      <w:pPr>
        <w:pStyle w:val="Heading2"/>
      </w:pPr>
      <w:r>
        <w:t xml:space="preserve">Amycretine (zenagamtide)</w:t>
      </w:r>
    </w:p>
    <w:bookmarkStart w:id="700" w:name="profiel-9"/>
    <w:p>
      <w:pPr>
        <w:pStyle w:val="Heading3"/>
      </w:pPr>
      <w:r>
        <w:t xml:space="preserve">Profiel</w:t>
      </w:r>
    </w:p>
    <w:p>
      <w:pPr>
        <w:numPr>
          <w:ilvl w:val="0"/>
          <w:numId w:val="1084"/>
        </w:numPr>
        <w:pStyle w:val="Compact"/>
      </w:pPr>
      <w:r>
        <w:rPr>
          <w:bCs/>
          <w:b/>
        </w:rPr>
        <w:t xml:space="preserve">Soort/structuur:</w:t>
      </w:r>
      <w:r>
        <w:t xml:space="preserve"> </w:t>
      </w:r>
      <w:r>
        <w:t xml:space="preserve">synthetisch peptide dat in één enkel molecuul de werking van GLP-1 en amyline verenigt (</w:t>
      </w:r>
      <w:r>
        <w:t xml:space="preserve">‘</w:t>
      </w:r>
      <w:r>
        <w:t xml:space="preserve">unimoleculair</w:t>
      </w:r>
      <w:r>
        <w:t xml:space="preserve">’</w:t>
      </w:r>
      <w:r>
        <w:t xml:space="preserve">). Sinds 2026 draagt het de internationale generieke naam</w:t>
      </w:r>
      <w:r>
        <w:t xml:space="preserve"> </w:t>
      </w:r>
      <w:r>
        <w:rPr>
          <w:bCs/>
          <w:b/>
        </w:rPr>
        <w:t xml:space="preserve">zenagamtide</w:t>
      </w:r>
      <w:r>
        <w:t xml:space="preserve"> </w:t>
      </w:r>
      <w:r>
        <w:t xml:space="preserve">(Engels zenagamtide); ontwikkelingscode NNC0487-0111. Het wordt in twee vormen ontwikkeld: als wekelijkse injectie en als dagelijkse tablet.</w:t>
      </w:r>
    </w:p>
    <w:p>
      <w:pPr>
        <w:numPr>
          <w:ilvl w:val="0"/>
          <w:numId w:val="1084"/>
        </w:numPr>
        <w:pStyle w:val="Compact"/>
      </w:pPr>
      <w:r>
        <w:rPr>
          <w:bCs/>
          <w:b/>
        </w:rPr>
        <w:t xml:space="preserve">Herkomst:</w:t>
      </w:r>
      <w:r>
        <w:t xml:space="preserve"> </w:t>
      </w:r>
      <w:r>
        <w:t xml:space="preserve">ontwikkeld door Novo Nordisk.</w:t>
      </w:r>
    </w:p>
    <w:p>
      <w:pPr>
        <w:numPr>
          <w:ilvl w:val="0"/>
          <w:numId w:val="1084"/>
        </w:numPr>
        <w:pStyle w:val="Compact"/>
      </w:pPr>
      <w:r>
        <w:rPr>
          <w:bCs/>
          <w:b/>
        </w:rPr>
        <w:t xml:space="preserve">Werkingsprincipe:</w:t>
      </w:r>
      <w:r>
        <w:t xml:space="preserve"> </w:t>
      </w:r>
      <w:r>
        <w:t xml:space="preserve">agonist op GLP-1-, amyline- en calcitoninereceptoren.</w:t>
      </w:r>
    </w:p>
    <w:p>
      <w:pPr>
        <w:numPr>
          <w:ilvl w:val="0"/>
          <w:numId w:val="1084"/>
        </w:numPr>
        <w:pStyle w:val="Compact"/>
      </w:pPr>
      <w:r>
        <w:rPr>
          <w:bCs/>
          <w:b/>
        </w:rPr>
        <w:t xml:space="preserve">Registratie EU:</w:t>
      </w:r>
      <w:r>
        <w:t xml:space="preserve"> </w:t>
      </w:r>
      <w:r>
        <w:t xml:space="preserve">nee.</w:t>
      </w:r>
    </w:p>
    <w:p>
      <w:pPr>
        <w:numPr>
          <w:ilvl w:val="0"/>
          <w:numId w:val="1084"/>
        </w:numPr>
        <w:pStyle w:val="Compact"/>
      </w:pPr>
      <w:r>
        <w:rPr>
          <w:bCs/>
          <w:b/>
        </w:rPr>
        <w:t xml:space="preserve">Registratie VS:</w:t>
      </w:r>
      <w:r>
        <w:t xml:space="preserve"> </w:t>
      </w:r>
      <w:r>
        <w:t xml:space="preserve">nee.</w:t>
      </w:r>
    </w:p>
    <w:p>
      <w:pPr>
        <w:numPr>
          <w:ilvl w:val="0"/>
          <w:numId w:val="1084"/>
        </w:numPr>
        <w:pStyle w:val="Compact"/>
      </w:pPr>
      <w:r>
        <w:rPr>
          <w:bCs/>
          <w:b/>
        </w:rPr>
        <w:t xml:space="preserve">WADA:</w:t>
      </w:r>
      <w:r>
        <w:t xml:space="preserve"> </w:t>
      </w:r>
      <w:r>
        <w:t xml:space="preserve">als niet-geregistreerde stof verboden onder S0.</w:t>
      </w:r>
    </w:p>
    <w:p>
      <w:pPr>
        <w:numPr>
          <w:ilvl w:val="0"/>
          <w:numId w:val="1084"/>
        </w:numPr>
        <w:pStyle w:val="Compact"/>
      </w:pPr>
      <w:r>
        <w:rPr>
          <w:bCs/>
          <w:b/>
        </w:rPr>
        <w:t xml:space="preserve">Bewijsniveau:</w:t>
      </w:r>
      <w:r>
        <w:t xml:space="preserve"> </w:t>
      </w:r>
      <w:r>
        <w:rPr>
          <w:bCs/>
          <w:b/>
        </w:rPr>
        <w:t xml:space="preserve">B</w:t>
      </w:r>
      <w:r>
        <w:t xml:space="preserve"> </w:t>
      </w:r>
      <w:r>
        <w:t xml:space="preserve">– gerandomiseerde fase 1- en fase 2-studies gepubliceerd; fase 3 is in 2026 begonnen.</w:t>
      </w:r>
    </w:p>
    <w:bookmarkEnd w:id="700"/>
    <w:bookmarkStart w:id="702" w:name="hoe-het-zou-moeten-werken-9"/>
    <w:p>
      <w:pPr>
        <w:pStyle w:val="Heading3"/>
      </w:pPr>
      <w:r>
        <w:t xml:space="preserve">Hoe het zou moeten werken</w:t>
      </w:r>
    </w:p>
    <w:p>
      <w:pPr>
        <w:pStyle w:val="FirstParagraph"/>
      </w:pPr>
      <w:r>
        <w:t xml:space="preserve">CagriSema (zie het vorige hoofdstuk) combineert twee afzonderlijke werkzame stoffen – het amyline-analoog cagrilintide en de GLP-1-agonist semaglutide – in één injectie. Amycretine gaat een stap verder: één enkel peptide activeert beide receptorsystemen. Dat vereenvoudigt productie en dosering en maakt in principe een tabletvorm mogelijk, zoals die met oraal semaglutide al bestaat.</w:t>
      </w:r>
    </w:p>
    <w:p>
      <w:pPr>
        <w:pStyle w:val="BodyText"/>
      </w:pPr>
      <w:r>
        <w:t xml:space="preserve">GLP-1 en amyline bevorderen allebei het verzadigingsgevoel, vertragen de maaglediging en remmen de afgifte van glucagon, maar werken via verschillende receptoren en zenuwbanen in de hersenstam. In celexperimenten activeerde amycretine menselijke, muizen- en rattenreceptoren voor GLP-1, amyline en calcitonine. Bij ratten met door voeding veroorzaakte obesitas verlaagde het over 21 dagen de energie-inname met 47% en het lichaamsgewicht met 18%, terwijl het energieverbruik behouden bleef; de insulinegevoeligheid verbeterde en de leververvetting nam af</w:t>
      </w:r>
      <w:r>
        <w:rPr>
          <w:rStyle w:val="FootnoteReference"/>
        </w:rPr>
        <w:footnoteReference w:id="701"/>
      </w:r>
      <w:r>
        <w:t xml:space="preserve">. Dit zijn dierexperimentele gegevens.</w:t>
      </w:r>
    </w:p>
    <w:bookmarkEnd w:id="702"/>
    <w:bookmarkStart w:id="710" w:name="studies-bij-mensen-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4 studies bij mensen op. De automatische registerzoekopdracht onder de naam</w:t>
      </w:r>
      <w:r>
        <w:t xml:space="preserve"> </w:t>
      </w:r>
      <w:r>
        <w:t xml:space="preserve">‘</w:t>
      </w:r>
      <w:r>
        <w:t xml:space="preserve">amycretin</w:t>
      </w:r>
      <w:r>
        <w:t xml:space="preserve">’</w:t>
      </w:r>
      <w:r>
        <w:t xml:space="preserve"> </w:t>
      </w:r>
      <w:r>
        <w:t xml:space="preserve">vond slechts één registratie; onder de nieuwe naam zenagamtide en de ontwikkelingscode NNC0487-0111 zijn op ClinicalTrials.gov echter ongeveer 30 studies geregistreerd, waaronder het in 2026 gestarte fase 3-programma</w:t>
      </w:r>
      <w:r>
        <w:t xml:space="preserve"> </w:t>
      </w:r>
      <w:r>
        <w:rPr>
          <w:bCs/>
          <w:b/>
        </w:rPr>
        <w:t xml:space="preserve">AMAZE</w:t>
      </w:r>
      <w:r>
        <w:t xml:space="preserve"> </w:t>
      </w:r>
      <w:r>
        <w:t xml:space="preserve">(gewicht) en</w:t>
      </w:r>
      <w:r>
        <w:t xml:space="preserve"> </w:t>
      </w:r>
      <w:r>
        <w:rPr>
          <w:bCs/>
          <w:b/>
        </w:rPr>
        <w:t xml:space="preserve">AMBITION</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tablet (Gasiorek 2025), PMID 40550229</w:t>
            </w:r>
          </w:p>
        </w:tc>
        <w:tc>
          <w:tcPr/>
          <w:p>
            <w:pPr>
              <w:pStyle w:val="Compact"/>
              <w:jc w:val="left"/>
            </w:pPr>
            <w:r>
              <w:t xml:space="preserve">144 volwassenen met overgewicht/obesitas, tegen placebo</w:t>
            </w:r>
          </w:p>
        </w:tc>
        <w:tc>
          <w:tcPr/>
          <w:p>
            <w:pPr>
              <w:pStyle w:val="Compact"/>
              <w:jc w:val="left"/>
            </w:pPr>
            <w:r>
              <w:t xml:space="preserve">tot 12 weken</w:t>
            </w:r>
          </w:p>
        </w:tc>
        <w:tc>
          <w:tcPr/>
          <w:p>
            <w:pPr>
              <w:pStyle w:val="Compact"/>
              <w:jc w:val="left"/>
            </w:pPr>
            <w:r>
              <w:t xml:space="preserve">veiligheid; bijwerkingen dosisafhankelijk, alle licht tot matig</w:t>
            </w:r>
          </w:p>
        </w:tc>
      </w:tr>
      <w:tr>
        <w:tc>
          <w:tcPr/>
          <w:p>
            <w:pPr>
              <w:pStyle w:val="Compact"/>
              <w:jc w:val="left"/>
            </w:pPr>
            <w:r>
              <w:t xml:space="preserve">Fase 1b/2a, injectie (Dahl 2025), PMID 40550231</w:t>
            </w:r>
          </w:p>
        </w:tc>
        <w:tc>
          <w:tcPr/>
          <w:p>
            <w:pPr>
              <w:pStyle w:val="Compact"/>
              <w:jc w:val="left"/>
            </w:pPr>
            <w:r>
              <w:t xml:space="preserve">125 volwassenen met overgewicht/obesitas, tegen placebo</w:t>
            </w:r>
          </w:p>
        </w:tc>
        <w:tc>
          <w:tcPr/>
          <w:p>
            <w:pPr>
              <w:pStyle w:val="Compact"/>
              <w:jc w:val="left"/>
            </w:pPr>
            <w:r>
              <w:t xml:space="preserve">tot 36 weken</w:t>
            </w:r>
          </w:p>
        </w:tc>
        <w:tc>
          <w:tcPr/>
          <w:p>
            <w:pPr>
              <w:pStyle w:val="Compact"/>
              <w:jc w:val="left"/>
            </w:pPr>
            <w:r>
              <w:t xml:space="preserve">tot −24,3% gewicht vs. −1,1%</w:t>
            </w:r>
          </w:p>
        </w:tc>
      </w:tr>
      <w:tr>
        <w:tc>
          <w:tcPr/>
          <w:p>
            <w:pPr>
              <w:pStyle w:val="Compact"/>
              <w:jc w:val="left"/>
            </w:pPr>
            <w:r>
              <w:t xml:space="preserve">Fase 2, tablet (Mora 2026), PMID 42532079</w:t>
            </w:r>
          </w:p>
        </w:tc>
        <w:tc>
          <w:tcPr/>
          <w:p>
            <w:pPr>
              <w:pStyle w:val="Compact"/>
              <w:jc w:val="left"/>
            </w:pPr>
            <w:r>
              <w:t xml:space="preserve">186 volwassenen met diabetes type 2, tegen placebo</w:t>
            </w:r>
          </w:p>
        </w:tc>
        <w:tc>
          <w:tcPr/>
          <w:p>
            <w:pPr>
              <w:pStyle w:val="Compact"/>
              <w:jc w:val="left"/>
            </w:pPr>
            <w:r>
              <w:t xml:space="preserve">36 weken</w:t>
            </w:r>
          </w:p>
        </w:tc>
        <w:tc>
          <w:tcPr/>
          <w:p>
            <w:pPr>
              <w:pStyle w:val="Compact"/>
              <w:jc w:val="left"/>
            </w:pPr>
            <w:r>
              <w:t xml:space="preserve">HbA1c −0,9 tot −1,4</w:t>
            </w:r>
          </w:p>
        </w:tc>
      </w:tr>
      <w:tr>
        <w:tc>
          <w:tcPr/>
          <w:p>
            <w:pPr>
              <w:pStyle w:val="Compact"/>
              <w:jc w:val="left"/>
            </w:pPr>
            <w:r>
              <w:t xml:space="preserve">Fase 2, injectie (Mora 2026), PMID 42532080</w:t>
            </w:r>
          </w:p>
        </w:tc>
        <w:tc>
          <w:tcPr/>
          <w:p>
            <w:pPr>
              <w:pStyle w:val="Compact"/>
              <w:jc w:val="left"/>
            </w:pPr>
            <w:r>
              <w:t xml:space="preserve">262 volwassenen met diabetes type 2, tegen placebo</w:t>
            </w:r>
          </w:p>
        </w:tc>
        <w:tc>
          <w:tcPr/>
          <w:p>
            <w:pPr>
              <w:pStyle w:val="Compact"/>
              <w:jc w:val="left"/>
            </w:pPr>
            <w:r>
              <w:t xml:space="preserve">36 weken</w:t>
            </w:r>
          </w:p>
        </w:tc>
        <w:tc>
          <w:tcPr/>
          <w:p>
            <w:pPr>
              <w:pStyle w:val="Compact"/>
              <w:jc w:val="left"/>
            </w:pPr>
            <w:r>
              <w:t xml:space="preserve">HbA1c −0,9 tot −1,7</w:t>
            </w:r>
          </w:p>
        </w:tc>
      </w:tr>
    </w:tbl>
    <w:bookmarkStart w:id="704" w:name="tabletvorm-eerste-studie-bij-mensen"/>
    <w:p>
      <w:pPr>
        <w:pStyle w:val="Heading4"/>
      </w:pPr>
      <w:r>
        <w:t xml:space="preserve">Tabletvorm: eerste studie bij mensen</w:t>
      </w:r>
    </w:p>
    <w:p>
      <w:pPr>
        <w:pStyle w:val="FirstParagraph"/>
      </w:pPr>
      <w:r>
        <w:t xml:space="preserve">De eerste studie bij mensen onderzocht amycretine als tablet</w:t>
      </w:r>
      <w:r>
        <w:rPr>
          <w:rStyle w:val="FootnoteReference"/>
        </w:rPr>
        <w:footnoteReference w:id="703"/>
      </w:r>
      <w:r>
        <w:t xml:space="preserve">. 144 volwassenen met overgewicht of obesitas kregen enkelvoudige of herhaalde doses gedurende maximaal twaalf weken. 62% meldde ten minste één ongewenst voorval; alle waren licht of matig en namen toe met de dosis. Ongeveer de helft van de voorvallen betrof het maag-darmkanaal. De bloedspiegels stegen evenredig met de dosis. De gewichtsgegevens waren slechts een ondergeschikt, verkennend eindpunt van deze veiligheidsstudie.</w:t>
      </w:r>
    </w:p>
    <w:bookmarkEnd w:id="704"/>
    <w:bookmarkStart w:id="706" w:name="injectievorm-fase-1b2a"/>
    <w:p>
      <w:pPr>
        <w:pStyle w:val="Heading4"/>
      </w:pPr>
      <w:r>
        <w:t xml:space="preserve">Injectievorm: fase 1b/2a</w:t>
      </w:r>
    </w:p>
    <w:p>
      <w:pPr>
        <w:pStyle w:val="FirstParagraph"/>
      </w:pPr>
      <w:r>
        <w:t xml:space="preserve">In de studie met de wekelijkse injectie</w:t>
      </w:r>
      <w:r>
        <w:rPr>
          <w:rStyle w:val="FootnoteReference"/>
        </w:rPr>
        <w:footnoteReference w:id="705"/>
      </w:r>
      <w:r>
        <w:t xml:space="preserve"> </w:t>
      </w:r>
      <w:r>
        <w:t xml:space="preserve">kregen 125 personen amycretine of placebo in meerdere studiedelen met verschillende doeldoses en behandelduren. Het gewichtsverlies was voor een vroege studie opmerkelijk:</w:t>
      </w:r>
    </w:p>
    <w:p>
      <w:pPr>
        <w:numPr>
          <w:ilvl w:val="0"/>
          <w:numId w:val="1085"/>
        </w:numPr>
        <w:pStyle w:val="Compact"/>
      </w:pPr>
      <w:r>
        <w:t xml:space="preserve">hoogste dosis, 36 weken: −24,3% tegenover −1,1% bij placebo</w:t>
      </w:r>
    </w:p>
    <w:p>
      <w:pPr>
        <w:numPr>
          <w:ilvl w:val="0"/>
          <w:numId w:val="1085"/>
        </w:numPr>
        <w:pStyle w:val="Compact"/>
      </w:pPr>
      <w:r>
        <w:t xml:space="preserve">op een na hoogste dosis, 36 weken: −22,0% tegenover +1,9%</w:t>
      </w:r>
    </w:p>
    <w:p>
      <w:pPr>
        <w:numPr>
          <w:ilvl w:val="0"/>
          <w:numId w:val="1085"/>
        </w:numPr>
        <w:pStyle w:val="Compact"/>
      </w:pPr>
      <w:r>
        <w:t xml:space="preserve">middelste dosis, 28 weken: −16,2% tegenover +2,3%</w:t>
      </w:r>
    </w:p>
    <w:p>
      <w:pPr>
        <w:numPr>
          <w:ilvl w:val="0"/>
          <w:numId w:val="1085"/>
        </w:numPr>
        <w:pStyle w:val="Compact"/>
      </w:pPr>
      <w:r>
        <w:t xml:space="preserve">lage dosis, 20 weken: −9,7% tegenover +2,0%</w:t>
      </w:r>
    </w:p>
    <w:p>
      <w:pPr>
        <w:pStyle w:val="FirstParagraph"/>
      </w:pPr>
      <w:r>
        <w:t xml:space="preserve">Deze cijfers moeten met voorzichtigheid worden gelezen: de groepen waren klein, de studie vond plaats in één enkel centrum, en de auteurs melden zelf dat veel deelnemers voortijdig uit de studie stapten – voor een groot deel om redenen die niet met bijwerkingen samenhingen. Een gewichtsverlies van meer dan 20% na 36 weken is een sterk signaal, maar nog geen betrouwbare schatting voor brede toepassing.</w:t>
      </w:r>
    </w:p>
    <w:bookmarkEnd w:id="706"/>
    <w:bookmarkStart w:id="709" w:name="diabetes-type-2-twee-fase-2-studies"/>
    <w:p>
      <w:pPr>
        <w:pStyle w:val="Heading4"/>
      </w:pPr>
      <w:r>
        <w:t xml:space="preserve">Diabetes type 2: twee fase 2-studies</w:t>
      </w:r>
    </w:p>
    <w:p>
      <w:pPr>
        <w:pStyle w:val="FirstParagraph"/>
      </w:pPr>
      <w:r>
        <w:t xml:space="preserve">In 2026 verschenen twee parallelle dosisbepalingsstudies bij mensen met diabetes type 2 die metformine (met of zonder SGLT2-remmer) gebruikten:</w:t>
      </w:r>
    </w:p>
    <w:p>
      <w:pPr>
        <w:numPr>
          <w:ilvl w:val="0"/>
          <w:numId w:val="1086"/>
        </w:numPr>
        <w:pStyle w:val="Compact"/>
      </w:pPr>
      <w:r>
        <w:rPr>
          <w:bCs/>
          <w:b/>
        </w:rPr>
        <w:t xml:space="preserve">Tablet</w:t>
      </w:r>
      <w:r>
        <w:rPr>
          <w:rStyle w:val="FootnoteReference"/>
        </w:rPr>
        <w:footnoteReference w:id="707"/>
      </w:r>
      <w:r>
        <w:t xml:space="preserve">: na 36 weken daalde de HbA1c-waarde met 0,9 tot 1,4 procentpunt (uitgangswaarde ongeveer 8%). Maag-darmklachten kwamen voor bij 26–47% (placebo 23%). Ernstige ongewenste voorvallen troffen 4% met zenagamtide en niemand met placebo.</w:t>
      </w:r>
    </w:p>
    <w:p>
      <w:pPr>
        <w:numPr>
          <w:ilvl w:val="0"/>
          <w:numId w:val="1086"/>
        </w:numPr>
        <w:pStyle w:val="Compact"/>
      </w:pPr>
      <w:r>
        <w:rPr>
          <w:bCs/>
          <w:b/>
        </w:rPr>
        <w:t xml:space="preserve">Injectie</w:t>
      </w:r>
      <w:r>
        <w:rPr>
          <w:rStyle w:val="FootnoteReference"/>
        </w:rPr>
        <w:footnoteReference w:id="708"/>
      </w:r>
      <w:r>
        <w:t xml:space="preserve">: de HbA1c-waarde daalde afhankelijk van de dosis met 0,9 tot 1,7 procentpunt. Ernstige ongewenste voorvallen kwamen voor bij 8% van de deelnemers, verdeeld over alle dosisgroepen en placebo.</w:t>
      </w:r>
    </w:p>
    <w:p>
      <w:pPr>
        <w:pStyle w:val="FirstParagraph"/>
      </w:pPr>
      <w:r>
        <w:t xml:space="preserve">De gewichtsresultaten van deze diabetesstudies worden in de samenvattingen niet in cijfers uitgedrukt en worden hier daarom niet genoemd.</w:t>
      </w:r>
    </w:p>
    <w:bookmarkEnd w:id="709"/>
    <w:bookmarkEnd w:id="710"/>
    <w:bookmarkStart w:id="712" w:name="dier--en-laboratoriumstudies-9"/>
    <w:p>
      <w:pPr>
        <w:pStyle w:val="Heading3"/>
      </w:pPr>
      <w:r>
        <w:t xml:space="preserve">Dier- en laboratoriumstudies</w:t>
      </w:r>
    </w:p>
    <w:p>
      <w:pPr>
        <w:pStyle w:val="FirstParagraph"/>
      </w:pPr>
      <w:r>
        <w:t xml:space="preserve">De preklinische gegevens zijn afkomstig van de fabrikant</w:t>
      </w:r>
      <w:r>
        <w:rPr>
          <w:rStyle w:val="FootnoteReference"/>
        </w:rPr>
        <w:footnoteReference w:id="711"/>
      </w:r>
      <w:r>
        <w:t xml:space="preserve">: receptoractivering in celkweken, gewichtsverlies en verbeterde insulinegevoeligheid bij ratten met overgewicht, minder leververvetting en een ophoping in eetlustregulerende hersengebieden van muizen. Onafhankelijke dierstudies zijn er nauwelijks.</w:t>
      </w:r>
    </w:p>
    <w:bookmarkEnd w:id="712"/>
    <w:bookmarkStart w:id="717" w:name="risicos-en-bijwerkingen-9"/>
    <w:p>
      <w:pPr>
        <w:pStyle w:val="Heading3"/>
      </w:pPr>
      <w:r>
        <w:t xml:space="preserve">Risico’s en bijwerkingen</w:t>
      </w:r>
    </w:p>
    <w:p>
      <w:pPr>
        <w:pStyle w:val="FirstParagraph"/>
      </w:pPr>
      <w:r>
        <w:rPr>
          <w:bCs/>
          <w:b/>
        </w:rPr>
        <w:t xml:space="preserve">Aangetoond in studies:</w:t>
      </w:r>
    </w:p>
    <w:p>
      <w:pPr>
        <w:numPr>
          <w:ilvl w:val="0"/>
          <w:numId w:val="1087"/>
        </w:numPr>
        <w:pStyle w:val="Compact"/>
      </w:pPr>
      <w:r>
        <w:rPr>
          <w:bCs/>
          <w:b/>
        </w:rPr>
        <w:t xml:space="preserve">Maag-darmklachten</w:t>
      </w:r>
      <w:r>
        <w:t xml:space="preserve"> </w:t>
      </w:r>
      <w:r>
        <w:t xml:space="preserve">zijn de meest voorkomende bijwerkingen, in de vroege studies bij de meerderheid van de behandelden; ze waren meestal licht tot matig en dosisafhankelijk</w:t>
      </w:r>
      <w:r>
        <w:rPr>
          <w:rStyle w:val="FootnoteReference"/>
        </w:rPr>
        <w:footnoteReference w:id="713"/>
      </w:r>
      <w:r>
        <w:t xml:space="preserve">.</w:t>
      </w:r>
    </w:p>
    <w:p>
      <w:pPr>
        <w:numPr>
          <w:ilvl w:val="0"/>
          <w:numId w:val="1087"/>
        </w:numPr>
        <w:pStyle w:val="Compact"/>
      </w:pPr>
      <w:r>
        <w:rPr>
          <w:bCs/>
          <w:b/>
        </w:rPr>
        <w:t xml:space="preserve">Ernstige ongewenste voorvallen</w:t>
      </w:r>
      <w:r>
        <w:t xml:space="preserve"> </w:t>
      </w:r>
      <w:r>
        <w:t xml:space="preserve">waren in de fase 2-studies zeldzaam; in de tabletstudie kwamen ze alleen bij zenagamtide voor (4% vs. 0%), in de injectiestudie gelijkmatig verdeeld</w:t>
      </w:r>
      <w:r>
        <w:rPr>
          <w:rStyle w:val="FootnoteReference"/>
        </w:rPr>
        <w:footnoteReference w:id="714"/>
      </w:r>
      <w:r>
        <w:t xml:space="preserve">.</w:t>
      </w:r>
    </w:p>
    <w:p>
      <w:pPr>
        <w:numPr>
          <w:ilvl w:val="0"/>
          <w:numId w:val="1087"/>
        </w:numPr>
        <w:pStyle w:val="Compact"/>
      </w:pPr>
      <w:r>
        <w:rPr>
          <w:bCs/>
          <w:b/>
        </w:rPr>
        <w:t xml:space="preserve">Nierfunctie:</w:t>
      </w:r>
      <w:r>
        <w:t xml:space="preserve"> </w:t>
      </w:r>
      <w:r>
        <w:t xml:space="preserve">bij verminderde nierfunctie tot en met terminaal nierfalen veranderden de bloedspiegels na een eenmalige dosis niet klinisch relevant</w:t>
      </w:r>
      <w:r>
        <w:rPr>
          <w:rStyle w:val="FootnoteReference"/>
        </w:rPr>
        <w:footnoteReference w:id="715"/>
      </w:r>
      <w:r>
        <w:t xml:space="preserve">.</w:t>
      </w:r>
    </w:p>
    <w:p>
      <w:pPr>
        <w:pStyle w:val="FirstParagraph"/>
      </w:pPr>
      <w:r>
        <w:rPr>
          <w:bCs/>
          <w:b/>
        </w:rPr>
        <w:t xml:space="preserve">Nog open:</w:t>
      </w:r>
      <w:r>
        <w:t xml:space="preserve"> </w:t>
      </w:r>
      <w:r>
        <w:t xml:space="preserve">veiligheid op lange termijn, effect op botten (calcitoninereceptor), spiermassa en hart- en vaatstelsel. Voor de klasserisico’s van de GLP-1-middelen (galblaas, alvleesklier) zijn er nog te weinig behandeljaren.</w:t>
      </w:r>
    </w:p>
    <w:p>
      <w:pPr>
        <w:pStyle w:val="BodyText"/>
      </w:pPr>
      <w:r>
        <w:rPr>
          <w:bCs/>
          <w:b/>
        </w:rPr>
        <w:t xml:space="preserve">Grijze markt:</w:t>
      </w:r>
      <w:r>
        <w:t xml:space="preserve"> </w:t>
      </w:r>
      <w:r>
        <w:t xml:space="preserve">al vóór het begin van fase 3 wordt zenagamtide op internet aangeboden als</w:t>
      </w:r>
      <w:r>
        <w:t xml:space="preserve"> </w:t>
      </w:r>
      <w:r>
        <w:t xml:space="preserve">‘</w:t>
      </w:r>
      <w:r>
        <w:t xml:space="preserve">research peptide</w:t>
      </w:r>
      <w:r>
        <w:t xml:space="preserve">’</w:t>
      </w:r>
      <w:r>
        <w:t xml:space="preserve">. Een artikel in het vaktijdschrift JAMA beschrijft een groeiende zwarte markt voor de twee niet-geregistreerde werkzame stoffen retatrutide en zenagamtide en de daarmee verbonden risico’s</w:t>
      </w:r>
      <w:r>
        <w:rPr>
          <w:rStyle w:val="FootnoteReference"/>
        </w:rPr>
        <w:footnoteReference w:id="716"/>
      </w:r>
      <w:r>
        <w:t xml:space="preserve">. Wie zulke producten gebruikt, kent inhoud noch zuiverheid noch een beproefde dosering (zie deel I en deel IV).</w:t>
      </w:r>
    </w:p>
    <w:bookmarkEnd w:id="717"/>
    <w:bookmarkStart w:id="718" w:name="juridische-status-9"/>
    <w:p>
      <w:pPr>
        <w:pStyle w:val="Heading3"/>
      </w:pPr>
      <w:r>
        <w:t xml:space="preserve">Juridische status</w:t>
      </w:r>
    </w:p>
    <w:p>
      <w:pPr>
        <w:numPr>
          <w:ilvl w:val="0"/>
          <w:numId w:val="1088"/>
        </w:numPr>
        <w:pStyle w:val="Compact"/>
      </w:pPr>
      <w:r>
        <w:rPr>
          <w:bCs/>
          <w:b/>
        </w:rPr>
        <w:t xml:space="preserve">EU / Oostenrijk / Duitsland:</w:t>
      </w:r>
      <w:r>
        <w:t xml:space="preserve"> </w:t>
      </w:r>
      <w:r>
        <w:t xml:space="preserve">niet geregistreerd; toepassing alleen in klinische studies.</w:t>
      </w:r>
    </w:p>
    <w:p>
      <w:pPr>
        <w:numPr>
          <w:ilvl w:val="0"/>
          <w:numId w:val="1088"/>
        </w:numPr>
        <w:pStyle w:val="Compact"/>
      </w:pPr>
      <w:r>
        <w:rPr>
          <w:bCs/>
          <w:b/>
        </w:rPr>
        <w:t xml:space="preserve">VS:</w:t>
      </w:r>
      <w:r>
        <w:t xml:space="preserve"> </w:t>
      </w:r>
      <w:r>
        <w:t xml:space="preserve">niet geregistreerd.</w:t>
      </w:r>
    </w:p>
    <w:p>
      <w:pPr>
        <w:numPr>
          <w:ilvl w:val="0"/>
          <w:numId w:val="1088"/>
        </w:numPr>
        <w:pStyle w:val="Compact"/>
      </w:pPr>
      <w:r>
        <w:rPr>
          <w:bCs/>
          <w:b/>
        </w:rPr>
        <w:t xml:space="preserve">Sport:</w:t>
      </w:r>
      <w:r>
        <w:t xml:space="preserve"> </w:t>
      </w:r>
      <w:r>
        <w:t xml:space="preserve">WADA-klasse S0 (niet-goedgekeurde stof), stand 2026, actuele situatie controleren.</w:t>
      </w:r>
    </w:p>
    <w:bookmarkEnd w:id="718"/>
    <w:bookmarkStart w:id="726" w:name="lopende-studies-en-vooruitzichten-9"/>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9"/>
        </w:numPr>
        <w:pStyle w:val="Compact"/>
      </w:pPr>
      <w:r>
        <w:rPr>
          <w:bCs/>
          <w:b/>
        </w:rPr>
        <w:t xml:space="preserve">AMAZE 1</w:t>
      </w:r>
      <w:r>
        <w:rPr>
          <w:rStyle w:val="FootnoteReference"/>
        </w:rPr>
        <w:footnoteReference w:id="719"/>
      </w:r>
      <w:r>
        <w:t xml:space="preserve">: fase 3 met 1.150 volwassenen met overgewicht/obesitas, injectievorm.</w:t>
      </w:r>
    </w:p>
    <w:p>
      <w:pPr>
        <w:numPr>
          <w:ilvl w:val="0"/>
          <w:numId w:val="1089"/>
        </w:numPr>
        <w:pStyle w:val="Compact"/>
      </w:pPr>
      <w:r>
        <w:rPr>
          <w:bCs/>
          <w:b/>
        </w:rPr>
        <w:t xml:space="preserve">AMAZE 2</w:t>
      </w:r>
      <w:r>
        <w:rPr>
          <w:rStyle w:val="FootnoteReference"/>
        </w:rPr>
        <w:footnoteReference w:id="720"/>
      </w:r>
      <w:r>
        <w:t xml:space="preserve">: overgewicht met diabetes type 2.</w:t>
      </w:r>
    </w:p>
    <w:p>
      <w:pPr>
        <w:numPr>
          <w:ilvl w:val="0"/>
          <w:numId w:val="1089"/>
        </w:numPr>
        <w:pStyle w:val="Compact"/>
      </w:pPr>
      <w:r>
        <w:rPr>
          <w:bCs/>
          <w:b/>
        </w:rPr>
        <w:t xml:space="preserve">AMAZE 3 en 4</w:t>
      </w:r>
      <w:r>
        <w:rPr>
          <w:rStyle w:val="FootnoteReference"/>
        </w:rPr>
        <w:footnoteReference w:id="721"/>
      </w:r>
      <w:r>
        <w:t xml:space="preserve">: slaapapneu zonder resp. met beademingsmaskertherapie.</w:t>
      </w:r>
    </w:p>
    <w:p>
      <w:pPr>
        <w:numPr>
          <w:ilvl w:val="0"/>
          <w:numId w:val="1089"/>
        </w:numPr>
        <w:pStyle w:val="Compact"/>
      </w:pPr>
      <w:r>
        <w:rPr>
          <w:bCs/>
          <w:b/>
        </w:rPr>
        <w:t xml:space="preserve">AMAZE 6</w:t>
      </w:r>
      <w:r>
        <w:rPr>
          <w:rStyle w:val="FootnoteReference"/>
        </w:rPr>
        <w:footnoteReference w:id="722"/>
      </w:r>
      <w:r>
        <w:t xml:space="preserve"> </w:t>
      </w:r>
      <w:r>
        <w:t xml:space="preserve">en een andere studie</w:t>
      </w:r>
      <w:r>
        <w:rPr>
          <w:rStyle w:val="FootnoteReference"/>
        </w:rPr>
        <w:footnoteReference w:id="723"/>
      </w:r>
      <w:r>
        <w:t xml:space="preserve">: knieartrose.</w:t>
      </w:r>
    </w:p>
    <w:p>
      <w:pPr>
        <w:numPr>
          <w:ilvl w:val="0"/>
          <w:numId w:val="1089"/>
        </w:numPr>
        <w:pStyle w:val="Compact"/>
      </w:pPr>
      <w:r>
        <w:rPr>
          <w:bCs/>
          <w:b/>
        </w:rPr>
        <w:t xml:space="preserve">AMAZE 9</w:t>
      </w:r>
      <w:r>
        <w:rPr>
          <w:rStyle w:val="FootnoteReference"/>
        </w:rPr>
        <w:footnoteReference w:id="724"/>
      </w:r>
      <w:r>
        <w:t xml:space="preserve">: tabletvorm bij overgewicht.</w:t>
      </w:r>
    </w:p>
    <w:p>
      <w:pPr>
        <w:numPr>
          <w:ilvl w:val="0"/>
          <w:numId w:val="1089"/>
        </w:numPr>
        <w:pStyle w:val="Compact"/>
      </w:pPr>
      <w:r>
        <w:rPr>
          <w:bCs/>
          <w:b/>
        </w:rPr>
        <w:t xml:space="preserve">AMAZE 12</w:t>
      </w:r>
      <w:r>
        <w:rPr>
          <w:rStyle w:val="FootnoteReference"/>
        </w:rPr>
        <w:footnoteReference w:id="725"/>
      </w:r>
      <w:r>
        <w:t xml:space="preserve">: gewichtsbehoud na afvallen.</w:t>
      </w:r>
    </w:p>
    <w:p>
      <w:pPr>
        <w:numPr>
          <w:ilvl w:val="0"/>
          <w:numId w:val="1089"/>
        </w:numPr>
        <w:pStyle w:val="Compact"/>
      </w:pPr>
      <w:r>
        <w:t xml:space="preserve">Vergelijking met semaglutide (NCT07668414; bij diabetes type 2 NCT07400107) en met insuline glargine bij diabetes type 2 (NCT07797335, AMBITION 7).</w:t>
      </w:r>
    </w:p>
    <w:p>
      <w:pPr>
        <w:numPr>
          <w:ilvl w:val="0"/>
          <w:numId w:val="1089"/>
        </w:numPr>
        <w:pStyle w:val="Compact"/>
      </w:pPr>
      <w:r>
        <w:t xml:space="preserve">Eindpuntstudies: hartfalen met obesitas (NCT07567001, 5.610 deelnemers) en hart- en vaatincidenten bij atherosclerose (NCT07861100, 8.500 deelnemers gepland).</w:t>
      </w:r>
    </w:p>
    <w:p>
      <w:pPr>
        <w:pStyle w:val="FirstParagraph"/>
      </w:pPr>
      <w:r>
        <w:rPr>
          <w:bCs/>
          <w:b/>
        </w:rPr>
        <w:t xml:space="preserve">Inschatting:</w:t>
      </w:r>
      <w:r>
        <w:t xml:space="preserve"> </w:t>
      </w:r>
      <w:r>
        <w:t xml:space="preserve">Novo Nordisk zet met dit brede fase 3-programma zichtbaar in op amycretine/zenagamtide als opvolger van semaglutide. Resultaten van de eerste fase 3-studies zijn op zijn vroegst in 2027 te verwachten, een registratie nauwelijks vóór 2028. Of de indrukwekkende cijfers van de kleine fase 1b/2a-studie in grote studies standhouden, is open.</w:t>
      </w:r>
    </w:p>
    <w:bookmarkEnd w:id="726"/>
    <w:bookmarkStart w:id="727" w:name="conclusie-9"/>
    <w:p>
      <w:pPr>
        <w:pStyle w:val="Heading3"/>
      </w:pPr>
      <w:r>
        <w:t xml:space="preserve">Conclusie</w:t>
      </w:r>
    </w:p>
    <w:p>
      <w:pPr>
        <w:pStyle w:val="FirstParagraph"/>
      </w:pPr>
      <w:r>
        <w:t xml:space="preserve">Amycretine – sinds 2026 zenagamtide – is één enkel peptide dat GLP-1- en amylinereceptoren tegelijk activeert, en wordt als injectie en als tablet ontwikkeld. In een kleine fase 1b/2a-studie daalde het gewicht na 36 weken met tot 24,3%; in fase 2-studies bij diabetes type 2 daalde de HbA1c-waarde met tot 1,7 procentpunt. De meest voorkomende bijwerkingen betreffen het maag-darmkanaal. De fase 3-studies zijn in 2026 begonnen; tot een eventuele registratie is zenagamtide uitsluitend een onderzoeksmiddel, en waar van de grijze markt is geen vervanging.</w:t>
      </w:r>
    </w:p>
    <w:bookmarkEnd w:id="727"/>
    <w:bookmarkEnd w:id="728"/>
    <w:bookmarkStart w:id="760" w:name="maridebart-cafraglutide-maritide"/>
    <w:p>
      <w:pPr>
        <w:pStyle w:val="Heading2"/>
      </w:pPr>
      <w:r>
        <w:t xml:space="preserve">Maridebart cafraglutide (MariTide)</w:t>
      </w:r>
    </w:p>
    <w:bookmarkStart w:id="729" w:name="profiel-10"/>
    <w:p>
      <w:pPr>
        <w:pStyle w:val="Heading3"/>
      </w:pPr>
      <w:r>
        <w:t xml:space="preserve">Profiel</w:t>
      </w:r>
    </w:p>
    <w:p>
      <w:pPr>
        <w:numPr>
          <w:ilvl w:val="0"/>
          <w:numId w:val="1090"/>
        </w:numPr>
        <w:pStyle w:val="Compact"/>
      </w:pPr>
      <w:r>
        <w:rPr>
          <w:bCs/>
          <w:b/>
        </w:rPr>
        <w:t xml:space="preserve">Soort/structuur:</w:t>
      </w:r>
      <w:r>
        <w:t xml:space="preserve"> </w:t>
      </w:r>
      <w:r>
        <w:t xml:space="preserve">een zogeheten antilichaam-peptideconjugaat. Een volledig humaan monoklonaal antilichaam is via korte aminozuurverbindingsstukken gekoppeld aan twee GLP-1-achtige peptiden. Strikt genomen is MariTide dus geen zuiver peptide, maar een hybride van antilichaam en peptide. Ontwikkelingscode AMG 133, korte naam MariTide.</w:t>
      </w:r>
    </w:p>
    <w:p>
      <w:pPr>
        <w:numPr>
          <w:ilvl w:val="0"/>
          <w:numId w:val="1090"/>
        </w:numPr>
        <w:pStyle w:val="Compact"/>
      </w:pPr>
      <w:r>
        <w:rPr>
          <w:bCs/>
          <w:b/>
        </w:rPr>
        <w:t xml:space="preserve">Herkomst:</w:t>
      </w:r>
      <w:r>
        <w:t xml:space="preserve"> </w:t>
      </w:r>
      <w:r>
        <w:t xml:space="preserve">ontwikkeld door Amgen.</w:t>
      </w:r>
    </w:p>
    <w:p>
      <w:pPr>
        <w:numPr>
          <w:ilvl w:val="0"/>
          <w:numId w:val="1090"/>
        </w:numPr>
        <w:pStyle w:val="Compact"/>
      </w:pPr>
      <w:r>
        <w:rPr>
          <w:bCs/>
          <w:b/>
        </w:rPr>
        <w:t xml:space="preserve">Werkingsprincipe:</w:t>
      </w:r>
      <w:r>
        <w:t xml:space="preserve"> </w:t>
      </w:r>
      <w:r>
        <w:t xml:space="preserve">het GLP-1-aandeel</w:t>
      </w:r>
      <w:r>
        <w:t xml:space="preserve"> </w:t>
      </w:r>
      <w:r>
        <w:rPr>
          <w:bCs/>
          <w:b/>
        </w:rPr>
        <w:t xml:space="preserve">activeert</w:t>
      </w:r>
      <w:r>
        <w:t xml:space="preserve"> </w:t>
      </w:r>
      <w:r>
        <w:t xml:space="preserve">de GLP-1-receptor, het antilichaam</w:t>
      </w:r>
      <w:r>
        <w:t xml:space="preserve"> </w:t>
      </w:r>
      <w:r>
        <w:rPr>
          <w:bCs/>
          <w:b/>
        </w:rPr>
        <w:t xml:space="preserve">blokkeert</w:t>
      </w:r>
      <w:r>
        <w:t xml:space="preserve"> </w:t>
      </w:r>
      <w:r>
        <w:t xml:space="preserve">de GIP-receptor (GIPR-antagonist). Dat is het tegenovergestelde van tirzepatide, dat de GIP-receptor activeert.</w:t>
      </w:r>
    </w:p>
    <w:p>
      <w:pPr>
        <w:numPr>
          <w:ilvl w:val="0"/>
          <w:numId w:val="1090"/>
        </w:numPr>
        <w:pStyle w:val="Compact"/>
      </w:pPr>
      <w:r>
        <w:rPr>
          <w:bCs/>
          <w:b/>
        </w:rPr>
        <w:t xml:space="preserve">Bijzonderheid:</w:t>
      </w:r>
      <w:r>
        <w:t xml:space="preserve"> </w:t>
      </w:r>
      <w:r>
        <w:t xml:space="preserve">door het antilichaamaandeel werkt MariTide zeer lang; onderzocht wordt toediening eens per vier weken of minder vaak.</w:t>
      </w:r>
    </w:p>
    <w:p>
      <w:pPr>
        <w:numPr>
          <w:ilvl w:val="0"/>
          <w:numId w:val="1090"/>
        </w:numPr>
        <w:pStyle w:val="Compact"/>
      </w:pPr>
      <w:r>
        <w:rPr>
          <w:bCs/>
          <w:b/>
        </w:rPr>
        <w:t xml:space="preserve">Registratie EU / VS:</w:t>
      </w:r>
      <w:r>
        <w:t xml:space="preserve"> </w:t>
      </w:r>
      <w:r>
        <w:t xml:space="preserve">nee (stand oktober 2026).</w:t>
      </w:r>
    </w:p>
    <w:p>
      <w:pPr>
        <w:numPr>
          <w:ilvl w:val="0"/>
          <w:numId w:val="1090"/>
        </w:numPr>
        <w:pStyle w:val="Compact"/>
      </w:pPr>
      <w:r>
        <w:rPr>
          <w:bCs/>
          <w:b/>
        </w:rPr>
        <w:t xml:space="preserve">WADA:</w:t>
      </w:r>
      <w:r>
        <w:t xml:space="preserve"> </w:t>
      </w:r>
      <w:r>
        <w:t xml:space="preserve">als niet-geregistreerde stof verboden onder S0.</w:t>
      </w:r>
    </w:p>
    <w:p>
      <w:pPr>
        <w:numPr>
          <w:ilvl w:val="0"/>
          <w:numId w:val="1090"/>
        </w:numPr>
        <w:pStyle w:val="Compact"/>
      </w:pPr>
      <w:r>
        <w:rPr>
          <w:bCs/>
          <w:b/>
        </w:rPr>
        <w:t xml:space="preserve">Bewijsniveau:</w:t>
      </w:r>
      <w:r>
        <w:t xml:space="preserve"> </w:t>
      </w:r>
      <w:r>
        <w:rPr>
          <w:bCs/>
          <w:b/>
        </w:rPr>
        <w:t xml:space="preserve">B</w:t>
      </w:r>
      <w:r>
        <w:t xml:space="preserve"> </w:t>
      </w:r>
      <w:r>
        <w:t xml:space="preserve">– één grote gerandomiseerde fase 2-studie, fase 3 loopt.</w:t>
      </w:r>
    </w:p>
    <w:bookmarkEnd w:id="729"/>
    <w:bookmarkStart w:id="733" w:name="hoe-het-zou-moeten-werken-10"/>
    <w:p>
      <w:pPr>
        <w:pStyle w:val="Heading3"/>
      </w:pPr>
      <w:r>
        <w:t xml:space="preserve">Hoe het zou moeten werken</w:t>
      </w:r>
    </w:p>
    <w:p>
      <w:pPr>
        <w:pStyle w:val="FirstParagraph"/>
      </w:pPr>
      <w:r>
        <w:t xml:space="preserve">Bij GIP bestaat een opmerkelijke paradox. Tirzepatide</w:t>
      </w:r>
      <w:r>
        <w:t xml:space="preserve"> </w:t>
      </w:r>
      <w:r>
        <w:rPr>
          <w:iCs/>
          <w:i/>
        </w:rPr>
        <w:t xml:space="preserve">activeert</w:t>
      </w:r>
      <w:r>
        <w:t xml:space="preserve"> </w:t>
      </w:r>
      <w:r>
        <w:t xml:space="preserve">de GIP-receptor en bereikt daarmee samen met GLP-1 een sterk gewichtsverlies. Tegelijk lieten genetische studies en muizenexperimenten zien dat ook het</w:t>
      </w:r>
      <w:r>
        <w:t xml:space="preserve"> </w:t>
      </w:r>
      <w:r>
        <w:rPr>
          <w:iCs/>
          <w:i/>
        </w:rPr>
        <w:t xml:space="preserve">blokkeren</w:t>
      </w:r>
      <w:r>
        <w:t xml:space="preserve"> </w:t>
      </w:r>
      <w:r>
        <w:t xml:space="preserve">van de GIP-receptor tegen overgewicht kan beschermen. Een mogelijke verklaring: een voortdurende activering van de receptor leidt ertoe dat de cel hem uitschakelt – uiteindelijk lijkt dat dan op een blokkade. Definitief opgehelderd is dat niet; een vergelijkende studie bij muizen vond dat beide benaderingen bij overgewicht voedselinname en gewicht verlaagden, maar verschilden in hun metabole effecten: de GIP-agonist verbeterde de glucosetolerantie, de antagonist verminderde eerder de insulinegevoeligheid</w:t>
      </w:r>
      <w:r>
        <w:rPr>
          <w:rStyle w:val="FootnoteReference"/>
        </w:rPr>
        <w:footnoteReference w:id="730"/>
      </w:r>
      <w:r>
        <w:t xml:space="preserve">.</w:t>
      </w:r>
    </w:p>
    <w:p>
      <w:pPr>
        <w:pStyle w:val="BodyText"/>
      </w:pPr>
      <w:r>
        <w:t xml:space="preserve">Amgen zet in op de blokkade. Het antilichaam tegen de GIP-receptor zorgt er tegelijk voor dat het molecuul zeer lang in het bloed blijft – antilichamen worden langzaam afgebroken. Bij muizen en apen met overgewicht verlaagde AMG 133 het lichaamsgewicht en verbeterde het de stofwisselingswaarden</w:t>
      </w:r>
      <w:r>
        <w:rPr>
          <w:rStyle w:val="FootnoteReference"/>
        </w:rPr>
        <w:footnoteReference w:id="731"/>
      </w:r>
      <w:r>
        <w:t xml:space="preserve">. De chemische ontwikkeling tot het uiteindelijke molecuul is in 2026 beschreven</w:t>
      </w:r>
      <w:r>
        <w:rPr>
          <w:rStyle w:val="FootnoteReference"/>
        </w:rPr>
        <w:footnoteReference w:id="732"/>
      </w:r>
      <w:r>
        <w:t xml:space="preserve">.</w:t>
      </w:r>
    </w:p>
    <w:bookmarkEnd w:id="733"/>
    <w:bookmarkStart w:id="738" w:name="studies-bij-mensen-1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 studies bij mensen op: een fase 1- en een fase 2-studie. Op ClinicalTrials.gov waren 28 studies geregistreerd, waaronder het fase 3-programma</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(Véniant 2024), PMID 38316982</w:t>
            </w:r>
          </w:p>
        </w:tc>
        <w:tc>
          <w:tcPr/>
          <w:p>
            <w:pPr>
              <w:pStyle w:val="Compact"/>
              <w:jc w:val="left"/>
            </w:pPr>
            <w:r>
              <w:t xml:space="preserve">volwassenen met obesitas, enkelvoudige en herhaalde doses tegen placebo</w:t>
            </w:r>
          </w:p>
        </w:tc>
        <w:tc>
          <w:tcPr/>
          <w:p>
            <w:pPr>
              <w:pStyle w:val="Compact"/>
              <w:jc w:val="left"/>
            </w:pPr>
            <w:r>
              <w:t xml:space="preserve">enkelvoudige en herhaalde toediening met follow-up</w:t>
            </w:r>
          </w:p>
        </w:tc>
        <w:tc>
          <w:tcPr/>
          <w:p>
            <w:pPr>
              <w:pStyle w:val="Compact"/>
              <w:jc w:val="left"/>
            </w:pPr>
            <w:r>
              <w:t xml:space="preserve">dosisafhankelijk gewichtsverlies, aanhoudend tot 150 dagen na de laatste dosis</w:t>
            </w:r>
          </w:p>
        </w:tc>
      </w:tr>
      <w:tr>
        <w:tc>
          <w:tcPr/>
          <w:p>
            <w:pPr>
              <w:pStyle w:val="Compact"/>
              <w:jc w:val="left"/>
            </w:pPr>
            <w:r>
              <w:t xml:space="preserve">Fase 2 (Jastreboff 2025), PMID 40549887</w:t>
            </w:r>
          </w:p>
        </w:tc>
        <w:tc>
          <w:tcPr/>
          <w:p>
            <w:pPr>
              <w:pStyle w:val="Compact"/>
              <w:jc w:val="left"/>
            </w:pPr>
            <w:r>
              <w:t xml:space="preserve">592 volwassenen met obesitas, met of zonder diabetes type 2; tegen placebo</w:t>
            </w:r>
          </w:p>
        </w:tc>
        <w:tc>
          <w:tcPr/>
          <w:p>
            <w:pPr>
              <w:pStyle w:val="Compact"/>
              <w:jc w:val="left"/>
            </w:pPr>
            <w:r>
              <w:t xml:space="preserve">52 weken</w:t>
            </w:r>
          </w:p>
        </w:tc>
        <w:tc>
          <w:tcPr/>
          <w:p>
            <w:pPr>
              <w:pStyle w:val="Compact"/>
              <w:jc w:val="left"/>
            </w:pPr>
            <w:r>
              <w:t xml:space="preserve">zonder diabetes −12,3 tot −16,2% vs. −2,5%; met diabetes −8,4 tot −12,3% vs. −1,7%</w:t>
            </w:r>
          </w:p>
        </w:tc>
      </w:tr>
    </w:tbl>
    <w:bookmarkStart w:id="735" w:name="fase-1"/>
    <w:p>
      <w:pPr>
        <w:pStyle w:val="Heading4"/>
      </w:pPr>
      <w:r>
        <w:t xml:space="preserve">Fase 1</w:t>
      </w:r>
    </w:p>
    <w:p>
      <w:pPr>
        <w:pStyle w:val="FirstParagraph"/>
      </w:pPr>
      <w:r>
        <w:t xml:space="preserve">In de eerste studie bij mensen</w:t>
      </w:r>
      <w:r>
        <w:rPr>
          <w:rStyle w:val="FootnoteReference"/>
        </w:rPr>
        <w:footnoteReference w:id="734"/>
      </w:r>
      <w:r>
        <w:t xml:space="preserve"> </w:t>
      </w:r>
      <w:r>
        <w:t xml:space="preserve">liet AMG 133 een dosisafhankelijk gewichtsverlies zien bij een aanvaardbare verdraagbaarheid. Opvallend was de lange werkingsduur: in de groepen met herhaalde toediening hield het gewichtsverlies tot 150 dagen na de laatste dosis aan.</w:t>
      </w:r>
    </w:p>
    <w:bookmarkEnd w:id="735"/>
    <w:bookmarkStart w:id="737" w:name="fase-2"/>
    <w:p>
      <w:pPr>
        <w:pStyle w:val="Heading4"/>
      </w:pPr>
      <w:r>
        <w:t xml:space="preserve">Fase 2</w:t>
      </w:r>
    </w:p>
    <w:p>
      <w:pPr>
        <w:pStyle w:val="FirstParagraph"/>
      </w:pPr>
      <w:r>
        <w:t xml:space="preserve">De fase 2-studie</w:t>
      </w:r>
      <w:r>
        <w:rPr>
          <w:rStyle w:val="FootnoteReference"/>
        </w:rPr>
        <w:footnoteReference w:id="736"/>
      </w:r>
      <w:r>
        <w:t xml:space="preserve"> </w:t>
      </w:r>
      <w:r>
        <w:t xml:space="preserve">was breed opgezet: elf groepen in twee cohorten met verschillende doses, doseringsintervallen (eens per vier of acht weken) en met of zonder langzame dosisopbouw.</w:t>
      </w:r>
    </w:p>
    <w:p>
      <w:pPr>
        <w:numPr>
          <w:ilvl w:val="0"/>
          <w:numId w:val="1091"/>
        </w:numPr>
        <w:pStyle w:val="Compact"/>
      </w:pPr>
      <w:r>
        <w:rPr>
          <w:bCs/>
          <w:b/>
        </w:rPr>
        <w:t xml:space="preserve">Zonder diabetes</w:t>
      </w:r>
      <w:r>
        <w:t xml:space="preserve"> </w:t>
      </w:r>
      <w:r>
        <w:t xml:space="preserve">(465 deelnemers, gemiddelde BMI 37,9): na 52 weken bedroeg het gewichtsverlies afhankelijk van de groep 12,3 tot 16,2%, bij placebo 2,5%. Deze analyse omvat alle deelnemers, ongeacht het stoppen met de behandeling.</w:t>
      </w:r>
    </w:p>
    <w:p>
      <w:pPr>
        <w:numPr>
          <w:ilvl w:val="0"/>
          <w:numId w:val="1091"/>
        </w:numPr>
        <w:pStyle w:val="Compact"/>
      </w:pPr>
      <w:r>
        <w:rPr>
          <w:bCs/>
          <w:b/>
        </w:rPr>
        <w:t xml:space="preserve">Met diabetes type 2</w:t>
      </w:r>
      <w:r>
        <w:t xml:space="preserve"> </w:t>
      </w:r>
      <w:r>
        <w:t xml:space="preserve">(127 deelnemers): gewichtsverlies 8,4 tot 12,3% tegenover 1,7%; de HbA1c-waarde daalde met 1,2 tot 1,6 procentpunt (placebo +0,1).</w:t>
      </w:r>
    </w:p>
    <w:p>
      <w:pPr>
        <w:pStyle w:val="FirstParagraph"/>
      </w:pPr>
      <w:r>
        <w:t xml:space="preserve">Maag-darmbijwerkingen kwamen vaak voor, maar minder vaak wanneer met een lagere dosis werd begonnen en langzaam werd opgehoogd. Onverwachte veiligheidssignalen deden zich volgens de auteurs niet voor. Een gewichtsverlies van ongeveer 16% na een jaar ligt in het bereik van semaglutide, maar onder dat van tirzepatide. Het mogelijke voordeel van MariTide is daarom minder de omvang van het afvallen dan de zeldzame toediening.</w:t>
      </w:r>
    </w:p>
    <w:bookmarkEnd w:id="737"/>
    <w:bookmarkEnd w:id="738"/>
    <w:bookmarkStart w:id="741" w:name="dier--en-laboratoriumstudies-10"/>
    <w:p>
      <w:pPr>
        <w:pStyle w:val="Heading3"/>
      </w:pPr>
      <w:r>
        <w:t xml:space="preserve">Dier- en laboratoriumstudies</w:t>
      </w:r>
    </w:p>
    <w:p>
      <w:pPr>
        <w:pStyle w:val="FirstParagraph"/>
      </w:pPr>
      <w:r>
        <w:t xml:space="preserve">In celsystemen werd bevestigd dat AMG 133 de GIP-receptor blokkeert en de GLP-1-receptor activeert. Bij muizen en Javaanse apen met overgewicht verlaagde het het lichaamsgewicht en verbeterde het stofwisselingsmarkers</w:t>
      </w:r>
      <w:r>
        <w:rPr>
          <w:rStyle w:val="FootnoteReference"/>
        </w:rPr>
        <w:footnoteReference w:id="739"/>
      </w:r>
      <w:r>
        <w:t xml:space="preserve">. Vergelijkende muizenstudies naar GIP-blokkade tegenover GIP-activering laten verschillende effecten zien op insulinegevoeligheid en vetweefsel</w:t>
      </w:r>
      <w:r>
        <w:rPr>
          <w:rStyle w:val="FootnoteReference"/>
        </w:rPr>
        <w:footnoteReference w:id="740"/>
      </w:r>
      <w:r>
        <w:t xml:space="preserve">. Al deze bevindingen komen uit dierproeven.</w:t>
      </w:r>
    </w:p>
    <w:bookmarkEnd w:id="741"/>
    <w:bookmarkStart w:id="745" w:name="risicos-en-bijwerkingen-10"/>
    <w:p>
      <w:pPr>
        <w:pStyle w:val="Heading3"/>
      </w:pPr>
      <w:r>
        <w:t xml:space="preserve">Risico’s en bijwerkingen</w:t>
      </w:r>
    </w:p>
    <w:p>
      <w:pPr>
        <w:pStyle w:val="FirstParagraph"/>
      </w:pPr>
      <w:r>
        <w:rPr>
          <w:bCs/>
          <w:b/>
        </w:rPr>
        <w:t xml:space="preserve">Aangetoond in studies:</w:t>
      </w:r>
    </w:p>
    <w:p>
      <w:pPr>
        <w:numPr>
          <w:ilvl w:val="0"/>
          <w:numId w:val="1092"/>
        </w:numPr>
        <w:pStyle w:val="Compact"/>
      </w:pPr>
      <w:r>
        <w:rPr>
          <w:bCs/>
          <w:b/>
        </w:rPr>
        <w:t xml:space="preserve">Maag-darmklachten</w:t>
      </w:r>
      <w:r>
        <w:t xml:space="preserve"> </w:t>
      </w:r>
      <w:r>
        <w:t xml:space="preserve">(misselijkheid, braken) kwamen in de fase 2-studie vaak voor, vooral bij een hoge startdosis zonder dosisopbouw</w:t>
      </w:r>
      <w:r>
        <w:rPr>
          <w:rStyle w:val="FootnoteReference"/>
        </w:rPr>
        <w:footnoteReference w:id="742"/>
      </w:r>
      <w:r>
        <w:t xml:space="preserve">. Precieze percentages staan niet in de samenvatting.</w:t>
      </w:r>
    </w:p>
    <w:p>
      <w:pPr>
        <w:pStyle w:val="FirstParagraph"/>
      </w:pPr>
      <w:r>
        <w:rPr>
          <w:bCs/>
          <w:b/>
        </w:rPr>
        <w:t xml:space="preserve">Specifieke open vragen:</w:t>
      </w:r>
    </w:p>
    <w:p>
      <w:pPr>
        <w:numPr>
          <w:ilvl w:val="0"/>
          <w:numId w:val="1093"/>
        </w:numPr>
        <w:pStyle w:val="Compact"/>
      </w:pPr>
      <w:r>
        <w:rPr>
          <w:bCs/>
          <w:b/>
        </w:rPr>
        <w:t xml:space="preserve">Lange werkingsduur:</w:t>
      </w:r>
      <w:r>
        <w:t xml:space="preserve"> </w:t>
      </w:r>
      <w:r>
        <w:t xml:space="preserve">wat voor veel patiënten als voordeel geldt, is bij bijwerkingen een nadeel: een geneesmiddel dat maandenlang in het lichaam blijft, kan niet snel worden gestopt. In de fase 1-studie hield de werking tot 150 dagen na de laatste dosis aan</w:t>
      </w:r>
      <w:r>
        <w:rPr>
          <w:rStyle w:val="FootnoteReference"/>
        </w:rPr>
        <w:footnoteReference w:id="743"/>
      </w:r>
      <w:r>
        <w:t xml:space="preserve">. Dat is bijvoorbeeld relevant bij een ongeplande zwangerschap of vóór operaties.</w:t>
      </w:r>
    </w:p>
    <w:p>
      <w:pPr>
        <w:numPr>
          <w:ilvl w:val="0"/>
          <w:numId w:val="1093"/>
        </w:numPr>
        <w:pStyle w:val="Compact"/>
      </w:pPr>
      <w:r>
        <w:rPr>
          <w:bCs/>
          <w:b/>
        </w:rPr>
        <w:t xml:space="preserve">GIP-blokkade:</w:t>
      </w:r>
      <w:r>
        <w:t xml:space="preserve"> </w:t>
      </w:r>
      <w:r>
        <w:t xml:space="preserve">welke langetermijngevolgen een blijvende blokkade van de GIP-receptor heeft – bijvoorbeeld op botten, vetweefsel of insulinegevoeligheid –, is bij de mens onbekend. In muizenstudies verminderde een GIP-antagonist de insulinegevoeligheid in vergelijking met controledieren met dezelfde hoeveelheid voer</w:t>
      </w:r>
      <w:r>
        <w:rPr>
          <w:rStyle w:val="FootnoteReference"/>
        </w:rPr>
        <w:footnoteReference w:id="744"/>
      </w:r>
      <w:r>
        <w:t xml:space="preserve">.</w:t>
      </w:r>
    </w:p>
    <w:p>
      <w:pPr>
        <w:numPr>
          <w:ilvl w:val="0"/>
          <w:numId w:val="1093"/>
        </w:numPr>
        <w:pStyle w:val="Compact"/>
      </w:pPr>
      <w:r>
        <w:rPr>
          <w:bCs/>
          <w:b/>
        </w:rPr>
        <w:t xml:space="preserve">Antilichaamvorming:</w:t>
      </w:r>
      <w:r>
        <w:t xml:space="preserve"> </w:t>
      </w:r>
      <w:r>
        <w:t xml:space="preserve">bij op antilichamen gebaseerde geneesmiddelen kan het immuunsysteem antilichamen tegen het geneesmiddel vormen. Gegevens daarover uit grote studies ontbreken nog.</w:t>
      </w:r>
    </w:p>
    <w:p>
      <w:pPr>
        <w:numPr>
          <w:ilvl w:val="0"/>
          <w:numId w:val="1093"/>
        </w:numPr>
        <w:pStyle w:val="Compact"/>
      </w:pPr>
      <w:r>
        <w:t xml:space="preserve">De bekende klasserisico’s van de GLP-1-middelen (galblaas, alvleesklier) zijn voor MariTide nog onvoldoende onderzocht.</w:t>
      </w:r>
    </w:p>
    <w:bookmarkEnd w:id="745"/>
    <w:bookmarkStart w:id="746" w:name="juridische-status-10"/>
    <w:p>
      <w:pPr>
        <w:pStyle w:val="Heading3"/>
      </w:pPr>
      <w:r>
        <w:t xml:space="preserve">Juridische status</w:t>
      </w:r>
    </w:p>
    <w:p>
      <w:pPr>
        <w:numPr>
          <w:ilvl w:val="0"/>
          <w:numId w:val="1094"/>
        </w:numPr>
        <w:pStyle w:val="Compact"/>
      </w:pPr>
      <w:r>
        <w:rPr>
          <w:bCs/>
          <w:b/>
        </w:rPr>
        <w:t xml:space="preserve">EU / Oostenrijk / Duitsland:</w:t>
      </w:r>
      <w:r>
        <w:t xml:space="preserve"> </w:t>
      </w:r>
      <w:r>
        <w:t xml:space="preserve">niet geregistreerd; toepassing alleen in klinische studies. Omdat het om een complex biotechnologisch product gaat, is namaak op de grijze markt veel moeilijker dan bij kleine peptiden.</w:t>
      </w:r>
    </w:p>
    <w:p>
      <w:pPr>
        <w:numPr>
          <w:ilvl w:val="0"/>
          <w:numId w:val="1094"/>
        </w:numPr>
        <w:pStyle w:val="Compact"/>
      </w:pPr>
      <w:r>
        <w:rPr>
          <w:bCs/>
          <w:b/>
        </w:rPr>
        <w:t xml:space="preserve">VS:</w:t>
      </w:r>
      <w:r>
        <w:t xml:space="preserve"> </w:t>
      </w:r>
      <w:r>
        <w:t xml:space="preserve">niet geregistreerd.</w:t>
      </w:r>
    </w:p>
    <w:p>
      <w:pPr>
        <w:numPr>
          <w:ilvl w:val="0"/>
          <w:numId w:val="1094"/>
        </w:numPr>
        <w:pStyle w:val="Compact"/>
      </w:pPr>
      <w:r>
        <w:rPr>
          <w:bCs/>
          <w:b/>
        </w:rPr>
        <w:t xml:space="preserve">Sport:</w:t>
      </w:r>
      <w:r>
        <w:t xml:space="preserve"> </w:t>
      </w:r>
      <w:r>
        <w:t xml:space="preserve">WADA-klasse S0 (niet-goedgekeurde stof), stand 2026, actuele situatie controleren.</w:t>
      </w:r>
    </w:p>
    <w:bookmarkEnd w:id="746"/>
    <w:bookmarkStart w:id="758" w:name="lopende-studies-en-vooruitzichten-10"/>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95"/>
        </w:numPr>
        <w:pStyle w:val="Compact"/>
      </w:pPr>
      <w:r>
        <w:rPr>
          <w:bCs/>
          <w:b/>
        </w:rPr>
        <w:t xml:space="preserve">Gewichtsbeheersing zonder diabetes</w:t>
      </w:r>
      <w:r>
        <w:rPr>
          <w:rStyle w:val="FootnoteReference"/>
        </w:rPr>
        <w:footnoteReference w:id="747"/>
      </w:r>
      <w:r>
        <w:t xml:space="preserve">: fase 3 met 3.853 deelnemers, gepland einde 2027.</w:t>
      </w:r>
    </w:p>
    <w:p>
      <w:pPr>
        <w:numPr>
          <w:ilvl w:val="0"/>
          <w:numId w:val="1095"/>
        </w:numPr>
        <w:pStyle w:val="Compact"/>
      </w:pPr>
      <w:r>
        <w:rPr>
          <w:bCs/>
          <w:b/>
        </w:rPr>
        <w:t xml:space="preserve">Gewichtsbeheersing met diabetes type 2</w:t>
      </w:r>
      <w:r>
        <w:rPr>
          <w:rStyle w:val="FootnoteReference"/>
        </w:rPr>
        <w:footnoteReference w:id="748"/>
      </w:r>
      <w:r>
        <w:t xml:space="preserve">: fase 3 met 1.105 deelnemers.</w:t>
      </w:r>
    </w:p>
    <w:p>
      <w:pPr>
        <w:numPr>
          <w:ilvl w:val="0"/>
          <w:numId w:val="1095"/>
        </w:numPr>
        <w:pStyle w:val="Compact"/>
      </w:pPr>
      <w:r>
        <w:rPr>
          <w:bCs/>
          <w:b/>
        </w:rPr>
        <w:t xml:space="preserve">Cardiovasculaire eindpuntstudie</w:t>
      </w:r>
      <w:r>
        <w:rPr>
          <w:rStyle w:val="FootnoteReference"/>
        </w:rPr>
        <w:footnoteReference w:id="749"/>
      </w:r>
      <w:r>
        <w:t xml:space="preserve"> </w:t>
      </w:r>
      <w:r>
        <w:t xml:space="preserve">met 12.800 deelnemers en</w:t>
      </w:r>
      <w:r>
        <w:t xml:space="preserve"> </w:t>
      </w:r>
      <w:r>
        <w:rPr>
          <w:bCs/>
          <w:b/>
        </w:rPr>
        <w:t xml:space="preserve">hartfalenstudie</w:t>
      </w:r>
      <w:r>
        <w:rPr>
          <w:rStyle w:val="FootnoteReference"/>
        </w:rPr>
        <w:footnoteReference w:id="750"/>
      </w:r>
      <w:r>
        <w:t xml:space="preserve"> </w:t>
      </w:r>
      <w:r>
        <w:t xml:space="preserve">met 5.056 deelnemers, beide tot 2030.</w:t>
      </w:r>
    </w:p>
    <w:p>
      <w:pPr>
        <w:numPr>
          <w:ilvl w:val="0"/>
          <w:numId w:val="1095"/>
        </w:numPr>
        <w:pStyle w:val="Compact"/>
      </w:pPr>
      <w:r>
        <w:rPr>
          <w:bCs/>
          <w:b/>
        </w:rPr>
        <w:t xml:space="preserve">Slaapapneu</w:t>
      </w:r>
      <w:r>
        <w:t xml:space="preserve"> </w:t>
      </w:r>
      <w:r>
        <w:t xml:space="preserve">zonder en met beademingsmasker</w:t>
      </w:r>
      <w:r>
        <w:rPr>
          <w:rStyle w:val="FootnoteReference"/>
        </w:rPr>
        <w:footnoteReference w:id="751"/>
      </w:r>
      <w:r>
        <w:t xml:space="preserve">.</w:t>
      </w:r>
    </w:p>
    <w:p>
      <w:pPr>
        <w:numPr>
          <w:ilvl w:val="0"/>
          <w:numId w:val="1095"/>
        </w:numPr>
        <w:pStyle w:val="Compact"/>
      </w:pPr>
      <w:r>
        <w:rPr>
          <w:bCs/>
          <w:b/>
        </w:rPr>
        <w:t xml:space="preserve">Vergelijking met semaglutide</w:t>
      </w:r>
      <w:r>
        <w:t xml:space="preserve"> </w:t>
      </w:r>
      <w:r>
        <w:t xml:space="preserve">bij diabetes type 2</w:t>
      </w:r>
      <w:r>
        <w:rPr>
          <w:rStyle w:val="FootnoteReference"/>
        </w:rPr>
        <w:footnoteReference w:id="752"/>
      </w:r>
      <w:r>
        <w:t xml:space="preserve">, overstappen van andere GLP-1-middelen</w:t>
      </w:r>
      <w:r>
        <w:rPr>
          <w:rStyle w:val="FootnoteReference"/>
        </w:rPr>
        <w:footnoteReference w:id="753"/>
      </w:r>
      <w:r>
        <w:t xml:space="preserve">, Japan</w:t>
      </w:r>
      <w:r>
        <w:rPr>
          <w:rStyle w:val="FootnoteReference"/>
        </w:rPr>
        <w:footnoteReference w:id="754"/>
      </w:r>
      <w:r>
        <w:t xml:space="preserve">, leververvetting (NCT07441252, fase 2).</w:t>
      </w:r>
    </w:p>
    <w:p>
      <w:pPr>
        <w:numPr>
          <w:ilvl w:val="0"/>
          <w:numId w:val="1095"/>
        </w:numPr>
        <w:pStyle w:val="Compact"/>
      </w:pPr>
      <w:r>
        <w:t xml:space="preserve">Fase 1-studies naar maaglediging</w:t>
      </w:r>
      <w:r>
        <w:rPr>
          <w:rStyle w:val="FootnoteReference"/>
        </w:rPr>
        <w:footnoteReference w:id="755"/>
      </w:r>
      <w:r>
        <w:t xml:space="preserve">, hartritme</w:t>
      </w:r>
      <w:r>
        <w:rPr>
          <w:rStyle w:val="FootnoteReference"/>
        </w:rPr>
        <w:footnoteReference w:id="756"/>
      </w:r>
      <w:r>
        <w:t xml:space="preserve"> </w:t>
      </w:r>
      <w:r>
        <w:t xml:space="preserve">en interacties met de pil</w:t>
      </w:r>
      <w:r>
        <w:rPr>
          <w:rStyle w:val="FootnoteReference"/>
        </w:rPr>
        <w:footnoteReference w:id="757"/>
      </w:r>
      <w:r>
        <w:t xml:space="preserve">.</w:t>
      </w:r>
    </w:p>
    <w:p>
      <w:pPr>
        <w:pStyle w:val="FirstParagraph"/>
      </w:pPr>
      <w:r>
        <w:rPr>
          <w:bCs/>
          <w:b/>
        </w:rPr>
        <w:t xml:space="preserve">Inschatting:</w:t>
      </w:r>
      <w:r>
        <w:t xml:space="preserve"> </w:t>
      </w:r>
      <w:r>
        <w:t xml:space="preserve">MariTide staat voor een ander concept dan de tirzepatidefamilie – minder injecties in plaats van maximaal gewichtsverlies. Voor mensen die een langdurige behandeling nodig hebben, zou een maandelijkse of nog zeldzamere toediening de therapietrouw kunnen verbeteren. Of het concept van GIP-blokkade op lange termijn veilig is, moeten de grote fase 3-studies laten zien. Een registratie is op zijn vroegst vanaf 2028 realistisch.</w:t>
      </w:r>
    </w:p>
    <w:bookmarkEnd w:id="758"/>
    <w:bookmarkStart w:id="759" w:name="conclusie-10"/>
    <w:p>
      <w:pPr>
        <w:pStyle w:val="Heading3"/>
      </w:pPr>
      <w:r>
        <w:t xml:space="preserve">Conclusie</w:t>
      </w:r>
    </w:p>
    <w:p>
      <w:pPr>
        <w:pStyle w:val="FirstParagraph"/>
      </w:pPr>
      <w:r>
        <w:t xml:space="preserve">Maridebart cafraglutide is een antilichaam-peptideconjugaat dat de GLP-1-receptor activeert en de GIP-receptor blokkeert, en wordt slechts eenmaal per maand of minder vaak toegediend. In de fase 2-studie daalde het lichaamsgewicht na 52 weken met tot 16,2% zonder en met tot 12,3% met diabetes type 2. Maag-darmklachten komen vaak voor en hangen sterk af van de dosisopbouw; de lange werkingsduur is voordeel en risico tegelijk. Het fase 3-programma met eindpuntstudies naar hart- en vaatziekten en hartfalen loopt.</w:t>
      </w:r>
    </w:p>
    <w:bookmarkEnd w:id="759"/>
    <w:bookmarkEnd w:id="760"/>
    <w:bookmarkStart w:id="792" w:name="pramlintide"/>
    <w:p>
      <w:pPr>
        <w:pStyle w:val="Heading2"/>
      </w:pPr>
      <w:r>
        <w:t xml:space="preserve">Pramlintide</w:t>
      </w:r>
    </w:p>
    <w:bookmarkStart w:id="761" w:name="profiel-11"/>
    <w:p>
      <w:pPr>
        <w:pStyle w:val="Heading3"/>
      </w:pPr>
      <w:r>
        <w:t xml:space="preserve">Profiel</w:t>
      </w:r>
    </w:p>
    <w:p>
      <w:pPr>
        <w:numPr>
          <w:ilvl w:val="0"/>
          <w:numId w:val="1096"/>
        </w:numPr>
        <w:pStyle w:val="Compact"/>
      </w:pPr>
      <w:r>
        <w:rPr>
          <w:bCs/>
          <w:b/>
        </w:rPr>
        <w:t xml:space="preserve">Soort/structuur:</w:t>
      </w:r>
      <w:r>
        <w:t xml:space="preserve"> </w:t>
      </w:r>
      <w:r>
        <w:t xml:space="preserve">synthetisch analoog van het menselijke hormoon amyline, bestaande uit 37 aminozuren. Op drie plaatsen zijn aminozuren vervangen (naar het voorbeeld van rattenamyline), zodat het molecuul niet samenklontert zoals natuurlijk menselijk amyline. Het werkt slechts kort en wordt vóór de hoofdmaaltijden geïnjecteerd.</w:t>
      </w:r>
    </w:p>
    <w:p>
      <w:pPr>
        <w:numPr>
          <w:ilvl w:val="0"/>
          <w:numId w:val="1096"/>
        </w:numPr>
        <w:pStyle w:val="Compact"/>
      </w:pPr>
      <w:r>
        <w:rPr>
          <w:bCs/>
          <w:b/>
        </w:rPr>
        <w:t xml:space="preserve">Herkomst:</w:t>
      </w:r>
      <w:r>
        <w:t xml:space="preserve"> </w:t>
      </w:r>
      <w:r>
        <w:t xml:space="preserve">ontwikkeld door Amylin Pharmaceuticals; tegenwoordig onderdeel van het portfolio van AstraZeneca. Handelsnaam in de VS: Symlin.</w:t>
      </w:r>
    </w:p>
    <w:p>
      <w:pPr>
        <w:numPr>
          <w:ilvl w:val="0"/>
          <w:numId w:val="1096"/>
        </w:numPr>
        <w:pStyle w:val="Compact"/>
      </w:pPr>
      <w:r>
        <w:rPr>
          <w:bCs/>
          <w:b/>
        </w:rPr>
        <w:t xml:space="preserve">Werkingsprincipe:</w:t>
      </w:r>
      <w:r>
        <w:t xml:space="preserve"> </w:t>
      </w:r>
      <w:r>
        <w:t xml:space="preserve">agonist op amylinereceptoren – vertraagt de maaglediging, remt de afgifte van glucagon na het eten en bevordert het verzadigingsgevoel.</w:t>
      </w:r>
    </w:p>
    <w:p>
      <w:pPr>
        <w:numPr>
          <w:ilvl w:val="0"/>
          <w:numId w:val="1096"/>
        </w:numPr>
        <w:pStyle w:val="Compact"/>
      </w:pPr>
      <w:r>
        <w:rPr>
          <w:bCs/>
          <w:b/>
        </w:rPr>
        <w:t xml:space="preserve">Registratie EU:</w:t>
      </w:r>
      <w:r>
        <w:t xml:space="preserve"> </w:t>
      </w:r>
      <w:r>
        <w:t xml:space="preserve">nee – pramlintide is in de EU nooit geregistreerd.</w:t>
      </w:r>
    </w:p>
    <w:p>
      <w:pPr>
        <w:numPr>
          <w:ilvl w:val="0"/>
          <w:numId w:val="1096"/>
        </w:numPr>
        <w:pStyle w:val="Compact"/>
      </w:pPr>
      <w:r>
        <w:rPr>
          <w:bCs/>
          <w:b/>
        </w:rPr>
        <w:t xml:space="preserve">Registratie VS:</w:t>
      </w:r>
      <w:r>
        <w:t xml:space="preserve"> </w:t>
      </w:r>
      <w:r>
        <w:t xml:space="preserve">ja, sinds 2005 als aanvulling op maaltijdinsuline bij diabetes type 1 en type 2.</w:t>
      </w:r>
    </w:p>
    <w:p>
      <w:pPr>
        <w:numPr>
          <w:ilvl w:val="0"/>
          <w:numId w:val="1096"/>
        </w:numPr>
        <w:pStyle w:val="Compact"/>
      </w:pPr>
      <w:r>
        <w:rPr>
          <w:bCs/>
          <w:b/>
        </w:rPr>
        <w:t xml:space="preserve">WADA:</w:t>
      </w:r>
      <w:r>
        <w:t xml:space="preserve"> </w:t>
      </w:r>
      <w:r>
        <w:t xml:space="preserve">niet bij naam vermeld; vanwege de Amerikaanse registratie valt het niet onder S0.</w:t>
      </w:r>
    </w:p>
    <w:p>
      <w:pPr>
        <w:numPr>
          <w:ilvl w:val="0"/>
          <w:numId w:val="1096"/>
        </w:numPr>
        <w:pStyle w:val="Compact"/>
      </w:pPr>
      <w:r>
        <w:rPr>
          <w:bCs/>
          <w:b/>
        </w:rPr>
        <w:t xml:space="preserve">Bewijsniveau:</w:t>
      </w:r>
      <w:r>
        <w:t xml:space="preserve"> </w:t>
      </w:r>
      <w:r>
        <w:rPr>
          <w:bCs/>
          <w:b/>
        </w:rPr>
        <w:t xml:space="preserve">A</w:t>
      </w:r>
      <w:r>
        <w:t xml:space="preserve"> </w:t>
      </w:r>
      <w:r>
        <w:t xml:space="preserve">– meerdere grote gerandomiseerde studies, registratie in de VS.</w:t>
      </w:r>
    </w:p>
    <w:bookmarkEnd w:id="761"/>
    <w:bookmarkStart w:id="763" w:name="hoe-het-zou-moeten-werken-11"/>
    <w:p>
      <w:pPr>
        <w:pStyle w:val="Heading3"/>
      </w:pPr>
      <w:r>
        <w:t xml:space="preserve">Hoe het zou moeten werken</w:t>
      </w:r>
    </w:p>
    <w:p>
      <w:pPr>
        <w:pStyle w:val="FirstParagraph"/>
      </w:pPr>
      <w:r>
        <w:t xml:space="preserve">De bètacellen van de alvleesklier geven niet alleen insuline af, maar in hetzelfde ritme ook amyline. Bij diabetes type 1 zijn de bètacellen vernietigd – beide hormonen ontbreken dus, maar doorgaans wordt alleen insuline vervangen. Ook bij gevorderde diabetes type 2 is de afgifte van amyline verminderd.</w:t>
      </w:r>
    </w:p>
    <w:p>
      <w:pPr>
        <w:pStyle w:val="BodyText"/>
      </w:pPr>
      <w:r>
        <w:t xml:space="preserve">Amyline werkt na het eten in drie richtingen: het vertraagt de maaglediging, zodat de suiker langzamer in het bloed komt; het remt de afgifte van glucagon, die bij diabetes na maaltijden vaak onpassend hoog is; en het bevordert via de hersenstam het verzadigingsgevoel. Pramlintide moest deze ontbrekende werking vervangen en zo de bloedsuikerpieken na het eten afvlakken. Dat het de maaglediging vertraagt, werd onder meer aangetoond in een kleine studie met twaalf mensen met diabetes type 1 en type 2: de tijd tot de helft van een vaste maaltijd de maag had verlaten, nam toe van 91 tot 268 à 329 minuten</w:t>
      </w:r>
      <w:r>
        <w:rPr>
          <w:rStyle w:val="FootnoteReference"/>
        </w:rPr>
        <w:footnoteReference w:id="762"/>
      </w:r>
      <w:r>
        <w:t xml:space="preserve">.</w:t>
      </w:r>
    </w:p>
    <w:p>
      <w:pPr>
        <w:pStyle w:val="BodyText"/>
      </w:pPr>
      <w:r>
        <w:t xml:space="preserve">Pramlintide is historisch belangrijk: het was het eerste amylinegeneesmiddel en geldt als voorloper van de huidige langwerkende amylinemiddelen zoals cagrilintide en amycretine (zie aldaar). Het grote praktische nadeel is de korte werkingsduur, die meerdere injecties per dag vereist.</w:t>
      </w:r>
    </w:p>
    <w:bookmarkEnd w:id="763"/>
    <w:bookmarkStart w:id="778" w:name="studies-bij-mensen-1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76 studies bij mensen op, overwegend uit de jaren 1996 tot 2010, en enkele meta-analyses. Op ClinicalTrials.gov waren 64 studies geregistreerd, vrijwel allemaal afgerond; nieuwe studies betreffen vooral</w:t>
      </w:r>
      <w:r>
        <w:t xml:space="preserve"> </w:t>
      </w:r>
      <w:r>
        <w:t xml:space="preserve">‘</w:t>
      </w:r>
      <w:r>
        <w:t xml:space="preserve">kunstmatige alvleesklieren</w:t>
      </w:r>
      <w:r>
        <w:t xml:space="preserve">’</w:t>
      </w:r>
      <w:r>
        <w:t xml:space="preserve"> </w:t>
      </w:r>
      <w:r>
        <w:t xml:space="preserve">en migraineonderzoek.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Whitehouse 2002, PMID 11919132</w:t>
            </w:r>
          </w:p>
        </w:tc>
        <w:tc>
          <w:tcPr/>
          <w:p>
            <w:pPr>
              <w:pStyle w:val="Compact"/>
              <w:jc w:val="left"/>
            </w:pPr>
            <w:r>
              <w:t xml:space="preserve">480 volwassenen met diabetes type 1, tegen placebo</w:t>
            </w:r>
          </w:p>
        </w:tc>
        <w:tc>
          <w:tcPr/>
          <w:p>
            <w:pPr>
              <w:pStyle w:val="Compact"/>
              <w:jc w:val="left"/>
            </w:pPr>
            <w:r>
              <w:t xml:space="preserve">52 weken (+1 jaar open-label)</w:t>
            </w:r>
          </w:p>
        </w:tc>
        <w:tc>
          <w:tcPr/>
          <w:p>
            <w:pPr>
              <w:pStyle w:val="Compact"/>
              <w:jc w:val="left"/>
            </w:pPr>
            <w:r>
              <w:t xml:space="preserve">HbA1c −0,67 vs. −0,16 na 13 weken; gewichtsafname in plaats van -toename</w:t>
            </w:r>
          </w:p>
        </w:tc>
      </w:tr>
      <w:tr>
        <w:tc>
          <w:tcPr/>
          <w:p>
            <w:pPr>
              <w:pStyle w:val="Compact"/>
              <w:jc w:val="left"/>
            </w:pPr>
            <w:r>
              <w:t xml:space="preserve">Ratner 2004, PMID 15498087</w:t>
            </w:r>
          </w:p>
        </w:tc>
        <w:tc>
          <w:tcPr/>
          <w:p>
            <w:pPr>
              <w:pStyle w:val="Compact"/>
              <w:jc w:val="left"/>
            </w:pPr>
            <w:r>
              <w:t xml:space="preserve">651 volwassenen met diabetes type 1, tegen placebo</w:t>
            </w:r>
          </w:p>
        </w:tc>
        <w:tc>
          <w:tcPr/>
          <w:p>
            <w:pPr>
              <w:pStyle w:val="Compact"/>
              <w:jc w:val="left"/>
            </w:pPr>
            <w:r>
              <w:t xml:space="preserve">52 weken</w:t>
            </w:r>
          </w:p>
        </w:tc>
        <w:tc>
          <w:tcPr/>
          <w:p>
            <w:pPr>
              <w:pStyle w:val="Compact"/>
              <w:jc w:val="left"/>
            </w:pPr>
            <w:r>
              <w:t xml:space="preserve">HbA1c −0,29 tot −0,34 vs. −0,04; gewicht −0,4 kg vs. +0,8 kg</w:t>
            </w:r>
          </w:p>
        </w:tc>
      </w:tr>
      <w:tr>
        <w:tc>
          <w:tcPr/>
          <w:p>
            <w:pPr>
              <w:pStyle w:val="Compact"/>
              <w:jc w:val="left"/>
            </w:pPr>
            <w:r>
              <w:t xml:space="preserve">Hollander 2003, PMID 12610038</w:t>
            </w:r>
          </w:p>
        </w:tc>
        <w:tc>
          <w:tcPr/>
          <w:p>
            <w:pPr>
              <w:pStyle w:val="Compact"/>
              <w:jc w:val="left"/>
            </w:pPr>
            <w:r>
              <w:t xml:space="preserve">656 volwassenen met met insuline behandelde diabetes type 2, tegen placebo</w:t>
            </w:r>
          </w:p>
        </w:tc>
        <w:tc>
          <w:tcPr/>
          <w:p>
            <w:pPr>
              <w:pStyle w:val="Compact"/>
              <w:jc w:val="left"/>
            </w:pPr>
            <w:r>
              <w:t xml:space="preserve">52 weken</w:t>
            </w:r>
          </w:p>
        </w:tc>
        <w:tc>
          <w:tcPr/>
          <w:p>
            <w:pPr>
              <w:pStyle w:val="Compact"/>
              <w:jc w:val="left"/>
            </w:pPr>
            <w:r>
              <w:t xml:space="preserve">HbA1c −0,62 (week 52); gewicht −1,4 kg vs. +0,7 kg</w:t>
            </w:r>
          </w:p>
        </w:tc>
      </w:tr>
      <w:tr>
        <w:tc>
          <w:tcPr/>
          <w:p>
            <w:pPr>
              <w:pStyle w:val="Compact"/>
              <w:jc w:val="left"/>
            </w:pPr>
            <w:r>
              <w:t xml:space="preserve">Edelman 2006, PMID 17003291</w:t>
            </w:r>
          </w:p>
        </w:tc>
        <w:tc>
          <w:tcPr/>
          <w:p>
            <w:pPr>
              <w:pStyle w:val="Compact"/>
              <w:jc w:val="left"/>
            </w:pPr>
            <w:r>
              <w:t xml:space="preserve">296 volwassenen met diabetes type 1, geïntensiveerde insulinetherapie</w:t>
            </w:r>
          </w:p>
        </w:tc>
        <w:tc>
          <w:tcPr/>
          <w:p>
            <w:pPr>
              <w:pStyle w:val="Compact"/>
              <w:jc w:val="left"/>
            </w:pPr>
            <w:r>
              <w:t xml:space="preserve">29 weken</w:t>
            </w:r>
          </w:p>
        </w:tc>
        <w:tc>
          <w:tcPr/>
          <w:p>
            <w:pPr>
              <w:pStyle w:val="Compact"/>
              <w:jc w:val="left"/>
            </w:pPr>
            <w:r>
              <w:t xml:space="preserve">HbA1c gelijk (−0,5 beide); gewicht −1,3 vs. +1,2 kg; insuline −28%</w:t>
            </w:r>
          </w:p>
        </w:tc>
      </w:tr>
      <w:tr>
        <w:tc>
          <w:tcPr/>
          <w:p>
            <w:pPr>
              <w:pStyle w:val="Compact"/>
              <w:jc w:val="left"/>
            </w:pPr>
            <w:r>
              <w:t xml:space="preserve">Riddle 2007, PMID 17698615</w:t>
            </w:r>
          </w:p>
        </w:tc>
        <w:tc>
          <w:tcPr/>
          <w:p>
            <w:pPr>
              <w:pStyle w:val="Compact"/>
              <w:jc w:val="left"/>
            </w:pPr>
            <w:r>
              <w:t xml:space="preserve">212 volwassenen met diabetes type 2 en basale insuline, tegen placebo</w:t>
            </w:r>
          </w:p>
        </w:tc>
        <w:tc>
          <w:tcPr/>
          <w:p>
            <w:pPr>
              <w:pStyle w:val="Compact"/>
              <w:jc w:val="left"/>
            </w:pPr>
            <w:r>
              <w:t xml:space="preserve">16 weken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volwassenen met obesitas, met leefstijlprogramma</w:t>
            </w:r>
          </w:p>
        </w:tc>
        <w:tc>
          <w:tcPr/>
          <w:p>
            <w:pPr>
              <w:pStyle w:val="Compact"/>
              <w:jc w:val="left"/>
            </w:pPr>
            <w:r>
              <w:t xml:space="preserve">4 maanden (+8 maanden)</w:t>
            </w:r>
          </w:p>
        </w:tc>
        <w:tc>
          <w:tcPr/>
          <w:p>
            <w:pPr>
              <w:pStyle w:val="Compact"/>
              <w:jc w:val="left"/>
            </w:pPr>
            <w:r>
              <w:t xml:space="preserve">na 12 maanden voor placebo gecorrigeerd tot −7,2 kg</w:t>
            </w:r>
          </w:p>
        </w:tc>
      </w:tr>
    </w:tbl>
    <w:bookmarkStart w:id="765" w:name="diabetes-type-1"/>
    <w:p>
      <w:pPr>
        <w:pStyle w:val="Heading4"/>
      </w:pPr>
      <w:r>
        <w:t xml:space="preserve">Diabetes type 1</w:t>
      </w:r>
    </w:p>
    <w:p>
      <w:pPr>
        <w:pStyle w:val="FirstParagraph"/>
      </w:pPr>
      <w:r>
        <w:t xml:space="preserve">De grote registratiestudies liepen meer dan een jaar. In de studie van Whitehouse (2002, PMID 11919132) met 480 mensen met diabetes type 1 daalde de HbA1c-waarde na 13 weken met 0,67 procentpunt tegenover 0,16 bij placebo; het verschil bleef tot week 52 statistisch significant. De deelnemers vielen gemiddeld af in plaats van aan te komen; het totale aantal ernstige hypoglykemieën was niet verhoogd. In de studie van Ratner (2004, PMID 15498087) met 651 deelnemers was het effect kleiner: −0,29 resp. −0,34 procentpunt tegenover −0,04.</w:t>
      </w:r>
    </w:p>
    <w:p>
      <w:pPr>
        <w:pStyle w:val="BodyText"/>
      </w:pPr>
      <w:r>
        <w:t xml:space="preserve">Deze effecten zijn bescheiden. Een netwerk-meta-analyse van alle aanvullende middelen bij diabetes type 1 met 58 studies beoordeelde de betrouwbaarheid van het bewijs overwegend als matig tot zeer laag en vond dat pramlintide – net als GLP-1-agonisten en metformine – vaker misselijkheid veroorzaakt</w:t>
      </w:r>
      <w:r>
        <w:rPr>
          <w:rStyle w:val="FootnoteReference"/>
        </w:rPr>
        <w:footnoteReference w:id="764"/>
      </w:r>
      <w:r>
        <w:t xml:space="preserve">.</w:t>
      </w:r>
    </w:p>
    <w:p>
      <w:pPr>
        <w:pStyle w:val="BodyText"/>
      </w:pPr>
      <w:r>
        <w:t xml:space="preserve">Een belangrijke les leverde de studie van Edelman (2006, PMID 17003291): wanneer bij het begin van de behandeling met pramlintide de dosis maaltijdinsuline uit voorzorg met 30 tot 50% werd verlaagd, was de HbA1c-waarde na 29 weken in beide groepen even sterk gedaald (elk −0,5). Met pramlintide waren de bloedsuikerpieken na het eten echter kleiner, daalde het gewicht met 1,3 kg (placebo +1,2 kg) en was 28% minder insuline nodig. Misselijkheid kwam voor bij 63% (placebo 36%).</w:t>
      </w:r>
    </w:p>
    <w:bookmarkEnd w:id="765"/>
    <w:bookmarkStart w:id="769" w:name="diabetes-type-2"/>
    <w:p>
      <w:pPr>
        <w:pStyle w:val="Heading4"/>
      </w:pPr>
      <w:r>
        <w:t xml:space="preserve">Diabetes type 2</w:t>
      </w:r>
    </w:p>
    <w:p>
      <w:pPr>
        <w:pStyle w:val="FirstParagraph"/>
      </w:pPr>
      <w:r>
        <w:t xml:space="preserve">Bij met insuline behandelde diabetes type 2 verlaagde pramlintide de HbA1c-waarde na een jaar met 0,62 procentpunt, met een gewichtsverlies van 1,4 kg tegenover 0,7 kg toename bij placebo</w:t>
      </w:r>
      <w:r>
        <w:rPr>
          <w:rStyle w:val="FootnoteReference"/>
        </w:rPr>
        <w:footnoteReference w:id="766"/>
      </w:r>
      <w:r>
        <w:t xml:space="preserve">. Als aanvulling op basale insuline was het in een open-label studie met 113 deelnemers ongeveer even werkzaam als een snelwerkende maaltijdinsuline, maar leidde het niet tot gewichtstoename (0,0 kg vs. +4,7 kg) en tot minder lichte tot matige hypoglykemieën; daar stond tegenover dat 21% klaagde over misselijkheid</w:t>
      </w:r>
      <w:r>
        <w:rPr>
          <w:rStyle w:val="FootnoteReference"/>
        </w:rPr>
        <w:footnoteReference w:id="767"/>
      </w:r>
      <w:r>
        <w:t xml:space="preserve">.</w:t>
      </w:r>
    </w:p>
    <w:p>
      <w:pPr>
        <w:pStyle w:val="BodyText"/>
      </w:pPr>
      <w:r>
        <w:t xml:space="preserve">Een meta-analyse van acht gerandomiseerde studies liet bij diabetes type 2 een HbA1c-daling zien van 0,33 procentpunt en een gewichtsverlies van 2,57 kg ten opzichte van controle; misselijkheid kwam 1,8 keer vaker voor</w:t>
      </w:r>
      <w:r>
        <w:rPr>
          <w:rStyle w:val="FootnoteReference"/>
        </w:rPr>
        <w:footnoteReference w:id="768"/>
      </w:r>
      <w:r>
        <w:t xml:space="preserve">.</w:t>
      </w:r>
    </w:p>
    <w:bookmarkEnd w:id="769"/>
    <w:bookmarkStart w:id="773" w:name="obesitas"/>
    <w:p>
      <w:pPr>
        <w:pStyle w:val="Heading4"/>
      </w:pPr>
      <w:r>
        <w:t xml:space="preserve">Obesitas</w:t>
      </w:r>
    </w:p>
    <w:p>
      <w:pPr>
        <w:pStyle w:val="FirstParagraph"/>
      </w:pPr>
      <w:r>
        <w:t xml:space="preserve">Tussen 2005 en 2010 werd pramlintide ook onderzocht als afslankmiddel. In een studie van 16 weken met 204 mensen met obesitas bedroeg het voor placebo gecorrigeerde gewichtsverlies 3,7%</w:t>
      </w:r>
      <w:r>
        <w:rPr>
          <w:rStyle w:val="FootnoteReference"/>
        </w:rPr>
        <w:footnoteReference w:id="770"/>
      </w:r>
      <w:r>
        <w:t xml:space="preserve">. In combinatie met een leefstijlprogramma behielden vrijwel alle dosisgroepen hun gewichtsverlies over twaalf maanden; voor placebo gecorrigeerd was dat tot 7,2 kg resp. 6,8%</w:t>
      </w:r>
      <w:r>
        <w:rPr>
          <w:rStyle w:val="FootnoteReference"/>
        </w:rPr>
        <w:footnoteReference w:id="771"/>
      </w:r>
      <w:r>
        <w:t xml:space="preserve">. Een combinatie met metreleptine (een leptine-analoog) bereikte na 20 weken 12,7% gewichtsverlies tegenover 8,4% met pramlintide alleen</w:t>
      </w:r>
      <w:r>
        <w:rPr>
          <w:rStyle w:val="FootnoteReference"/>
        </w:rPr>
        <w:footnoteReference w:id="772"/>
      </w:r>
      <w:r>
        <w:t xml:space="preserve">. Deze ontwikkeling werd niet doorgezet tot registratie.</w:t>
      </w:r>
    </w:p>
    <w:bookmarkEnd w:id="773"/>
    <w:bookmarkStart w:id="777" w:name="Xd1489473de7a6ef8d8b0075e533de9e9505ad26"/>
    <w:p>
      <w:pPr>
        <w:pStyle w:val="Heading4"/>
      </w:pPr>
      <w:r>
        <w:t xml:space="preserve">Nieuwere toepassingen: kunstmatige alvleesklier</w:t>
      </w:r>
    </w:p>
    <w:p>
      <w:pPr>
        <w:pStyle w:val="FirstParagraph"/>
      </w:pPr>
      <w:r>
        <w:t xml:space="preserve">Sinds ongeveer 2015 beleeft pramlintide een kleine renaissance in het onderzoek naar geautomatiseerde insulinepompsystemen. In een gerandomiseerde cross-overstudie steeg de tijd binnen het streefbereik met een systeem dat naast snelwerkende insuline ook pramlintide afgeeft, van 74% naar 84%</w:t>
      </w:r>
      <w:r>
        <w:rPr>
          <w:rStyle w:val="FootnoteReference"/>
        </w:rPr>
        <w:footnoteReference w:id="774"/>
      </w:r>
      <w:r>
        <w:t xml:space="preserve">. Een kleine pilotstudie onderzocht of zo’n systeem het tellen van koolhydraten overbodig kan maken; de verschillen met de standaardbehandeling waren statistisch niet significant</w:t>
      </w:r>
      <w:r>
        <w:rPr>
          <w:rStyle w:val="FootnoteReference"/>
        </w:rPr>
        <w:footnoteReference w:id="775"/>
      </w:r>
      <w:r>
        <w:t xml:space="preserve">. Een vaste mengeling van pramlintide en een insuline (ADO09) leidde in een studie van 16 weken met 80 mensen met diabetes type 1 tot 2,1 kg meer gewichtsverlies dan insuline lispro, bij een onveranderde HbA1c</w:t>
      </w:r>
      <w:r>
        <w:rPr>
          <w:rStyle w:val="FootnoteReference"/>
        </w:rPr>
        <w:footnoteReference w:id="776"/>
      </w:r>
      <w:r>
        <w:t xml:space="preserve">.</w:t>
      </w:r>
    </w:p>
    <w:bookmarkEnd w:id="777"/>
    <w:bookmarkEnd w:id="778"/>
    <w:bookmarkStart w:id="780" w:name="dier--en-laboratoriumstudies-11"/>
    <w:p>
      <w:pPr>
        <w:pStyle w:val="Heading3"/>
      </w:pPr>
      <w:r>
        <w:t xml:space="preserve">Dier- en laboratoriumstudies</w:t>
      </w:r>
    </w:p>
    <w:p>
      <w:pPr>
        <w:pStyle w:val="FirstParagraph"/>
      </w:pPr>
      <w:r>
        <w:t xml:space="preserve">De basis van het amylineonderzoek komt uit dier- en laboratoriumstudies, die hier niet afzonderlijk worden besproken. Bij knaagdieren leidde de combinatie van amyline en leptine tot een meer dan additief gewichtsverlies (in Ravussin 2009, PMID 19521351, als uitgangspunt beschreven). In muismodellen veroorzaakte amyline, net als het migraineboodschapperpeptide CGRP, overgevoeligheid en lichtschuwheid</w:t>
      </w:r>
      <w:r>
        <w:rPr>
          <w:rStyle w:val="FootnoteReference"/>
        </w:rPr>
        <w:footnoteReference w:id="779"/>
      </w:r>
      <w:r>
        <w:t xml:space="preserve">.</w:t>
      </w:r>
    </w:p>
    <w:bookmarkEnd w:id="780"/>
    <w:bookmarkStart w:id="784" w:name="risicos-en-bijwerkingen-11"/>
    <w:p>
      <w:pPr>
        <w:pStyle w:val="Heading3"/>
      </w:pPr>
      <w:r>
        <w:t xml:space="preserve">Risico’s en bijwerkingen</w:t>
      </w:r>
    </w:p>
    <w:p>
      <w:pPr>
        <w:pStyle w:val="FirstParagraph"/>
      </w:pPr>
      <w:r>
        <w:rPr>
          <w:bCs/>
          <w:b/>
        </w:rPr>
        <w:t xml:space="preserve">Aangetoond in studies:</w:t>
      </w:r>
    </w:p>
    <w:p>
      <w:pPr>
        <w:numPr>
          <w:ilvl w:val="0"/>
          <w:numId w:val="1097"/>
        </w:numPr>
        <w:pStyle w:val="Compact"/>
      </w:pPr>
      <w:r>
        <w:rPr>
          <w:bCs/>
          <w:b/>
        </w:rPr>
        <w:t xml:space="preserve">Misselijkheid</w:t>
      </w:r>
      <w:r>
        <w:t xml:space="preserve"> </w:t>
      </w:r>
      <w:r>
        <w:t xml:space="preserve">is de meest voorkomende bijwerking, vooral in de eerste weken; afhankelijk van de studie tussen 9% en 63%</w:t>
      </w:r>
      <w:r>
        <w:rPr>
          <w:rStyle w:val="FootnoteReference"/>
        </w:rPr>
        <w:footnoteReference w:id="781"/>
      </w:r>
      <w:r>
        <w:t xml:space="preserve">.</w:t>
      </w:r>
    </w:p>
    <w:p>
      <w:pPr>
        <w:numPr>
          <w:ilvl w:val="0"/>
          <w:numId w:val="1097"/>
        </w:numPr>
        <w:pStyle w:val="Compact"/>
      </w:pPr>
      <w:r>
        <w:rPr>
          <w:bCs/>
          <w:b/>
        </w:rPr>
        <w:t xml:space="preserve">Ernstige hypoglykemie</w:t>
      </w:r>
      <w:r>
        <w:t xml:space="preserve"> </w:t>
      </w:r>
      <w:r>
        <w:t xml:space="preserve">is het belangrijkste risico. Pramlintide zelf verlaagt de bloedsuiker nauwelijks, maar versterkt de werking van de tegelijk geïnjecteerde insuline, omdat de suiker uit de maaltijd vertraagd aankomt. In de studie van Edelman kwamen ernstige hypoglykemieën met pramlintide vaker voor dan met placebo (0,57 vs. 0,30 voorvallen per patiëntjaar), vooral bij deelnemers die op een lage dosis bleven</w:t>
      </w:r>
      <w:r>
        <w:rPr>
          <w:rStyle w:val="FootnoteReference"/>
        </w:rPr>
        <w:footnoteReference w:id="782"/>
      </w:r>
      <w:r>
        <w:t xml:space="preserve">. In de VS draagt het geneesmiddel daarom een duidelijke waarschuwing; vóór het begin van de behandeling is een verlaging van de dosis maaltijdinsuline voorzien – de details staan in de productinformatie, de uitvoering hoort in handen van een arts.</w:t>
      </w:r>
    </w:p>
    <w:p>
      <w:pPr>
        <w:numPr>
          <w:ilvl w:val="0"/>
          <w:numId w:val="1097"/>
        </w:numPr>
        <w:pStyle w:val="Compact"/>
      </w:pPr>
      <w:r>
        <w:rPr>
          <w:bCs/>
          <w:b/>
        </w:rPr>
        <w:t xml:space="preserve">Hoofdpijn en migraine:</w:t>
      </w:r>
      <w:r>
        <w:t xml:space="preserve"> </w:t>
      </w:r>
      <w:r>
        <w:t xml:space="preserve">in een experimentele studie met 36 mensen met migraine kreeg na een infuus met pramlintide 88% hoofdpijn en 41% een migraineachtige aanval</w:t>
      </w:r>
      <w:r>
        <w:rPr>
          <w:rStyle w:val="FootnoteReference"/>
        </w:rPr>
        <w:footnoteReference w:id="783"/>
      </w:r>
      <w:r>
        <w:t xml:space="preserve">. Deze studie gebruikte een infuus voor onderzoeksdoeleinden; ze laat echter zien dat amylinereceptoren bij migraine een rol spelen. Voor de nieuwe, langwerkende amylinemiddelen is deze bevinding eveneens relevant.</w:t>
      </w:r>
    </w:p>
    <w:p>
      <w:pPr>
        <w:numPr>
          <w:ilvl w:val="0"/>
          <w:numId w:val="1097"/>
        </w:numPr>
        <w:pStyle w:val="Compact"/>
      </w:pPr>
      <w:r>
        <w:rPr>
          <w:bCs/>
          <w:b/>
        </w:rPr>
        <w:t xml:space="preserve">Interacties:</w:t>
      </w:r>
      <w:r>
        <w:t xml:space="preserve"> </w:t>
      </w:r>
      <w:r>
        <w:t xml:space="preserve">omdat pramlintide de maaglediging vertraagt, kunnen tabletten waarvan een snel intredende werking belangrijk is, vertraagd worden opgenomen (productinformatie).</w:t>
      </w:r>
    </w:p>
    <w:bookmarkEnd w:id="784"/>
    <w:bookmarkStart w:id="785" w:name="juridische-status-11"/>
    <w:p>
      <w:pPr>
        <w:pStyle w:val="Heading3"/>
      </w:pPr>
      <w:r>
        <w:t xml:space="preserve">Juridische status</w:t>
      </w:r>
    </w:p>
    <w:p>
      <w:pPr>
        <w:numPr>
          <w:ilvl w:val="0"/>
          <w:numId w:val="1098"/>
        </w:numPr>
        <w:pStyle w:val="Compact"/>
      </w:pPr>
      <w:r>
        <w:rPr>
          <w:bCs/>
          <w:b/>
        </w:rPr>
        <w:t xml:space="preserve">EU / Oostenrijk / Duitsland:</w:t>
      </w:r>
      <w:r>
        <w:t xml:space="preserve"> </w:t>
      </w:r>
      <w:r>
        <w:t xml:space="preserve">niet geregistreerd. Pramlintide is in Europa alleen via individuele import voor bepaalde patiënten denkbaar en speelt in de praktijk geen rol.</w:t>
      </w:r>
    </w:p>
    <w:p>
      <w:pPr>
        <w:numPr>
          <w:ilvl w:val="0"/>
          <w:numId w:val="1098"/>
        </w:numPr>
        <w:pStyle w:val="Compact"/>
      </w:pPr>
      <w:r>
        <w:rPr>
          <w:bCs/>
          <w:b/>
        </w:rPr>
        <w:t xml:space="preserve">VS:</w:t>
      </w:r>
      <w:r>
        <w:t xml:space="preserve"> </w:t>
      </w:r>
      <w:r>
        <w:t xml:space="preserve">geregistreerd sinds 2005 (Symlin) als aanvulling op maaltijdinsuline bij diabetes type 1 en type 2; alleen op recept. Voor obesitas zonder diabetes is het niet geregistreerd.</w:t>
      </w:r>
    </w:p>
    <w:p>
      <w:pPr>
        <w:numPr>
          <w:ilvl w:val="0"/>
          <w:numId w:val="1098"/>
        </w:numPr>
        <w:pStyle w:val="Compact"/>
      </w:pPr>
      <w:r>
        <w:rPr>
          <w:bCs/>
          <w:b/>
        </w:rPr>
        <w:t xml:space="preserve">Sport:</w:t>
      </w:r>
      <w:r>
        <w:t xml:space="preserve"> </w:t>
      </w:r>
      <w:r>
        <w:t xml:space="preserve">niet vermeld op de WADA-lijst (stand 2026, actuele situatie controleren).</w:t>
      </w:r>
    </w:p>
    <w:bookmarkEnd w:id="785"/>
    <w:bookmarkStart w:id="790" w:name="lopende-studies-en-vooruitzichten-11"/>
    <w:p>
      <w:pPr>
        <w:pStyle w:val="Heading3"/>
      </w:pPr>
      <w:r>
        <w:t xml:space="preserve">Lopende studies en vooruitzichten</w:t>
      </w:r>
    </w:p>
    <w:p>
      <w:pPr>
        <w:pStyle w:val="FirstParagraph"/>
      </w:pPr>
      <w:r>
        <w:rPr>
          <w:bCs/>
          <w:b/>
        </w:rPr>
        <w:t xml:space="preserve">Vaststaand (geregistreerde studies, stand oktober 2026):</w:t>
      </w:r>
      <w:r>
        <w:t xml:space="preserve"> </w:t>
      </w:r>
      <w:r>
        <w:t xml:space="preserve">nieuwe studies met pramlintide zijn overwegend kleine fundamentele studies, bijvoorbeeld naar de rol van amyline bij migraine zonder aura</w:t>
      </w:r>
      <w:r>
        <w:rPr>
          <w:rStyle w:val="FootnoteReference"/>
        </w:rPr>
        <w:footnoteReference w:id="786"/>
      </w:r>
      <w:r>
        <w:t xml:space="preserve">, bij hoofdpijn na hoofdletsel</w:t>
      </w:r>
      <w:r>
        <w:rPr>
          <w:rStyle w:val="FootnoteReference"/>
        </w:rPr>
        <w:footnoteReference w:id="787"/>
      </w:r>
      <w:r>
        <w:t xml:space="preserve"> </w:t>
      </w:r>
      <w:r>
        <w:t xml:space="preserve">en bij verzadiging</w:t>
      </w:r>
      <w:r>
        <w:rPr>
          <w:rStyle w:val="FootnoteReference"/>
        </w:rPr>
        <w:footnoteReference w:id="788"/>
      </w:r>
      <w:r>
        <w:t xml:space="preserve">. De auteurs van de pilotstudie naar de pramlintide-insulinepomp kondigen een grotere studie aan</w:t>
      </w:r>
      <w:r>
        <w:rPr>
          <w:rStyle w:val="FootnoteReference"/>
        </w:rPr>
        <w:footnoteReference w:id="789"/>
      </w:r>
      <w:r>
        <w:t xml:space="preserve">.</w:t>
      </w:r>
    </w:p>
    <w:p>
      <w:pPr>
        <w:pStyle w:val="BodyText"/>
      </w:pPr>
      <w:r>
        <w:rPr>
          <w:bCs/>
          <w:b/>
        </w:rPr>
        <w:t xml:space="preserve">Inschatting:</w:t>
      </w:r>
      <w:r>
        <w:t xml:space="preserve"> </w:t>
      </w:r>
      <w:r>
        <w:t xml:space="preserve">als geneesmiddel is pramlintide een nicheproduct gebleven – te veel injecties, te veel misselijkheid, te weinig effect op de HbA1c-waarde. Zijn belangrijkste rol zal die van wegbereider zijn: de langwerkende amyline-analogen van de nieuwe generatie (cagrilintide, amycretine, eloralintide en andere) bouwen voort op de ervaringen ermee. In het onderzoek naar systemen met twee hormonen bij diabetes type 1 zou het een kleine rol kunnen behouden.</w:t>
      </w:r>
    </w:p>
    <w:bookmarkEnd w:id="790"/>
    <w:bookmarkStart w:id="791" w:name="conclusie-11"/>
    <w:p>
      <w:pPr>
        <w:pStyle w:val="Heading3"/>
      </w:pPr>
      <w:r>
        <w:t xml:space="preserve">Conclusie</w:t>
      </w:r>
    </w:p>
    <w:p>
      <w:pPr>
        <w:pStyle w:val="FirstParagraph"/>
      </w:pPr>
      <w:r>
        <w:t xml:space="preserve">Pramlintide is het eerste amylinegeneesmiddel en sinds 2005 in de VS, maar niet in de EU, geregistreerd als aanvulling op insuline. In grote studies verlaagde het de HbA1c-waarde slechts met ongeveer 0,3 tot 0,7 procentpunt, maar het voorkwam de voor insuline typische gewichtstoename en vlakte de bloedsuikerpieken na maaltijden af. Misselijkheid komt vaak voor, en in combinatie met insuline bestaat een relevant risico op ernstige hypoglykemieën. Tegenwoordig is pramlintide vooral van belang als voorloper van de nieuwe langwerkende amylinemiddelen.</w:t>
      </w:r>
    </w:p>
    <w:bookmarkEnd w:id="791"/>
    <w:bookmarkEnd w:id="792"/>
    <w:bookmarkStart w:id="829" w:name="setmelanotide"/>
    <w:p>
      <w:pPr>
        <w:pStyle w:val="Heading2"/>
      </w:pPr>
      <w:r>
        <w:t xml:space="preserve">Setmelanotide</w:t>
      </w:r>
    </w:p>
    <w:bookmarkStart w:id="794" w:name="profiel-12"/>
    <w:p>
      <w:pPr>
        <w:pStyle w:val="Heading3"/>
      </w:pPr>
      <w:r>
        <w:t xml:space="preserve">Profiel</w:t>
      </w:r>
    </w:p>
    <w:p>
      <w:pPr>
        <w:numPr>
          <w:ilvl w:val="0"/>
          <w:numId w:val="1099"/>
        </w:numPr>
        <w:pStyle w:val="Compact"/>
      </w:pPr>
      <w:r>
        <w:rPr>
          <w:bCs/>
          <w:b/>
        </w:rPr>
        <w:t xml:space="preserve">Soort/structuur:</w:t>
      </w:r>
      <w:r>
        <w:t xml:space="preserve"> </w:t>
      </w:r>
      <w:r>
        <w:t xml:space="preserve">klein, ringvormig gesloten (cyclisch) synthetisch peptide dat de lichaamseigen boodschapperstof alfa-MSH nabootst. Toediening eenmaal per dag onder de huid. Vroegere ontwikkelingscode RM-493.</w:t>
      </w:r>
    </w:p>
    <w:p>
      <w:pPr>
        <w:numPr>
          <w:ilvl w:val="0"/>
          <w:numId w:val="1099"/>
        </w:numPr>
        <w:pStyle w:val="Compact"/>
      </w:pPr>
      <w:r>
        <w:rPr>
          <w:bCs/>
          <w:b/>
        </w:rPr>
        <w:t xml:space="preserve">Herkomst:</w:t>
      </w:r>
      <w:r>
        <w:t xml:space="preserve"> </w:t>
      </w:r>
      <w:r>
        <w:t xml:space="preserve">ontwikkeld door Rhythm Pharmaceuticals; handelsnaam Imcivree.</w:t>
      </w:r>
    </w:p>
    <w:p>
      <w:pPr>
        <w:numPr>
          <w:ilvl w:val="0"/>
          <w:numId w:val="1099"/>
        </w:numPr>
        <w:pStyle w:val="Compact"/>
      </w:pPr>
      <w:r>
        <w:rPr>
          <w:bCs/>
          <w:b/>
        </w:rPr>
        <w:t xml:space="preserve">Werkingsprincipe:</w:t>
      </w:r>
      <w:r>
        <w:t xml:space="preserve"> </w:t>
      </w:r>
      <w:r>
        <w:t xml:space="preserve">agonist op de melanocortine-4-receptor (MC4R) in de hypothalamus, een centraal schakelpunt voor honger en verzadiging.</w:t>
      </w:r>
    </w:p>
    <w:p>
      <w:pPr>
        <w:numPr>
          <w:ilvl w:val="0"/>
          <w:numId w:val="1099"/>
        </w:numPr>
        <w:pStyle w:val="Compact"/>
      </w:pPr>
      <w:r>
        <w:rPr>
          <w:bCs/>
          <w:b/>
        </w:rPr>
        <w:t xml:space="preserve">Registratie EU:</w:t>
      </w:r>
      <w:r>
        <w:t xml:space="preserve"> </w:t>
      </w:r>
      <w:r>
        <w:t xml:space="preserve">ja (Imcivree) voor obesitas bij genetisch bevestigde POMC-, PCSK1- of leptinereceptordeficiëntie en bij het syndroom van Bardet-Biedl.</w:t>
      </w:r>
    </w:p>
    <w:p>
      <w:pPr>
        <w:numPr>
          <w:ilvl w:val="0"/>
          <w:numId w:val="1099"/>
        </w:numPr>
        <w:pStyle w:val="Compact"/>
      </w:pPr>
      <w:r>
        <w:rPr>
          <w:bCs/>
          <w:b/>
        </w:rPr>
        <w:t xml:space="preserve">Registratie VS:</w:t>
      </w:r>
      <w:r>
        <w:t xml:space="preserve"> </w:t>
      </w:r>
      <w:r>
        <w:t xml:space="preserve">ja (Imcivree), voor het eerst in 2020, voor dezelfde zeldzame genetische vormen</w:t>
      </w:r>
      <w:r>
        <w:rPr>
          <w:rStyle w:val="FootnoteReference"/>
        </w:rPr>
        <w:footnoteReference w:id="793"/>
      </w:r>
      <w:r>
        <w:t xml:space="preserve">.</w:t>
      </w:r>
    </w:p>
    <w:p>
      <w:pPr>
        <w:numPr>
          <w:ilvl w:val="0"/>
          <w:numId w:val="1099"/>
        </w:numPr>
        <w:pStyle w:val="Compact"/>
      </w:pPr>
      <w:r>
        <w:rPr>
          <w:bCs/>
          <w:b/>
        </w:rPr>
        <w:t xml:space="preserve">WADA:</w:t>
      </w:r>
      <w:r>
        <w:t xml:space="preserve"> </w:t>
      </w:r>
      <w:r>
        <w:t xml:space="preserve">niet bij naam vermeld; als geregistreerd geneesmiddel niet onder S0.</w:t>
      </w:r>
    </w:p>
    <w:p>
      <w:pPr>
        <w:numPr>
          <w:ilvl w:val="0"/>
          <w:numId w:val="1099"/>
        </w:numPr>
        <w:pStyle w:val="Compact"/>
      </w:pPr>
      <w:r>
        <w:rPr>
          <w:bCs/>
          <w:b/>
        </w:rPr>
        <w:t xml:space="preserve">Bewijsniveau:</w:t>
      </w:r>
      <w:r>
        <w:t xml:space="preserve"> </w:t>
      </w:r>
      <w:r>
        <w:rPr>
          <w:bCs/>
          <w:b/>
        </w:rPr>
        <w:t xml:space="preserve">A</w:t>
      </w:r>
      <w:r>
        <w:t xml:space="preserve"> </w:t>
      </w:r>
      <w:r>
        <w:t xml:space="preserve">– registratie op basis van fase 3-studies; vanwege de zeldzaamheid van de aandoeningen zijn de studies echter klein en deels ongecontroleerd.</w:t>
      </w:r>
    </w:p>
    <w:bookmarkEnd w:id="794"/>
    <w:bookmarkStart w:id="795" w:name="hoe-het-zou-moeten-werken-12"/>
    <w:p>
      <w:pPr>
        <w:pStyle w:val="Heading3"/>
      </w:pPr>
      <w:r>
        <w:t xml:space="preserve">Hoe het zou moeten werken</w:t>
      </w:r>
    </w:p>
    <w:p>
      <w:pPr>
        <w:pStyle w:val="FirstParagraph"/>
      </w:pPr>
      <w:r>
        <w:t xml:space="preserve">Setmelanotide verschilt fundamenteel van alle andere werkzame stoffen in dit deel. Het is geen algemeen afslankmiddel, maar een gerichte behandeling voor mensen bij wie een bepaalde signaalketen in de hersenen defect is.</w:t>
      </w:r>
    </w:p>
    <w:p>
      <w:pPr>
        <w:pStyle w:val="BodyText"/>
      </w:pPr>
      <w:r>
        <w:t xml:space="preserve">Deze keten heet de leptine-melanocortineroute. Vereenvoudigd: het vetweefsel geeft het hormoon leptine af. Leptine werkt in de hypothalamus op zenuwcellen die uit een voorlopermolecuul genaamd POMC de boodschapperstof alfa-MSH maken. Voor die productie is een enzym nodig dat PCSK1 heet. Alfa-MSH activeert ten slotte de MC4-receptor – en het signaal luidt:</w:t>
      </w:r>
      <w:r>
        <w:t xml:space="preserve"> </w:t>
      </w:r>
      <w:r>
        <w:t xml:space="preserve">‘</w:t>
      </w:r>
      <w:r>
        <w:t xml:space="preserve">Genoeg gegeten.</w:t>
      </w:r>
      <w:r>
        <w:t xml:space="preserve">’</w:t>
      </w:r>
    </w:p>
    <w:p>
      <w:pPr>
        <w:pStyle w:val="BodyText"/>
      </w:pPr>
      <w:r>
        <w:t xml:space="preserve">Valt een van deze schakels uit door een aangeboren genverandering, dan ontstaat een kwellende, onstilbare honger (hyperfagie), die al op peuterleeftijd tot ernstige obesitas leidt. Dieet en beweging alleen kunnen daar weinig tegen uitrichten. Setmelanotide grijpt aan het einde van de keten aan en activeert de MC4-receptor rechtstreeks – het overbrugt als het ware de defecte schakels ervoor.</w:t>
      </w:r>
    </w:p>
    <w:p>
      <w:pPr>
        <w:pStyle w:val="BodyText"/>
      </w:pPr>
      <w:r>
        <w:t xml:space="preserve">Setmelanotide werkt bovendien op de nauw verwante melanocortine-1-receptor in de huid. Dat verklaart de meest voorkomende bijwerking: bruining van de huid (zie hieronder) – en het verbindt setmelanotide met de bruiningspeptiden zoals melanotan II en afamelanotide (deel II, groep E).</w:t>
      </w:r>
    </w:p>
    <w:bookmarkEnd w:id="795"/>
    <w:bookmarkStart w:id="811" w:name="studies-bij-mensen-1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Op ClinicalTrials.gov waren 27 studies geregistreerd. Vanwege de zeldzaamheid van de doelaandoeningen omvatten de studies vaak slechts 10 tot 40 deelnemers; de grootste gepubliceerde gerandomiseerde studie (naar hypothalame obesitas) omvatte 120 personen.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Kühnen 2016, PMID 27468060</w:t>
            </w:r>
          </w:p>
        </w:tc>
        <w:tc>
          <w:tcPr/>
          <w:p>
            <w:pPr>
              <w:pStyle w:val="Compact"/>
              <w:jc w:val="left"/>
            </w:pPr>
            <w:r>
              <w:t xml:space="preserve">2 personen met POMC-deficiëntie, open-label</w:t>
            </w:r>
          </w:p>
        </w:tc>
        <w:tc>
          <w:tcPr/>
          <w:p>
            <w:pPr>
              <w:pStyle w:val="Compact"/>
              <w:jc w:val="left"/>
            </w:pPr>
            <w:r>
              <w:t xml:space="preserve">12 resp. 42 weken</w:t>
            </w:r>
          </w:p>
        </w:tc>
        <w:tc>
          <w:tcPr/>
          <w:p>
            <w:pPr>
              <w:pStyle w:val="Compact"/>
              <w:jc w:val="left"/>
            </w:pPr>
            <w:r>
              <w:t xml:space="preserve">−20,5 kg resp. −51,0 kg; minder honger</w:t>
            </w:r>
          </w:p>
        </w:tc>
      </w:tr>
      <w:tr>
        <w:tc>
          <w:tcPr/>
          <w:p>
            <w:pPr>
              <w:pStyle w:val="Compact"/>
              <w:jc w:val="left"/>
            </w:pPr>
            <w:r>
              <w:t xml:space="preserve">Clément 2020 (POMC/LEPR), PMID 33137293</w:t>
            </w:r>
          </w:p>
        </w:tc>
        <w:tc>
          <w:tcPr/>
          <w:p>
            <w:pPr>
              <w:pStyle w:val="Compact"/>
              <w:jc w:val="left"/>
            </w:pPr>
            <w:r>
              <w:t xml:space="preserve">10 personen met POMC- en 11 met LEPR-deficiëntie; eenarmig, met stopfase</w:t>
            </w:r>
          </w:p>
        </w:tc>
        <w:tc>
          <w:tcPr/>
          <w:p>
            <w:pPr>
              <w:pStyle w:val="Compact"/>
              <w:jc w:val="left"/>
            </w:pPr>
            <w:r>
              <w:t xml:space="preserve">ongeveer 1 jaar</w:t>
            </w:r>
          </w:p>
        </w:tc>
        <w:tc>
          <w:tcPr/>
          <w:p>
            <w:pPr>
              <w:pStyle w:val="Compact"/>
              <w:jc w:val="left"/>
            </w:pPr>
            <w:r>
              <w:t xml:space="preserve">≥10% gewichtsverlies bij 80% (POMC) resp. 45% (LEPR)</w:t>
            </w:r>
          </w:p>
        </w:tc>
      </w:tr>
      <w:tr>
        <w:tc>
          <w:tcPr/>
          <w:p>
            <w:pPr>
              <w:pStyle w:val="Compact"/>
              <w:jc w:val="left"/>
            </w:pPr>
            <w:r>
              <w:t xml:space="preserve">Haqq 2022 (BBS/Alström), PMID 36356613</w:t>
            </w:r>
          </w:p>
        </w:tc>
        <w:tc>
          <w:tcPr/>
          <w:p>
            <w:pPr>
              <w:pStyle w:val="Compact"/>
              <w:jc w:val="left"/>
            </w:pPr>
            <w:r>
              <w:t xml:space="preserve">38 personen met syndroom van Bardet-Biedl of Alström; 14 weken tegen placebo, daarna open-label</w:t>
            </w:r>
          </w:p>
        </w:tc>
        <w:tc>
          <w:tcPr/>
          <w:p>
            <w:pPr>
              <w:pStyle w:val="Compact"/>
              <w:jc w:val="left"/>
            </w:pPr>
            <w:r>
              <w:t xml:space="preserve">66 weken</w:t>
            </w:r>
          </w:p>
        </w:tc>
        <w:tc>
          <w:tcPr/>
          <w:p>
            <w:pPr>
              <w:pStyle w:val="Compact"/>
              <w:jc w:val="left"/>
            </w:pPr>
            <w:r>
              <w:t xml:space="preserve">≥10% gewichtsverlies bij 32,3% van de BBS-patiënten vanaf 12 jaar</w:t>
            </w:r>
          </w:p>
        </w:tc>
      </w:tr>
      <w:tr>
        <w:tc>
          <w:tcPr/>
          <w:p>
            <w:pPr>
              <w:pStyle w:val="Compact"/>
              <w:jc w:val="left"/>
            </w:pPr>
            <w:r>
              <w:t xml:space="preserve">VENTURE (Argente 2025), PMID 39549719</w:t>
            </w:r>
          </w:p>
        </w:tc>
        <w:tc>
          <w:tcPr/>
          <w:p>
            <w:pPr>
              <w:pStyle w:val="Compact"/>
              <w:jc w:val="left"/>
            </w:pPr>
            <w:r>
              <w:t xml:space="preserve">12 kinderen van 2 tot 5 jaar, open-label</w:t>
            </w:r>
          </w:p>
        </w:tc>
        <w:tc>
          <w:tcPr/>
          <w:p>
            <w:pPr>
              <w:pStyle w:val="Compact"/>
              <w:jc w:val="left"/>
            </w:pPr>
            <w:r>
              <w:t xml:space="preserve">52 weken</w:t>
            </w:r>
          </w:p>
        </w:tc>
        <w:tc>
          <w:tcPr/>
          <w:p>
            <w:pPr>
              <w:pStyle w:val="Compact"/>
              <w:jc w:val="left"/>
            </w:pPr>
            <w:r>
              <w:t xml:space="preserve">BMI gemiddeld −18%</w:t>
            </w:r>
          </w:p>
        </w:tc>
      </w:tr>
      <w:tr>
        <w:tc>
          <w:tcPr/>
          <w:p>
            <w:pPr>
              <w:pStyle w:val="Compact"/>
              <w:jc w:val="left"/>
            </w:pPr>
            <w:r>
              <w:t xml:space="preserve">Roth 2024 (hypothalame obesitas), PMID 38697184</w:t>
            </w:r>
          </w:p>
        </w:tc>
        <w:tc>
          <w:tcPr/>
          <w:p>
            <w:pPr>
              <w:pStyle w:val="Compact"/>
              <w:jc w:val="left"/>
            </w:pPr>
            <w:r>
              <w:t xml:space="preserve">18 personen, open-label</w:t>
            </w:r>
          </w:p>
        </w:tc>
        <w:tc>
          <w:tcPr/>
          <w:p>
            <w:pPr>
              <w:pStyle w:val="Compact"/>
              <w:jc w:val="left"/>
            </w:pPr>
            <w:r>
              <w:t xml:space="preserve">16 weken</w:t>
            </w:r>
          </w:p>
        </w:tc>
        <w:tc>
          <w:tcPr/>
          <w:p>
            <w:pPr>
              <w:pStyle w:val="Compact"/>
              <w:jc w:val="left"/>
            </w:pPr>
            <w:r>
              <w:t xml:space="preserve">BMI gemiddeld −15%</w:t>
            </w:r>
          </w:p>
        </w:tc>
      </w:tr>
      <w:tr>
        <w:tc>
          <w:tcPr/>
          <w:p>
            <w:pPr>
              <w:pStyle w:val="Compact"/>
              <w:jc w:val="left"/>
            </w:pPr>
            <w:r>
              <w:t xml:space="preserve">TRANSCEND (Miller 2026), PMID 42418774</w:t>
            </w:r>
          </w:p>
        </w:tc>
        <w:tc>
          <w:tcPr/>
          <w:p>
            <w:pPr>
              <w:pStyle w:val="Compact"/>
              <w:jc w:val="left"/>
            </w:pPr>
            <w:r>
              <w:t xml:space="preserve">120 personen met verworven hypothalame obesitas, tegen placebo</w:t>
            </w:r>
          </w:p>
        </w:tc>
        <w:tc>
          <w:tcPr/>
          <w:p>
            <w:pPr>
              <w:pStyle w:val="Compact"/>
              <w:jc w:val="left"/>
            </w:pPr>
            <w:r>
              <w:t xml:space="preserve">52 weken</w:t>
            </w:r>
          </w:p>
        </w:tc>
        <w:tc>
          <w:tcPr/>
          <w:p>
            <w:pPr>
              <w:pStyle w:val="Compact"/>
              <w:jc w:val="left"/>
            </w:pPr>
            <w:r>
              <w:t xml:space="preserve">BMI −16,5% vs. +3,3%</w:t>
            </w:r>
          </w:p>
        </w:tc>
      </w:tr>
    </w:tbl>
    <w:bookmarkStart w:id="799" w:name="Xb7395646d0ee5e7b04689efd475b2ed1ab13504"/>
    <w:p>
      <w:pPr>
        <w:pStyle w:val="Heading4"/>
      </w:pPr>
      <w:r>
        <w:t xml:space="preserve">POMC-, PCSK1- en leptinereceptordeficiëntie</w:t>
      </w:r>
    </w:p>
    <w:p>
      <w:pPr>
        <w:pStyle w:val="FirstParagraph"/>
      </w:pPr>
      <w:r>
        <w:t xml:space="preserve">De eerste berichten waren afzonderlijke gevallen: twee patiënten met POMC-deficiëntie verloren in een door artsen geïnitieerde studie 51,0 kg na 42 weken resp. 20,5 kg na 12 weken, en hun honger nam blijvend af</w:t>
      </w:r>
      <w:r>
        <w:rPr>
          <w:rStyle w:val="FootnoteReference"/>
        </w:rPr>
        <w:footnoteReference w:id="796"/>
      </w:r>
      <w:r>
        <w:t xml:space="preserve">. Iets vergelijkbaars werd beschreven bij drie personen met leptinereceptordeficiëntie</w:t>
      </w:r>
      <w:r>
        <w:rPr>
          <w:rStyle w:val="FootnoteReference"/>
        </w:rPr>
        <w:footnoteReference w:id="797"/>
      </w:r>
      <w:r>
        <w:t xml:space="preserve">.</w:t>
      </w:r>
    </w:p>
    <w:p>
      <w:pPr>
        <w:pStyle w:val="BodyText"/>
      </w:pPr>
      <w:r>
        <w:t xml:space="preserve">De registratiestudies</w:t>
      </w:r>
      <w:r>
        <w:rPr>
          <w:rStyle w:val="FootnoteReference"/>
        </w:rPr>
        <w:footnoteReference w:id="798"/>
      </w:r>
      <w:r>
        <w:t xml:space="preserve"> </w:t>
      </w:r>
      <w:r>
        <w:t xml:space="preserve">waren eenarmig – er was dus geen doorlopende placebogroep –, maar bevatten wel een korte geblindeerde stopfase. Na ongeveer een jaar hadden 8 van de 10 personen met POMC-deficiëntie en 5 van de 11 met leptinereceptordeficiëntie ten minste 10% van hun gewicht verloren. De honger op een schaal van 0 tot 10 nam af met 27,1% resp. 43,7%. Voor zulke zeldzame aandoeningen zijn kleine, ongecontroleerde studies vaak het enige haalbare. Bij een aandoening waarbij zonder behandeling vrijwel geen gewichtsverlies te verwachten is, zijn de resultaten toch zeggingskrachtig.</w:t>
      </w:r>
    </w:p>
    <w:bookmarkEnd w:id="799"/>
    <w:bookmarkStart w:id="802" w:name="syndroom-van-bardet-biedl"/>
    <w:p>
      <w:pPr>
        <w:pStyle w:val="Heading4"/>
      </w:pPr>
      <w:r>
        <w:t xml:space="preserve">Syndroom van Bardet-Biedl</w:t>
      </w:r>
    </w:p>
    <w:p>
      <w:pPr>
        <w:pStyle w:val="FirstParagraph"/>
      </w:pPr>
      <w:r>
        <w:t xml:space="preserve">Het syndroom van Bardet-Biedl (BBS) is een zeldzame erfelijke aandoening waarbij de fijne celuitlopers (cilia) verstoord zijn; naast netvliesschade, nierproblemen en extra vingers of tenen horen sterke honger en obesitas erbij. In de fase 3-studie</w:t>
      </w:r>
      <w:r>
        <w:rPr>
          <w:rStyle w:val="FootnoteReference"/>
        </w:rPr>
        <w:footnoteReference w:id="800"/>
      </w:r>
      <w:r>
        <w:t xml:space="preserve"> </w:t>
      </w:r>
      <w:r>
        <w:t xml:space="preserve">bereikte na 52 weken 32,3% van de personen met BBS vanaf 12 jaar een gewichtsverlies van ten minste 10%. Bij het verwante syndroom van Alström waren de resultaten niet eenduidig. Een vergelijking met een passende controlegroep uit een BBS-register liet zien dat 58,6% van de behandelde tegenover 6,9% van de onbehandelde patiënten het betreffende succescriterium bereikte</w:t>
      </w:r>
      <w:r>
        <w:rPr>
          <w:rStyle w:val="FootnoteReference"/>
        </w:rPr>
        <w:footnoteReference w:id="801"/>
      </w:r>
      <w:r>
        <w:t xml:space="preserve"> </w:t>
      </w:r>
      <w:r>
        <w:t xml:space="preserve">– een indirecte, maar nuttige plaatsbepaling.</w:t>
      </w:r>
    </w:p>
    <w:bookmarkEnd w:id="802"/>
    <w:bookmarkStart w:id="804" w:name="jonge-kinderen"/>
    <w:p>
      <w:pPr>
        <w:pStyle w:val="Heading4"/>
      </w:pPr>
      <w:r>
        <w:t xml:space="preserve">Jonge kinderen</w:t>
      </w:r>
    </w:p>
    <w:p>
      <w:pPr>
        <w:pStyle w:val="FirstParagraph"/>
      </w:pPr>
      <w:r>
        <w:t xml:space="preserve">In de open-label VENTURE-studie met 12 kinderen tussen 2 en 5 jaar daalde de BMI na een jaar gemiddeld met 18%: met 26% bij POMC- of leptinereceptordeficiëntie en met 10% bij BBS. 91% van de verzorgers meldde dat de kinderen minder honger hadden</w:t>
      </w:r>
      <w:r>
        <w:rPr>
          <w:rStyle w:val="FootnoteReference"/>
        </w:rPr>
        <w:footnoteReference w:id="803"/>
      </w:r>
      <w:r>
        <w:t xml:space="preserve">.</w:t>
      </w:r>
    </w:p>
    <w:bookmarkEnd w:id="804"/>
    <w:bookmarkStart w:id="807" w:name="hypothalame-obesitas"/>
    <w:p>
      <w:pPr>
        <w:pStyle w:val="Heading4"/>
      </w:pPr>
      <w:r>
        <w:t xml:space="preserve">Hypothalame obesitas</w:t>
      </w:r>
    </w:p>
    <w:p>
      <w:pPr>
        <w:pStyle w:val="FirstParagraph"/>
      </w:pPr>
      <w:r>
        <w:t xml:space="preserve">Een tweede, vaker voorkomende doelgroep zijn mensen bij wie de hypothalamus beschadigd is door een tumor (vaak een craniofaryngeoom), een operatie of bestraling. Zij ontwikkelen vaak een moeilijk te behandelen obesitas. Na een open-label fase 2-studie met 18 personen, waarin de BMI na 16 weken gemiddeld met 15% daalde</w:t>
      </w:r>
      <w:r>
        <w:rPr>
          <w:rStyle w:val="FootnoteReference"/>
        </w:rPr>
        <w:footnoteReference w:id="805"/>
      </w:r>
      <w:r>
        <w:t xml:space="preserve">, volgde de gerandomiseerde fase 3-studie TRANSCEND</w:t>
      </w:r>
      <w:r>
        <w:rPr>
          <w:rStyle w:val="FootnoteReference"/>
        </w:rPr>
        <w:footnoteReference w:id="806"/>
      </w:r>
      <w:r>
        <w:t xml:space="preserve">:</w:t>
      </w:r>
    </w:p>
    <w:p>
      <w:pPr>
        <w:numPr>
          <w:ilvl w:val="0"/>
          <w:numId w:val="1100"/>
        </w:numPr>
        <w:pStyle w:val="Compact"/>
      </w:pPr>
      <w:r>
        <w:t xml:space="preserve">120 personen tussen 4 en 66 jaar, verhouding 2:1 setmelanotide tegenover placebo.</w:t>
      </w:r>
    </w:p>
    <w:p>
      <w:pPr>
        <w:numPr>
          <w:ilvl w:val="0"/>
          <w:numId w:val="1100"/>
        </w:numPr>
        <w:pStyle w:val="Compact"/>
      </w:pPr>
      <w:r>
        <w:t xml:space="preserve">Na 52 weken: BMI −16,5% met setmelanotide, +3,3% met placebo.</w:t>
      </w:r>
    </w:p>
    <w:p>
      <w:pPr>
        <w:numPr>
          <w:ilvl w:val="0"/>
          <w:numId w:val="1100"/>
        </w:numPr>
        <w:pStyle w:val="Compact"/>
      </w:pPr>
      <w:r>
        <w:t xml:space="preserve">Hongerscore: −2,73 tegenover −1,45 punt.</w:t>
      </w:r>
    </w:p>
    <w:p>
      <w:pPr>
        <w:numPr>
          <w:ilvl w:val="0"/>
          <w:numId w:val="1100"/>
        </w:numPr>
        <w:pStyle w:val="Compact"/>
      </w:pPr>
      <w:r>
        <w:t xml:space="preserve">Ernstige ongewenste voorvallen: 28% tegenover 8%.</w:t>
      </w:r>
    </w:p>
    <w:bookmarkEnd w:id="807"/>
    <w:bookmarkStart w:id="810" w:name="vaker-voorkomende-genetische-varianten"/>
    <w:p>
      <w:pPr>
        <w:pStyle w:val="Heading4"/>
      </w:pPr>
      <w:r>
        <w:t xml:space="preserve">Vaker voorkomende genetische varianten</w:t>
      </w:r>
    </w:p>
    <w:p>
      <w:pPr>
        <w:pStyle w:val="FirstParagraph"/>
      </w:pPr>
      <w:r>
        <w:t xml:space="preserve">Minder overtuigend zijn de gegevens bij mensen met slechts één veranderde kopie van het MC4R-gen – een van de meest voorkomende genetische oorzaken van ernstige obesitas. In een kleine studie van 28 dagen verloren zulke personen weliswaar gewicht, maar duidelijk minder dan personen met POMC-defecten</w:t>
      </w:r>
      <w:r>
        <w:rPr>
          <w:rStyle w:val="FootnoteReference"/>
        </w:rPr>
        <w:footnoteReference w:id="808"/>
      </w:r>
      <w:r>
        <w:t xml:space="preserve">. De grotere fase 3-studie EMANATE naar verschillende varianten in de MC4R-route is volgens het register afgerond</w:t>
      </w:r>
      <w:r>
        <w:rPr>
          <w:rStyle w:val="FootnoteReference"/>
        </w:rPr>
        <w:footnoteReference w:id="809"/>
      </w:r>
      <w:r>
        <w:t xml:space="preserve">; een collegiaal getoetste publicatie lag bij het onderzoek nog niet voor.</w:t>
      </w:r>
    </w:p>
    <w:bookmarkEnd w:id="810"/>
    <w:bookmarkEnd w:id="811"/>
    <w:bookmarkStart w:id="813" w:name="dier--en-laboratoriumstudies-12"/>
    <w:p>
      <w:pPr>
        <w:pStyle w:val="Heading3"/>
      </w:pPr>
      <w:r>
        <w:t xml:space="preserve">Dier- en laboratoriumstudies</w:t>
      </w:r>
    </w:p>
    <w:p>
      <w:pPr>
        <w:pStyle w:val="FirstParagraph"/>
      </w:pPr>
      <w:r>
        <w:t xml:space="preserve">In celexperimenten is setmelanotide op de MC4-receptor duidelijk werkzamer dan het lichaamseigen alfa-MSH en kan het een deel van de defecte receptorvarianten gedeeltelijk weer activeren. Bij normale knaagdieren leidde het tot gewichtsverlies, bij muizen helemaal zonder MC4-receptor daarentegen niet</w:t>
      </w:r>
      <w:r>
        <w:rPr>
          <w:rStyle w:val="FootnoteReference"/>
        </w:rPr>
        <w:footnoteReference w:id="812"/>
      </w:r>
      <w:r>
        <w:t xml:space="preserve">. Dat bevestigt dat de werking daadwerkelijk via deze receptor verloopt.</w:t>
      </w:r>
    </w:p>
    <w:bookmarkEnd w:id="813"/>
    <w:bookmarkStart w:id="819" w:name="risicos-en-bijwerkingen-12"/>
    <w:p>
      <w:pPr>
        <w:pStyle w:val="Heading3"/>
      </w:pPr>
      <w:r>
        <w:t xml:space="preserve">Risico’s en bijwerkingen</w:t>
      </w:r>
    </w:p>
    <w:p>
      <w:pPr>
        <w:pStyle w:val="FirstParagraph"/>
      </w:pPr>
      <w:r>
        <w:rPr>
          <w:bCs/>
          <w:b/>
        </w:rPr>
        <w:t xml:space="preserve">Aangetoond in studies:</w:t>
      </w:r>
    </w:p>
    <w:p>
      <w:pPr>
        <w:numPr>
          <w:ilvl w:val="0"/>
          <w:numId w:val="1101"/>
        </w:numPr>
        <w:pStyle w:val="Compact"/>
      </w:pPr>
      <w:r>
        <w:rPr>
          <w:bCs/>
          <w:b/>
        </w:rPr>
        <w:t xml:space="preserve">Huidreacties op de injectieplaats</w:t>
      </w:r>
      <w:r>
        <w:t xml:space="preserve"> </w:t>
      </w:r>
      <w:r>
        <w:t xml:space="preserve">(roodheid, zwelling): in een meta-analyse van zeven studies met 185 personen bij 96%</w:t>
      </w:r>
      <w:r>
        <w:rPr>
          <w:rStyle w:val="FootnoteReference"/>
        </w:rPr>
        <w:footnoteReference w:id="814"/>
      </w:r>
      <w:r>
        <w:t xml:space="preserve">.</w:t>
      </w:r>
    </w:p>
    <w:p>
      <w:pPr>
        <w:numPr>
          <w:ilvl w:val="0"/>
          <w:numId w:val="1101"/>
        </w:numPr>
        <w:pStyle w:val="Compact"/>
      </w:pPr>
      <w:r>
        <w:rPr>
          <w:bCs/>
          <w:b/>
        </w:rPr>
        <w:t xml:space="preserve">Donkerdere huid (hyperpigmentatie):</w:t>
      </w:r>
      <w:r>
        <w:t xml:space="preserve"> </w:t>
      </w:r>
      <w:r>
        <w:t xml:space="preserve">bij 62% in dezelfde meta-analyse. Via de werking op de melanocortine-1-receptor wordt de huid bruiner, lippen en moedervlekken worden donkerder, rood haar kan bruin kleuren. In een observatie van tot 46 maanden stabiliseerde de bruining zich na verloop van tijd; kwaadaardige huidafwijkingen traden niet op</w:t>
      </w:r>
      <w:r>
        <w:rPr>
          <w:rStyle w:val="FootnoteReference"/>
        </w:rPr>
        <w:footnoteReference w:id="815"/>
      </w:r>
      <w:r>
        <w:t xml:space="preserve">. Deskundigen adviseren regelmatig huidonderzoek.</w:t>
      </w:r>
    </w:p>
    <w:p>
      <w:pPr>
        <w:numPr>
          <w:ilvl w:val="0"/>
          <w:numId w:val="1101"/>
        </w:numPr>
        <w:pStyle w:val="Compact"/>
      </w:pPr>
      <w:r>
        <w:rPr>
          <w:bCs/>
          <w:b/>
        </w:rPr>
        <w:t xml:space="preserve">Misselijkheid en braken:</w:t>
      </w:r>
      <w:r>
        <w:t xml:space="preserve"> </w:t>
      </w:r>
      <w:r>
        <w:t xml:space="preserve">bij 36% resp. 26%; diarree bij 21%</w:t>
      </w:r>
      <w:r>
        <w:rPr>
          <w:rStyle w:val="FootnoteReference"/>
        </w:rPr>
        <w:footnoteReference w:id="816"/>
      </w:r>
      <w:r>
        <w:t xml:space="preserve">.</w:t>
      </w:r>
    </w:p>
    <w:p>
      <w:pPr>
        <w:numPr>
          <w:ilvl w:val="0"/>
          <w:numId w:val="1101"/>
        </w:numPr>
        <w:pStyle w:val="Compact"/>
      </w:pPr>
      <w:r>
        <w:rPr>
          <w:bCs/>
          <w:b/>
        </w:rPr>
        <w:t xml:space="preserve">Ernstige ongewenste voorvallen:</w:t>
      </w:r>
      <w:r>
        <w:t xml:space="preserve"> </w:t>
      </w:r>
      <w:r>
        <w:t xml:space="preserve">in TRANSCEND vaker met setmelanotide (28% vs. 8%)</w:t>
      </w:r>
      <w:r>
        <w:rPr>
          <w:rStyle w:val="FootnoteReference"/>
        </w:rPr>
        <w:footnoteReference w:id="817"/>
      </w:r>
      <w:r>
        <w:t xml:space="preserve">; de samenvatting specificeert ze niet afzonderlijk.</w:t>
      </w:r>
    </w:p>
    <w:p>
      <w:pPr>
        <w:numPr>
          <w:ilvl w:val="0"/>
          <w:numId w:val="1101"/>
        </w:numPr>
        <w:pStyle w:val="Compact"/>
      </w:pPr>
      <w:r>
        <w:t xml:space="preserve">In de BBS-studie werden als ernstige voorvallen onder meer suïcidale gedachten gemeld, die niet als behandelingsgerelateerd werden beoordeeld</w:t>
      </w:r>
      <w:r>
        <w:rPr>
          <w:rStyle w:val="FootnoteReference"/>
        </w:rPr>
        <w:footnoteReference w:id="818"/>
      </w:r>
      <w:r>
        <w:t xml:space="preserve">. De productinformatie bevat waarschuwingen over depressie en suïcidale gedachten en over spontane erecties bij mannen.</w:t>
      </w:r>
    </w:p>
    <w:p>
      <w:pPr>
        <w:pStyle w:val="FirstParagraph"/>
      </w:pPr>
      <w:r>
        <w:rPr>
          <w:bCs/>
          <w:b/>
        </w:rPr>
        <w:t xml:space="preserve">Theoretisch:</w:t>
      </w:r>
      <w:r>
        <w:t xml:space="preserve"> </w:t>
      </w:r>
      <w:r>
        <w:t xml:space="preserve">of de aanhoudende stimulatie van de pigmentcellen op lange termijn het risico op huidkanker beïnvloedt, is niet opgehelderd; observaties over enkele jaren tonen tot nu toe geen signaal.</w:t>
      </w:r>
    </w:p>
    <w:p>
      <w:pPr>
        <w:pStyle w:val="BodyText"/>
      </w:pPr>
      <w:r>
        <w:rPr>
          <w:bCs/>
          <w:b/>
        </w:rPr>
        <w:t xml:space="preserve">Misbruikpotentieel:</w:t>
      </w:r>
      <w:r>
        <w:t xml:space="preserve"> </w:t>
      </w:r>
      <w:r>
        <w:t xml:space="preserve">vanwege het bruinende effect wordt setmelanotide op internetfora af en toe in verband gebracht met melanotan II. Voor mensen zonder aangetoond genetisch defect is het geen geschikt afslankmiddel en daarvoor ook niet onderzocht.</w:t>
      </w:r>
    </w:p>
    <w:bookmarkEnd w:id="819"/>
    <w:bookmarkStart w:id="820" w:name="juridische-status-12"/>
    <w:p>
      <w:pPr>
        <w:pStyle w:val="Heading3"/>
      </w:pPr>
      <w:r>
        <w:t xml:space="preserve">Juridische status</w:t>
      </w:r>
    </w:p>
    <w:p>
      <w:pPr>
        <w:numPr>
          <w:ilvl w:val="0"/>
          <w:numId w:val="1102"/>
        </w:numPr>
        <w:pStyle w:val="Compact"/>
      </w:pPr>
      <w:r>
        <w:rPr>
          <w:bCs/>
          <w:b/>
        </w:rPr>
        <w:t xml:space="preserve">EU / Oostenrijk / Duitsland:</w:t>
      </w:r>
      <w:r>
        <w:t xml:space="preserve"> </w:t>
      </w:r>
      <w:r>
        <w:t xml:space="preserve">geregistreerd (Imcivree), alleen op recept, uitsluitend voor genetisch bevestigde vormen (POMC-, PCSK1-, leptinereceptordeficiëntie, syndroom van Bardet-Biedl). De diagnose vereist genetisch onderzoek; het starten en bewaken van de behandeling hoort thuis in gespecialiseerde centra. Details over uitbreiding naar hypothalame obesitas:</w:t>
      </w:r>
    </w:p>
    <w:p>
      <w:pPr>
        <w:numPr>
          <w:ilvl w:val="0"/>
          <w:numId w:val="1102"/>
        </w:numPr>
        <w:pStyle w:val="Compact"/>
      </w:pPr>
      <w:r>
        <w:rPr>
          <w:bCs/>
          <w:b/>
        </w:rPr>
        <w:t xml:space="preserve">VS:</w:t>
      </w:r>
      <w:r>
        <w:t xml:space="preserve"> </w:t>
      </w:r>
      <w:r>
        <w:t xml:space="preserve">geregistreerd sinds 2020 (POMC, PCSK1, LEPR), later uitgebreid naar het syndroom van Bardet-Biedl en naar jongere kinderen; een aanvraag voor hypothalame obesitas is op basis van TRANSCEND ingediend.</w:t>
      </w:r>
    </w:p>
    <w:p>
      <w:pPr>
        <w:numPr>
          <w:ilvl w:val="0"/>
          <w:numId w:val="1102"/>
        </w:numPr>
        <w:pStyle w:val="Compact"/>
      </w:pPr>
      <w:r>
        <w:rPr>
          <w:bCs/>
          <w:b/>
        </w:rPr>
        <w:t xml:space="preserve">Sport:</w:t>
      </w:r>
      <w:r>
        <w:t xml:space="preserve"> </w:t>
      </w:r>
      <w:r>
        <w:t xml:space="preserve">niet vermeld op de WADA-lijst (stand 2026, actuele situatie controleren).</w:t>
      </w:r>
    </w:p>
    <w:bookmarkEnd w:id="820"/>
    <w:bookmarkStart w:id="827" w:name="lopende-studies-en-vooruitzichten-12"/>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03"/>
        </w:numPr>
        <w:pStyle w:val="Compact"/>
      </w:pPr>
      <w:r>
        <w:rPr>
          <w:bCs/>
          <w:b/>
        </w:rPr>
        <w:t xml:space="preserve">TRANSCEND</w:t>
      </w:r>
      <w:r>
        <w:rPr>
          <w:rStyle w:val="FootnoteReference"/>
        </w:rPr>
        <w:footnoteReference w:id="821"/>
      </w:r>
      <w:r>
        <w:t xml:space="preserve"> </w:t>
      </w:r>
      <w:r>
        <w:t xml:space="preserve">loopt door in een verlenging; een deelstudie onderzoekt aangeboren hypothalame obesitas</w:t>
      </w:r>
      <w:r>
        <w:rPr>
          <w:rStyle w:val="FootnoteReference"/>
        </w:rPr>
        <w:footnoteReference w:id="822"/>
      </w:r>
      <w:r>
        <w:t xml:space="preserve">.</w:t>
      </w:r>
    </w:p>
    <w:p>
      <w:pPr>
        <w:numPr>
          <w:ilvl w:val="0"/>
          <w:numId w:val="1103"/>
        </w:numPr>
        <w:pStyle w:val="Compact"/>
      </w:pPr>
      <w:r>
        <w:rPr>
          <w:bCs/>
          <w:b/>
        </w:rPr>
        <w:t xml:space="preserve">Syndroom van Prader-Willi</w:t>
      </w:r>
      <w:r>
        <w:rPr>
          <w:rStyle w:val="FootnoteReference"/>
        </w:rPr>
        <w:footnoteReference w:id="823"/>
      </w:r>
      <w:r>
        <w:t xml:space="preserve">: fase 2 met 18 deelnemers.</w:t>
      </w:r>
    </w:p>
    <w:p>
      <w:pPr>
        <w:numPr>
          <w:ilvl w:val="0"/>
          <w:numId w:val="1103"/>
        </w:numPr>
        <w:pStyle w:val="Compact"/>
      </w:pPr>
      <w:r>
        <w:rPr>
          <w:bCs/>
          <w:b/>
        </w:rPr>
        <w:t xml:space="preserve">Langetermijnobservatie</w:t>
      </w:r>
      <w:r>
        <w:t xml:space="preserve"> </w:t>
      </w:r>
      <w:r>
        <w:t xml:space="preserve">bij BBS en ernstige genetische obesitas in de praktijk</w:t>
      </w:r>
      <w:r>
        <w:rPr>
          <w:rStyle w:val="FootnoteReference"/>
        </w:rPr>
        <w:footnoteReference w:id="824"/>
      </w:r>
      <w:r>
        <w:t xml:space="preserve">.</w:t>
      </w:r>
    </w:p>
    <w:p>
      <w:pPr>
        <w:numPr>
          <w:ilvl w:val="0"/>
          <w:numId w:val="1103"/>
        </w:numPr>
        <w:pStyle w:val="Compact"/>
      </w:pPr>
      <w:r>
        <w:rPr>
          <w:bCs/>
          <w:b/>
        </w:rPr>
        <w:t xml:space="preserve">EMANATE</w:t>
      </w:r>
      <w:r>
        <w:rPr>
          <w:rStyle w:val="FootnoteReference"/>
        </w:rPr>
        <w:footnoteReference w:id="825"/>
      </w:r>
      <w:r>
        <w:t xml:space="preserve"> </w:t>
      </w:r>
      <w:r>
        <w:t xml:space="preserve">en</w:t>
      </w:r>
      <w:r>
        <w:t xml:space="preserve"> </w:t>
      </w:r>
      <w:r>
        <w:rPr>
          <w:bCs/>
          <w:b/>
        </w:rPr>
        <w:t xml:space="preserve">DAYBREAK</w:t>
      </w:r>
      <w:r>
        <w:rPr>
          <w:rStyle w:val="FootnoteReference"/>
        </w:rPr>
        <w:footnoteReference w:id="826"/>
      </w:r>
      <w:r>
        <w:t xml:space="preserve"> </w:t>
      </w:r>
      <w:r>
        <w:t xml:space="preserve">naar verdere genvarianten: afgerond, publicatie volgt nog.</w:t>
      </w:r>
    </w:p>
    <w:p>
      <w:pPr>
        <w:pStyle w:val="FirstParagraph"/>
      </w:pPr>
      <w:r>
        <w:rPr>
          <w:bCs/>
          <w:b/>
        </w:rPr>
        <w:t xml:space="preserve">Inschatting:</w:t>
      </w:r>
      <w:r>
        <w:t xml:space="preserve"> </w:t>
      </w:r>
      <w:r>
        <w:t xml:space="preserve">setmelanotide heeft laten zien dat precisiegeneeskunde bij obesitas mogelijk is: wie de oorzaak kent, kan gericht behandelen. De doelgroep blijft klein; met hypothalame obesitas zou die echter aanzienlijk kunnen groeien. Voor de grote meerderheid van de mensen met obesitas, bij wie geen dergelijk gendefect aanwezig is, zijn op GLP-1 gebaseerde geneesmiddelen werkzamer en beter onderzocht.</w:t>
      </w:r>
    </w:p>
    <w:bookmarkEnd w:id="827"/>
    <w:bookmarkStart w:id="828" w:name="conclusie-12"/>
    <w:p>
      <w:pPr>
        <w:pStyle w:val="Heading3"/>
      </w:pPr>
      <w:r>
        <w:t xml:space="preserve">Conclusie</w:t>
      </w:r>
    </w:p>
    <w:p>
      <w:pPr>
        <w:pStyle w:val="FirstParagraph"/>
      </w:pPr>
      <w:r>
        <w:t xml:space="preserve">Setmelanotide is een klein cyclisch peptide dat de MC4-receptor in de hersenen activeert en zo defecte schakels van de leptine-melanocortineroute overbrugt. In kleine registratiestudies verloor 80% van de mensen met POMC-deficiëntie en 45% met leptinereceptordeficiëntie ten minste 10% van hun gewicht; bij hypothalame obesitas daalde de BMI na een jaar met 16,5% tegenover een stijging bij placebo. Vrijwel alle behandelden krijgen huidreacties op de injectieplaats, de meerderheid een donkerdere huid. Setmelanotide is in de EU en de VS geregistreerd voor zeldzame genetische vormen van obesitas en is geen geneesmiddel voor algemeen gewichtsverlies.</w:t>
      </w:r>
    </w:p>
    <w:bookmarkEnd w:id="828"/>
    <w:bookmarkEnd w:id="829"/>
    <w:bookmarkStart w:id="854" w:name="aod-9604"/>
    <w:p>
      <w:pPr>
        <w:pStyle w:val="Heading2"/>
      </w:pPr>
      <w:r>
        <w:t xml:space="preserve">AOD-9604</w:t>
      </w:r>
    </w:p>
    <w:bookmarkStart w:id="831" w:name="profiel-13"/>
    <w:p>
      <w:pPr>
        <w:pStyle w:val="Heading3"/>
      </w:pPr>
      <w:r>
        <w:t xml:space="preserve">Profiel</w:t>
      </w:r>
    </w:p>
    <w:p>
      <w:pPr>
        <w:numPr>
          <w:ilvl w:val="0"/>
          <w:numId w:val="1104"/>
        </w:numPr>
        <w:pStyle w:val="Compact"/>
      </w:pPr>
      <w:r>
        <w:rPr>
          <w:bCs/>
          <w:b/>
        </w:rPr>
        <w:t xml:space="preserve">Soort/structuur:</w:t>
      </w:r>
      <w:r>
        <w:t xml:space="preserve"> </w:t>
      </w:r>
      <w:r>
        <w:t xml:space="preserve">synthetisch peptide afkomstig van het achterste uiteinde (C-terminus) van het menselijk groeihormoon: de aminozuren 177 tot 191, aangevuld met een extra tyrosine aan het begin</w:t>
      </w:r>
      <w:r>
        <w:rPr>
          <w:rStyle w:val="FootnoteReference"/>
        </w:rPr>
        <w:footnoteReference w:id="830"/>
      </w:r>
      <w:r>
        <w:t xml:space="preserve">. Op internet vaak aangeboden onder benamingen als</w:t>
      </w:r>
      <w:r>
        <w:t xml:space="preserve"> </w:t>
      </w:r>
      <w:r>
        <w:t xml:space="preserve">‘</w:t>
      </w:r>
      <w:r>
        <w:t xml:space="preserve">hGH Fragment 176-191</w:t>
      </w:r>
      <w:r>
        <w:t xml:space="preserve">’</w:t>
      </w:r>
      <w:r>
        <w:t xml:space="preserve"> </w:t>
      </w:r>
      <w:r>
        <w:t xml:space="preserve">of</w:t>
      </w:r>
      <w:r>
        <w:t xml:space="preserve"> </w:t>
      </w:r>
      <w:r>
        <w:t xml:space="preserve">‘</w:t>
      </w:r>
      <w:r>
        <w:t xml:space="preserve">Frag 176-191</w:t>
      </w:r>
      <w:r>
        <w:t xml:space="preserve">’</w:t>
      </w:r>
      <w:r>
        <w:t xml:space="preserve">. De naam staat voor</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Herkomst:</w:t>
      </w:r>
      <w:r>
        <w:t xml:space="preserve"> </w:t>
      </w:r>
      <w:r>
        <w:t xml:space="preserve">in de jaren negentig ontwikkeld aan de Monash University in Melbourne en door het Australische bedrijf Metabolic Pharmaceuticals als afslankmiddel nagestreefd.</w:t>
      </w:r>
    </w:p>
    <w:p>
      <w:pPr>
        <w:numPr>
          <w:ilvl w:val="0"/>
          <w:numId w:val="1104"/>
        </w:numPr>
        <w:pStyle w:val="Compact"/>
      </w:pPr>
      <w:r>
        <w:rPr>
          <w:bCs/>
          <w:b/>
        </w:rPr>
        <w:t xml:space="preserve">Werkingsprincipe (hypothese):</w:t>
      </w:r>
      <w:r>
        <w:t xml:space="preserve"> </w:t>
      </w:r>
      <w:r>
        <w:t xml:space="preserve">zou de vetafbrekende werking van groeihormoon nabootsen, zonder het effect daarvan op bloedsuiker en groei.</w:t>
      </w:r>
    </w:p>
    <w:p>
      <w:pPr>
        <w:numPr>
          <w:ilvl w:val="0"/>
          <w:numId w:val="1104"/>
        </w:numPr>
        <w:pStyle w:val="Compact"/>
      </w:pPr>
      <w:r>
        <w:rPr>
          <w:bCs/>
          <w:b/>
        </w:rPr>
        <w:t xml:space="preserve">Registratie EU / VS:</w:t>
      </w:r>
      <w:r>
        <w:t xml:space="preserve"> </w:t>
      </w:r>
      <w:r>
        <w:t xml:space="preserve">nee. De ontwikkeling als geneesmiddel werd na fase 2-studies stopgezet.</w:t>
      </w:r>
    </w:p>
    <w:p>
      <w:pPr>
        <w:numPr>
          <w:ilvl w:val="0"/>
          <w:numId w:val="1104"/>
        </w:numPr>
        <w:pStyle w:val="Compact"/>
      </w:pPr>
      <w:r>
        <w:rPr>
          <w:bCs/>
          <w:b/>
        </w:rPr>
        <w:t xml:space="preserve">WADA:</w:t>
      </w:r>
      <w:r>
        <w:t xml:space="preserve"> </w:t>
      </w:r>
      <w:r>
        <w:t xml:space="preserve">verboden – groeihormoonfragmenten zoals AOD-9604 worden op de verboden lijst in klasse S2 uitdrukkelijk genoemd.</w:t>
      </w:r>
    </w:p>
    <w:p>
      <w:pPr>
        <w:numPr>
          <w:ilvl w:val="0"/>
          <w:numId w:val="1104"/>
        </w:numPr>
        <w:pStyle w:val="Compact"/>
      </w:pPr>
      <w:r>
        <w:rPr>
          <w:bCs/>
          <w:b/>
        </w:rPr>
        <w:t xml:space="preserve">Bewijsniveau:</w:t>
      </w:r>
      <w:r>
        <w:t xml:space="preserve"> </w:t>
      </w:r>
      <w:r>
        <w:rPr>
          <w:bCs/>
          <w:b/>
        </w:rPr>
        <w:t xml:space="preserve">D</w:t>
      </w:r>
      <w:r>
        <w:t xml:space="preserve"> </w:t>
      </w:r>
      <w:r>
        <w:t xml:space="preserve">– geen in PubMed vindbare gepubliceerde resultaten van studies bij mensen; gegevens uit dier- en laboratoriumstudies.</w:t>
      </w:r>
    </w:p>
    <w:bookmarkEnd w:id="831"/>
    <w:bookmarkStart w:id="835" w:name="hoe-het-zou-moeten-werken-13"/>
    <w:p>
      <w:pPr>
        <w:pStyle w:val="Heading3"/>
      </w:pPr>
      <w:r>
        <w:t xml:space="preserve">Hoe het zou moeten werken</w:t>
      </w:r>
    </w:p>
    <w:p>
      <w:pPr>
        <w:pStyle w:val="FirstParagraph"/>
      </w:pPr>
      <w:r>
        <w:t xml:space="preserve">Groeihormoon (hGH) heeft veel effecten: het bevordert de lengtegroei, werkt op spieren en botten, stimuleert de vetverbranding – en verhoogt de bloedsuiker door de werking van insuline af te zwakken. Al in de jaren zeventig en tachtig onderzochten wetenschappers bij dieren of afzonderlijke delen van het hormoon verschillende deelwerkingen dragen. Opmerkelijk: in een studie bij ratten veroorzaakten chemisch veranderde versies van juist dit deel (aminozuren 177 tot 191) een verhoogde bloedsuiker en insulineresistentie</w:t>
      </w:r>
      <w:r>
        <w:rPr>
          <w:rStyle w:val="FootnoteReference"/>
        </w:rPr>
        <w:footnoteReference w:id="832"/>
      </w:r>
      <w:r>
        <w:t xml:space="preserve"> </w:t>
      </w:r>
      <w:r>
        <w:t xml:space="preserve">– dus precies het effect dat AOD-9604 later moest vermijden. De resultaten hangen kennelijk sterk af van de precieze chemische vorm van het peptide.</w:t>
      </w:r>
    </w:p>
    <w:p>
      <w:pPr>
        <w:pStyle w:val="BodyText"/>
      </w:pPr>
      <w:r>
        <w:t xml:space="preserve">Het idee achter AOD-9604: een kort stuk van het uiteinde van het hormoon zou alleen de vetafbrekende werking behouden. Laboratoriumonderzoek liet zien dat AOD-9604 niet aan de groeihormoonreceptor bindt en daar ook geen celdeling stimuleert</w:t>
      </w:r>
      <w:r>
        <w:rPr>
          <w:rStyle w:val="FootnoteReference"/>
        </w:rPr>
        <w:footnoteReference w:id="833"/>
      </w:r>
      <w:r>
        <w:t xml:space="preserve">. Het zou dus geen</w:t>
      </w:r>
      <w:r>
        <w:t xml:space="preserve"> </w:t>
      </w:r>
      <w:r>
        <w:t xml:space="preserve">‘</w:t>
      </w:r>
      <w:r>
        <w:t xml:space="preserve">klein groeihormoon</w:t>
      </w:r>
      <w:r>
        <w:t xml:space="preserve">’</w:t>
      </w:r>
      <w:r>
        <w:t xml:space="preserve"> </w:t>
      </w:r>
      <w:r>
        <w:t xml:space="preserve">zijn, maar een molecuul met een eigen, nog niet volledig begrepen werkingsmechanisme. In experimenten bij muizen zonder bèta-3-adrenoceptor (een belangrijke receptor voor vetafbraak) bleef het gewichtsverlagende langetermijneffect uit; de auteurs concludeerden daaruit dat de receptor betrokken is, maar niet het directe aangrijpingspunt is</w:t>
      </w:r>
      <w:r>
        <w:rPr>
          <w:rStyle w:val="FootnoteReference"/>
        </w:rPr>
        <w:footnoteReference w:id="834"/>
      </w:r>
      <w:r>
        <w:t xml:space="preserve">.</w:t>
      </w:r>
    </w:p>
    <w:bookmarkEnd w:id="835"/>
    <w:bookmarkStart w:id="837" w:name="studies-bij-mensen-1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gepubliceerde studie bij mensen op. Op ClinicalTrials.gov is onder</w:t>
      </w:r>
      <w:r>
        <w:t xml:space="preserve"> </w:t>
      </w:r>
      <w:r>
        <w:t xml:space="preserve">‘</w:t>
      </w:r>
      <w:r>
        <w:t xml:space="preserve">AOD9604</w:t>
      </w:r>
      <w:r>
        <w:t xml:space="preserve">’</w:t>
      </w:r>
      <w:r>
        <w:t xml:space="preserve"> </w:t>
      </w:r>
      <w:r>
        <w:t xml:space="preserve">resp.</w:t>
      </w:r>
      <w:r>
        <w:t xml:space="preserve"> </w:t>
      </w:r>
      <w:r>
        <w:t xml:space="preserve">‘</w:t>
      </w:r>
      <w:r>
        <w:t xml:space="preserve">AOD-9604</w:t>
      </w:r>
      <w:r>
        <w:t xml:space="preserve">’</w:t>
      </w:r>
      <w:r>
        <w:t xml:space="preserve"> </w:t>
      </w:r>
      <w:r>
        <w:t xml:space="preserve">geen studie geregistreerd.</w:t>
      </w:r>
    </w:p>
    <w:p>
      <w:pPr>
        <w:pStyle w:val="BodyText"/>
      </w:pPr>
      <w:r>
        <w:t xml:space="preserve">Dat betekent niet dat AOD-9604 nooit bij mensen is getest. Overzichtsartikelen uit de jaren 2004 tot 2006 melden dat AOD-9604 zich in fase 2-studies voor de behandeling van obesitas bevond</w:t>
      </w:r>
      <w:r>
        <w:rPr>
          <w:rStyle w:val="FootnoteReference"/>
        </w:rPr>
        <w:footnoteReference w:id="836"/>
      </w:r>
      <w:r>
        <w:t xml:space="preserve">. De resultaten van deze studies zijn echter niet gepubliceerd in een collegiaal getoetst, in PubMed opgenomen vaktijdschrift. Volgens openbaar toegankelijke informatie stopte de ontwikkelaar het afslankprogramma in de tweede helft van de jaren 2000, omdat er geen voldoende effect werd gevonden. Omdat deze gegevens niet uit een controleerbare studiepublicatie komen, noemt dit boek daarover geen cijfers.</w:t>
      </w:r>
    </w:p>
    <w:p>
      <w:pPr>
        <w:pStyle w:val="BodyText"/>
      </w:pPr>
      <w:r>
        <w:t xml:space="preserve">Voor lezers betekent dit: wie vandaag AOD-9604 aangeboden krijgt als afslank- of</w:t>
      </w:r>
      <w:r>
        <w:t xml:space="preserve"> </w:t>
      </w:r>
      <w:r>
        <w:t xml:space="preserve">‘</w:t>
      </w:r>
      <w:r>
        <w:t xml:space="preserve">fatburner</w:t>
      </w:r>
      <w:r>
        <w:t xml:space="preserve">’</w:t>
      </w:r>
      <w:r>
        <w:t xml:space="preserve">-peptide, kan zich op geen enkele gepubliceerde studie bij mensen beroepen die een effect aantoont.</w:t>
      </w:r>
    </w:p>
    <w:bookmarkEnd w:id="837"/>
    <w:bookmarkStart w:id="842" w:name="dier--en-laboratoriumstudies-13"/>
    <w:p>
      <w:pPr>
        <w:pStyle w:val="Heading3"/>
      </w:pPr>
      <w:r>
        <w:t xml:space="preserve">Dier- en laboratoriumstudies</w:t>
      </w:r>
    </w:p>
    <w:p>
      <w:pPr>
        <w:pStyle w:val="FirstParagraph"/>
      </w:pPr>
      <w:r>
        <w:t xml:space="preserve">Alle volgende resultaten komen uit dierproeven of laboratoriumonderzoek:</w:t>
      </w:r>
    </w:p>
    <w:p>
      <w:pPr>
        <w:numPr>
          <w:ilvl w:val="0"/>
          <w:numId w:val="1105"/>
        </w:numPr>
        <w:pStyle w:val="Compact"/>
      </w:pPr>
      <w:r>
        <w:rPr>
          <w:bCs/>
          <w:b/>
        </w:rPr>
        <w:t xml:space="preserve">Bij ratten met overgewicht</w:t>
      </w:r>
      <w:r>
        <w:t xml:space="preserve"> </w:t>
      </w:r>
      <w:r>
        <w:t xml:space="preserve">(Zucker-ratten) verminderde AOD-9604, gedurende 19 dagen via het voer gegeven, de gewichtstoename met meer dan de helft; het vetweefsel vertoonde een hogere vetafbraakactiviteit. Anders dan bij volledig groeihormoon verslechterde de insulinegevoeligheid niet</w:t>
      </w:r>
      <w:r>
        <w:rPr>
          <w:rStyle w:val="FootnoteReference"/>
        </w:rPr>
        <w:footnoteReference w:id="838"/>
      </w:r>
      <w:r>
        <w:t xml:space="preserve">.</w:t>
      </w:r>
    </w:p>
    <w:p>
      <w:pPr>
        <w:numPr>
          <w:ilvl w:val="0"/>
          <w:numId w:val="1105"/>
        </w:numPr>
        <w:pStyle w:val="Compact"/>
      </w:pPr>
      <w:r>
        <w:rPr>
          <w:bCs/>
          <w:b/>
        </w:rPr>
        <w:t xml:space="preserve">Bij muizen met overgewicht</w:t>
      </w:r>
      <w:r>
        <w:t xml:space="preserve"> </w:t>
      </w:r>
      <w:r>
        <w:t xml:space="preserve">verminderden zowel groeihormoon als AOD-9604 gedurende 14 dagen de gewichtstoename en verhoogden ze de vetverbranding. In tegenstelling tot groeihormoon veroorzaakte AOD-9604 geen verhoogde bloedsuiker</w:t>
      </w:r>
      <w:r>
        <w:rPr>
          <w:rStyle w:val="FootnoteReference"/>
        </w:rPr>
        <w:footnoteReference w:id="839"/>
      </w:r>
      <w:r>
        <w:t xml:space="preserve">.</w:t>
      </w:r>
    </w:p>
    <w:p>
      <w:pPr>
        <w:numPr>
          <w:ilvl w:val="0"/>
          <w:numId w:val="1105"/>
        </w:numPr>
        <w:pStyle w:val="Compact"/>
      </w:pPr>
      <w:r>
        <w:rPr>
          <w:bCs/>
          <w:b/>
        </w:rPr>
        <w:t xml:space="preserve">Ouder voorbereidend werk</w:t>
      </w:r>
      <w:r>
        <w:t xml:space="preserve"> </w:t>
      </w:r>
      <w:r>
        <w:t xml:space="preserve">bij muizen met het verwante peptide hGH 177–191 liet een kleinere toename van lichaamsgewicht en vetweefsel zien</w:t>
      </w:r>
      <w:r>
        <w:rPr>
          <w:rStyle w:val="FootnoteReference"/>
        </w:rPr>
        <w:footnoteReference w:id="840"/>
      </w:r>
      <w:r>
        <w:t xml:space="preserve">.</w:t>
      </w:r>
    </w:p>
    <w:p>
      <w:pPr>
        <w:numPr>
          <w:ilvl w:val="0"/>
          <w:numId w:val="1105"/>
        </w:numPr>
        <w:pStyle w:val="Compact"/>
      </w:pPr>
      <w:r>
        <w:rPr>
          <w:bCs/>
          <w:b/>
        </w:rPr>
        <w:t xml:space="preserve">Bij konijnen</w:t>
      </w:r>
      <w:r>
        <w:t xml:space="preserve"> </w:t>
      </w:r>
      <w:r>
        <w:t xml:space="preserve">met kunstmatig opgewekte knieartrose verbeterden injecties van AOD-9604 in het gewricht – alleen of samen met hyaluronzuur – de toestand van het kraakbeen</w:t>
      </w:r>
      <w:r>
        <w:rPr>
          <w:rStyle w:val="FootnoteReference"/>
        </w:rPr>
        <w:footnoteReference w:id="841"/>
      </w:r>
      <w:r>
        <w:t xml:space="preserve">. Deze bevinding wordt op internet vaak aangevoerd als bewijs voor een</w:t>
      </w:r>
      <w:r>
        <w:t xml:space="preserve"> </w:t>
      </w:r>
      <w:r>
        <w:t xml:space="preserve">‘</w:t>
      </w:r>
      <w:r>
        <w:t xml:space="preserve">gewrichtsregenererende</w:t>
      </w:r>
      <w:r>
        <w:t xml:space="preserve">’</w:t>
      </w:r>
      <w:r>
        <w:t xml:space="preserve"> </w:t>
      </w:r>
      <w:r>
        <w:t xml:space="preserve">werking bij de mens; een dergelijke studie bij mensen bestaat niet.</w:t>
      </w:r>
    </w:p>
    <w:p>
      <w:pPr>
        <w:pStyle w:val="FirstParagraph"/>
      </w:pPr>
      <w:r>
        <w:t xml:space="preserve">De dierstudies zijn klein, deels ouder en overwegend afkomstig uit de kring van de ontwikkelaars.</w:t>
      </w:r>
    </w:p>
    <w:bookmarkEnd w:id="842"/>
    <w:bookmarkStart w:id="848" w:name="risicos-en-bijwerkingen-13"/>
    <w:p>
      <w:pPr>
        <w:pStyle w:val="Heading3"/>
      </w:pPr>
      <w:r>
        <w:t xml:space="preserve">Risico’s en bijwerkingen</w:t>
      </w:r>
    </w:p>
    <w:p>
      <w:pPr>
        <w:pStyle w:val="FirstParagraph"/>
      </w:pPr>
      <w:r>
        <w:rPr>
          <w:bCs/>
          <w:b/>
        </w:rPr>
        <w:t xml:space="preserve">Aangetoond:</w:t>
      </w:r>
      <w:r>
        <w:t xml:space="preserve"> </w:t>
      </w:r>
      <w:r>
        <w:t xml:space="preserve">bij gebrek aan gepubliceerde studies bij mensen zijn er geen betrouwbare gegevens over bijwerkingen bij de mens.</w:t>
      </w:r>
    </w:p>
    <w:p>
      <w:pPr>
        <w:pStyle w:val="BodyText"/>
      </w:pPr>
      <w:r>
        <w:rPr>
          <w:bCs/>
          <w:b/>
        </w:rPr>
        <w:t xml:space="preserve">Uit analyses van producten van de grijze markt en de dopingcontrole:</w:t>
      </w:r>
    </w:p>
    <w:p>
      <w:pPr>
        <w:numPr>
          <w:ilvl w:val="0"/>
          <w:numId w:val="1106"/>
        </w:numPr>
        <w:pStyle w:val="Compact"/>
      </w:pPr>
      <w:r>
        <w:t xml:space="preserve">AOD-9604 wordt al jaren via websites aangeboden en is aangetroffen in in beslag genomen flesjes, onder meer in de VS</w:t>
      </w:r>
      <w:r>
        <w:rPr>
          <w:rStyle w:val="FootnoteReference"/>
        </w:rPr>
        <w:footnoteReference w:id="843"/>
      </w:r>
      <w:r>
        <w:t xml:space="preserve"> </w:t>
      </w:r>
      <w:r>
        <w:t xml:space="preserve">en in België, waar autoriteiten onbekende peptidepreparaten onderzochten</w:t>
      </w:r>
      <w:r>
        <w:rPr>
          <w:rStyle w:val="FootnoteReference"/>
        </w:rPr>
        <w:footnoteReference w:id="844"/>
      </w:r>
      <w:r>
        <w:t xml:space="preserve">.</w:t>
      </w:r>
    </w:p>
    <w:p>
      <w:pPr>
        <w:numPr>
          <w:ilvl w:val="0"/>
          <w:numId w:val="1106"/>
        </w:numPr>
        <w:pStyle w:val="Compact"/>
      </w:pPr>
      <w:r>
        <w:t xml:space="preserve">Overzichtsartikelen over peptiden in de sport en op de grijze markt benadrukken dat er voor AOD-9604 en vergelijkbare stoffen nauwelijks betrouwbare veiligheidsgegevens bij mensen zijn en dat samenstelling, dosis en zuiverheid van de producten onzeker zijn</w:t>
      </w:r>
      <w:r>
        <w:rPr>
          <w:rStyle w:val="FootnoteReference"/>
        </w:rPr>
        <w:footnoteReference w:id="845"/>
      </w:r>
      <w:r>
        <w:t xml:space="preserve">. Een ander overzicht wijst op verkeerd gedeclareerde of verontreinigde producten in de ongereguleerde handel</w:t>
      </w:r>
      <w:r>
        <w:rPr>
          <w:rStyle w:val="FootnoteReference"/>
        </w:rPr>
        <w:footnoteReference w:id="846"/>
      </w:r>
      <w:r>
        <w:t xml:space="preserve">.</w:t>
      </w:r>
    </w:p>
    <w:p>
      <w:pPr>
        <w:pStyle w:val="FirstParagraph"/>
      </w:pPr>
      <w:r>
        <w:rPr>
          <w:bCs/>
          <w:b/>
        </w:rPr>
        <w:t xml:space="preserve">Theoretisch:</w:t>
      </w:r>
      <w:r>
        <w:t xml:space="preserve"> </w:t>
      </w:r>
      <w:r>
        <w:t xml:space="preserve">bij elk injectieproduct uit ongecontroleerde productie bestaan risico’s door verontreinigingen, bacteriën of verkeerde inhoudsstoffen (zie deel I en deel IV). Of AOD-9604 – zoals groeihormoon – op lange termijn de stofwisseling of celgroei beïnvloedt, is bij de mens niet onderzocht. De laboratoriumgegevens pleiten tegen een directe werking op de groeihormoonreceptor</w:t>
      </w:r>
      <w:r>
        <w:rPr>
          <w:rStyle w:val="FootnoteReference"/>
        </w:rPr>
        <w:footnoteReference w:id="847"/>
      </w:r>
      <w:r>
        <w:t xml:space="preserve">.</w:t>
      </w:r>
    </w:p>
    <w:bookmarkEnd w:id="848"/>
    <w:bookmarkStart w:id="851" w:name="juridische-status-13"/>
    <w:p>
      <w:pPr>
        <w:pStyle w:val="Heading3"/>
      </w:pPr>
      <w:r>
        <w:t xml:space="preserve">Juridische status</w:t>
      </w:r>
    </w:p>
    <w:p>
      <w:pPr>
        <w:numPr>
          <w:ilvl w:val="0"/>
          <w:numId w:val="1107"/>
        </w:numPr>
        <w:pStyle w:val="Compact"/>
      </w:pPr>
      <w:r>
        <w:rPr>
          <w:bCs/>
          <w:b/>
        </w:rPr>
        <w:t xml:space="preserve">EU / Oostenrijk / Duitsland:</w:t>
      </w:r>
      <w:r>
        <w:t xml:space="preserve"> </w:t>
      </w:r>
      <w:r>
        <w:t xml:space="preserve">niet geregistreerd als geneesmiddel. Producten die voor gebruik bij mensen worden aangeboden, mogen volgens het geneesmiddelenrecht niet in het verkeer worden gebracht; vermeldingen als</w:t>
      </w:r>
      <w:r>
        <w:t xml:space="preserve"> </w:t>
      </w:r>
      <w:r>
        <w:t xml:space="preserve">‘</w:t>
      </w:r>
      <w:r>
        <w:t xml:space="preserve">for research use only</w:t>
      </w:r>
      <w:r>
        <w:t xml:space="preserve">’</w:t>
      </w:r>
      <w:r>
        <w:t xml:space="preserve"> </w:t>
      </w:r>
      <w:r>
        <w:t xml:space="preserve">veranderen daar niets aan.</w:t>
      </w:r>
    </w:p>
    <w:p>
      <w:pPr>
        <w:numPr>
          <w:ilvl w:val="0"/>
          <w:numId w:val="1107"/>
        </w:numPr>
        <w:pStyle w:val="Compact"/>
      </w:pPr>
      <w:r>
        <w:rPr>
          <w:bCs/>
          <w:b/>
        </w:rPr>
        <w:t xml:space="preserve">VS:</w:t>
      </w:r>
      <w:r>
        <w:t xml:space="preserve"> </w:t>
      </w:r>
      <w:r>
        <w:t xml:space="preserve">niet geregistreerd als geneesmiddel. De FDA heeft AOD-9604 opgenomen in de lijst van stoffen die vanwege veiligheidsbezwaren niet zonder meer door apotheken tot geneesmiddelen mogen worden verwerkt.</w:t>
      </w:r>
    </w:p>
    <w:p>
      <w:pPr>
        <w:numPr>
          <w:ilvl w:val="0"/>
          <w:numId w:val="1107"/>
        </w:numPr>
        <w:pStyle w:val="Compact"/>
      </w:pPr>
      <w:r>
        <w:rPr>
          <w:bCs/>
          <w:b/>
        </w:rPr>
        <w:t xml:space="preserve">Sport:</w:t>
      </w:r>
      <w:r>
        <w:t xml:space="preserve"> </w:t>
      </w:r>
      <w:r>
        <w:t xml:space="preserve">uitdrukkelijk verboden (WADA-lijst van verboden middelen, klasse S2 – peptidehormonen, groeifactoren en verwante stoffen; groeihormoonfragmenten). AOD-9604 werd bij een breder publiek bekend door het dopingschandaal rond de Australische footballclub Essendon in 2013. Voor dopingcontroles zijn specifieke detectiemethoden in urine ontwikkeld</w:t>
      </w:r>
      <w:r>
        <w:rPr>
          <w:rStyle w:val="FootnoteReference"/>
        </w:rPr>
        <w:footnoteReference w:id="849"/>
      </w:r>
      <w:r>
        <w:t xml:space="preserve">. De gebruikelijke groeihormoontest wordt door AOD-9604 niet beïnvloed</w:t>
      </w:r>
      <w:r>
        <w:rPr>
          <w:rStyle w:val="FootnoteReference"/>
        </w:rPr>
        <w:footnoteReference w:id="850"/>
      </w:r>
      <w:r>
        <w:t xml:space="preserve"> </w:t>
      </w:r>
      <w:r>
        <w:t xml:space="preserve">– het fragment moet dus gericht worden opgespoord. Stand 2026, actuele situatie controleren.</w:t>
      </w:r>
    </w:p>
    <w:bookmarkEnd w:id="851"/>
    <w:bookmarkStart w:id="852" w:name="lopende-studies-en-vooruitzichten-13"/>
    <w:p>
      <w:pPr>
        <w:pStyle w:val="Heading3"/>
      </w:pPr>
      <w:r>
        <w:t xml:space="preserve">Lopende studies en vooruitzichten</w:t>
      </w:r>
    </w:p>
    <w:p>
      <w:pPr>
        <w:pStyle w:val="FirstParagraph"/>
      </w:pPr>
      <w:r>
        <w:rPr>
          <w:bCs/>
          <w:b/>
        </w:rPr>
        <w:t xml:space="preserve">Vaststaand:</w:t>
      </w:r>
      <w:r>
        <w:t xml:space="preserve"> </w:t>
      </w:r>
      <w:r>
        <w:t xml:space="preserve">op ClinicalTrials.gov is geen lopende studie naar AOD-9604 geregistreerd (zoekopdracht oktober 2026).</w:t>
      </w:r>
    </w:p>
    <w:p>
      <w:pPr>
        <w:pStyle w:val="BodyText"/>
      </w:pPr>
      <w:r>
        <w:rPr>
          <w:bCs/>
          <w:b/>
        </w:rPr>
        <w:t xml:space="preserve">Inschatting:</w:t>
      </w:r>
      <w:r>
        <w:t xml:space="preserve"> </w:t>
      </w:r>
      <w:r>
        <w:t xml:space="preserve">er is geen herkenbare weg waarlangs AOD-9604 binnen afzienbare tijd een geregistreerd geneesmiddel zou kunnen worden. Met de op GLP-1 gebaseerde middelen bestaan er tegenwoordig afslankmiddelen met een grote, goed gedocumenteerde werkzaamheid; een peptide waarvan de eigen ontwikkeling als afslankmiddel niet succesvol was, zal nauwelijks nieuwe belangstelling van investeerders wekken. AOD-9604 zal daarom naar verwachting een product van de grijze markt blijven.</w:t>
      </w:r>
    </w:p>
    <w:bookmarkEnd w:id="852"/>
    <w:bookmarkStart w:id="853" w:name="conclusie-13"/>
    <w:p>
      <w:pPr>
        <w:pStyle w:val="Heading3"/>
      </w:pPr>
      <w:r>
        <w:t xml:space="preserve">Conclusie</w:t>
      </w:r>
    </w:p>
    <w:p>
      <w:pPr>
        <w:pStyle w:val="FirstParagraph"/>
      </w:pPr>
      <w:r>
        <w:t xml:space="preserve">AOD-9604 is een kort stuk van het groeihormoon dat bij ratten en muizen de vetafbraak stimuleerde zonder de bloedsuiker te verhogen. Studies bij mensen zijn weliswaar in de jaren 2000 uitgevoerd, maar hun resultaten zijn niet gepubliceerd in collegiaal getoetste vaktijdschriften, en de ontwikkeling als afslankmiddel werd stopgezet. Betrouwbare gegevens over werking en veiligheid bij de mens ontbreken daarom volledig. AOD-9604 is nergens als geneesmiddel geregistreerd en in de sport uitdrukkelijk verboden.</w:t>
      </w:r>
    </w:p>
    <w:bookmarkEnd w:id="853"/>
    <w:bookmarkEnd w:id="854"/>
    <w:bookmarkStart w:id="891" w:name="orforglipron-ter-vergelijking"/>
    <w:p>
      <w:pPr>
        <w:pStyle w:val="Heading2"/>
      </w:pPr>
      <w:r>
        <w:t xml:space="preserve">Orforglipron (ter vergelijking)</w:t>
      </w:r>
    </w:p>
    <w:bookmarkStart w:id="855" w:name="profiel-14"/>
    <w:p>
      <w:pPr>
        <w:pStyle w:val="Heading3"/>
      </w:pPr>
      <w:r>
        <w:t xml:space="preserve">Profiel</w:t>
      </w:r>
    </w:p>
    <w:p>
      <w:pPr>
        <w:numPr>
          <w:ilvl w:val="0"/>
          <w:numId w:val="1108"/>
        </w:numPr>
        <w:pStyle w:val="Compact"/>
      </w:pPr>
      <w:r>
        <w:rPr>
          <w:bCs/>
          <w:b/>
        </w:rPr>
        <w:t xml:space="preserve">Soort/structuur:</w:t>
      </w:r>
      <w:r>
        <w:t xml:space="preserve"> </w:t>
      </w:r>
      <w:r>
        <w:rPr>
          <w:bCs/>
          <w:b/>
        </w:rPr>
        <w:t xml:space="preserve">geen peptide</w:t>
      </w:r>
      <w:r>
        <w:t xml:space="preserve">, maar een klein, chemisch vervaardigd molecuul (</w:t>
      </w:r>
      <w:r>
        <w:t xml:space="preserve">‘</w:t>
      </w:r>
      <w:r>
        <w:t xml:space="preserve">small molecule</w:t>
      </w:r>
      <w:r>
        <w:t xml:space="preserve">’</w:t>
      </w:r>
      <w:r>
        <w:t xml:space="preserve">) dat op de GLP-1-receptor werkt zoals een peptide. Ontwikkelingscode LY3502970. Eenmaal per dag in te nemen als tablet resp. capsule.</w:t>
      </w:r>
    </w:p>
    <w:p>
      <w:pPr>
        <w:numPr>
          <w:ilvl w:val="0"/>
          <w:numId w:val="1108"/>
        </w:numPr>
        <w:pStyle w:val="Compact"/>
      </w:pPr>
      <w:r>
        <w:rPr>
          <w:bCs/>
          <w:b/>
        </w:rPr>
        <w:t xml:space="preserve">Herkomst:</w:t>
      </w:r>
      <w:r>
        <w:t xml:space="preserve"> </w:t>
      </w:r>
      <w:r>
        <w:t xml:space="preserve">oorspronkelijk ontdekt door Chugai Pharmaceutical, in licentie genomen en ontwikkeld door Eli Lilly.</w:t>
      </w:r>
    </w:p>
    <w:p>
      <w:pPr>
        <w:numPr>
          <w:ilvl w:val="0"/>
          <w:numId w:val="1108"/>
        </w:numPr>
        <w:pStyle w:val="Compact"/>
      </w:pPr>
      <w:r>
        <w:rPr>
          <w:bCs/>
          <w:b/>
        </w:rPr>
        <w:t xml:space="preserve">Werkingsprincipe:</w:t>
      </w:r>
      <w:r>
        <w:t xml:space="preserve"> </w:t>
      </w:r>
      <w:r>
        <w:t xml:space="preserve">agonist op de GLP-1-receptor – hetzelfde aangrijpingspunt als bij semaglutide of liraglutide, maar met een volstrekt andere chemische structuur.</w:t>
      </w:r>
    </w:p>
    <w:p>
      <w:pPr>
        <w:numPr>
          <w:ilvl w:val="0"/>
          <w:numId w:val="1108"/>
        </w:numPr>
        <w:pStyle w:val="Compact"/>
      </w:pPr>
      <w:r>
        <w:rPr>
          <w:bCs/>
          <w:b/>
        </w:rPr>
        <w:t xml:space="preserve">Registratie EU / VS:</w:t>
      </w:r>
      <w:r>
        <w:t xml:space="preserve"> </w:t>
      </w:r>
      <w:r>
        <w:t xml:space="preserve">volgens de stand van het onderzoek voor dit boek (oktober 2026) niet als geregistreerd vastgelegd; registratieaanvragen zijn op basis van de fase 3-studies ingediend resp. aangekondigd – actuele situatie controleren.</w:t>
      </w:r>
    </w:p>
    <w:p>
      <w:pPr>
        <w:numPr>
          <w:ilvl w:val="0"/>
          <w:numId w:val="1108"/>
        </w:numPr>
        <w:pStyle w:val="Compact"/>
      </w:pPr>
      <w:r>
        <w:rPr>
          <w:bCs/>
          <w:b/>
        </w:rPr>
        <w:t xml:space="preserve">WADA:</w:t>
      </w:r>
      <w:r>
        <w:t xml:space="preserve"> </w:t>
      </w:r>
      <w:r>
        <w:t xml:space="preserve">niet bij naam vermeld; zolang het nergens geregistreerd is, verboden onder S0.</w:t>
      </w:r>
    </w:p>
    <w:p>
      <w:pPr>
        <w:numPr>
          <w:ilvl w:val="0"/>
          <w:numId w:val="1108"/>
        </w:numPr>
        <w:pStyle w:val="Compact"/>
      </w:pPr>
      <w:r>
        <w:rPr>
          <w:bCs/>
          <w:b/>
        </w:rPr>
        <w:t xml:space="preserve">Bewijsniveau:</w:t>
      </w:r>
      <w:r>
        <w:t xml:space="preserve"> </w:t>
      </w:r>
      <w:r>
        <w:rPr>
          <w:bCs/>
          <w:b/>
        </w:rPr>
        <w:t xml:space="preserve">A</w:t>
      </w:r>
      <w:r>
        <w:t xml:space="preserve"> </w:t>
      </w:r>
      <w:r>
        <w:t xml:space="preserve">op grond van de gegevens (meerdere grote fase 3-studies, inclusief een cardiovasculaire veiligheidsstudie); de formele registratie volgt nog resp. moet worden gecontroleerd.</w:t>
      </w:r>
    </w:p>
    <w:bookmarkEnd w:id="855"/>
    <w:bookmarkStart w:id="857" w:name="Xff66a50b896bd9aff19ab44803e93d15695367e"/>
    <w:p>
      <w:pPr>
        <w:pStyle w:val="Heading3"/>
      </w:pPr>
      <w:r>
        <w:t xml:space="preserve">Waarom dit hoofdstuk in een peptideboek staat</w:t>
      </w:r>
    </w:p>
    <w:p>
      <w:pPr>
        <w:pStyle w:val="FirstParagraph"/>
      </w:pPr>
      <w:r>
        <w:t xml:space="preserve">Alle GLP-1-middelen tot 2025 waren peptiden. Peptiden worden in het maag-darmkanaal grotendeels verteerd en nauwelijks opgenomen – daarom moeten ze worden geïnjecteerd. De enige uitzondering, semaglutide als tablet, heeft een hulpstof nodig die de opname via het maagslijmvlies vergemakkelijkt, en strenge innameregels: nuchter, met weinig water en ruim vóór het ontbijt (zie het hoofdstuk Semaglutide en deel I over de vraag hoe peptiden in het lichaam komen).</w:t>
      </w:r>
    </w:p>
    <w:p>
      <w:pPr>
        <w:pStyle w:val="BodyText"/>
      </w:pPr>
      <w:r>
        <w:t xml:space="preserve">Orforglipron omzeilt dit probleem principieel: als klein molecuul wordt het zoals een gewone tablet uit de darm opgenomen. Volgens de studies kan het worden ingenomen zonder rekening te houden met maaltijden of hoeveelheid water</w:t>
      </w:r>
      <w:r>
        <w:rPr>
          <w:rStyle w:val="FootnoteReference"/>
        </w:rPr>
        <w:footnoteReference w:id="856"/>
      </w:r>
      <w:r>
        <w:t xml:space="preserve">. Orforglipron is daarmee het belangrijkste vergelijkingsgeval voor de vraag of de toekomst van afslankmiddelen überhaupt bij peptiden ligt (zie deel V).</w:t>
      </w:r>
    </w:p>
    <w:bookmarkEnd w:id="857"/>
    <w:bookmarkStart w:id="859" w:name="hoe-het-zou-moeten-werken-14"/>
    <w:p>
      <w:pPr>
        <w:pStyle w:val="Heading3"/>
      </w:pPr>
      <w:r>
        <w:t xml:space="preserve">Hoe het zou moeten werken</w:t>
      </w:r>
    </w:p>
    <w:p>
      <w:pPr>
        <w:pStyle w:val="FirstParagraph"/>
      </w:pPr>
      <w:r>
        <w:t xml:space="preserve">Orforglipron bindt aan de GLP-1-receptor en veroorzaakt vergelijkbare effecten als de peptide-agonisten: minder eetlust, vertraagde maaglediging, bloedsuikerafhankelijk meer insuline. Het activeert alleen de GLP-1-receptor, niet de GIP- of glucagonreceptoren. Onderzoek bij mensen met diabetes type 2 liet verbeteringen zien van markers van de bètacelfunctie en de insulinegevoeligheid</w:t>
      </w:r>
      <w:r>
        <w:rPr>
          <w:rStyle w:val="FootnoteReference"/>
        </w:rPr>
        <w:footnoteReference w:id="858"/>
      </w:r>
      <w:r>
        <w:t xml:space="preserve">.</w:t>
      </w:r>
    </w:p>
    <w:bookmarkEnd w:id="859"/>
    <w:bookmarkStart w:id="870" w:name="studies-bij-mensen-1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20 studies bij mensen op. Op ClinicalTrials.gov waren 53 studies geregistreerd. De registratieprogramma’s heten</w:t>
      </w:r>
      <w:r>
        <w:t xml:space="preserve"> </w:t>
      </w:r>
      <w:r>
        <w:rPr>
          <w:bCs/>
          <w:b/>
        </w:rPr>
        <w:t xml:space="preserve">ATTAIN</w:t>
      </w:r>
      <w:r>
        <w:t xml:space="preserve"> </w:t>
      </w:r>
      <w:r>
        <w:t xml:space="preserve">(obesitas) en</w:t>
      </w:r>
      <w:r>
        <w:t xml:space="preserve"> </w:t>
      </w:r>
      <w:r>
        <w:rPr>
          <w:bCs/>
          <w:b/>
        </w:rPr>
        <w:t xml:space="preserve">ACHIEVE</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(Wharton 2023), PMID 37351564</w:t>
            </w:r>
          </w:p>
        </w:tc>
        <w:tc>
          <w:tcPr/>
          <w:p>
            <w:pPr>
              <w:pStyle w:val="Compact"/>
              <w:jc w:val="left"/>
            </w:pPr>
            <w:r>
              <w:t xml:space="preserve">272 volwassenen zonder diabetes, tegen placebo</w:t>
            </w:r>
          </w:p>
        </w:tc>
        <w:tc>
          <w:tcPr/>
          <w:p>
            <w:pPr>
              <w:pStyle w:val="Compact"/>
              <w:jc w:val="left"/>
            </w:pPr>
            <w:r>
              <w:t xml:space="preserve">36 weken</w:t>
            </w:r>
          </w:p>
        </w:tc>
        <w:tc>
          <w:tcPr/>
          <w:p>
            <w:pPr>
              <w:pStyle w:val="Compact"/>
              <w:jc w:val="left"/>
            </w:pPr>
            <w:r>
              <w:t xml:space="preserve">−9,4 tot −14,7% gewicht vs. −2,3%</w:t>
            </w:r>
          </w:p>
        </w:tc>
      </w:tr>
      <w:tr>
        <w:tc>
          <w:tcPr/>
          <w:p>
            <w:pPr>
              <w:pStyle w:val="Compact"/>
              <w:jc w:val="left"/>
            </w:pPr>
            <w:r>
              <w:t xml:space="preserve">ATTAIN-1 (Wharton 2025), PMID 40960239</w:t>
            </w:r>
          </w:p>
        </w:tc>
        <w:tc>
          <w:tcPr/>
          <w:p>
            <w:pPr>
              <w:pStyle w:val="Compact"/>
              <w:jc w:val="left"/>
            </w:pPr>
            <w:r>
              <w:t xml:space="preserve">3.127 volwassenen met obesitas zonder diabetes, tegen placebo</w:t>
            </w:r>
          </w:p>
        </w:tc>
        <w:tc>
          <w:tcPr/>
          <w:p>
            <w:pPr>
              <w:pStyle w:val="Compact"/>
              <w:jc w:val="left"/>
            </w:pPr>
            <w:r>
              <w:t xml:space="preserve">72 weken</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volwassenen met obesitas en diabetes type 2</w:t>
            </w:r>
          </w:p>
        </w:tc>
        <w:tc>
          <w:tcPr/>
          <w:p>
            <w:pPr>
              <w:pStyle w:val="Compact"/>
              <w:jc w:val="left"/>
            </w:pPr>
            <w:r>
              <w:t xml:space="preserve">72 weken</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volwassenen na tirzepatide of semaglutide, overstap vs. placebo</w:t>
            </w:r>
          </w:p>
        </w:tc>
        <w:tc>
          <w:tcPr/>
          <w:p>
            <w:pPr>
              <w:pStyle w:val="Compact"/>
              <w:jc w:val="left"/>
            </w:pPr>
            <w:r>
              <w:t xml:space="preserve">52 weken</w:t>
            </w:r>
          </w:p>
        </w:tc>
        <w:tc>
          <w:tcPr/>
          <w:p>
            <w:pPr>
              <w:pStyle w:val="Compact"/>
              <w:jc w:val="left"/>
            </w:pPr>
            <w:r>
              <w:t xml:space="preserve">74,7% resp. 79,3% van het gewichtsverlies behouden (placebo 49,2% resp. 37,6%)</w:t>
            </w:r>
          </w:p>
        </w:tc>
      </w:tr>
      <w:tr>
        <w:tc>
          <w:tcPr/>
          <w:p>
            <w:pPr>
              <w:pStyle w:val="Compact"/>
              <w:jc w:val="left"/>
            </w:pPr>
            <w:r>
              <w:t xml:space="preserve">ACHIEVE-1 (Rosenstock 2025), PMID 40544435</w:t>
            </w:r>
          </w:p>
        </w:tc>
        <w:tc>
          <w:tcPr/>
          <w:p>
            <w:pPr>
              <w:pStyle w:val="Compact"/>
              <w:jc w:val="left"/>
            </w:pPr>
            <w:r>
              <w:t xml:space="preserve">559 volwassenen met vroege diabetes type 2</w:t>
            </w:r>
          </w:p>
        </w:tc>
        <w:tc>
          <w:tcPr/>
          <w:p>
            <w:pPr>
              <w:pStyle w:val="Compact"/>
              <w:jc w:val="left"/>
            </w:pPr>
            <w:r>
              <w:t xml:space="preserve">40 weken</w:t>
            </w:r>
          </w:p>
        </w:tc>
        <w:tc>
          <w:tcPr/>
          <w:p>
            <w:pPr>
              <w:pStyle w:val="Compact"/>
              <w:jc w:val="left"/>
            </w:pPr>
            <w:r>
              <w:t xml:space="preserve">HbA1c −1,24 tot −1,48 vs. −0,41</w:t>
            </w:r>
          </w:p>
        </w:tc>
      </w:tr>
      <w:tr>
        <w:tc>
          <w:tcPr/>
          <w:p>
            <w:pPr>
              <w:pStyle w:val="Compact"/>
              <w:jc w:val="left"/>
            </w:pPr>
            <w:r>
              <w:t xml:space="preserve">ACHIEVE-3 (Rosenstock 2026), PMID 41765029</w:t>
            </w:r>
          </w:p>
        </w:tc>
        <w:tc>
          <w:tcPr/>
          <w:p>
            <w:pPr>
              <w:pStyle w:val="Compact"/>
              <w:jc w:val="left"/>
            </w:pPr>
            <w:r>
              <w:t xml:space="preserve">1.698 volwassenen met diabetes type 2, open-label tegen semaglutidetablet</w:t>
            </w:r>
          </w:p>
        </w:tc>
        <w:tc>
          <w:tcPr/>
          <w:p>
            <w:pPr>
              <w:pStyle w:val="Compact"/>
              <w:jc w:val="left"/>
            </w:pPr>
            <w:r>
              <w:t xml:space="preserve">52 weken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volwassenen met diabetes type 2 en hoog cardiovasculair risico, tegen insuline glargine</w:t>
            </w:r>
          </w:p>
        </w:tc>
        <w:tc>
          <w:tcPr/>
          <w:p>
            <w:pPr>
              <w:pStyle w:val="Compact"/>
              <w:jc w:val="left"/>
            </w:pPr>
            <w:r>
              <w:t xml:space="preserve">mediaan 2 jaar</w:t>
            </w:r>
          </w:p>
        </w:tc>
        <w:tc>
          <w:tcPr/>
          <w:p>
            <w:pPr>
              <w:pStyle w:val="Compact"/>
              <w:jc w:val="left"/>
            </w:pPr>
            <w:r>
              <w:t xml:space="preserve">MACE-4: 4,2% vs. 5,0% (niet inferieur)</w:t>
            </w:r>
          </w:p>
        </w:tc>
      </w:tr>
    </w:tbl>
    <w:bookmarkStart w:id="864" w:name="obesitas-attain"/>
    <w:p>
      <w:pPr>
        <w:pStyle w:val="Heading4"/>
      </w:pPr>
      <w:r>
        <w:t xml:space="preserve">Obesitas: ATTAIN</w:t>
      </w:r>
    </w:p>
    <w:p>
      <w:pPr>
        <w:pStyle w:val="FirstParagraph"/>
      </w:pPr>
      <w:r>
        <w:rPr>
          <w:bCs/>
          <w:b/>
        </w:rPr>
        <w:t xml:space="preserve">ATTAIN-1</w:t>
      </w:r>
      <w:r>
        <w:rPr>
          <w:rStyle w:val="FootnoteReference"/>
        </w:rPr>
        <w:footnoteReference w:id="860"/>
      </w:r>
      <w:r>
        <w:t xml:space="preserve"> </w:t>
      </w:r>
      <w:r>
        <w:t xml:space="preserve">is de hoofdstudie. Na 72 weken verloren de 3.127 deelnemers bij de hoogste dosis gemiddeld 11,2% van hun gewicht, bij placebo 2,1%. Bij de hoogste dosis bereikte 54,6% ten minste 10% en 18,4% ten minste 20% gewichtsverlies. Vanwege bijwerkingen stopte 5,3 tot 10,3% (placebo 2,7%).</w:t>
      </w:r>
    </w:p>
    <w:p>
      <w:pPr>
        <w:pStyle w:val="BodyText"/>
      </w:pPr>
      <w:r>
        <w:t xml:space="preserve">Ter duiding: dat is duidelijk minder dan met geïnjecteerd semaglutide of tirzepatide in hun registratiestudies en minder dan de fase 2-studie met tot 14,7% na 36 weken had doen verwachten</w:t>
      </w:r>
      <w:r>
        <w:rPr>
          <w:rStyle w:val="FootnoteReference"/>
        </w:rPr>
        <w:footnoteReference w:id="861"/>
      </w:r>
      <w:r>
        <w:t xml:space="preserve">. Vergelijkingen tussen studies geven echter slechts een ruwe indicatie.</w:t>
      </w:r>
    </w:p>
    <w:p>
      <w:pPr>
        <w:pStyle w:val="BodyText"/>
      </w:pPr>
      <w:r>
        <w:rPr>
          <w:bCs/>
          <w:b/>
        </w:rPr>
        <w:t xml:space="preserve">ATTAIN-2</w:t>
      </w:r>
      <w:r>
        <w:rPr>
          <w:rStyle w:val="FootnoteReference"/>
        </w:rPr>
        <w:footnoteReference w:id="862"/>
      </w:r>
      <w:r>
        <w:t xml:space="preserve"> </w:t>
      </w:r>
      <w:r>
        <w:t xml:space="preserve">liet bij mensen met diabetes type 2 een gewichtsverlies zien van tot 9,6% tegenover 2,5% bij placebo.</w:t>
      </w:r>
    </w:p>
    <w:p>
      <w:pPr>
        <w:pStyle w:val="BodyText"/>
      </w:pPr>
      <w:r>
        <w:rPr>
          <w:bCs/>
          <w:b/>
        </w:rPr>
        <w:t xml:space="preserve">ATTAIN-MAINTAIN</w:t>
      </w:r>
      <w:r>
        <w:rPr>
          <w:rStyle w:val="FootnoteReference"/>
        </w:rPr>
        <w:footnoteReference w:id="863"/>
      </w:r>
      <w:r>
        <w:t xml:space="preserve"> </w:t>
      </w:r>
      <w:r>
        <w:t xml:space="preserve">is voor de praktijk bijzonder interessant. Deelnemers die eerder in de SURMOUNT-5-studie met geïnjecteerd tirzepatide of semaglutide waren afgevallen, stapten over op orforglipron of placebo. Na 52 weken behielden de eerder met tirzepatide behandelden met orforglipron 74,7% van hun gewichtsverlies (placebo 49,2%), de eerder met semaglutide behandelden 79,3% (placebo 37,6%). Een vergelijkingsgroep die de injectie gewoon bleef krijgen, was er niet – de auteurs noemen dat zelf als beperking. Het concept</w:t>
      </w:r>
      <w:r>
        <w:t xml:space="preserve"> </w:t>
      </w:r>
      <w:r>
        <w:t xml:space="preserve">‘</w:t>
      </w:r>
      <w:r>
        <w:t xml:space="preserve">afvallen met de injectie, behouden met de tablet</w:t>
      </w:r>
      <w:r>
        <w:t xml:space="preserve">’</w:t>
      </w:r>
      <w:r>
        <w:t xml:space="preserve"> </w:t>
      </w:r>
      <w:r>
        <w:t xml:space="preserve">wordt daarmee voor het eerst onderbouwd, maar nog niet getoetst tegen het alternatief</w:t>
      </w:r>
      <w:r>
        <w:t xml:space="preserve"> </w:t>
      </w:r>
      <w:r>
        <w:t xml:space="preserve">‘</w:t>
      </w:r>
      <w:r>
        <w:t xml:space="preserve">injectie voortzetten</w:t>
      </w:r>
      <w:r>
        <w:t xml:space="preserve">’</w:t>
      </w:r>
      <w:r>
        <w:t xml:space="preserve">.</w:t>
      </w:r>
    </w:p>
    <w:bookmarkEnd w:id="864"/>
    <w:bookmarkStart w:id="869" w:name="diabetes-type-2-achieve"/>
    <w:p>
      <w:pPr>
        <w:pStyle w:val="Heading4"/>
      </w:pPr>
      <w:r>
        <w:t xml:space="preserve">Diabetes type 2: ACHIEVE</w:t>
      </w:r>
    </w:p>
    <w:p>
      <w:pPr>
        <w:numPr>
          <w:ilvl w:val="0"/>
          <w:numId w:val="1109"/>
        </w:numPr>
        <w:pStyle w:val="Compact"/>
      </w:pPr>
      <w:r>
        <w:rPr>
          <w:bCs/>
          <w:b/>
        </w:rPr>
        <w:t xml:space="preserve">ACHIEVE-1</w:t>
      </w:r>
      <w:r>
        <w:rPr>
          <w:rStyle w:val="FootnoteReference"/>
        </w:rPr>
        <w:footnoteReference w:id="865"/>
      </w:r>
      <w:r>
        <w:t xml:space="preserve">: bij vroege diabetes type 2 zonder andere middelen daalde de HbA1c-waarde na 40 weken met tot 1,48 procentpunt (placebo −0,41), het gewicht met tot 7,6%. Ernstige hypoglykemieën kwamen niet voor.</w:t>
      </w:r>
    </w:p>
    <w:p>
      <w:pPr>
        <w:numPr>
          <w:ilvl w:val="0"/>
          <w:numId w:val="1109"/>
        </w:numPr>
        <w:pStyle w:val="Compact"/>
      </w:pPr>
      <w:r>
        <w:rPr>
          <w:bCs/>
          <w:b/>
        </w:rPr>
        <w:t xml:space="preserve">ACHIEVE-2</w:t>
      </w:r>
      <w:r>
        <w:rPr>
          <w:rStyle w:val="FootnoteReference"/>
        </w:rPr>
        <w:footnoteReference w:id="866"/>
      </w:r>
      <w:r>
        <w:t xml:space="preserve">: tegenover de SGLT2-remmer dapagliflozine was orforglipron bij de HbA1c niet inferieur en in alle doses sterker (tot −1,56 vs. −0,81 procentpunt).</w:t>
      </w:r>
    </w:p>
    <w:p>
      <w:pPr>
        <w:numPr>
          <w:ilvl w:val="0"/>
          <w:numId w:val="1109"/>
        </w:numPr>
        <w:pStyle w:val="Compact"/>
      </w:pPr>
      <w:r>
        <w:rPr>
          <w:bCs/>
          <w:b/>
        </w:rPr>
        <w:t xml:space="preserve">ACHIEVE-3</w:t>
      </w:r>
      <w:r>
        <w:rPr>
          <w:rStyle w:val="FootnoteReference"/>
        </w:rPr>
        <w:footnoteReference w:id="867"/>
      </w:r>
      <w:r>
        <w:t xml:space="preserve">: in directe vergelijking met de semaglutidetablet verlaagde orforglipron de HbA1c-waarde sterker (−1,91 vs. −1,47 procentpunt bij de telkens hogere doses). De studie was open-label, dus niet geblindeerd. Maag-darmklachten kwamen bij orforglipron vaker voor (58–59% vs. 37–45%), evenals stoppen vanwege bijwerkingen (9–10% vs. 4–5%).</w:t>
      </w:r>
    </w:p>
    <w:p>
      <w:pPr>
        <w:numPr>
          <w:ilvl w:val="0"/>
          <w:numId w:val="1109"/>
        </w:numPr>
        <w:pStyle w:val="Compact"/>
      </w:pPr>
      <w:r>
        <w:rPr>
          <w:bCs/>
          <w:b/>
        </w:rPr>
        <w:t xml:space="preserve">ACHIEVE-4</w:t>
      </w:r>
      <w:r>
        <w:rPr>
          <w:rStyle w:val="FootnoteReference"/>
        </w:rPr>
        <w:footnoteReference w:id="868"/>
      </w:r>
      <w:r>
        <w:t xml:space="preserve">: de cardiovasculaire veiligheidsstudie (zie hieronder).</w:t>
      </w:r>
    </w:p>
    <w:bookmarkEnd w:id="869"/>
    <w:bookmarkEnd w:id="870"/>
    <w:bookmarkStart w:id="872" w:name="dier--en-laboratoriumstudies-14"/>
    <w:p>
      <w:pPr>
        <w:pStyle w:val="Heading3"/>
      </w:pPr>
      <w:r>
        <w:t xml:space="preserve">Dier- en laboratoriumstudies</w:t>
      </w:r>
    </w:p>
    <w:p>
      <w:pPr>
        <w:pStyle w:val="FirstParagraph"/>
      </w:pPr>
      <w:r>
        <w:t xml:space="preserve">Voor dit vergelijkingshoofdstuk worden de preklinische gegevens niet afzonderlijk besproken. Belangrijk is een farmacologisch verschil: als klein molecuul wordt orforglipron via leverenzymen afgebroken. Daarom zijn talrijke studies uitgevoerd naar interacties met andere geneesmiddelen, bijvoorbeeld met claritromycine, ciclosporine, carbamazepine of kinidine</w:t>
      </w:r>
      <w:r>
        <w:rPr>
          <w:rStyle w:val="FootnoteReference"/>
        </w:rPr>
        <w:footnoteReference w:id="871"/>
      </w:r>
      <w:r>
        <w:t xml:space="preserve">. Peptide-agonisten worden daarentegen afgebroken zoals eiwitten en hebben nauwelijks zulke interacties.</w:t>
      </w:r>
    </w:p>
    <w:bookmarkEnd w:id="872"/>
    <w:bookmarkStart w:id="880" w:name="risicos-en-bijwerkingen-14"/>
    <w:p>
      <w:pPr>
        <w:pStyle w:val="Heading3"/>
      </w:pPr>
      <w:r>
        <w:t xml:space="preserve">Risico’s en bijwerkingen</w:t>
      </w:r>
    </w:p>
    <w:p>
      <w:pPr>
        <w:pStyle w:val="FirstParagraph"/>
      </w:pPr>
      <w:r>
        <w:rPr>
          <w:bCs/>
          <w:b/>
        </w:rPr>
        <w:t xml:space="preserve">Aangetoond in studies:</w:t>
      </w:r>
    </w:p>
    <w:p>
      <w:pPr>
        <w:numPr>
          <w:ilvl w:val="0"/>
          <w:numId w:val="1110"/>
        </w:numPr>
        <w:pStyle w:val="Compact"/>
      </w:pPr>
      <w:r>
        <w:rPr>
          <w:bCs/>
          <w:b/>
        </w:rPr>
        <w:t xml:space="preserve">Maag-darmklachten</w:t>
      </w:r>
      <w:r>
        <w:t xml:space="preserve"> </w:t>
      </w:r>
      <w:r>
        <w:t xml:space="preserve">zoals bij alle GLP-1-agonisten, overwegend licht tot matig en tijdens de dosisopbouw. In ACHIEVE-4 meldde 62,1% met orforglipron tegenover 14,2% met insuline glargine maag-darmklachten</w:t>
      </w:r>
      <w:r>
        <w:rPr>
          <w:rStyle w:val="FootnoteReference"/>
        </w:rPr>
        <w:footnoteReference w:id="873"/>
      </w:r>
      <w:r>
        <w:t xml:space="preserve">.</w:t>
      </w:r>
    </w:p>
    <w:p>
      <w:pPr>
        <w:numPr>
          <w:ilvl w:val="0"/>
          <w:numId w:val="1110"/>
        </w:numPr>
        <w:pStyle w:val="Compact"/>
      </w:pPr>
      <w:r>
        <w:rPr>
          <w:bCs/>
          <w:b/>
        </w:rPr>
        <w:t xml:space="preserve">Stoppen vanwege bijwerkingen:</w:t>
      </w:r>
      <w:r>
        <w:t xml:space="preserve"> </w:t>
      </w:r>
      <w:r>
        <w:t xml:space="preserve">in ATTAIN-1 tot 10,3%</w:t>
      </w:r>
      <w:r>
        <w:rPr>
          <w:rStyle w:val="FootnoteReference"/>
        </w:rPr>
        <w:footnoteReference w:id="874"/>
      </w:r>
      <w:r>
        <w:t xml:space="preserve">, in vergelijking met de semaglutidetablet ongeveer twee keer zo vaak</w:t>
      </w:r>
      <w:r>
        <w:rPr>
          <w:rStyle w:val="FootnoteReference"/>
        </w:rPr>
        <w:footnoteReference w:id="875"/>
      </w:r>
      <w:r>
        <w:t xml:space="preserve">.</w:t>
      </w:r>
    </w:p>
    <w:p>
      <w:pPr>
        <w:numPr>
          <w:ilvl w:val="0"/>
          <w:numId w:val="1110"/>
        </w:numPr>
        <w:pStyle w:val="Compact"/>
      </w:pPr>
      <w:r>
        <w:rPr>
          <w:bCs/>
          <w:b/>
        </w:rPr>
        <w:t xml:space="preserve">Polsslag:</w:t>
      </w:r>
      <w:r>
        <w:t xml:space="preserve"> </w:t>
      </w:r>
      <w:r>
        <w:t xml:space="preserve">in ACHIEVE-3 steeg de hartslag met orforglipron met 3,7 tot 4,7 slagen per minuut, met de semaglutidetablet met 1,0 tot 1,5</w:t>
      </w:r>
      <w:r>
        <w:rPr>
          <w:rStyle w:val="FootnoteReference"/>
        </w:rPr>
        <w:footnoteReference w:id="876"/>
      </w:r>
      <w:r>
        <w:t xml:space="preserve">.</w:t>
      </w:r>
    </w:p>
    <w:p>
      <w:pPr>
        <w:numPr>
          <w:ilvl w:val="0"/>
          <w:numId w:val="1110"/>
        </w:numPr>
        <w:pStyle w:val="Compact"/>
      </w:pPr>
      <w:r>
        <w:rPr>
          <w:bCs/>
          <w:b/>
        </w:rPr>
        <w:t xml:space="preserve">Cardiovasculaire veiligheid:</w:t>
      </w:r>
      <w:r>
        <w:t xml:space="preserve"> </w:t>
      </w:r>
      <w:r>
        <w:t xml:space="preserve">in ACHIEVE-4 kwamen ernstige hart- en vaatincidenten voor bij 4,2% met orforglipron en 5,0% met insuline glargine (hazard ratio 0,84; 95%-BI 0,59–1,20) – orforglipron was daarmee niet inferieur. Klinisch relevante of ernstige hypoglykemieën kwamen minder vaak voor (6,8% vs. 19,2%)</w:t>
      </w:r>
      <w:r>
        <w:rPr>
          <w:rStyle w:val="FootnoteReference"/>
        </w:rPr>
        <w:footnoteReference w:id="877"/>
      </w:r>
      <w:r>
        <w:t xml:space="preserve">. Of orforglipron, zoals sommige peptide-agonisten, hart- en vaatincidenten</w:t>
      </w:r>
      <w:r>
        <w:t xml:space="preserve"> </w:t>
      </w:r>
      <w:r>
        <w:rPr>
          <w:iCs/>
          <w:i/>
        </w:rPr>
        <w:t xml:space="preserve">vermindert</w:t>
      </w:r>
      <w:r>
        <w:t xml:space="preserve">, moet een aparte eindpuntstudie laten zien</w:t>
      </w:r>
      <w:r>
        <w:rPr>
          <w:rStyle w:val="FootnoteReference"/>
        </w:rPr>
        <w:footnoteReference w:id="878"/>
      </w:r>
      <w:r>
        <w:t xml:space="preserve">.</w:t>
      </w:r>
    </w:p>
    <w:p>
      <w:pPr>
        <w:numPr>
          <w:ilvl w:val="0"/>
          <w:numId w:val="1110"/>
        </w:numPr>
        <w:pStyle w:val="Compact"/>
      </w:pPr>
      <w:r>
        <w:rPr>
          <w:bCs/>
          <w:b/>
        </w:rPr>
        <w:t xml:space="preserve">Lever:</w:t>
      </w:r>
      <w:r>
        <w:t xml:space="preserve"> </w:t>
      </w:r>
      <w:r>
        <w:t xml:space="preserve">bij kleine GLP-1-moleculen van andere fabrikanten waren verhoogde leverwaarden een probleem. Een gepoolde analyse van zeven fase 3-studies met 11.220 deelnemers vond voor orforglipron geen enkel geval van geneesmiddelgerelateerde leverschade; de leverwaarden daalden gemiddeld zelfs</w:t>
      </w:r>
      <w:r>
        <w:rPr>
          <w:rStyle w:val="FootnoteReference"/>
        </w:rPr>
        <w:footnoteReference w:id="879"/>
      </w:r>
      <w:r>
        <w:t xml:space="preserve">.</w:t>
      </w:r>
    </w:p>
    <w:bookmarkEnd w:id="880"/>
    <w:bookmarkStart w:id="881" w:name="juridische-status-14"/>
    <w:p>
      <w:pPr>
        <w:pStyle w:val="Heading3"/>
      </w:pPr>
      <w:r>
        <w:t xml:space="preserve">Juridische status</w:t>
      </w:r>
    </w:p>
    <w:p>
      <w:pPr>
        <w:numPr>
          <w:ilvl w:val="0"/>
          <w:numId w:val="1111"/>
        </w:numPr>
        <w:pStyle w:val="Compact"/>
      </w:pPr>
      <w:r>
        <w:rPr>
          <w:bCs/>
          <w:b/>
        </w:rPr>
        <w:t xml:space="preserve">EU / Oostenrijk / Duitsland:</w:t>
      </w:r>
      <w:r>
        <w:t xml:space="preserve"> </w:t>
      </w:r>
      <w:r>
        <w:t xml:space="preserve">per oktober 2026 vastgelegd als niet geregistreerd; een registratieprocedure valt te verwachten resp. kan al lopen – actuele situatie controleren.</w:t>
      </w:r>
    </w:p>
    <w:p>
      <w:pPr>
        <w:numPr>
          <w:ilvl w:val="0"/>
          <w:numId w:val="1111"/>
        </w:numPr>
        <w:pStyle w:val="Compact"/>
      </w:pPr>
      <w:r>
        <w:rPr>
          <w:bCs/>
          <w:b/>
        </w:rPr>
        <w:t xml:space="preserve">VS:</w:t>
      </w:r>
      <w:r>
        <w:t xml:space="preserve"> </w:t>
      </w:r>
      <w:r>
        <w:t xml:space="preserve">registratieaanvragen voor obesitas en diabetes type 2 zijn op basis van de ATTAIN- en ACHIEVE-gegevens ingediend resp. aangekondigd; stand van de beslissing: actuele situatie controleren.</w:t>
      </w:r>
    </w:p>
    <w:p>
      <w:pPr>
        <w:numPr>
          <w:ilvl w:val="0"/>
          <w:numId w:val="1111"/>
        </w:numPr>
        <w:pStyle w:val="Compact"/>
      </w:pPr>
      <w:r>
        <w:rPr>
          <w:bCs/>
          <w:b/>
        </w:rPr>
        <w:t xml:space="preserve">Sport:</w:t>
      </w:r>
      <w:r>
        <w:t xml:space="preserve"> </w:t>
      </w:r>
      <w:r>
        <w:t xml:space="preserve">zolang het nergens geregistreerd is, WADA-klasse S0 (stand 2026, actuele situatie controleren).</w:t>
      </w:r>
    </w:p>
    <w:p>
      <w:pPr>
        <w:numPr>
          <w:ilvl w:val="0"/>
          <w:numId w:val="1111"/>
        </w:numPr>
        <w:pStyle w:val="Compact"/>
      </w:pPr>
      <w:r>
        <w:t xml:space="preserve">Niet-geregistreerde</w:t>
      </w:r>
      <w:r>
        <w:t xml:space="preserve"> </w:t>
      </w:r>
      <w:r>
        <w:t xml:space="preserve">‘</w:t>
      </w:r>
      <w:r>
        <w:t xml:space="preserve">Orforglipron</w:t>
      </w:r>
      <w:r>
        <w:t xml:space="preserve">’</w:t>
      </w:r>
      <w:r>
        <w:t xml:space="preserve">-aanbiedingen op internet zijn geen gecontroleerde geneesmiddelen.</w:t>
      </w:r>
    </w:p>
    <w:bookmarkEnd w:id="881"/>
    <w:bookmarkStart w:id="889" w:name="lopende-studies-en-vooruitzichten-1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12"/>
        </w:numPr>
        <w:pStyle w:val="Compact"/>
      </w:pPr>
      <w:r>
        <w:rPr>
          <w:bCs/>
          <w:b/>
        </w:rPr>
        <w:t xml:space="preserve">Cardiovasculaire eindpuntstudie</w:t>
      </w:r>
      <w:r>
        <w:t xml:space="preserve"> </w:t>
      </w:r>
      <w:r>
        <w:t xml:space="preserve">bij atherosclerose (NCT07241390, 7.140 deelnemers, tot 2031).</w:t>
      </w:r>
    </w:p>
    <w:p>
      <w:pPr>
        <w:numPr>
          <w:ilvl w:val="0"/>
          <w:numId w:val="1112"/>
        </w:numPr>
        <w:pStyle w:val="Compact"/>
      </w:pPr>
      <w:r>
        <w:rPr>
          <w:bCs/>
          <w:b/>
        </w:rPr>
        <w:t xml:space="preserve">Perifeer arterieel vaatlijden</w:t>
      </w:r>
      <w:r>
        <w:rPr>
          <w:rStyle w:val="FootnoteReference"/>
        </w:rPr>
        <w:footnoteReference w:id="882"/>
      </w:r>
      <w:r>
        <w:t xml:space="preserve">,</w:t>
      </w:r>
      <w:r>
        <w:t xml:space="preserve"> </w:t>
      </w:r>
      <w:r>
        <w:rPr>
          <w:bCs/>
          <w:b/>
        </w:rPr>
        <w:t xml:space="preserve">hoge bloeddruk</w:t>
      </w:r>
      <w:r>
        <w:rPr>
          <w:rStyle w:val="FootnoteReference"/>
        </w:rPr>
        <w:footnoteReference w:id="883"/>
      </w:r>
      <w:r>
        <w:t xml:space="preserve">,</w:t>
      </w:r>
      <w:r>
        <w:t xml:space="preserve"> </w:t>
      </w:r>
      <w:r>
        <w:rPr>
          <w:bCs/>
          <w:b/>
        </w:rPr>
        <w:t xml:space="preserve">knieartrose</w:t>
      </w:r>
      <w:r>
        <w:rPr>
          <w:rStyle w:val="FootnoteReference"/>
        </w:rPr>
        <w:footnoteReference w:id="884"/>
      </w:r>
      <w:r>
        <w:t xml:space="preserve">,</w:t>
      </w:r>
      <w:r>
        <w:t xml:space="preserve"> </w:t>
      </w:r>
      <w:r>
        <w:rPr>
          <w:bCs/>
          <w:b/>
        </w:rPr>
        <w:t xml:space="preserve">stressincontinentie</w:t>
      </w:r>
      <w:r>
        <w:t xml:space="preserve"> </w:t>
      </w:r>
      <w:r>
        <w:t xml:space="preserve">bij vrouwen met obesitas</w:t>
      </w:r>
      <w:r>
        <w:rPr>
          <w:rStyle w:val="FootnoteReference"/>
        </w:rPr>
        <w:footnoteReference w:id="885"/>
      </w:r>
      <w:r>
        <w:t xml:space="preserve">.</w:t>
      </w:r>
    </w:p>
    <w:p>
      <w:pPr>
        <w:numPr>
          <w:ilvl w:val="0"/>
          <w:numId w:val="1112"/>
        </w:numPr>
        <w:pStyle w:val="Compact"/>
      </w:pPr>
      <w:r>
        <w:rPr>
          <w:bCs/>
          <w:b/>
        </w:rPr>
        <w:t xml:space="preserve">Jongeren</w:t>
      </w:r>
      <w:r>
        <w:rPr>
          <w:rStyle w:val="FootnoteReference"/>
        </w:rPr>
        <w:footnoteReference w:id="886"/>
      </w:r>
      <w:r>
        <w:t xml:space="preserve"> </w:t>
      </w:r>
      <w:r>
        <w:t xml:space="preserve">en</w:t>
      </w:r>
      <w:r>
        <w:t xml:space="preserve"> </w:t>
      </w:r>
      <w:r>
        <w:rPr>
          <w:bCs/>
          <w:b/>
        </w:rPr>
        <w:t xml:space="preserve">kinderen met diabetes type 2</w:t>
      </w:r>
      <w:r>
        <w:t xml:space="preserve"> </w:t>
      </w:r>
      <w:r>
        <w:t xml:space="preserve">in vergelijking met dulaglutide</w:t>
      </w:r>
      <w:r>
        <w:rPr>
          <w:rStyle w:val="FootnoteReference"/>
        </w:rPr>
        <w:footnoteReference w:id="887"/>
      </w:r>
      <w:r>
        <w:t xml:space="preserve">.</w:t>
      </w:r>
    </w:p>
    <w:p>
      <w:pPr>
        <w:numPr>
          <w:ilvl w:val="0"/>
          <w:numId w:val="1112"/>
        </w:numPr>
        <w:pStyle w:val="Compact"/>
      </w:pPr>
      <w:r>
        <w:t xml:space="preserve">Studie naar</w:t>
      </w:r>
      <w:r>
        <w:t xml:space="preserve"> </w:t>
      </w:r>
      <w:r>
        <w:rPr>
          <w:bCs/>
          <w:b/>
        </w:rPr>
        <w:t xml:space="preserve">slaapapneu</w:t>
      </w:r>
      <w:r>
        <w:rPr>
          <w:rStyle w:val="FootnoteReference"/>
        </w:rPr>
        <w:footnoteReference w:id="888"/>
      </w:r>
      <w:r>
        <w:t xml:space="preserve"> </w:t>
      </w:r>
      <w:r>
        <w:t xml:space="preserve">afgerond, publicatie volgt nog.</w:t>
      </w:r>
    </w:p>
    <w:p>
      <w:pPr>
        <w:pStyle w:val="FirstParagraph"/>
      </w:pPr>
      <w:r>
        <w:rPr>
          <w:bCs/>
          <w:b/>
        </w:rPr>
        <w:t xml:space="preserve">Inschatting:</w:t>
      </w:r>
      <w:r>
        <w:t xml:space="preserve"> </w:t>
      </w:r>
      <w:r>
        <w:t xml:space="preserve">orforglipron wordt naar verwachting het eerste breed beschikbare niet-peptide GLP-1-middel. Zijn kracht is niet het maximale gewichtsverlies – daarin lopen de geïnjecteerde peptiden voorop –, maar de eenvoudige inname, de vermoedelijk goedkopere productie en de geschiktheid voor langdurige behandeling na een fase met injecties. Voor de peptidemarkt betekent dat serieuze concurrentie, vooral bij langdurige en onderhoudstherapie (zie deel V).</w:t>
      </w:r>
    </w:p>
    <w:bookmarkEnd w:id="889"/>
    <w:bookmarkStart w:id="890" w:name="conclusie-14"/>
    <w:p>
      <w:pPr>
        <w:pStyle w:val="Heading3"/>
      </w:pPr>
      <w:r>
        <w:t xml:space="preserve">Conclusie</w:t>
      </w:r>
    </w:p>
    <w:p>
      <w:pPr>
        <w:pStyle w:val="FirstParagraph"/>
      </w:pPr>
      <w:r>
        <w:t xml:space="preserve">Orforglipron is geen peptide, maar een klein molecuul dat als tablet de GLP-1-receptor activeert en zonder innameregels kan worden ingeslikt. In ATTAIN-1 daalde het gewicht na 72 weken met tot 11,2% – minder dan met geïnjecteerd semaglutide of tirzepatide –, en na de overstap van een injectie behielden de deelnemers ongeveer drie kwart van hun gewichtsverlies. Bij diabetes type 2 verlaagde het de HbA1c-waarde sterker dan de semaglutidetablet en bleek het tegenover insuline cardiovasculair veilig. Maag-darmklachten en stoppen met de behandeling komen iets vaker voor dan bij de semaglutidetablet.</w:t>
      </w:r>
    </w:p>
    <w:bookmarkEnd w:id="890"/>
    <w:bookmarkEnd w:id="891"/>
    <w:bookmarkEnd w:id="892"/>
    <w:bookmarkStart w:id="1222" w:name="X0773b0bcd52653c8362937ac9d8dbffbb41ba96"/>
    <w:p>
      <w:pPr>
        <w:pStyle w:val="Heading1"/>
      </w:pPr>
      <w:r>
        <w:t xml:space="preserve">Deel II · B – Genezing, regeneratie en immuunsysteem</w:t>
      </w:r>
    </w:p>
    <w:p>
      <w:pPr>
        <w:pStyle w:val="FirstParagraph"/>
      </w:pPr>
      <w:r>
        <w:t xml:space="preserve">De peptiden in deze groep beloven wat velen wensen: sneller herstel van pezen en spieren, een dichtere darmwand, een sterker immuunsysteem, minder ontsteking. In webwinkels, fitnessfora en longevityklinieken behoren BPC-157, TB-500 en thymosine alfa-1 tot de best verkochte</w:t>
      </w:r>
      <w:r>
        <w:t xml:space="preserve"> </w:t>
      </w:r>
      <w:r>
        <w:t xml:space="preserve">‘</w:t>
      </w:r>
      <w:r>
        <w:t xml:space="preserve">onderzoekspeptiden</w:t>
      </w:r>
      <w:r>
        <w:t xml:space="preserve">’</w:t>
      </w:r>
      <w:r>
        <w:t xml:space="preserve"> </w:t>
      </w:r>
      <w:r>
        <w:t xml:space="preserve">überhaupt.</w:t>
      </w:r>
    </w:p>
    <w:bookmarkStart w:id="893" w:name="wat-deze-peptiden-gemeen-hebben"/>
    <w:p>
      <w:pPr>
        <w:pStyle w:val="Heading3"/>
      </w:pPr>
      <w:r>
        <w:t xml:space="preserve">Wat deze peptiden gemeen hebben</w:t>
      </w:r>
    </w:p>
    <w:p>
      <w:pPr>
        <w:pStyle w:val="FirstParagraph"/>
      </w:pPr>
      <w:r>
        <w:t xml:space="preserve">Alle acht werkzame stoffen zouden niet één enkel, duidelijk meetbaar doel moeten veranderen – zoals de bloedsuiker of het lichaamsgewicht –, maar lichaamseigen herstel- en afweerprocessen</w:t>
      </w:r>
      <w:r>
        <w:t xml:space="preserve"> </w:t>
      </w:r>
      <w:r>
        <w:t xml:space="preserve">‘</w:t>
      </w:r>
      <w:r>
        <w:t xml:space="preserve">aanzetten</w:t>
      </w:r>
      <w:r>
        <w:t xml:space="preserve">’</w:t>
      </w:r>
      <w:r>
        <w:t xml:space="preserve"> </w:t>
      </w:r>
      <w:r>
        <w:t xml:space="preserve">of</w:t>
      </w:r>
      <w:r>
        <w:t xml:space="preserve"> </w:t>
      </w:r>
      <w:r>
        <w:t xml:space="preserve">‘</w:t>
      </w:r>
      <w:r>
        <w:t xml:space="preserve">normaliseren</w:t>
      </w:r>
      <w:r>
        <w:t xml:space="preserve">’</w:t>
      </w:r>
      <w:r>
        <w:t xml:space="preserve">. Dat heeft twee gevolgen die als een rode draad door alle hoofdstukken lopen:</w:t>
      </w:r>
    </w:p>
    <w:p>
      <w:pPr>
        <w:numPr>
          <w:ilvl w:val="0"/>
          <w:numId w:val="1113"/>
        </w:numPr>
        <w:pStyle w:val="Compact"/>
      </w:pPr>
      <w:r>
        <w:rPr>
          <w:bCs/>
          <w:b/>
        </w:rPr>
        <w:t xml:space="preserve">Het effect is moeilijk te meten.</w:t>
      </w:r>
      <w:r>
        <w:t xml:space="preserve"> </w:t>
      </w:r>
      <w:r>
        <w:t xml:space="preserve">Genezing, pijn en immuunfunctie schommelen sterk, hangen van veel factoren af en zijn gevoelig voor placebo-effecten. Kleine studies zonder controlegroep zijn daarom bijzonder weinig zeggend.</w:t>
      </w:r>
    </w:p>
    <w:p>
      <w:pPr>
        <w:numPr>
          <w:ilvl w:val="0"/>
          <w:numId w:val="1113"/>
        </w:numPr>
        <w:pStyle w:val="Compact"/>
      </w:pPr>
      <w:r>
        <w:rPr>
          <w:bCs/>
          <w:b/>
        </w:rPr>
        <w:t xml:space="preserve">Aannemelijkheid vervangt vaak bewijs.</w:t>
      </w:r>
      <w:r>
        <w:t xml:space="preserve"> </w:t>
      </w:r>
      <w:r>
        <w:t xml:space="preserve">Vrijwel alle peptiden in deze groep zijn afgeleid van lichaamseigen stoffen: uit maagsap (BPC-157), de thymus (thymosine alfa-1, thymaline), de afweer van de huid (LL-37), het hormoon alfa-MSH (KPV) of erytropoëtine (ARA-290).</w:t>
      </w:r>
      <w:r>
        <w:t xml:space="preserve"> </w:t>
      </w:r>
      <w:r>
        <w:t xml:space="preserve">‘</w:t>
      </w:r>
      <w:r>
        <w:t xml:space="preserve">Lichaamseigen</w:t>
      </w:r>
      <w:r>
        <w:t xml:space="preserve">’</w:t>
      </w:r>
      <w:r>
        <w:t xml:space="preserve"> </w:t>
      </w:r>
      <w:r>
        <w:t xml:space="preserve">klinkt onschuldig, maar zegt niets over nut en veiligheid van toediening van buitenaf in een hoge dosis.</w:t>
      </w:r>
    </w:p>
    <w:p>
      <w:pPr>
        <w:pStyle w:val="FirstParagraph"/>
      </w:pPr>
      <w:r>
        <w:t xml:space="preserve">Opvallend is bovendien een terugkerend patroon: kleine vroege studies lijken veelbelovend, grotere en zorgvuldiger geblindeerde studies bevestigen ze niet. Dat zie je bij thymosine alfa-1 bij sepsis, bij thymosine bèta-4 als oogdruppels, bij LL-37 bij beenzweren en bij larazotide bij coeliakie.</w:t>
      </w:r>
    </w:p>
    <w:bookmarkEnd w:id="893"/>
    <w:bookmarkStart w:id="894" w:name="de-groep-in-één-oogopslag"/>
    <w:p>
      <w:pPr>
        <w:pStyle w:val="Heading3"/>
      </w:pPr>
      <w:r>
        <w:t xml:space="preserve">De groep in één oogopslag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w:t>
            </w:r>
          </w:p>
        </w:tc>
        <w:tc>
          <w:tcPr/>
          <w:p>
            <w:pPr>
              <w:pStyle w:val="Compact"/>
              <w:jc w:val="left"/>
            </w:pPr>
            <w:r>
              <w:t xml:space="preserve">honderden dierstudies, vrijwel allemaal van één groep; bij mensen drie mini-pilotstudies</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w:t>
            </w:r>
          </w:p>
        </w:tc>
        <w:tc>
          <w:tcPr/>
          <w:p>
            <w:pPr>
              <w:pStyle w:val="Compact"/>
              <w:jc w:val="left"/>
            </w:pPr>
            <w:r>
              <w:t xml:space="preserve">Tβ4 in RCT’s onderzocht, grote oogstudies zonder duidelijk nut; TB-500 nooit bij mensen</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China e.a., niet EU/VS</w:t>
            </w:r>
          </w:p>
        </w:tc>
        <w:tc>
          <w:tcPr/>
          <w:p>
            <w:pPr>
              <w:pStyle w:val="Compact"/>
              <w:jc w:val="left"/>
            </w:pPr>
            <w:r>
              <w:t xml:space="preserve">veel RCT’s; grote sepsisstudie zonder verschil met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w:t>
            </w:r>
          </w:p>
        </w:tc>
        <w:tc>
          <w:tcPr/>
          <w:p>
            <w:pPr>
              <w:pStyle w:val="Compact"/>
              <w:jc w:val="left"/>
            </w:pPr>
            <w:r>
              <w:t xml:space="preserve">werkzaam bij muizen met colitis; geen studie bij mensen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w:t>
            </w:r>
          </w:p>
        </w:tc>
        <w:tc>
          <w:tcPr/>
          <w:p>
            <w:pPr>
              <w:pStyle w:val="Compact"/>
              <w:jc w:val="left"/>
            </w:pPr>
            <w:r>
              <w:t xml:space="preserve">lichaamseigen afweerpeptide; wondstudie met 148 personen zonder voordeel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w:t>
            </w:r>
          </w:p>
        </w:tc>
        <w:tc>
          <w:tcPr/>
          <w:p>
            <w:pPr>
              <w:pStyle w:val="Compact"/>
              <w:jc w:val="left"/>
            </w:pPr>
            <w:r>
              <w:t xml:space="preserve">kleine RCT’s bij zenuwschade door sarcoïdose; sinds 2015 geen nieuwe studies</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kandidaat voor coeliakie; fase 3 afgebroken</w:t>
            </w:r>
          </w:p>
        </w:tc>
      </w:tr>
      <w:tr>
        <w:tc>
          <w:tcPr/>
          <w:p>
            <w:pPr>
              <w:pStyle w:val="Compact"/>
              <w:jc w:val="left"/>
            </w:pPr>
            <w:r>
              <w:t xml:space="preserve">Thymaline / thymogen</w:t>
            </w:r>
          </w:p>
        </w:tc>
        <w:tc>
          <w:tcPr/>
          <w:p>
            <w:pPr>
              <w:pStyle w:val="Compact"/>
              <w:jc w:val="left"/>
            </w:pPr>
            <w:r>
              <w:t xml:space="preserve">C</w:t>
            </w:r>
          </w:p>
        </w:tc>
        <w:tc>
          <w:tcPr/>
          <w:p>
            <w:pPr>
              <w:pStyle w:val="Compact"/>
              <w:jc w:val="left"/>
            </w:pPr>
            <w:r>
              <w:t xml:space="preserve">Rusland</w:t>
            </w:r>
          </w:p>
        </w:tc>
        <w:tc>
          <w:tcPr/>
          <w:p>
            <w:pPr>
              <w:pStyle w:val="Compact"/>
              <w:jc w:val="left"/>
            </w:pPr>
            <w:r>
              <w:t xml:space="preserve">vrijwel alleen Russische studies van één school, nauwelijks gerandomiseerd</w:t>
            </w:r>
          </w:p>
        </w:tc>
      </w:tr>
    </w:tbl>
    <w:p>
      <w:pPr>
        <w:pStyle w:val="BodyText"/>
      </w:pPr>
      <w:r>
        <w:t xml:space="preserve">Bewijsniveaus:</w:t>
      </w:r>
      <w:r>
        <w:t xml:space="preserve"> </w:t>
      </w:r>
      <w:r>
        <w:rPr>
          <w:bCs/>
          <w:b/>
        </w:rPr>
        <w:t xml:space="preserve">A</w:t>
      </w:r>
      <w:r>
        <w:t xml:space="preserve"> </w:t>
      </w:r>
      <w:r>
        <w:t xml:space="preserve">meerdere grote RCT’s of registratie ·</w:t>
      </w:r>
      <w:r>
        <w:t xml:space="preserve"> </w:t>
      </w:r>
      <w:r>
        <w:rPr>
          <w:bCs/>
          <w:b/>
        </w:rPr>
        <w:t xml:space="preserve">B</w:t>
      </w:r>
      <w:r>
        <w:t xml:space="preserve"> </w:t>
      </w:r>
      <w:r>
        <w:t xml:space="preserve">afzonderlijke RCT’s ·</w:t>
      </w:r>
      <w:r>
        <w:t xml:space="preserve"> </w:t>
      </w:r>
      <w:r>
        <w:rPr>
          <w:bCs/>
          <w:b/>
        </w:rPr>
        <w:t xml:space="preserve">C</w:t>
      </w:r>
      <w:r>
        <w:t xml:space="preserve"> </w:t>
      </w:r>
      <w:r>
        <w:t xml:space="preserve">alleen kleine of ongecontroleerde studies bij mensen ·</w:t>
      </w:r>
      <w:r>
        <w:t xml:space="preserve"> </w:t>
      </w:r>
      <w:r>
        <w:rPr>
          <w:bCs/>
          <w:b/>
        </w:rPr>
        <w:t xml:space="preserve">D</w:t>
      </w:r>
      <w:r>
        <w:t xml:space="preserve"> </w:t>
      </w:r>
      <w:r>
        <w:t xml:space="preserve">alleen dier- en laboratoriumstudies. Registratie verwijst naar de registratie als geneesmiddel, stand 2026.</w:t>
      </w:r>
    </w:p>
    <w:p>
      <w:pPr>
        <w:pStyle w:val="BodyText"/>
      </w:pPr>
      <w:r>
        <w:t xml:space="preserve">Geen enkel peptide in deze groep is in de EU of de VS als geneesmiddel geregistreerd. De twee werkzame stoffen met registraties buiten het Westen – thymosine alfa-1 en thymaline – werden geregistreerd op basis van studies die slechts gedeeltelijk aan de huidige maatstaven voldoen.</w:t>
      </w:r>
    </w:p>
    <w:bookmarkEnd w:id="894"/>
    <w:bookmarkStart w:id="895" w:name="leeswijzer-1"/>
    <w:p>
      <w:pPr>
        <w:pStyle w:val="Heading3"/>
      </w:pPr>
      <w:r>
        <w:t xml:space="preserve">Leeswijzer</w:t>
      </w:r>
    </w:p>
    <w:p>
      <w:pPr>
        <w:pStyle w:val="FirstParagraph"/>
      </w:pPr>
      <w:r>
        <w:t xml:space="preserve">De hoofdstukken volgen de uniforme opbouw van dit boek. Let bij deze groep vooral op drie onderscheidingen:</w:t>
      </w:r>
    </w:p>
    <w:p>
      <w:pPr>
        <w:numPr>
          <w:ilvl w:val="0"/>
          <w:numId w:val="1114"/>
        </w:numPr>
        <w:pStyle w:val="Compact"/>
      </w:pPr>
      <w:r>
        <w:rPr>
          <w:bCs/>
          <w:b/>
        </w:rPr>
        <w:t xml:space="preserve">Mens of dier?</w:t>
      </w:r>
      <w:r>
        <w:t xml:space="preserve"> </w:t>
      </w:r>
      <w:r>
        <w:t xml:space="preserve">Bij BPC-157, KPV en TB-500 berust vrijwel alles wat op internet wordt beweerd op experimenten met ratten, muizen of celkweken. De hoofdstukken geven dat telkens uitdrukkelijk aan.</w:t>
      </w:r>
    </w:p>
    <w:p>
      <w:pPr>
        <w:numPr>
          <w:ilvl w:val="0"/>
          <w:numId w:val="1114"/>
        </w:numPr>
        <w:pStyle w:val="Compact"/>
      </w:pPr>
      <w:r>
        <w:rPr>
          <w:bCs/>
          <w:b/>
        </w:rPr>
        <w:t xml:space="preserve">Werkzame stof of meetwaarde?</w:t>
      </w:r>
      <w:r>
        <w:t xml:space="preserve"> </w:t>
      </w:r>
      <w:r>
        <w:t xml:space="preserve">Bij LL-37 zijn er veel studies die de stof in het bloed</w:t>
      </w:r>
      <w:r>
        <w:t xml:space="preserve"> </w:t>
      </w:r>
      <w:r>
        <w:rPr>
          <w:iCs/>
          <w:i/>
        </w:rPr>
        <w:t xml:space="preserve">meten</w:t>
      </w:r>
      <w:r>
        <w:t xml:space="preserve">, maar slechts weinig die haar als geneesmiddel</w:t>
      </w:r>
      <w:r>
        <w:t xml:space="preserve"> </w:t>
      </w:r>
      <w:r>
        <w:rPr>
          <w:iCs/>
          <w:i/>
        </w:rPr>
        <w:t xml:space="preserve">toedienen</w:t>
      </w:r>
      <w:r>
        <w:t xml:space="preserve">. Alleen die laatste zeggen iets over een behandeling.</w:t>
      </w:r>
    </w:p>
    <w:p>
      <w:pPr>
        <w:numPr>
          <w:ilvl w:val="0"/>
          <w:numId w:val="1114"/>
        </w:numPr>
        <w:pStyle w:val="Compact"/>
      </w:pPr>
      <w:r>
        <w:rPr>
          <w:bCs/>
          <w:b/>
        </w:rPr>
        <w:t xml:space="preserve">Origineel of afgeleide?</w:t>
      </w:r>
      <w:r>
        <w:t xml:space="preserve"> </w:t>
      </w:r>
      <w:r>
        <w:t xml:space="preserve">TB-500 is niet thymosine bèta-4, thymogen niet thymaline, en het op internet verkochte product is niet de in studies gebruikte toedieningsvorm.</w:t>
      </w:r>
    </w:p>
    <w:p>
      <w:pPr>
        <w:pStyle w:val="FirstParagraph"/>
      </w:pPr>
      <w:r>
        <w:t xml:space="preserve">Twee hoofdstukken bevatten opmerkingen over registervermeldingen waarvan de echtheid twijfelachtig is: één sponsor heeft bij ClinicalTrials.gov zowel een fase 2-studie naar BPC-157 als een studie naar TB-500 ingeschreven, waarvan er één zichzelf een</w:t>
      </w:r>
      <w:r>
        <w:t xml:space="preserve"> </w:t>
      </w:r>
      <w:r>
        <w:t xml:space="preserve">‘</w:t>
      </w:r>
      <w:r>
        <w:t xml:space="preserve">fictief voorbeeld</w:t>
      </w:r>
      <w:r>
        <w:t xml:space="preserve">’</w:t>
      </w:r>
      <w:r>
        <w:t xml:space="preserve"> </w:t>
      </w:r>
      <w:r>
        <w:t xml:space="preserve">noemt. Ook een registervermelding is dus geen bewijs dat een studie daadwerkelijk plaatsvindt.</w:t>
      </w:r>
    </w:p>
    <w:p>
      <w:pPr>
        <w:pStyle w:val="BodyText"/>
      </w:pPr>
      <w:r>
        <w:t xml:space="preserve">Vragen over producten van de grijze markt, verontreinigingen en het theoretische kankerrisico door groei- en vaatsignalen worden in hoofdstuk I.5 en in deel IV uitvoeriger en over de peptiden heen behandeld. Voor sporters geldt: BPC-157, TB-500 en ARA-290 zijn door de WADA uitdrukkelijk verboden; bij de overige kun je vóór elk gebruik het beste je nationale antidopingorganisatie raadplegen.</w:t>
      </w:r>
    </w:p>
    <w:bookmarkEnd w:id="895"/>
    <w:bookmarkStart w:id="953" w:name="bpc-157"/>
    <w:p>
      <w:pPr>
        <w:pStyle w:val="Heading2"/>
      </w:pPr>
      <w:r>
        <w:t xml:space="preserve">BPC-157</w:t>
      </w:r>
    </w:p>
    <w:p>
      <w:pPr>
        <w:pStyle w:val="FirstParagraph"/>
      </w:pPr>
      <w:r>
        <w:t xml:space="preserve">Nauwelijks een peptide wordt op internet zo vaak gezocht, aanbevolen en verkocht als BPC-157. Op fora en in video’s geldt het als wondermiddel voor pezen, banden, spieren, darmen en zelfs de hersenen. Wie de vakliteratuur leest, vindt inderdaad ruim meer dan tweehonderd publicaties. Het beeld verandert echter zodra je vraagt hoeveel daarvan mensen hebben onderzocht: het zijn er slechts een handvol – klein, ongecontroleerd en afkomstig uit één enkele privépraktijk. Dit hoofdstuk zet op een rij wat aangetoond is, wat alleen bij ratten is gezien en waar de risico’s liggen.</w:t>
      </w:r>
    </w:p>
    <w:bookmarkStart w:id="897" w:name="profiel-15"/>
    <w:p>
      <w:pPr>
        <w:pStyle w:val="Heading3"/>
      </w:pPr>
      <w:r>
        <w:t xml:space="preserve">Profiel</w:t>
      </w:r>
    </w:p>
    <w:p>
      <w:pPr>
        <w:numPr>
          <w:ilvl w:val="0"/>
          <w:numId w:val="1115"/>
        </w:numPr>
        <w:pStyle w:val="Compact"/>
      </w:pPr>
      <w:r>
        <w:rPr>
          <w:bCs/>
          <w:b/>
        </w:rPr>
        <w:t xml:space="preserve">Soort en structuur:</w:t>
      </w:r>
      <w:r>
        <w:t xml:space="preserve"> </w:t>
      </w:r>
      <w:r>
        <w:t xml:space="preserve">synthetisch peptide van 15 aminozuren (pentadecapeptide) met de sequentie GEPPPGKPADDAGLV</w:t>
      </w:r>
      <w:r>
        <w:rPr>
          <w:rStyle w:val="FootnoteReference"/>
        </w:rPr>
        <w:footnoteReference w:id="896"/>
      </w:r>
      <w:r>
        <w:t xml:space="preserve">.</w:t>
      </w:r>
    </w:p>
    <w:p>
      <w:pPr>
        <w:numPr>
          <w:ilvl w:val="0"/>
          <w:numId w:val="1115"/>
        </w:numPr>
        <w:pStyle w:val="Compact"/>
      </w:pPr>
      <w:r>
        <w:rPr>
          <w:bCs/>
          <w:b/>
        </w:rPr>
        <w:t xml:space="preserve">Herkomst:</w:t>
      </w:r>
      <w:r>
        <w:t xml:space="preserve"> </w:t>
      </w:r>
      <w:r>
        <w:t xml:space="preserve">afgeleid van een groter eiwit dat in de jaren negentig uit menselijk maagsap werd beschreven (</w:t>
      </w:r>
      <w:r>
        <w:t xml:space="preserve">‘</w:t>
      </w:r>
      <w:r>
        <w:t xml:space="preserve">Body Protection Compound</w:t>
      </w:r>
      <w:r>
        <w:t xml:space="preserve">’</w:t>
      </w:r>
      <w:r>
        <w:t xml:space="preserve">, vandaar BPC). Het verkochte BPC-157 is een laboratoriumproduct; of de sequentie in deze vorm in het lichaam voorkomt, is niet onafhankelijk vastgesteld.</w:t>
      </w:r>
    </w:p>
    <w:p>
      <w:pPr>
        <w:numPr>
          <w:ilvl w:val="0"/>
          <w:numId w:val="1115"/>
        </w:numPr>
        <w:pStyle w:val="Compact"/>
      </w:pPr>
      <w:r>
        <w:rPr>
          <w:bCs/>
          <w:b/>
        </w:rPr>
        <w:t xml:space="preserve">Vroegere ontwikkelingsnamen:</w:t>
      </w:r>
      <w:r>
        <w:t xml:space="preserve"> </w:t>
      </w:r>
      <w:r>
        <w:t xml:space="preserve">PL 14736, PL-10, PLD-116 (bedrijf Pliva, Kroatië), later</w:t>
      </w:r>
      <w:r>
        <w:t xml:space="preserve"> </w:t>
      </w:r>
      <w:r>
        <w:t xml:space="preserve">‘</w:t>
      </w:r>
      <w:r>
        <w:t xml:space="preserve">Bepecin</w:t>
      </w:r>
      <w:r>
        <w:t xml:space="preserve">’</w:t>
      </w:r>
      <w:r>
        <w:t xml:space="preserve"> </w:t>
      </w:r>
      <w:r>
        <w:t xml:space="preserve">resp. PCO-02.</w:t>
      </w:r>
    </w:p>
    <w:p>
      <w:pPr>
        <w:numPr>
          <w:ilvl w:val="0"/>
          <w:numId w:val="1115"/>
        </w:numPr>
        <w:pStyle w:val="Compact"/>
      </w:pPr>
      <w:r>
        <w:rPr>
          <w:bCs/>
          <w:b/>
        </w:rPr>
        <w:t xml:space="preserve">Werkingsprincipe (vermoed, uit dierstudies):</w:t>
      </w:r>
      <w:r>
        <w:t xml:space="preserve"> </w:t>
      </w:r>
      <w:r>
        <w:t xml:space="preserve">bevordering van de vorming van nieuwe bloedvaten (angiogenese) via de VEGF-receptor 2 en het stikstofmonoxidesysteem, effect op de migratie van bindweefselcellen.</w:t>
      </w:r>
    </w:p>
    <w:p>
      <w:pPr>
        <w:numPr>
          <w:ilvl w:val="0"/>
          <w:numId w:val="1115"/>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door de FDA in 2023 ingedeeld als werkzame stof met veiligheidsbezwaren voor bereiding door apotheken (categorie 2).</w:t>
      </w:r>
    </w:p>
    <w:p>
      <w:pPr>
        <w:numPr>
          <w:ilvl w:val="0"/>
          <w:numId w:val="1115"/>
        </w:numPr>
        <w:pStyle w:val="Compact"/>
      </w:pPr>
      <w:r>
        <w:rPr>
          <w:bCs/>
          <w:b/>
        </w:rPr>
        <w:t xml:space="preserve">WADA:</w:t>
      </w:r>
      <w:r>
        <w:t xml:space="preserve"> </w:t>
      </w:r>
      <w:r>
        <w:t xml:space="preserve">verboden, groep S0</w:t>
      </w:r>
      <w:r>
        <w:t xml:space="preserve"> </w:t>
      </w:r>
      <w:r>
        <w:t xml:space="preserve">‘</w:t>
      </w:r>
      <w:r>
        <w:t xml:space="preserve">niet-goedgekeurde stoffen</w:t>
      </w:r>
      <w:r>
        <w:t xml:space="preserve">’</w:t>
      </w:r>
      <w:r>
        <w:t xml:space="preserve"> </w:t>
      </w:r>
      <w:r>
        <w:t xml:space="preserve">(uitdrukkelijk genoemd).</w:t>
      </w:r>
    </w:p>
    <w:p>
      <w:pPr>
        <w:numPr>
          <w:ilvl w:val="0"/>
          <w:numId w:val="1115"/>
        </w:numPr>
        <w:pStyle w:val="Compact"/>
      </w:pPr>
      <w:r>
        <w:rPr>
          <w:bCs/>
          <w:b/>
        </w:rPr>
        <w:t xml:space="preserve">Bewijsniveau: C</w:t>
      </w:r>
      <w:r>
        <w:t xml:space="preserve"> </w:t>
      </w:r>
      <w:r>
        <w:t xml:space="preserve">– slechts drie zeer kleine, ongecontroleerde onderzoeken bij mensen met samen ongeveer 30 personen; geen afgeronde gerandomiseerde studie.</w:t>
      </w:r>
    </w:p>
    <w:bookmarkEnd w:id="897"/>
    <w:bookmarkStart w:id="904" w:name="hoe-het-zou-moeten-werken-15"/>
    <w:p>
      <w:pPr>
        <w:pStyle w:val="Heading3"/>
      </w:pPr>
      <w:r>
        <w:t xml:space="preserve">Hoe het zou moeten werken</w:t>
      </w:r>
    </w:p>
    <w:p>
      <w:pPr>
        <w:pStyle w:val="FirstParagraph"/>
      </w:pPr>
      <w:r>
        <w:t xml:space="preserve">Het basisidee komt uit het maagonderzoek. Het maagslijmvlies wordt dagelijks blootgesteld aan zuur, enzymen en geneesmiddelen zoals pijnstillers en herstelt zich toch verbazingwekkend snel. Onderzoekers in Zagreb vermoedden in de jaren negentig dat beschermende stoffen in het maagsap dit vermogen tot stand brengen, en isoleerden een peptide dat ze</w:t>
      </w:r>
      <w:r>
        <w:t xml:space="preserve"> </w:t>
      </w:r>
      <w:r>
        <w:t xml:space="preserve">‘</w:t>
      </w:r>
      <w:r>
        <w:t xml:space="preserve">Body Protection Compound</w:t>
      </w:r>
      <w:r>
        <w:t xml:space="preserve">’</w:t>
      </w:r>
      <w:r>
        <w:t xml:space="preserve"> </w:t>
      </w:r>
      <w:r>
        <w:t xml:space="preserve">noemden. BPC-157 is daar een kort fragment van.</w:t>
      </w:r>
    </w:p>
    <w:p>
      <w:pPr>
        <w:pStyle w:val="BodyText"/>
      </w:pPr>
      <w:r>
        <w:t xml:space="preserve">Ongewoon is dat BPC-157 in maagsap stabiel blijft. De meeste peptiden worden daar snel afgebroken. Voorstanders leiden daaruit af dat het ook als tablet zou kunnen werken – bij mensen is dat niet bewezen.</w:t>
      </w:r>
    </w:p>
    <w:p>
      <w:pPr>
        <w:pStyle w:val="BodyText"/>
      </w:pPr>
      <w:r>
        <w:t xml:space="preserve">Voor de beweerde werking worden vooral drie mechanismen besproken, die allemaal uit dier- en celexperimenten komen:</w:t>
      </w:r>
    </w:p>
    <w:p>
      <w:pPr>
        <w:numPr>
          <w:ilvl w:val="0"/>
          <w:numId w:val="1116"/>
        </w:numPr>
        <w:pStyle w:val="Compact"/>
      </w:pPr>
      <w:r>
        <w:rPr>
          <w:bCs/>
          <w:b/>
        </w:rPr>
        <w:t xml:space="preserve">Vorming van nieuwe bloedvaten:</w:t>
      </w:r>
      <w:r>
        <w:t xml:space="preserve"> </w:t>
      </w:r>
      <w:r>
        <w:t xml:space="preserve">in celkweken van menselijke vaatwandcellen verhoogde BPC-157 de hoeveelheid VEGF-receptor 2 (een centrale schakelaar voor de groei van nieuwe bloedvaten) en activeerde het de daarachter liggende signaalroute Akt-eNOS; bij ratten met een afgebonden beenslagader keerde de doorbloeding sneller terug</w:t>
      </w:r>
      <w:r>
        <w:rPr>
          <w:rStyle w:val="FootnoteReference"/>
        </w:rPr>
        <w:footnoteReference w:id="898"/>
      </w:r>
      <w:r>
        <w:t xml:space="preserve">. Een Chinese studie beschreef in 2026 in celexperimenten een andere route via de eiwitten FBXO22 en BACH1</w:t>
      </w:r>
      <w:r>
        <w:rPr>
          <w:rStyle w:val="FootnoteReference"/>
        </w:rPr>
        <w:footnoteReference w:id="899"/>
      </w:r>
      <w:r>
        <w:t xml:space="preserve">.</w:t>
      </w:r>
    </w:p>
    <w:p>
      <w:pPr>
        <w:numPr>
          <w:ilvl w:val="0"/>
          <w:numId w:val="1116"/>
        </w:numPr>
        <w:pStyle w:val="Compact"/>
      </w:pPr>
      <w:r>
        <w:rPr>
          <w:bCs/>
          <w:b/>
        </w:rPr>
        <w:t xml:space="preserve">Celmigratie en overleving:</w:t>
      </w:r>
      <w:r>
        <w:t xml:space="preserve"> </w:t>
      </w:r>
      <w:r>
        <w:t xml:space="preserve">in kweken van pescellen van ratten versnelde BPC-157 het uitgroeien van de cellen uit stukjes pees, verbeterde het hun overleving onder oxidatieve stress en bevorderde het hun migratie; de celdeling zelf werd niet direct verhoogd</w:t>
      </w:r>
      <w:r>
        <w:rPr>
          <w:rStyle w:val="FootnoteReference"/>
        </w:rPr>
        <w:footnoteReference w:id="900"/>
      </w:r>
      <w:r>
        <w:t xml:space="preserve">.</w:t>
      </w:r>
    </w:p>
    <w:p>
      <w:pPr>
        <w:numPr>
          <w:ilvl w:val="0"/>
          <w:numId w:val="1116"/>
        </w:numPr>
        <w:pStyle w:val="Compact"/>
      </w:pPr>
      <w:r>
        <w:rPr>
          <w:bCs/>
          <w:b/>
        </w:rPr>
        <w:t xml:space="preserve">Gevoeligheid voor groeihormoon:</w:t>
      </w:r>
      <w:r>
        <w:t xml:space="preserve"> </w:t>
      </w:r>
      <w:r>
        <w:t xml:space="preserve">in dezelfde pescellen van ratten verhoogde BPC-157 het aantal groeihormoonreceptoren</w:t>
      </w:r>
      <w:r>
        <w:rPr>
          <w:rStyle w:val="FootnoteReference"/>
        </w:rPr>
        <w:footnoteReference w:id="901"/>
      </w:r>
      <w:r>
        <w:t xml:space="preserve">.</w:t>
      </w:r>
    </w:p>
    <w:p>
      <w:pPr>
        <w:pStyle w:val="FirstParagraph"/>
      </w:pPr>
      <w:r>
        <w:t xml:space="preserve">Daarbij komt een groot aantal andere effecten op stikstofmonoxide, bloedstolling en neurotransmitters, die vooral in overzichtsartikelen van de Zagrebse groep worden beschreven</w:t>
      </w:r>
      <w:r>
        <w:rPr>
          <w:rStyle w:val="FootnoteReference"/>
        </w:rPr>
        <w:footnoteReference w:id="902"/>
      </w:r>
      <w:r>
        <w:t xml:space="preserve">. Een eenduidige receptor waaraan BPC-157 bindt, is tot op heden niet bekend.</w:t>
      </w:r>
    </w:p>
    <w:p>
      <w:pPr>
        <w:pStyle w:val="BodyText"/>
      </w:pPr>
      <w:r>
        <w:t xml:space="preserve">Opvallend is een tegenstrijdigheid waarop een farmaceutisch overzicht wijst: bij dieren heeft BPC-157 een halfwaardetijd van minder dan 30 minuten, maar de beschreven effecten zouden uren tot dagen aanhouden</w:t>
      </w:r>
      <w:r>
        <w:rPr>
          <w:rStyle w:val="FootnoteReference"/>
        </w:rPr>
        <w:footnoteReference w:id="903"/>
      </w:r>
      <w:r>
        <w:t xml:space="preserve">. Hoe dat samengaat, is onopgehelderd.</w:t>
      </w:r>
    </w:p>
    <w:bookmarkEnd w:id="904"/>
    <w:bookmarkStart w:id="917" w:name="studies-bij-mensen-1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 in PubMed</w:t>
      </w:r>
      <w:r>
        <w:t xml:space="preserve"> </w:t>
      </w:r>
      <w:r>
        <w:rPr>
          <w:bCs/>
          <w:b/>
        </w:rPr>
        <w:t xml:space="preserve">geen</w:t>
      </w:r>
      <w:r>
        <w:t xml:space="preserve"> </w:t>
      </w:r>
      <w:r>
        <w:t xml:space="preserve">studie die voldoet aan de filtercriteria voor een studie bij mensen (</w:t>
      </w:r>
      <w:r>
        <w:rPr>
          <w:rStyle w:val="VerbatimChar"/>
        </w:rPr>
        <w:t xml:space="preserve">humanstudien_alle</w:t>
      </w:r>
      <w:r>
        <w:t xml:space="preserve">: 0), en</w:t>
      </w:r>
      <w:r>
        <w:t xml:space="preserve"> </w:t>
      </w:r>
      <w:r>
        <w:rPr>
          <w:bCs/>
          <w:b/>
        </w:rPr>
        <w:t xml:space="preserve">4</w:t>
      </w:r>
      <w:r>
        <w:t xml:space="preserve"> </w:t>
      </w:r>
      <w:r>
        <w:t xml:space="preserve">vermeldingen in het studieregister ClinicalTrials.gov. In totaal vermeldt PubMed voor BPC-157 ongeveer 230 publicaties – vrijwel uitsluitend dierproeven, laboratoriumwerk en overzichtsartikelen.</w:t>
      </w:r>
    </w:p>
    <w:p>
      <w:pPr>
        <w:pStyle w:val="BodyText"/>
      </w:pPr>
      <w:r>
        <w:t xml:space="preserve">Een gerichte aanvullende zoektocht leverde drie kleine onderzoeken bij mensen op. Alle drie zijn afkomstig van dezelfde eerste auteur uit een privépraktijk in Florida en verschenen in een tijdschrift voor alternatieve geneeskunde. Een in 2026 gepubliceerd systematisch overzicht heeft precies deze drie studies met samen 30 personen gevonden</w:t>
      </w:r>
      <w:r>
        <w:rPr>
          <w:rStyle w:val="FootnoteReference"/>
        </w:rPr>
        <w:footnoteReference w:id="905"/>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Kniegewricht (Lee 2021), PMID 34324435</w:t>
            </w:r>
          </w:p>
        </w:tc>
        <w:tc>
          <w:tcPr/>
          <w:p>
            <w:pPr>
              <w:pStyle w:val="Compact"/>
              <w:jc w:val="left"/>
            </w:pPr>
            <w:r>
              <w:t xml:space="preserve">16 personen met kniepijn door uiteenlopende oorzaken, retrospectieve dossieranalyse met telefonische enquête, geen controlegroep</w:t>
            </w:r>
          </w:p>
        </w:tc>
        <w:tc>
          <w:tcPr/>
          <w:p>
            <w:pPr>
              <w:pStyle w:val="Compact"/>
              <w:jc w:val="left"/>
            </w:pPr>
            <w:r>
              <w:t xml:space="preserve">terugblik 6–12 maanden</w:t>
            </w:r>
          </w:p>
        </w:tc>
        <w:tc>
          <w:tcPr/>
          <w:p>
            <w:pPr>
              <w:pStyle w:val="Compact"/>
              <w:jc w:val="left"/>
            </w:pPr>
            <w:r>
              <w:t xml:space="preserve">14 van de 16 meldden pijnverlichting; 12 kregen alleen BPC-157, 4 daarnaast thymosine bèta-4</w:t>
            </w:r>
          </w:p>
        </w:tc>
      </w:tr>
      <w:tr>
        <w:tc>
          <w:tcPr/>
          <w:p>
            <w:pPr>
              <w:pStyle w:val="Compact"/>
              <w:jc w:val="left"/>
            </w:pPr>
            <w:r>
              <w:t xml:space="preserve">Interstitiële cystitis (Lee 2024), PMID 39325560</w:t>
            </w:r>
          </w:p>
        </w:tc>
        <w:tc>
          <w:tcPr/>
          <w:p>
            <w:pPr>
              <w:pStyle w:val="Compact"/>
              <w:jc w:val="left"/>
            </w:pPr>
            <w:r>
              <w:t xml:space="preserve">12 vrouwen met een chronische blaaspijnaandoening, injecties in de blaaswand tijdens een cystoscopie, geen controlegroep</w:t>
            </w:r>
          </w:p>
        </w:tc>
        <w:tc>
          <w:tcPr/>
          <w:p>
            <w:pPr>
              <w:pStyle w:val="Compact"/>
              <w:jc w:val="left"/>
            </w:pPr>
            <w:r>
              <w:t xml:space="preserve">één behandeling</w:t>
            </w:r>
          </w:p>
        </w:tc>
        <w:tc>
          <w:tcPr/>
          <w:p>
            <w:pPr>
              <w:pStyle w:val="Compact"/>
              <w:jc w:val="left"/>
            </w:pPr>
            <w:r>
              <w:t xml:space="preserve">10 van de 12 meldden volledige, 2 overwegende verbetering; geen bijwerkingen gemeld</w:t>
            </w:r>
          </w:p>
        </w:tc>
      </w:tr>
      <w:tr>
        <w:tc>
          <w:tcPr/>
          <w:p>
            <w:pPr>
              <w:pStyle w:val="Compact"/>
              <w:jc w:val="left"/>
            </w:pPr>
            <w:r>
              <w:t xml:space="preserve">Infuus in de ader (Lee 2025), PMID 40131143</w:t>
            </w:r>
          </w:p>
        </w:tc>
        <w:tc>
          <w:tcPr/>
          <w:p>
            <w:pPr>
              <w:pStyle w:val="Compact"/>
              <w:jc w:val="left"/>
            </w:pPr>
            <w:r>
              <w:t xml:space="preserve">2 personen, veiligheidstest op twee dagen</w:t>
            </w:r>
          </w:p>
        </w:tc>
        <w:tc>
          <w:tcPr/>
          <w:p>
            <w:pPr>
              <w:pStyle w:val="Compact"/>
              <w:jc w:val="left"/>
            </w:pPr>
            <w:r>
              <w:t xml:space="preserve">3 dagen</w:t>
            </w:r>
          </w:p>
        </w:tc>
        <w:tc>
          <w:tcPr/>
          <w:p>
            <w:pPr>
              <w:pStyle w:val="Compact"/>
              <w:jc w:val="left"/>
            </w:pPr>
            <w:r>
              <w:t xml:space="preserve">geen meetbare veranderingen in de onderzochte bloedwaarden, geen klachten</w:t>
            </w:r>
          </w:p>
        </w:tc>
      </w:tr>
    </w:tbl>
    <w:bookmarkStart w:id="912" w:name="hoe-zeggingskrachtig-zijn-deze-gegevens"/>
    <w:p>
      <w:pPr>
        <w:pStyle w:val="Heading4"/>
      </w:pPr>
      <w:r>
        <w:t xml:space="preserve">Hoe zeggingskrachtig zijn deze gegevens?</w:t>
      </w:r>
    </w:p>
    <w:p>
      <w:pPr>
        <w:pStyle w:val="FirstParagraph"/>
      </w:pPr>
      <w:r>
        <w:t xml:space="preserve">Nauwelijks. Het knieonderzoek was geen geplande studie, maar een achteraf gehouden telefonische enquête onder patiënten die de behandeling al hadden betaald. Er was geen vergelijkingsgroep, geen blindering, geen meetinstrumenten voor functie of kwaliteit van leven en geen beeldvorming. De oorzaken van de kniepijn liepen uiteen van artrose tot meniscusscheuren. Volgens het abstract werden geen gestandaardiseerde vragenlijsten over functie gebruikt</w:t>
      </w:r>
      <w:r>
        <w:rPr>
          <w:rStyle w:val="FootnoteReference"/>
        </w:rPr>
        <w:footnoteReference w:id="906"/>
      </w:r>
      <w:r>
        <w:t xml:space="preserve">.</w:t>
      </w:r>
    </w:p>
    <w:p>
      <w:pPr>
        <w:pStyle w:val="BodyText"/>
      </w:pPr>
      <w:r>
        <w:t xml:space="preserve">Het cystitisonderzoek mat het resultaat met één enkele globale vragenlijst. Dat alle twaalf vrouwen de best mogelijke beoordeling gaven, is voor een chronische, vaak moeilijk te behandelen aandoening ongewoon en zonder controlegroep niet te onderscheiden van een placebo-effect of het natuurlijke schommelen van de klachten. Opmerkelijk is bovendien dat het gebruikte BPC-157 afkomstig was van een Amerikaanse bereidingsapotheek</w:t>
      </w:r>
      <w:r>
        <w:rPr>
          <w:rStyle w:val="FootnoteReference"/>
        </w:rPr>
        <w:footnoteReference w:id="907"/>
      </w:r>
      <w:r>
        <w:t xml:space="preserve">.</w:t>
      </w:r>
    </w:p>
    <w:p>
      <w:pPr>
        <w:pStyle w:val="BodyText"/>
      </w:pPr>
      <w:r>
        <w:t xml:space="preserve">De infuusstudie omvatte twee personen die BPC-157 al eerder hadden gekregen. Uit twee personen valt geen uitspraak over veiligheid af te leiden – zeldzame of vertraagde bijwerkingen blijven zo onzichtbaar</w:t>
      </w:r>
      <w:r>
        <w:rPr>
          <w:rStyle w:val="FootnoteReference"/>
        </w:rPr>
        <w:footnoteReference w:id="908"/>
      </w:r>
      <w:r>
        <w:t xml:space="preserve">.</w:t>
      </w:r>
    </w:p>
    <w:p>
      <w:pPr>
        <w:pStyle w:val="BodyText"/>
      </w:pPr>
      <w:r>
        <w:t xml:space="preserve">Het systematische overzicht beoordeelde de methodologische kwaliteit van alle drie de studies als slecht en de betrouwbaarheid van het bewijs volgens het GRADE-systeem als</w:t>
      </w:r>
      <w:r>
        <w:t xml:space="preserve"> </w:t>
      </w:r>
      <w:r>
        <w:t xml:space="preserve">‘</w:t>
      </w:r>
      <w:r>
        <w:t xml:space="preserve">zeer laag</w:t>
      </w:r>
      <w:r>
        <w:t xml:space="preserve">’</w:t>
      </w:r>
      <w:r>
        <w:t xml:space="preserve">. De conclusie: BPC-157 zou buiten ethisch goedgekeurde, hoogwaardige klinische studies niet bij mensen moeten worden gebruikt</w:t>
      </w:r>
      <w:r>
        <w:rPr>
          <w:rStyle w:val="FootnoteReference"/>
        </w:rPr>
        <w:footnoteReference w:id="909"/>
      </w:r>
      <w:r>
        <w:t xml:space="preserve">. Een ander systematisch overzicht uit de sportorthopedie, dat tot juni 2024 zocht, vond onder 36 geïncludeerde publicaties slechts één klinische studie</w:t>
      </w:r>
      <w:r>
        <w:rPr>
          <w:rStyle w:val="FootnoteReference"/>
        </w:rPr>
        <w:footnoteReference w:id="910"/>
      </w:r>
      <w:r>
        <w:t xml:space="preserve">. Meerdere recente overzichten uit de orthopedie en sportgeneeskunde komen tot dezelfde conclusie: routinematig gebruik valt momenteel niet aan te bevelen</w:t>
      </w:r>
      <w:r>
        <w:rPr>
          <w:rStyle w:val="FootnoteReference"/>
        </w:rPr>
        <w:footnoteReference w:id="911"/>
      </w:r>
      <w:r>
        <w:t xml:space="preserve">.</w:t>
      </w:r>
    </w:p>
    <w:bookmarkEnd w:id="912"/>
    <w:bookmarkStart w:id="916" w:name="X77854ee7e43fe84e0dcc56d34ee1234b8d76e56"/>
    <w:p>
      <w:pPr>
        <w:pStyle w:val="Heading4"/>
      </w:pPr>
      <w:r>
        <w:t xml:space="preserve">Wat er van eerdere bedrijfsstudies terechtkwam</w:t>
      </w:r>
    </w:p>
    <w:p>
      <w:pPr>
        <w:pStyle w:val="FirstParagraph"/>
      </w:pPr>
      <w:r>
        <w:t xml:space="preserve">In de jaren 2000 ontwikkelde het Kroatische farmaceutische bedrijf Pliva BPC-157 onder de code PL 14736 voor chronische inflammatoire darmziekten. Dierstudies uit die tijd vermelden dat de stof</w:t>
      </w:r>
      <w:r>
        <w:t xml:space="preserve"> </w:t>
      </w:r>
      <w:r>
        <w:t xml:space="preserve">‘</w:t>
      </w:r>
      <w:r>
        <w:t xml:space="preserve">momenteel in klinische studies</w:t>
      </w:r>
      <w:r>
        <w:t xml:space="preserve">’</w:t>
      </w:r>
      <w:r>
        <w:t xml:space="preserve"> </w:t>
      </w:r>
      <w:r>
        <w:t xml:space="preserve">werd onderzocht</w:t>
      </w:r>
      <w:r>
        <w:rPr>
          <w:rStyle w:val="FootnoteReference"/>
        </w:rPr>
        <w:footnoteReference w:id="913"/>
      </w:r>
      <w:r>
        <w:t xml:space="preserve">. Een overzichtsartikel van de Zagrebse groep noemt studies bij colitis ulcerosa en multiple sclerose</w:t>
      </w:r>
      <w:r>
        <w:rPr>
          <w:rStyle w:val="FootnoteReference"/>
        </w:rPr>
        <w:footnoteReference w:id="914"/>
      </w:r>
      <w:r>
        <w:t xml:space="preserve">. Volledige resultaten van deze studies zijn in PubMed niet als origineel artikel te vinden. In 2015 werd bovendien een fase 1-studie met tabletten (</w:t>
      </w:r>
      <w:r>
        <w:t xml:space="preserve">‘</w:t>
      </w:r>
      <w:r>
        <w:t xml:space="preserve">Bepecin</w:t>
      </w:r>
      <w:r>
        <w:t xml:space="preserve">’</w:t>
      </w:r>
      <w:r>
        <w:t xml:space="preserve">, PCO-02) bij 42 gezonde vrijwilligers geregistreerd</w:t>
      </w:r>
      <w:r>
        <w:rPr>
          <w:rStyle w:val="FootnoteReference"/>
        </w:rPr>
        <w:footnoteReference w:id="915"/>
      </w:r>
      <w:r>
        <w:t xml:space="preserve">; de status is al jaren</w:t>
      </w:r>
      <w:r>
        <w:t xml:space="preserve"> </w:t>
      </w:r>
      <w:r>
        <w:t xml:space="preserve">‘</w:t>
      </w:r>
      <w:r>
        <w:t xml:space="preserve">onbekend</w:t>
      </w:r>
      <w:r>
        <w:t xml:space="preserve">’</w:t>
      </w:r>
      <w:r>
        <w:t xml:space="preserve">, resultaten zijn niet gepubliceerd.</w:t>
      </w:r>
    </w:p>
    <w:p>
      <w:pPr>
        <w:pStyle w:val="BodyText"/>
      </w:pPr>
      <w:r>
        <w:t xml:space="preserve">Voor lezers betekent dit: wanneer websites beweren dat BPC-157</w:t>
      </w:r>
      <w:r>
        <w:t xml:space="preserve"> </w:t>
      </w:r>
      <w:r>
        <w:t xml:space="preserve">‘</w:t>
      </w:r>
      <w:r>
        <w:t xml:space="preserve">in klinische studies veilig</w:t>
      </w:r>
      <w:r>
        <w:t xml:space="preserve">’</w:t>
      </w:r>
      <w:r>
        <w:t xml:space="preserve"> </w:t>
      </w:r>
      <w:r>
        <w:t xml:space="preserve">was, verwijzen ze naar studies waarvan niemand de gegevens onafhankelijk kan controleren.</w:t>
      </w:r>
    </w:p>
    <w:bookmarkEnd w:id="916"/>
    <w:bookmarkEnd w:id="917"/>
    <w:bookmarkStart w:id="926" w:name="dier--en-laboratoriumstudies-15"/>
    <w:p>
      <w:pPr>
        <w:pStyle w:val="Heading3"/>
      </w:pPr>
      <w:r>
        <w:t xml:space="preserve">Dier- en laboratoriumstudies</w:t>
      </w:r>
    </w:p>
    <w:p>
      <w:pPr>
        <w:pStyle w:val="FirstParagraph"/>
      </w:pPr>
      <w:r>
        <w:t xml:space="preserve">Het preklinische onderzoek is de reden waarom BPC-157 zo bekend werd. Het is omvangrijk, maar qua herkomst ongewoon eenzijdig.</w:t>
      </w:r>
    </w:p>
    <w:bookmarkStart w:id="921" w:name="eén-onderzoeksgroep-domineert"/>
    <w:p>
      <w:pPr>
        <w:pStyle w:val="Heading4"/>
      </w:pPr>
      <w:r>
        <w:t xml:space="preserve">Eén onderzoeksgroep domineert</w:t>
      </w:r>
    </w:p>
    <w:p>
      <w:pPr>
        <w:pStyle w:val="FirstParagraph"/>
      </w:pPr>
      <w:r>
        <w:t xml:space="preserve">Van de ongeveer 230 treffers in PubMed (zoekopdracht oktober 2026) noemen er ongeveer 175 de Zagrebse farmacoloog Predrag Sikirić als auteur – dus ongeveer drie kwart. Een overzicht over het herstel van pezen en spieren stelde vast dat in twee decennia slechts een handvol onderzoeksgroepen BPC-157 grondig heeft onderzocht</w:t>
      </w:r>
      <w:r>
        <w:rPr>
          <w:rStyle w:val="FootnoteReference"/>
        </w:rPr>
        <w:footnoteReference w:id="918"/>
      </w:r>
      <w:r>
        <w:t xml:space="preserve">. Dat is voor de beoordeling belangrijk: wetenschappelijke resultaten gelden pas als betrouwbaar wanneer onafhankelijke groepen ze herhalen. Een kritisch overzicht over doorbloedingsstoornissen bij knaagdieren uit 2026 bekritiseert korte observatieperioden, experimenten met een enkele dosis en onvolledig beschreven risico’s op vertekening, en pleit voor onafhankelijke, geblindeerde herhalingen</w:t>
      </w:r>
      <w:r>
        <w:rPr>
          <w:rStyle w:val="FootnoteReference"/>
        </w:rPr>
        <w:footnoteReference w:id="919"/>
      </w:r>
      <w:r>
        <w:t xml:space="preserve">. Een kort commentaar in het tijdschrift Inflammopharmacology ging in 2025 specifiek in op een lang overzichtsartikel van deze groep</w:t>
      </w:r>
      <w:r>
        <w:rPr>
          <w:rStyle w:val="FootnoteReference"/>
        </w:rPr>
        <w:footnoteReference w:id="920"/>
      </w:r>
      <w:r>
        <w:t xml:space="preserve">.</w:t>
      </w:r>
    </w:p>
    <w:p>
      <w:pPr>
        <w:pStyle w:val="BodyText"/>
      </w:pPr>
      <w:r>
        <w:t xml:space="preserve">Onafhankelijke studies zijn er wel – vooral uit Taiwan (pescellen, bloedvaten), Zuid-Korea en China –, maar ze zijn duidelijk zeldzamer en overwegend laboratorium- of celexperimenten.</w:t>
      </w:r>
    </w:p>
    <w:bookmarkEnd w:id="921"/>
    <w:bookmarkStart w:id="922" w:name="overzicht-per-orgaansysteem"/>
    <w:p>
      <w:pPr>
        <w:pStyle w:val="Heading4"/>
      </w:pPr>
      <w:r>
        <w:t xml:space="preserve">Overzicht per orgaansysteem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Gebied</w:t>
            </w:r>
          </w:p>
        </w:tc>
        <w:tc>
          <w:tcPr/>
          <w:p>
            <w:pPr>
              <w:pStyle w:val="Compact"/>
              <w:jc w:val="left"/>
            </w:pPr>
            <w:r>
              <w:t xml:space="preserve">Typisch model</w:t>
            </w:r>
          </w:p>
        </w:tc>
        <w:tc>
          <w:tcPr/>
          <w:p>
            <w:pPr>
              <w:pStyle w:val="Compact"/>
              <w:jc w:val="left"/>
            </w:pPr>
            <w:r>
              <w:t xml:space="preserve">Gemeld resultaat</w:t>
            </w:r>
          </w:p>
        </w:tc>
        <w:tc>
          <w:tcPr/>
          <w:p>
            <w:pPr>
              <w:pStyle w:val="Compact"/>
              <w:jc w:val="left"/>
            </w:pPr>
            <w:r>
              <w:t xml:space="preserve">Voorbeeld</w:t>
            </w:r>
          </w:p>
        </w:tc>
      </w:tr>
      <w:tr>
        <w:tc>
          <w:tcPr/>
          <w:p>
            <w:pPr>
              <w:pStyle w:val="Compact"/>
              <w:jc w:val="left"/>
            </w:pPr>
            <w:r>
              <w:t xml:space="preserve">Pees</w:t>
            </w:r>
          </w:p>
        </w:tc>
        <w:tc>
          <w:tcPr/>
          <w:p>
            <w:pPr>
              <w:pStyle w:val="Compact"/>
              <w:jc w:val="left"/>
            </w:pPr>
            <w:r>
              <w:t xml:space="preserve">doorgesneden achillespees bij ratten</w:t>
            </w:r>
          </w:p>
        </w:tc>
        <w:tc>
          <w:tcPr/>
          <w:p>
            <w:pPr>
              <w:pStyle w:val="Compact"/>
              <w:jc w:val="left"/>
            </w:pPr>
            <w:r>
              <w:t xml:space="preserve">betere belastbaarheid, functie en weefselstructuur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beschadigde binnenste knieband bij ratten</w:t>
            </w:r>
          </w:p>
        </w:tc>
        <w:tc>
          <w:tcPr/>
          <w:p>
            <w:pPr>
              <w:pStyle w:val="Compact"/>
              <w:jc w:val="left"/>
            </w:pPr>
            <w:r>
              <w:t xml:space="preserve">beter herstel</w:t>
            </w:r>
          </w:p>
        </w:tc>
        <w:tc>
          <w:tcPr/>
          <w:p>
            <w:pPr>
              <w:pStyle w:val="Compact"/>
              <w:jc w:val="left"/>
            </w:pPr>
            <w:r>
              <w:t xml:space="preserve">Cerovecki 2010, PMID 20225319</w:t>
            </w:r>
          </w:p>
        </w:tc>
      </w:tr>
      <w:tr>
        <w:tc>
          <w:tcPr/>
          <w:p>
            <w:pPr>
              <w:pStyle w:val="Compact"/>
              <w:jc w:val="left"/>
            </w:pPr>
            <w:r>
              <w:t xml:space="preserve">Spier</w:t>
            </w:r>
          </w:p>
        </w:tc>
        <w:tc>
          <w:tcPr/>
          <w:p>
            <w:pPr>
              <w:pStyle w:val="Compact"/>
              <w:jc w:val="left"/>
            </w:pPr>
            <w:r>
              <w:t xml:space="preserve">doorgesneden dijspier bij ratten</w:t>
            </w:r>
          </w:p>
        </w:tc>
        <w:tc>
          <w:tcPr/>
          <w:p>
            <w:pPr>
              <w:pStyle w:val="Compact"/>
              <w:jc w:val="left"/>
            </w:pPr>
            <w:r>
              <w:t xml:space="preserve">betere functie</w:t>
            </w:r>
          </w:p>
        </w:tc>
        <w:tc>
          <w:tcPr/>
          <w:p>
            <w:pPr>
              <w:pStyle w:val="Compact"/>
              <w:jc w:val="left"/>
            </w:pPr>
            <w:r>
              <w:t xml:space="preserve">Staresinic 2006, PMID 16609979</w:t>
            </w:r>
          </w:p>
        </w:tc>
      </w:tr>
      <w:tr>
        <w:tc>
          <w:tcPr/>
          <w:p>
            <w:pPr>
              <w:pStyle w:val="Compact"/>
              <w:jc w:val="left"/>
            </w:pPr>
            <w:r>
              <w:t xml:space="preserve">Bot</w:t>
            </w:r>
          </w:p>
        </w:tc>
        <w:tc>
          <w:tcPr/>
          <w:p>
            <w:pPr>
              <w:pStyle w:val="Compact"/>
              <w:jc w:val="left"/>
            </w:pPr>
            <w:r>
              <w:t xml:space="preserve">botdefect bij konijnen</w:t>
            </w:r>
          </w:p>
        </w:tc>
        <w:tc>
          <w:tcPr/>
          <w:p>
            <w:pPr>
              <w:pStyle w:val="Compact"/>
              <w:jc w:val="left"/>
            </w:pPr>
            <w:r>
              <w:t xml:space="preserve">duidelijk beter herstel van het defect op röntgenfoto en in weefsel</w:t>
            </w:r>
          </w:p>
        </w:tc>
        <w:tc>
          <w:tcPr/>
          <w:p>
            <w:pPr>
              <w:pStyle w:val="Compact"/>
              <w:jc w:val="left"/>
            </w:pPr>
            <w:r>
              <w:t xml:space="preserve">Sebecić 1999, PMID 10071911</w:t>
            </w:r>
          </w:p>
        </w:tc>
      </w:tr>
      <w:tr>
        <w:tc>
          <w:tcPr/>
          <w:p>
            <w:pPr>
              <w:pStyle w:val="Compact"/>
              <w:jc w:val="left"/>
            </w:pPr>
            <w:r>
              <w:t xml:space="preserve">Huid</w:t>
            </w:r>
          </w:p>
        </w:tc>
        <w:tc>
          <w:tcPr/>
          <w:p>
            <w:pPr>
              <w:pStyle w:val="Compact"/>
              <w:jc w:val="left"/>
            </w:pPr>
            <w:r>
              <w:t xml:space="preserve">snij-, brand- en diabetische wonden bij ratten</w:t>
            </w:r>
          </w:p>
        </w:tc>
        <w:tc>
          <w:tcPr/>
          <w:p>
            <w:pPr>
              <w:pStyle w:val="Compact"/>
              <w:jc w:val="left"/>
            </w:pPr>
            <w:r>
              <w:t xml:space="preserve">snellere wondgenezing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fistels, colitis, anastomosen bij ratten</w:t>
            </w:r>
          </w:p>
        </w:tc>
        <w:tc>
          <w:tcPr/>
          <w:p>
            <w:pPr>
              <w:pStyle w:val="Compact"/>
              <w:jc w:val="left"/>
            </w:pPr>
            <w:r>
              <w:t xml:space="preserve">genezing van fistels en naden</w:t>
            </w:r>
          </w:p>
        </w:tc>
        <w:tc>
          <w:tcPr/>
          <w:p>
            <w:pPr>
              <w:pStyle w:val="Compact"/>
              <w:jc w:val="left"/>
            </w:pPr>
            <w:r>
              <w:t xml:space="preserve">Sikiric 2020, PMID 32329684</w:t>
            </w:r>
          </w:p>
        </w:tc>
      </w:tr>
      <w:tr>
        <w:tc>
          <w:tcPr/>
          <w:p>
            <w:pPr>
              <w:pStyle w:val="Compact"/>
              <w:jc w:val="left"/>
            </w:pPr>
            <w:r>
              <w:t xml:space="preserve">Maag</w:t>
            </w:r>
          </w:p>
        </w:tc>
        <w:tc>
          <w:tcPr/>
          <w:p>
            <w:pPr>
              <w:pStyle w:val="Compact"/>
              <w:jc w:val="left"/>
            </w:pPr>
            <w:r>
              <w:t xml:space="preserve">schade door pijnstillers en alcohol</w:t>
            </w:r>
          </w:p>
        </w:tc>
        <w:tc>
          <w:tcPr/>
          <w:p>
            <w:pPr>
              <w:pStyle w:val="Compact"/>
              <w:jc w:val="left"/>
            </w:pPr>
            <w:r>
              <w:t xml:space="preserve">bescherming van het slijmvlies</w:t>
            </w:r>
          </w:p>
        </w:tc>
        <w:tc>
          <w:tcPr/>
          <w:p>
            <w:pPr>
              <w:pStyle w:val="Compact"/>
              <w:jc w:val="left"/>
            </w:pPr>
            <w:r>
              <w:t xml:space="preserve">Ilic 2011, PMID 21295044</w:t>
            </w:r>
          </w:p>
        </w:tc>
      </w:tr>
      <w:tr>
        <w:tc>
          <w:tcPr/>
          <w:p>
            <w:pPr>
              <w:pStyle w:val="Compact"/>
              <w:jc w:val="left"/>
            </w:pPr>
            <w:r>
              <w:t xml:space="preserve">Bloedvaten</w:t>
            </w:r>
          </w:p>
        </w:tc>
        <w:tc>
          <w:tcPr/>
          <w:p>
            <w:pPr>
              <w:pStyle w:val="Compact"/>
              <w:jc w:val="left"/>
            </w:pPr>
            <w:r>
              <w:t xml:space="preserve">afgebonden slagaders en aders</w:t>
            </w:r>
          </w:p>
        </w:tc>
        <w:tc>
          <w:tcPr/>
          <w:p>
            <w:pPr>
              <w:pStyle w:val="Compact"/>
              <w:jc w:val="left"/>
            </w:pPr>
            <w:r>
              <w:t xml:space="preserve">omleidingscirculaties, betere doorbloeding</w:t>
            </w:r>
          </w:p>
        </w:tc>
        <w:tc>
          <w:tcPr/>
          <w:p>
            <w:pPr>
              <w:pStyle w:val="Compact"/>
              <w:jc w:val="left"/>
            </w:pPr>
            <w:r>
              <w:t xml:space="preserve">Sikiric 2022, PMID 35125818</w:t>
            </w:r>
          </w:p>
        </w:tc>
      </w:tr>
    </w:tbl>
    <w:p>
      <w:pPr>
        <w:pStyle w:val="BodyText"/>
      </w:pPr>
      <w:r>
        <w:t xml:space="preserve">Daarbij komen studies over hersenen, oog, hart, blaas, vergiftigingen en stofwisselingsontsporingen – bij ratten en muizen. Deze enorme reikwijdte wordt door voorstanders als kracht gezien. Methodologisch gezien is het eerder een waarschuwingssignaal: een stof die in vrijwel elk getest model vrijwel elke stoornis verbetert, vraagt om bijzonder zorgvuldige, onafhankelijke controle.</w:t>
      </w:r>
    </w:p>
    <w:bookmarkEnd w:id="922"/>
    <w:bookmarkStart w:id="925" w:name="farmacokinetiek-en-toxicologie"/>
    <w:p>
      <w:pPr>
        <w:pStyle w:val="Heading4"/>
      </w:pPr>
      <w:r>
        <w:t xml:space="preserve">Farmacokinetiek en toxicologie</w:t>
      </w:r>
    </w:p>
    <w:p>
      <w:pPr>
        <w:pStyle w:val="FirstParagraph"/>
      </w:pPr>
      <w:r>
        <w:t xml:space="preserve">Een Chinese onderzoeksgroep onderzocht BPC-157 volgens de gebruikelijke regels van geneesmiddelontwikkeling. Bij ratten en beagles lag de halfwaardetijd van het onveranderde peptide onder 30 minuten; na injectie in de spier kwam bij ratten ongeveer 14 tot 19 procent, bij honden 45 tot 51 procent in de bloedsomloop. BPC-157 werd snel afgebroken tot kleine fragmenten en aminozuren en uitgescheiden via urine en gal</w:t>
      </w:r>
      <w:r>
        <w:rPr>
          <w:rStyle w:val="FootnoteReference"/>
        </w:rPr>
        <w:footnoteReference w:id="923"/>
      </w:r>
      <w:r>
        <w:t xml:space="preserve">. In toxiciteitsonderzoek bij muizen, ratten, konijnen en honden vonden dezelfde onderzoekers geen ernstige schade, geen schade aan het erfelijk materiaal en geen schade aan embryo’s; bij honden daalde bij de hoogste dosis de creatininewaarde tijdelijk</w:t>
      </w:r>
      <w:r>
        <w:rPr>
          <w:rStyle w:val="FootnoteReference"/>
        </w:rPr>
        <w:footnoteReference w:id="924"/>
      </w:r>
      <w:r>
        <w:t xml:space="preserve">. Zulke dierexperimentele gegevens zijn een voorwaarde voor studies bij mensen, maar vervangen die niet.</w:t>
      </w:r>
    </w:p>
    <w:bookmarkEnd w:id="925"/>
    <w:bookmarkEnd w:id="926"/>
    <w:bookmarkStart w:id="939" w:name="risicos-en-bijwerkingen-15"/>
    <w:p>
      <w:pPr>
        <w:pStyle w:val="Heading3"/>
      </w:pPr>
      <w:r>
        <w:t xml:space="preserve">Risico’s en bijwerkingen</w:t>
      </w:r>
    </w:p>
    <w:bookmarkStart w:id="928" w:name="aangetoond"/>
    <w:p>
      <w:pPr>
        <w:pStyle w:val="Heading4"/>
      </w:pPr>
      <w:r>
        <w:t xml:space="preserve">Aangetoond</w:t>
      </w:r>
    </w:p>
    <w:p>
      <w:pPr>
        <w:pStyle w:val="FirstParagraph"/>
      </w:pPr>
      <w:r>
        <w:t xml:space="preserve">Aangetoonde bijwerkingen bij mensen zijn er praktisch niet – maar niet omdat BPC-157 aantoonbaar veilig zou zijn, maar omdat nauwelijks iemand er systematisch naar heeft gezocht. De drie pilotonderzoeken met samen ongeveer 30 personen meldden geen bijwerkingen</w:t>
      </w:r>
      <w:r>
        <w:rPr>
          <w:rStyle w:val="FootnoteReference"/>
        </w:rPr>
        <w:footnoteReference w:id="927"/>
      </w:r>
      <w:r>
        <w:t xml:space="preserve">. Met 30 personen kunnen alleen vaak voorkomende, direct optredende problemen worden opgemerkt. Een bijwerking die één op de duizend personen treft, zou onzichtbaar blijven.</w:t>
      </w:r>
    </w:p>
    <w:bookmarkEnd w:id="928"/>
    <w:bookmarkStart w:id="932" w:name="Xf0de67da4cb986ceae26791d5c36489bacbd90d"/>
    <w:p>
      <w:pPr>
        <w:pStyle w:val="Heading4"/>
      </w:pPr>
      <w:r>
        <w:t xml:space="preserve">Theoretisch: vorming van nieuwe bloedvaten en tumorgroei</w:t>
      </w:r>
    </w:p>
    <w:p>
      <w:pPr>
        <w:pStyle w:val="FirstParagraph"/>
      </w:pPr>
      <w:r>
        <w:t xml:space="preserve">Het meest besproken theoretische risico volgt rechtstreeks uit het vermoede werkingsmechanisme. Als BPC-157 de vorming van nieuwe bloedvaten bevordert, zou het – zo luidt de zorg – ook de bloedtoevoer van al bestaande, misschien nog onontdekte tumoren kunnen verbeteren. Tumoren vanaf enkele millimeters groot hebben eigen bloedvaten nodig om verder te groeien. Daarom zijn remmers van de VEGF-signaalroute gevestigde kankermiddelen. Een stof die de VEGF-receptor 2 in celkweken opreguleert</w:t>
      </w:r>
      <w:r>
        <w:rPr>
          <w:rStyle w:val="FootnoteReference"/>
        </w:rPr>
        <w:footnoteReference w:id="929"/>
      </w:r>
      <w:r>
        <w:t xml:space="preserve">, verdient hier voorzichtigheid. Meerdere overzichten noemen ziekelijke vaatnieuwvorming en mogelijke bevordering van kanker uitdrukkelijk als onopgehelderd risico</w:t>
      </w:r>
      <w:r>
        <w:rPr>
          <w:rStyle w:val="FootnoteReference"/>
        </w:rPr>
        <w:footnoteReference w:id="930"/>
      </w:r>
      <w:r>
        <w:t xml:space="preserve">.</w:t>
      </w:r>
    </w:p>
    <w:p>
      <w:pPr>
        <w:pStyle w:val="BodyText"/>
      </w:pPr>
      <w:r>
        <w:t xml:space="preserve">De Zagrebse groep spreekt dat tegen: BPC-157 zou de vaatvorming sturen in plaats van haar blind aan te jagen, bijvoorbeeld op het hoornvlies van het oog een ziekelijke vaatingroei voorkomen en in dier- en celexperimenten zelfs effecten tegen tumoren vertonen</w:t>
      </w:r>
      <w:r>
        <w:rPr>
          <w:rStyle w:val="FootnoteReference"/>
        </w:rPr>
        <w:footnoteReference w:id="931"/>
      </w:r>
      <w:r>
        <w:t xml:space="preserve">. Deze gegevens komen opnieuw overwegend van dezelfde groep. Langetermijnstudies naar het ontstaan van kanker (carcinogeniteitsstudies), zoals die voor geregistreerde geneesmiddelen gebruikelijk zijn, zijn voor BPC-157 niet gepubliceerd. De vraag is daarmee open – noch bevestigd, noch weerlegd. Deel IV van dit boek behandelt het thema groeisignalen en kankerrisico uitvoerig.</w:t>
      </w:r>
    </w:p>
    <w:bookmarkEnd w:id="932"/>
    <w:bookmarkStart w:id="935" w:name="risicos-van-de-grijze-markt"/>
    <w:p>
      <w:pPr>
        <w:pStyle w:val="Heading4"/>
      </w:pPr>
      <w:r>
        <w:t xml:space="preserve">Risico’s van de grijze markt</w:t>
      </w:r>
    </w:p>
    <w:p>
      <w:pPr>
        <w:pStyle w:val="FirstParagraph"/>
      </w:pPr>
      <w:r>
        <w:t xml:space="preserve">Het grootste praktische risico ligt vermoedelijk niet in de werkzame stof zelf, maar in de producten. BPC-157 wordt overwegend verkocht als</w:t>
      </w:r>
      <w:r>
        <w:t xml:space="preserve"> </w:t>
      </w:r>
      <w:r>
        <w:t xml:space="preserve">‘</w:t>
      </w:r>
      <w:r>
        <w:t xml:space="preserve">research chemical</w:t>
      </w:r>
      <w:r>
        <w:t xml:space="preserve">’</w:t>
      </w:r>
      <w:r>
        <w:t xml:space="preserve"> </w:t>
      </w:r>
      <w:r>
        <w:t xml:space="preserve">zonder geneesmiddelkwaliteit. Overzichten noemen verontreinigingen, verkeerde concentraties, ontbrekende steriliteit en wisselende productiekwaliteit als concrete gevaren</w:t>
      </w:r>
      <w:r>
        <w:rPr>
          <w:rStyle w:val="FootnoteReference"/>
        </w:rPr>
        <w:footnoteReference w:id="933"/>
      </w:r>
      <w:r>
        <w:t xml:space="preserve">. Al in 2017 beschreef een antidopinglaboratorium BPC-157 uit in beslag genomen flesjes</w:t>
      </w:r>
      <w:r>
        <w:rPr>
          <w:rStyle w:val="FootnoteReference"/>
        </w:rPr>
        <w:footnoteReference w:id="934"/>
      </w:r>
      <w:r>
        <w:t xml:space="preserve">. Bij injecties komen daar infectierisico’s door niet-steriele oplossingen bij. Hoofdstuk I.5 en deel IV behandelen laboratoriumanalyses van peptiden van de grijze markt uitvoerig.</w:t>
      </w:r>
    </w:p>
    <w:bookmarkEnd w:id="935"/>
    <w:bookmarkStart w:id="938" w:name="verdere-open-vragen"/>
    <w:p>
      <w:pPr>
        <w:pStyle w:val="Heading4"/>
      </w:pPr>
      <w:r>
        <w:t xml:space="preserve">Verdere open vragen</w:t>
      </w:r>
    </w:p>
    <w:p>
      <w:pPr>
        <w:numPr>
          <w:ilvl w:val="0"/>
          <w:numId w:val="1117"/>
        </w:numPr>
        <w:pStyle w:val="Compact"/>
      </w:pPr>
      <w:r>
        <w:rPr>
          <w:bCs/>
          <w:b/>
        </w:rPr>
        <w:t xml:space="preserve">Interacties:</w:t>
      </w:r>
      <w:r>
        <w:t xml:space="preserve"> </w:t>
      </w:r>
      <w:r>
        <w:t xml:space="preserve">in dierproeven beïnvloedde BPC-157 bloedstolling, bloeddruk en neurotransmitters</w:t>
      </w:r>
      <w:r>
        <w:rPr>
          <w:rStyle w:val="FootnoteReference"/>
        </w:rPr>
        <w:footnoteReference w:id="936"/>
      </w:r>
      <w:r>
        <w:t xml:space="preserve">. Of dat bij mensen relevant is voor personen met antistollingsmiddelen, hart- en vaatziekten of psychiatrische medicatie, weet niemand.</w:t>
      </w:r>
    </w:p>
    <w:p>
      <w:pPr>
        <w:numPr>
          <w:ilvl w:val="0"/>
          <w:numId w:val="1117"/>
        </w:numPr>
        <w:pStyle w:val="Compact"/>
      </w:pPr>
      <w:r>
        <w:rPr>
          <w:bCs/>
          <w:b/>
        </w:rPr>
        <w:t xml:space="preserve">Zwangerschap en borstvoeding, kinderen en jongeren:</w:t>
      </w:r>
      <w:r>
        <w:t xml:space="preserve"> </w:t>
      </w:r>
      <w:r>
        <w:t xml:space="preserve">geen gegevens bij mensen.</w:t>
      </w:r>
    </w:p>
    <w:p>
      <w:pPr>
        <w:numPr>
          <w:ilvl w:val="0"/>
          <w:numId w:val="1117"/>
        </w:numPr>
        <w:pStyle w:val="Compact"/>
      </w:pPr>
      <w:r>
        <w:rPr>
          <w:bCs/>
          <w:b/>
        </w:rPr>
        <w:t xml:space="preserve">Placebo-effect:</w:t>
      </w:r>
      <w:r>
        <w:t xml:space="preserve"> </w:t>
      </w:r>
      <w:r>
        <w:t xml:space="preserve">een sportgeneeskundig overzicht wijst erop dat sociale media het placebo-effect bij zulke peptiden kunnen versterken</w:t>
      </w:r>
      <w:r>
        <w:rPr>
          <w:rStyle w:val="FootnoteReference"/>
        </w:rPr>
        <w:footnoteReference w:id="937"/>
      </w:r>
      <w:r>
        <w:t xml:space="preserve">. Persoonlijke succesverhalen zijn daarom geen bewijs van werkzaamheid.</w:t>
      </w:r>
    </w:p>
    <w:bookmarkEnd w:id="938"/>
    <w:bookmarkEnd w:id="939"/>
    <w:bookmarkStart w:id="943" w:name="juridische-status-15"/>
    <w:p>
      <w:pPr>
        <w:pStyle w:val="Heading3"/>
      </w:pPr>
      <w:r>
        <w:t xml:space="preserve">Juridische status</w:t>
      </w:r>
    </w:p>
    <w:p>
      <w:pPr>
        <w:pStyle w:val="FirstParagraph"/>
      </w:pPr>
      <w:r>
        <w:rPr>
          <w:iCs/>
          <w:i/>
        </w:rPr>
        <w:t xml:space="preserve">Stand 2026, actuele situatie controleren.</w:t>
      </w:r>
    </w:p>
    <w:p>
      <w:pPr>
        <w:numPr>
          <w:ilvl w:val="0"/>
          <w:numId w:val="1118"/>
        </w:numPr>
        <w:pStyle w:val="Compact"/>
      </w:pPr>
      <w:r>
        <w:rPr>
          <w:bCs/>
          <w:b/>
        </w:rPr>
        <w:t xml:space="preserve">EU:</w:t>
      </w:r>
      <w:r>
        <w:t xml:space="preserve"> </w:t>
      </w:r>
      <w:r>
        <w:t xml:space="preserve">BPC-157 is in geen enkele lidstaat als geneesmiddel geregistreerd. Een stof die wordt aangeboden voor de behandeling van ziekten bij mensen, geldt juridisch als geneesmiddel; zonder registratie mag die niet in de handel worden gebracht. De vermelding</w:t>
      </w:r>
      <w:r>
        <w:t xml:space="preserve"> </w:t>
      </w:r>
      <w:r>
        <w:t xml:space="preserve">‘</w:t>
      </w:r>
      <w:r>
        <w:t xml:space="preserve">alleen voor onderzoeksdoeleinden</w:t>
      </w:r>
      <w:r>
        <w:t xml:space="preserve">’</w:t>
      </w:r>
      <w:r>
        <w:t xml:space="preserve"> </w:t>
      </w:r>
      <w:r>
        <w:t xml:space="preserve">verandert daar niets aan als het product herkenbaar bedoeld is voor gebruik bij mensen.</w:t>
      </w:r>
    </w:p>
    <w:p>
      <w:pPr>
        <w:numPr>
          <w:ilvl w:val="0"/>
          <w:numId w:val="1118"/>
        </w:numPr>
        <w:pStyle w:val="Compact"/>
      </w:pPr>
      <w:r>
        <w:rPr>
          <w:bCs/>
          <w:b/>
        </w:rPr>
        <w:t xml:space="preserve">Duitsland en Oostenrijk:</w:t>
      </w:r>
      <w:r>
        <w:t xml:space="preserve"> </w:t>
      </w:r>
      <w:r>
        <w:t xml:space="preserve">geen registratie, ook geen basis voor bereiding door de apotheek. Levering voor gebruik bij mensen is volgens de respectieve geneesmiddelenwet niet toegestaan. In de sport gelden daarnaast de antidopingregels.</w:t>
      </w:r>
    </w:p>
    <w:p>
      <w:pPr>
        <w:numPr>
          <w:ilvl w:val="0"/>
          <w:numId w:val="1118"/>
        </w:numPr>
        <w:pStyle w:val="Compact"/>
      </w:pPr>
      <w:r>
        <w:rPr>
          <w:bCs/>
          <w:b/>
        </w:rPr>
        <w:t xml:space="preserve">VS:</w:t>
      </w:r>
      <w:r>
        <w:t xml:space="preserve"> </w:t>
      </w:r>
      <w:r>
        <w:t xml:space="preserve">geen FDA-registratie. In 2023 deelde de FDA BPC-157 onder de grondstoffen voor bereiding door apotheken (zogeheten compounding) in bij categorie 2 – stoffen waarbij aanzienlijke veiligheidsbezwaren bestaan. Bereidingsapotheken mogen het daarmee volgens de autoriteit niet verwerken. De indeling van peptiden is sindsdien in het adviescomité van de FDA voor bereidingen (PCAC) en in vakkringen controversieel besproken</w:t>
      </w:r>
      <w:r>
        <w:rPr>
          <w:rStyle w:val="FootnoteReference"/>
        </w:rPr>
        <w:footnoteReference w:id="940"/>
      </w:r>
      <w:r>
        <w:t xml:space="preserve">; wijzigingen zijn mogelijk.</w:t>
      </w:r>
    </w:p>
    <w:p>
      <w:pPr>
        <w:numPr>
          <w:ilvl w:val="0"/>
          <w:numId w:val="1118"/>
        </w:numPr>
        <w:pStyle w:val="Compact"/>
      </w:pPr>
      <w:r>
        <w:rPr>
          <w:bCs/>
          <w:b/>
        </w:rPr>
        <w:t xml:space="preserve">WADA:</w:t>
      </w:r>
      <w:r>
        <w:t xml:space="preserve"> </w:t>
      </w:r>
      <w:r>
        <w:t xml:space="preserve">BPC-157 staat sinds 2022 bij naam in groep S0 (niet-goedgekeurde stoffen) van de lijst van verboden middelen en is daarmee binnen en buiten wedstrijden verboden. Een overzicht uit 2025 vermeldt daarover afwijkend dat BPC-157 momenteel niet op de lijst staat</w:t>
      </w:r>
      <w:r>
        <w:rPr>
          <w:rStyle w:val="FootnoteReference"/>
        </w:rPr>
        <w:footnoteReference w:id="941"/>
      </w:r>
      <w:r>
        <w:t xml:space="preserve"> </w:t>
      </w:r>
      <w:r>
        <w:t xml:space="preserve">– naar weten van de auteur klopt dat niet voor de huidige lijst. Antidopinglaboratoria hebben detectiemethoden in urine ontwikkeld</w:t>
      </w:r>
      <w:r>
        <w:rPr>
          <w:rStyle w:val="FootnoteReference"/>
        </w:rPr>
        <w:footnoteReference w:id="942"/>
      </w:r>
      <w:r>
        <w:t xml:space="preserve">.</w:t>
      </w:r>
    </w:p>
    <w:bookmarkEnd w:id="943"/>
    <w:bookmarkStart w:id="949" w:name="lopende-studies-en-vooruitzichten-15"/>
    <w:p>
      <w:pPr>
        <w:pStyle w:val="Heading3"/>
      </w:pPr>
      <w:r>
        <w:t xml:space="preserve">Lopende studies en vooruitzichten</w:t>
      </w:r>
    </w:p>
    <w:p>
      <w:pPr>
        <w:pStyle w:val="FirstParagraph"/>
      </w:pPr>
      <w:r>
        <w:t xml:space="preserve">In oktober 2026 zijn bij ClinicalTrials.gov vier studies met BPC-157 ingeschreven: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NCT07437547</w:t>
            </w:r>
          </w:p>
        </w:tc>
        <w:tc>
          <w:tcPr/>
          <w:p>
            <w:pPr>
              <w:pStyle w:val="Compact"/>
              <w:jc w:val="left"/>
            </w:pPr>
            <w:r>
              <w:t xml:space="preserve">fase 2, gerandomiseerd, dubbelblind, placebo, gepland 120 personen</w:t>
            </w:r>
          </w:p>
        </w:tc>
        <w:tc>
          <w:tcPr/>
          <w:p>
            <w:pPr>
              <w:pStyle w:val="Compact"/>
              <w:jc w:val="left"/>
            </w:pPr>
            <w:r>
              <w:t xml:space="preserve">volgens register werving sinds februari 2026; echtheid twijfelachtig (zie tekst)</w:t>
            </w:r>
          </w:p>
        </w:tc>
        <w:tc>
          <w:tcPr/>
          <w:p>
            <w:pPr>
              <w:pStyle w:val="Compact"/>
              <w:jc w:val="left"/>
            </w:pPr>
            <w:r>
              <w:t xml:space="preserve">acute verrekking van de hamstrings; tijd tot terugkeer in de sport, MRI-bevinding</w:t>
            </w:r>
          </w:p>
        </w:tc>
      </w:tr>
      <w:tr>
        <w:tc>
          <w:tcPr/>
          <w:p>
            <w:pPr>
              <w:pStyle w:val="Compact"/>
              <w:jc w:val="left"/>
            </w:pPr>
            <w:r>
              <w:t xml:space="preserve">NCT07803250</w:t>
            </w:r>
          </w:p>
        </w:tc>
        <w:tc>
          <w:tcPr/>
          <w:p>
            <w:pPr>
              <w:pStyle w:val="Compact"/>
              <w:jc w:val="left"/>
            </w:pPr>
            <w:r>
              <w:t xml:space="preserve">fase 1, gerandomiseerd, gepland 30 personen</w:t>
            </w:r>
          </w:p>
        </w:tc>
        <w:tc>
          <w:tcPr/>
          <w:p>
            <w:pPr>
              <w:pStyle w:val="Compact"/>
              <w:jc w:val="left"/>
            </w:pPr>
            <w:r>
              <w:t xml:space="preserve">nog geen werving, start gepland 2027</w:t>
            </w:r>
          </w:p>
        </w:tc>
        <w:tc>
          <w:tcPr/>
          <w:p>
            <w:pPr>
              <w:pStyle w:val="Compact"/>
              <w:jc w:val="left"/>
            </w:pPr>
            <w:r>
              <w:t xml:space="preserve">herstel na operatie aan de rotatorenmanchet (schouder)</w:t>
            </w:r>
          </w:p>
        </w:tc>
      </w:tr>
      <w:tr>
        <w:tc>
          <w:tcPr/>
          <w:p>
            <w:pPr>
              <w:pStyle w:val="Compact"/>
              <w:jc w:val="left"/>
            </w:pPr>
            <w:r>
              <w:t xml:space="preserve">NCT07752381</w:t>
            </w:r>
          </w:p>
        </w:tc>
        <w:tc>
          <w:tcPr/>
          <w:p>
            <w:pPr>
              <w:pStyle w:val="Compact"/>
              <w:jc w:val="left"/>
            </w:pPr>
            <w:r>
              <w:t xml:space="preserve">één groep zonder controle, 40 personen</w:t>
            </w:r>
          </w:p>
        </w:tc>
        <w:tc>
          <w:tcPr/>
          <w:p>
            <w:pPr>
              <w:pStyle w:val="Compact"/>
              <w:jc w:val="left"/>
            </w:pPr>
            <w:r>
              <w:t xml:space="preserve">afgerond 2025, geen resultaten in het register</w:t>
            </w:r>
          </w:p>
        </w:tc>
        <w:tc>
          <w:tcPr/>
          <w:p>
            <w:pPr>
              <w:pStyle w:val="Compact"/>
              <w:jc w:val="left"/>
            </w:pPr>
            <w:r>
              <w:t xml:space="preserve">gummies van een fabrikant; ontstekingswaarden en zelfbeoordeling</w:t>
            </w:r>
          </w:p>
        </w:tc>
      </w:tr>
      <w:tr>
        <w:tc>
          <w:tcPr/>
          <w:p>
            <w:pPr>
              <w:pStyle w:val="Compact"/>
              <w:jc w:val="left"/>
            </w:pPr>
            <w:r>
              <w:t xml:space="preserve">NCT02637284</w:t>
            </w:r>
          </w:p>
        </w:tc>
        <w:tc>
          <w:tcPr/>
          <w:p>
            <w:pPr>
              <w:pStyle w:val="Compact"/>
              <w:jc w:val="left"/>
            </w:pPr>
            <w:r>
              <w:t xml:space="preserve">fase 1, tabletten, 42 gezonden gepland</w:t>
            </w:r>
          </w:p>
        </w:tc>
        <w:tc>
          <w:tcPr/>
          <w:p>
            <w:pPr>
              <w:pStyle w:val="Compact"/>
              <w:jc w:val="left"/>
            </w:pPr>
            <w:r>
              <w:t xml:space="preserve">status onbekend sinds 2016</w:t>
            </w:r>
          </w:p>
        </w:tc>
        <w:tc>
          <w:tcPr/>
          <w:p>
            <w:pPr>
              <w:pStyle w:val="Compact"/>
              <w:jc w:val="left"/>
            </w:pPr>
            <w:r>
              <w:t xml:space="preserve">veiligheid en farmacokinetiek</w:t>
            </w:r>
          </w:p>
        </w:tc>
      </w:tr>
    </w:tbl>
    <w:p>
      <w:pPr>
        <w:pStyle w:val="BodyText"/>
      </w:pPr>
      <w:r>
        <w:rPr>
          <w:bCs/>
          <w:b/>
        </w:rPr>
        <w:t xml:space="preserve">Vaststaand</w:t>
      </w:r>
      <w:r>
        <w:t xml:space="preserve"> </w:t>
      </w:r>
      <w:r>
        <w:t xml:space="preserve">is maar weinig. Op papier zou de fase 2-studie naar verrekkingen van de hamstrings</w:t>
      </w:r>
      <w:r>
        <w:rPr>
          <w:rStyle w:val="FootnoteReference"/>
        </w:rPr>
        <w:footnoteReference w:id="944"/>
      </w:r>
      <w:r>
        <w:t xml:space="preserve"> </w:t>
      </w:r>
      <w:r>
        <w:t xml:space="preserve">de eerste gerandomiseerde, placebogecontroleerde studie zijn met een objectief eindpunt (MRI) en voldoende omvang. Bij de controle voor dit boek viel echter op: dezelfde sponsor (</w:t>
      </w:r>
      <w:r>
        <w:t xml:space="preserve">‘</w:t>
      </w:r>
      <w:r>
        <w:t xml:space="preserve">Hudson Biotech</w:t>
      </w:r>
      <w:r>
        <w:t xml:space="preserve">’</w:t>
      </w:r>
      <w:r>
        <w:t xml:space="preserve">) heeft met een identiek studiecentrum en een identieke contactpersoon een tweede vermelding over TB-500 aangemaakt</w:t>
      </w:r>
      <w:r>
        <w:rPr>
          <w:rStyle w:val="FootnoteReference"/>
        </w:rPr>
        <w:footnoteReference w:id="945"/>
      </w:r>
      <w:r>
        <w:t xml:space="preserve">, die zichzelf in de eigen beschrijving uitdrukkelijk een</w:t>
      </w:r>
      <w:r>
        <w:t xml:space="preserve"> </w:t>
      </w:r>
      <w:r>
        <w:t xml:space="preserve">‘</w:t>
      </w:r>
      <w:r>
        <w:t xml:space="preserve">fictief</w:t>
      </w:r>
      <w:r>
        <w:t xml:space="preserve">’</w:t>
      </w:r>
      <w:r>
        <w:t xml:space="preserve"> </w:t>
      </w:r>
      <w:r>
        <w:t xml:space="preserve">voorbeeld van een registervermelding noemt. Of de BPC-157-studie daadwerkelijk wordt uitgevoerd, valt daarom niet betrouwbaar te zeggen. ClinicalTrials.gov controleert vermeldingen alleen formeel, niet inhoudelijk – een registratie alleen bewijst niet dat een studie plaatsvindt.</w:t>
      </w:r>
    </w:p>
    <w:p>
      <w:pPr>
        <w:pStyle w:val="BodyText"/>
      </w:pPr>
      <w:r>
        <w:t xml:space="preserve">De schouderstudie van de University of Arkansas</w:t>
      </w:r>
      <w:r>
        <w:rPr>
          <w:rStyle w:val="FootnoteReference"/>
        </w:rPr>
        <w:footnoteReference w:id="946"/>
      </w:r>
      <w:r>
        <w:t xml:space="preserve"> </w:t>
      </w:r>
      <w:r>
        <w:t xml:space="preserve">is gerandomiseerd en geblindeerd, maar klein en nog niet begonnen. De gummiesstudie van een fabrikant</w:t>
      </w:r>
      <w:r>
        <w:rPr>
          <w:rStyle w:val="FootnoteReference"/>
        </w:rPr>
        <w:footnoteReference w:id="947"/>
      </w:r>
      <w:r>
        <w:t xml:space="preserve"> </w:t>
      </w:r>
      <w:r>
        <w:t xml:space="preserve">heeft geen controlegroep en meet overwegend zelfrapportage; ze zal de open vragen niet beantwoorden.</w:t>
      </w:r>
    </w:p>
    <w:p>
      <w:pPr>
        <w:pStyle w:val="BodyText"/>
      </w:pPr>
      <w:r>
        <w:rPr>
          <w:bCs/>
          <w:b/>
        </w:rPr>
        <w:t xml:space="preserve">Inschatting van de auteur:</w:t>
      </w:r>
      <w:r>
        <w:t xml:space="preserve"> </w:t>
      </w:r>
      <w:r>
        <w:t xml:space="preserve">vóór 2028 zijn geen betrouwbare werkzaamheidsgegevens bij mensen te verwachten. Zelfs een positief resultaat van een kleine pilotstudie zou slechts een eerste aanwijzing zijn – nog geen basis voor een registratie, die meerdere grotere studies en langetermijngegevens over veiligheid vereist. Een negatief resultaat zal aan de internetreputatie van het peptide weinig veranderen. Een farmaceutisch overzicht benadrukt dat er tot op heden geen gestandaardiseerde, gevalideerde toedieningsvorm bestaat</w:t>
      </w:r>
      <w:r>
        <w:rPr>
          <w:rStyle w:val="FootnoteReference"/>
        </w:rPr>
        <w:footnoteReference w:id="948"/>
      </w:r>
      <w:r>
        <w:t xml:space="preserve"> </w:t>
      </w:r>
      <w:r>
        <w:t xml:space="preserve">– ook dat moet vóór een registratie worden opgelost.</w:t>
      </w:r>
    </w:p>
    <w:bookmarkEnd w:id="949"/>
    <w:bookmarkStart w:id="952" w:name="conclusie-15"/>
    <w:p>
      <w:pPr>
        <w:pStyle w:val="Heading3"/>
      </w:pPr>
      <w:r>
        <w:t xml:space="preserve">Conclusie</w:t>
      </w:r>
    </w:p>
    <w:p>
      <w:pPr>
        <w:pStyle w:val="FirstParagraph"/>
      </w:pPr>
      <w:r>
        <w:t xml:space="preserve">BPC-157 is een peptide met een ongewoon groot aantal dierstudies die vrijwel allemaal positieve resultaten melden – overwegend van één enkele Zagrebse onderzoeksgroep en zonder voldoende onafhankelijke herhaling. Bij mensen zijn er slechts drie kleine, ongecontroleerde onderzoeken met samen ongeveer 30 personen, waarvan de kwaliteit als zeer laag wordt beoordeeld</w:t>
      </w:r>
      <w:r>
        <w:rPr>
          <w:rStyle w:val="FootnoteReference"/>
        </w:rPr>
        <w:footnoteReference w:id="950"/>
      </w:r>
      <w:r>
        <w:t xml:space="preserve">. De veiligheid op lange termijn, in het bijzonder de theoretische vraag naar bevordering van tumorgroei via vaatnieuwvorming, is niet onderzocht, en producten van de grijze markt brengen eigen risico’s mee. Gerandomiseerde studies zijn pas geregistreerd of gepland</w:t>
      </w:r>
      <w:r>
        <w:rPr>
          <w:rStyle w:val="FootnoteReference"/>
        </w:rPr>
        <w:footnoteReference w:id="951"/>
      </w:r>
      <w:r>
        <w:t xml:space="preserve">; tot er betrouwbare resultaten zijn, blijft BPC-157 een experimentele stof waarvan het nut bij mensen niet is aangetoond. Voor sporters is het volgens de WADA-regels verboden.</w:t>
      </w:r>
    </w:p>
    <w:bookmarkEnd w:id="952"/>
    <w:bookmarkEnd w:id="953"/>
    <w:bookmarkStart w:id="1003" w:name="tb-500-en-thymosine-bèta-4"/>
    <w:p>
      <w:pPr>
        <w:pStyle w:val="Heading2"/>
      </w:pPr>
      <w:r>
        <w:t xml:space="preserve">TB-500 en thymosine bèta-4</w:t>
      </w:r>
    </w:p>
    <w:p>
      <w:pPr>
        <w:pStyle w:val="FirstParagraph"/>
      </w:pPr>
      <w:r>
        <w:t xml:space="preserve">Op internet worden</w:t>
      </w:r>
      <w:r>
        <w:t xml:space="preserve"> </w:t>
      </w:r>
      <w:r>
        <w:t xml:space="preserve">‘</w:t>
      </w:r>
      <w:r>
        <w:t xml:space="preserve">TB-500</w:t>
      </w:r>
      <w:r>
        <w:t xml:space="preserve">’</w:t>
      </w:r>
      <w:r>
        <w:t xml:space="preserve"> </w:t>
      </w:r>
      <w:r>
        <w:t xml:space="preserve">en</w:t>
      </w:r>
      <w:r>
        <w:t xml:space="preserve"> </w:t>
      </w:r>
      <w:r>
        <w:t xml:space="preserve">‘</w:t>
      </w:r>
      <w:r>
        <w:t xml:space="preserve">thymosine bèta-4</w:t>
      </w:r>
      <w:r>
        <w:t xml:space="preserve">’</w:t>
      </w:r>
      <w:r>
        <w:t xml:space="preserve"> </w:t>
      </w:r>
      <w:r>
        <w:t xml:space="preserve">meestal als hetzelfde verkocht. Dat is onjuist, en het verschil is voor de beoordeling doorslaggevend. Thymosine bèta-4 is een lichaamseigen eiwit van 43 aminozuren dat in meerdere klinische studies is onderzocht – vooral als oogdruppels en als infuus na een hartinfarct. TB-500 daarentegen is een kort, kunstmatig veranderd fragment ervan dat nooit in een gepubliceerde studie bij mensen is getest. Dit hoofdstuk houdt beide zorgvuldig uit elkaar.</w:t>
      </w:r>
    </w:p>
    <w:bookmarkStart w:id="955" w:name="profiel-16"/>
    <w:p>
      <w:pPr>
        <w:pStyle w:val="Heading3"/>
      </w:pPr>
      <w:r>
        <w:t xml:space="preserve">Profiel</w:t>
      </w:r>
    </w:p>
    <w:p>
      <w:pPr>
        <w:numPr>
          <w:ilvl w:val="0"/>
          <w:numId w:val="1119"/>
        </w:numPr>
        <w:pStyle w:val="Compact"/>
      </w:pPr>
      <w:r>
        <w:rPr>
          <w:bCs/>
          <w:b/>
        </w:rPr>
        <w:t xml:space="preserve">Thymosine bèta-4 (Tβ4):</w:t>
      </w:r>
      <w:r>
        <w:t xml:space="preserve"> </w:t>
      </w:r>
      <w:r>
        <w:t xml:space="preserve">lichaamseigen peptide van 43 aminozuren, in vrijwel alle cellen aanwezig; hoofdfunctie: bindt het structuureiwit actine en regelt zo celvorm en celbeweging. Voor studies synthetisch of genetisch (recombinant) vervaardigd; ontwikkelingsnamen RGN-259 (oogdruppels), RGN-352 (injectie), NL005 (recombinant, China).</w:t>
      </w:r>
    </w:p>
    <w:p>
      <w:pPr>
        <w:numPr>
          <w:ilvl w:val="0"/>
          <w:numId w:val="1119"/>
        </w:numPr>
        <w:pStyle w:val="Compact"/>
      </w:pPr>
      <w:r>
        <w:rPr>
          <w:bCs/>
          <w:b/>
        </w:rPr>
        <w:t xml:space="preserve">TB-500:</w:t>
      </w:r>
      <w:r>
        <w:t xml:space="preserve"> </w:t>
      </w:r>
      <w:r>
        <w:t xml:space="preserve">het aan het begin chemisch veranderde (geacetyleerde) fragment van de aminozuren 17 tot 23 van Tβ4, sequentie Ac-LKKTETQ</w:t>
      </w:r>
      <w:r>
        <w:rPr>
          <w:rStyle w:val="FootnoteReference"/>
        </w:rPr>
        <w:footnoteReference w:id="954"/>
      </w:r>
      <w:r>
        <w:t xml:space="preserve">. Oorspronkelijk opgedoken als diergeneesmiddel in de paardensport.</w:t>
      </w:r>
    </w:p>
    <w:p>
      <w:pPr>
        <w:numPr>
          <w:ilvl w:val="0"/>
          <w:numId w:val="1119"/>
        </w:numPr>
        <w:pStyle w:val="Compact"/>
      </w:pPr>
      <w:r>
        <w:rPr>
          <w:bCs/>
          <w:b/>
        </w:rPr>
        <w:t xml:space="preserve">Werkingsprincipe (vermoed):</w:t>
      </w:r>
      <w:r>
        <w:t xml:space="preserve"> </w:t>
      </w:r>
      <w:r>
        <w:t xml:space="preserve">bevordering van celmigratie, vaatnieuwvorming en wondgenezing, demping van ontsteking.</w:t>
      </w:r>
    </w:p>
    <w:p>
      <w:pPr>
        <w:numPr>
          <w:ilvl w:val="0"/>
          <w:numId w:val="1119"/>
        </w:numPr>
        <w:pStyle w:val="Compact"/>
      </w:pPr>
      <w:r>
        <w:rPr>
          <w:bCs/>
          <w:b/>
        </w:rPr>
        <w:t xml:space="preserve">Registratie EU/VS:</w:t>
      </w:r>
      <w:r>
        <w:t xml:space="preserve"> </w:t>
      </w:r>
      <w:r>
        <w:t xml:space="preserve">Tβ4 noch TB-500 is geregistreerd.</w:t>
      </w:r>
    </w:p>
    <w:p>
      <w:pPr>
        <w:numPr>
          <w:ilvl w:val="0"/>
          <w:numId w:val="1119"/>
        </w:numPr>
        <w:pStyle w:val="Compact"/>
      </w:pPr>
      <w:r>
        <w:rPr>
          <w:bCs/>
          <w:b/>
        </w:rPr>
        <w:t xml:space="preserve">WADA:</w:t>
      </w:r>
      <w:r>
        <w:t xml:space="preserve"> </w:t>
      </w:r>
      <w:r>
        <w:t xml:space="preserve">verboden (S2, groeifactoren;</w:t>
      </w:r>
      <w:r>
        <w:t xml:space="preserve"> </w:t>
      </w:r>
      <w:r>
        <w:t xml:space="preserve">‘</w:t>
      </w:r>
      <w:r>
        <w:t xml:space="preserve">thymosine-β4 en zijn derivaten, bijv. TB-500</w:t>
      </w:r>
      <w:r>
        <w:t xml:space="preserve">’</w:t>
      </w:r>
      <w:r>
        <w:t xml:space="preserve"> </w:t>
      </w:r>
      <w:r>
        <w:t xml:space="preserve">worden uitdrukkelijk genoemd).</w:t>
      </w:r>
    </w:p>
    <w:p>
      <w:pPr>
        <w:numPr>
          <w:ilvl w:val="0"/>
          <w:numId w:val="1119"/>
        </w:numPr>
        <w:pStyle w:val="Compact"/>
      </w:pPr>
      <w:r>
        <w:rPr>
          <w:bCs/>
          <w:b/>
        </w:rPr>
        <w:t xml:space="preserve">Bewijsniveau:</w:t>
      </w:r>
      <w:r>
        <w:t xml:space="preserve"> </w:t>
      </w:r>
      <w:r>
        <w:rPr>
          <w:bCs/>
          <w:b/>
        </w:rPr>
        <w:t xml:space="preserve">B</w:t>
      </w:r>
      <w:r>
        <w:t xml:space="preserve"> </w:t>
      </w:r>
      <w:r>
        <w:t xml:space="preserve">voor thymosine bèta-4 (gerandomiseerde studies, overwegend klein; grote fase 3-studies bij droge ogen zonder duidelijk nut) ·</w:t>
      </w:r>
      <w:r>
        <w:t xml:space="preserve"> </w:t>
      </w:r>
      <w:r>
        <w:rPr>
          <w:bCs/>
          <w:b/>
        </w:rPr>
        <w:t xml:space="preserve">D</w:t>
      </w:r>
      <w:r>
        <w:t xml:space="preserve"> </w:t>
      </w:r>
      <w:r>
        <w:t xml:space="preserve">voor TB-500 (geen gepubliceerde studie bij mensen).</w:t>
      </w:r>
    </w:p>
    <w:bookmarkEnd w:id="955"/>
    <w:bookmarkStart w:id="960" w:name="hoe-het-zou-moeten-werken-16"/>
    <w:p>
      <w:pPr>
        <w:pStyle w:val="Heading3"/>
      </w:pPr>
      <w:r>
        <w:t xml:space="preserve">Hoe het zou moeten werken</w:t>
      </w:r>
    </w:p>
    <w:p>
      <w:pPr>
        <w:pStyle w:val="FirstParagraph"/>
      </w:pPr>
      <w:r>
        <w:t xml:space="preserve">Tβ4 is in cellen het belangrijkste eiwit dat losse actinebouwstenen bindt en</w:t>
      </w:r>
      <w:r>
        <w:t xml:space="preserve"> </w:t>
      </w:r>
      <w:r>
        <w:t xml:space="preserve">‘</w:t>
      </w:r>
      <w:r>
        <w:t xml:space="preserve">parkeert</w:t>
      </w:r>
      <w:r>
        <w:t xml:space="preserve">’</w:t>
      </w:r>
      <w:r>
        <w:t xml:space="preserve">. Actine vormt het inwendige skelet van de cel; wanneer een cel moet bewegen – bijvoorbeeld om een wond te sluiten –, moet dat skelet snel worden omgebouwd. Tβ4 levert daarvoor de bouwstenen.</w:t>
      </w:r>
    </w:p>
    <w:p>
      <w:pPr>
        <w:pStyle w:val="BodyText"/>
      </w:pPr>
      <w:r>
        <w:t xml:space="preserve">Daarnaast heeft Tβ4 buiten de cel kennelijk eigen signaalfuncties. Een overzichtsartikel beschrijft meerdere actieve delen in het molecuul: het korte stuk aan het begin (Ac-SDKP) werkt in laboratoriumexperimenten ontstekingsremmend en tegen littekenvorming, het deel 17 tot 23 (LKKTETQ) bevordert vaatnieuwvorming, wondgenezing en celmigratie</w:t>
      </w:r>
      <w:r>
        <w:rPr>
          <w:rStyle w:val="FootnoteReference"/>
        </w:rPr>
        <w:footnoteReference w:id="956"/>
      </w:r>
      <w:r>
        <w:t xml:space="preserve">. In celexperimenten had het zeven aminozuren lange actinebindingsmotief hetzelfde effect op de migratie van vaatcellen als het hele molecuul</w:t>
      </w:r>
      <w:r>
        <w:rPr>
          <w:rStyle w:val="FootnoteReference"/>
        </w:rPr>
        <w:footnoteReference w:id="957"/>
      </w:r>
      <w:r>
        <w:t xml:space="preserve">.</w:t>
      </w:r>
    </w:p>
    <w:p>
      <w:pPr>
        <w:pStyle w:val="BodyText"/>
      </w:pPr>
      <w:r>
        <w:t xml:space="preserve">Op deze laboratoriumbevinding berust het idee van TB-500: als het korte stuk de werking draagt, volstaat het alleen dat te produceren – goedkoper en eenvoudiger dan het hele eiwit. Daarbij werd echter niet precies de natuurlijke sequentie gebruikt, maar een aan het begin geacetyleerde vorm. Een onderzoek naar de afbraak vond dat TB-500 snel wordt afgebroken en dat in celexperimenten niet het uitgangspeptide, maar een afbraakproduct (Ac-LKKTE) de wondgenezing bevorderde</w:t>
      </w:r>
      <w:r>
        <w:rPr>
          <w:rStyle w:val="FootnoteReference"/>
        </w:rPr>
        <w:footnoteReference w:id="958"/>
      </w:r>
      <w:r>
        <w:t xml:space="preserve">. Dat TB-500 in het lichaam hetzelfde doet als Tβ4, is daarmee niet aangetoond. Een orthopedisch overzicht uit 2026 benadrukt dat TB-500 vaak gelijkgesteld wordt aan Tβ4, hoewel er geen biologische of klinische gelijkwaardigheid is aangetoond</w:t>
      </w:r>
      <w:r>
        <w:rPr>
          <w:rStyle w:val="FootnoteReference"/>
        </w:rPr>
        <w:footnoteReference w:id="959"/>
      </w:r>
      <w:r>
        <w:t xml:space="preserve">.</w:t>
      </w:r>
    </w:p>
    <w:bookmarkEnd w:id="960"/>
    <w:bookmarkStart w:id="975" w:name="studies-bij-mensen-1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w:t>
      </w:r>
      <w:r>
        <w:t xml:space="preserve"> </w:t>
      </w:r>
      <w:r>
        <w:t xml:space="preserve">publicaties die als studie bij mensen werden ingedeeld, en</w:t>
      </w:r>
      <w:r>
        <w:t xml:space="preserve"> </w:t>
      </w:r>
      <w:r>
        <w:rPr>
          <w:bCs/>
          <w:b/>
        </w:rPr>
        <w:t xml:space="preserve">18</w:t>
      </w:r>
      <w:r>
        <w:t xml:space="preserve"> </w:t>
      </w:r>
      <w:r>
        <w:t xml:space="preserve">vermeldingen bij ClinicalTrials.gov. Van de negen publicaties onderzoeken er slechts zes daadwerkelijk Tβ4 als werkzame stof; de overige meten Tβ4 in het bloed of betreffen andere vragen.</w:t>
      </w:r>
      <w:r>
        <w:t xml:space="preserve"> </w:t>
      </w:r>
      <w:r>
        <w:rPr>
          <w:bCs/>
          <w:b/>
        </w:rPr>
        <w:t xml:space="preserve">Geen enkele</w:t>
      </w:r>
      <w:r>
        <w:t xml:space="preserve"> </w:t>
      </w:r>
      <w:r>
        <w:t xml:space="preserve">gepubliceerde studie heeft TB-500 bij mensen onderzocht.</w:t>
      </w:r>
    </w:p>
    <w:bookmarkStart w:id="966" w:name="oogdruppels-rgn-259"/>
    <w:p>
      <w:pPr>
        <w:pStyle w:val="Heading4"/>
      </w:pPr>
      <w:r>
        <w:t xml:space="preserve">Oogdruppels (RGN-259)</w:t>
      </w:r>
    </w:p>
    <w:p>
      <w:pPr>
        <w:pStyle w:val="FirstParagraph"/>
      </w:pPr>
      <w:r>
        <w:t xml:space="preserve">Het verst gevorderd is Tβ4 als oogdruppels. Het bedrijf RegeneRx en zijn partner ReGenTree hebben het onderzocht bij droge ogen en bij neurotrofe keratopathie – een zeldzame aandoening waarbij het hoornvlies door beschadigde zenuwen slecht geneest.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Ernstige droge ogen (Sosne 2015, PMID 25826322; NCT01393132)</w:t>
            </w:r>
          </w:p>
        </w:tc>
        <w:tc>
          <w:tcPr/>
          <w:p>
            <w:pPr>
              <w:pStyle w:val="Compact"/>
              <w:jc w:val="left"/>
            </w:pPr>
            <w:r>
              <w:t xml:space="preserve">9 personen, gerandomiseerd tegen dragervloeistof</w:t>
            </w:r>
          </w:p>
        </w:tc>
        <w:tc>
          <w:tcPr/>
          <w:p>
            <w:pPr>
              <w:pStyle w:val="Compact"/>
              <w:jc w:val="left"/>
            </w:pPr>
            <w:r>
              <w:t xml:space="preserve">28 dagen plus 28 dagen follow-up</w:t>
            </w:r>
          </w:p>
        </w:tc>
        <w:tc>
          <w:tcPr/>
          <w:p>
            <w:pPr>
              <w:pStyle w:val="Compact"/>
              <w:jc w:val="left"/>
            </w:pPr>
            <w:r>
              <w:t xml:space="preserve">op dag 56 klachten 35,1% en hoornvlieskleuring 59,1% minder dan met dragervloeistof</w:t>
            </w:r>
          </w:p>
        </w:tc>
      </w:tr>
      <w:tr>
        <w:tc>
          <w:tcPr/>
          <w:p>
            <w:pPr>
              <w:pStyle w:val="Compact"/>
              <w:jc w:val="left"/>
            </w:pPr>
            <w:r>
              <w:t xml:space="preserve">Droge ogen, provocatiemodel (Sosne 2015, PMID 26056426)</w:t>
            </w:r>
          </w:p>
        </w:tc>
        <w:tc>
          <w:tcPr/>
          <w:p>
            <w:pPr>
              <w:pStyle w:val="Compact"/>
              <w:jc w:val="left"/>
            </w:pPr>
            <w:r>
              <w:t xml:space="preserve">72 personen, RCT</w:t>
            </w:r>
          </w:p>
        </w:tc>
        <w:tc>
          <w:tcPr/>
          <w:p>
            <w:pPr>
              <w:pStyle w:val="Compact"/>
              <w:jc w:val="left"/>
            </w:pPr>
            <w:r>
              <w:t xml:space="preserve">28 dagen</w:t>
            </w:r>
          </w:p>
        </w:tc>
        <w:tc>
          <w:tcPr/>
          <w:p>
            <w:pPr>
              <w:pStyle w:val="Compact"/>
              <w:jc w:val="left"/>
            </w:pPr>
            <w:r>
              <w:t xml:space="preserve">beide primaire eindpunten niet significant; enkele secundaire eindpunten beter</w:t>
            </w:r>
          </w:p>
        </w:tc>
      </w:tr>
      <w:tr>
        <w:tc>
          <w:tcPr/>
          <w:p>
            <w:pPr>
              <w:pStyle w:val="Compact"/>
              <w:jc w:val="left"/>
            </w:pPr>
            <w:r>
              <w:t xml:space="preserve">ARISE-2 (NCT02974907)</w:t>
            </w:r>
          </w:p>
        </w:tc>
        <w:tc>
          <w:tcPr/>
          <w:p>
            <w:pPr>
              <w:pStyle w:val="Compact"/>
              <w:jc w:val="left"/>
            </w:pPr>
            <w:r>
              <w:t xml:space="preserve">601 personen, fase 3, RCT</w:t>
            </w:r>
          </w:p>
        </w:tc>
        <w:tc>
          <w:tcPr/>
          <w:p>
            <w:pPr>
              <w:pStyle w:val="Compact"/>
              <w:jc w:val="left"/>
            </w:pPr>
            <w:r>
              <w:t xml:space="preserve">28 dagen</w:t>
            </w:r>
          </w:p>
        </w:tc>
        <w:tc>
          <w:tcPr/>
          <w:p>
            <w:pPr>
              <w:pStyle w:val="Compact"/>
              <w:jc w:val="left"/>
            </w:pPr>
            <w:r>
              <w:t xml:space="preserve">primaire eindpunten volgens registerresultaten in beide groepen vrijwel gelijk</w:t>
            </w:r>
          </w:p>
        </w:tc>
      </w:tr>
      <w:tr>
        <w:tc>
          <w:tcPr/>
          <w:p>
            <w:pPr>
              <w:pStyle w:val="Compact"/>
              <w:jc w:val="left"/>
            </w:pPr>
            <w:r>
              <w:t xml:space="preserve">ARISE-3 (NCT03937882)</w:t>
            </w:r>
          </w:p>
        </w:tc>
        <w:tc>
          <w:tcPr/>
          <w:p>
            <w:pPr>
              <w:pStyle w:val="Compact"/>
              <w:jc w:val="left"/>
            </w:pPr>
            <w:r>
              <w:t xml:space="preserve">700 personen, fase 3, RCT</w:t>
            </w:r>
          </w:p>
        </w:tc>
        <w:tc>
          <w:tcPr/>
          <w:p>
            <w:pPr>
              <w:pStyle w:val="Compact"/>
              <w:jc w:val="left"/>
            </w:pPr>
            <w:r>
              <w:t xml:space="preserve">14 dagen</w:t>
            </w:r>
          </w:p>
        </w:tc>
        <w:tc>
          <w:tcPr/>
          <w:p>
            <w:pPr>
              <w:pStyle w:val="Compact"/>
              <w:jc w:val="left"/>
            </w:pPr>
            <w:r>
              <w:t xml:space="preserve">hoornvlieskleuring −0,41 vs. −0,46 punt, klachten −0,4 vs. −0,4 punt (Tβ4 vs. placebo)</w:t>
            </w:r>
          </w:p>
        </w:tc>
      </w:tr>
      <w:tr>
        <w:tc>
          <w:tcPr/>
          <w:p>
            <w:pPr>
              <w:pStyle w:val="Compact"/>
              <w:jc w:val="left"/>
            </w:pPr>
            <w:r>
              <w:t xml:space="preserve">SEER-1, neurotrofe keratopathie (Sosne 2022, PMID 36613994)</w:t>
            </w:r>
          </w:p>
        </w:tc>
        <w:tc>
          <w:tcPr/>
          <w:p>
            <w:pPr>
              <w:pStyle w:val="Compact"/>
              <w:jc w:val="left"/>
            </w:pPr>
            <w:r>
              <w:t xml:space="preserve">18 personen, fase 3, RCT</w:t>
            </w:r>
          </w:p>
        </w:tc>
        <w:tc>
          <w:tcPr/>
          <w:p>
            <w:pPr>
              <w:pStyle w:val="Compact"/>
              <w:jc w:val="left"/>
            </w:pPr>
            <w:r>
              <w:t xml:space="preserve">4 weken plus 2 weken</w:t>
            </w:r>
          </w:p>
        </w:tc>
        <w:tc>
          <w:tcPr/>
          <w:p>
            <w:pPr>
              <w:pStyle w:val="Compact"/>
              <w:jc w:val="left"/>
            </w:pPr>
            <w:r>
              <w:t xml:space="preserve">volledige genezing bij 6 van de 10 vs. 1 van de 8 (p = 0,0656, niet significant)</w:t>
            </w:r>
          </w:p>
        </w:tc>
      </w:tr>
    </w:tbl>
    <w:p>
      <w:pPr>
        <w:pStyle w:val="BodyText"/>
      </w:pPr>
      <w:r>
        <w:t xml:space="preserve">Het patroon is typisch voor een geneesmiddel met onzeker nut: kleine studies laten gunstige signalen zien, grote studies bevestigen ze niet. De kleine studie met negen personen vond duidelijke verbeteringen</w:t>
      </w:r>
      <w:r>
        <w:rPr>
          <w:rStyle w:val="FootnoteReference"/>
        </w:rPr>
        <w:footnoteReference w:id="961"/>
      </w:r>
      <w:r>
        <w:t xml:space="preserve">. Maar al de studie met 72 personen miste beide vooraf vastgelegde primaire eindpunten; de auteurs benadrukten in plaats daarvan verbeteringen bij secundaire eindpunten</w:t>
      </w:r>
      <w:r>
        <w:rPr>
          <w:rStyle w:val="FootnoteReference"/>
        </w:rPr>
        <w:footnoteReference w:id="962"/>
      </w:r>
      <w:r>
        <w:t xml:space="preserve">. In de twee grote fase 3-studies ARISE-2 en ARISE-3 met samen ongeveer 1.300 deelnemers lagen de waarden van de primaire eindpunten volgens de in het register gepubliceerde resultaten in de Tβ4- en de placebogroep vrijwel gelijk</w:t>
      </w:r>
      <w:r>
        <w:rPr>
          <w:rStyle w:val="FootnoteReference"/>
        </w:rPr>
        <w:footnoteReference w:id="963"/>
      </w:r>
      <w:r>
        <w:t xml:space="preserve">. Een publicatie van deze resultaten in een tijdschrift werd in PubMed niet gevonden.</w:t>
      </w:r>
    </w:p>
    <w:p>
      <w:pPr>
        <w:pStyle w:val="BodyText"/>
      </w:pPr>
      <w:r>
        <w:t xml:space="preserve">Bij neurotrofe keratopathie genazen in de kleine fase 3-studie SEER-1 meer ogen met Tβ4 dan met placebo; het verschil miste echter net de statistische significantie, en de studie omvatte slechts 18 personen</w:t>
      </w:r>
      <w:r>
        <w:rPr>
          <w:rStyle w:val="FootnoteReference"/>
        </w:rPr>
        <w:footnoteReference w:id="964"/>
      </w:r>
      <w:r>
        <w:t xml:space="preserve">. Een Cochrane-overzicht uit 2025 beoordeelde de studie met</w:t>
      </w:r>
      <w:r>
        <w:t xml:space="preserve"> </w:t>
      </w:r>
      <w:r>
        <w:t xml:space="preserve">‘</w:t>
      </w:r>
      <w:r>
        <w:t xml:space="preserve">lage betrouwbaarheid</w:t>
      </w:r>
      <w:r>
        <w:t xml:space="preserve">’</w:t>
      </w:r>
      <w:r>
        <w:t xml:space="preserve"> </w:t>
      </w:r>
      <w:r>
        <w:t xml:space="preserve">en vond geen vaststaand verschil</w:t>
      </w:r>
      <w:r>
        <w:rPr>
          <w:rStyle w:val="FootnoteReference"/>
        </w:rPr>
        <w:footnoteReference w:id="965"/>
      </w:r>
      <w:r>
        <w:t xml:space="preserve">. Een grotere vervolgstudie (SEER-2) loopt.</w:t>
      </w:r>
    </w:p>
    <w:bookmarkEnd w:id="966"/>
    <w:bookmarkStart w:id="968" w:name="hart"/>
    <w:p>
      <w:pPr>
        <w:pStyle w:val="Heading4"/>
      </w:pPr>
      <w:r>
        <w:t xml:space="preserve">Hart</w:t>
      </w:r>
    </w:p>
    <w:p>
      <w:pPr>
        <w:pStyle w:val="FirstParagraph"/>
      </w:pPr>
      <w:r>
        <w:t xml:space="preserve">Tβ4 werd vanwege spectaculaire muizenexperimenten ontwikkeld als hartmiddel (zie dier- en laboratoriumstudies).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Veiligheid, infuus (Ruff 2010, PMID 20536472)</w:t>
            </w:r>
          </w:p>
        </w:tc>
        <w:tc>
          <w:tcPr/>
          <w:p>
            <w:pPr>
              <w:pStyle w:val="Compact"/>
              <w:jc w:val="left"/>
            </w:pPr>
            <w:r>
              <w:t xml:space="preserve">40 gezonden in 4 dosisgroepen, RCT</w:t>
            </w:r>
          </w:p>
        </w:tc>
        <w:tc>
          <w:tcPr/>
          <w:p>
            <w:pPr>
              <w:pStyle w:val="Compact"/>
              <w:jc w:val="left"/>
            </w:pPr>
            <w:r>
              <w:t xml:space="preserve">eenmalig, daarna 14 dagen dagelijks</w:t>
            </w:r>
          </w:p>
        </w:tc>
        <w:tc>
          <w:tcPr/>
          <w:p>
            <w:pPr>
              <w:pStyle w:val="Compact"/>
              <w:jc w:val="left"/>
            </w:pPr>
            <w:r>
              <w:t xml:space="preserve">geen dosisbeperkende toxiciteit, geen ernstige bijwerkingen</w:t>
            </w:r>
          </w:p>
        </w:tc>
      </w:tr>
      <w:tr>
        <w:tc>
          <w:tcPr/>
          <w:p>
            <w:pPr>
              <w:pStyle w:val="Compact"/>
              <w:jc w:val="left"/>
            </w:pPr>
            <w:r>
              <w:t xml:space="preserve">Recombinant Tβ4 NL005, fase 1 (Wang 2021, PMID 34346165)</w:t>
            </w:r>
          </w:p>
        </w:tc>
        <w:tc>
          <w:tcPr/>
          <w:p>
            <w:pPr>
              <w:pStyle w:val="Compact"/>
              <w:jc w:val="left"/>
            </w:pPr>
            <w:r>
              <w:t xml:space="preserve">54 gezonden (eenmalige dosis) en 30 gezonden (herhaalde dosis), RCT</w:t>
            </w:r>
          </w:p>
        </w:tc>
        <w:tc>
          <w:tcPr/>
          <w:p>
            <w:pPr>
              <w:pStyle w:val="Compact"/>
              <w:jc w:val="left"/>
            </w:pPr>
            <w:r>
              <w:t xml:space="preserve">tot 10 dagen plus 28 dagen</w:t>
            </w:r>
          </w:p>
        </w:tc>
        <w:tc>
          <w:tcPr/>
          <w:p>
            <w:pPr>
              <w:pStyle w:val="Compact"/>
              <w:jc w:val="left"/>
            </w:pPr>
            <w:r>
              <w:t xml:space="preserve">bijwerkingen licht tot matig, geen ernstige</w:t>
            </w:r>
          </w:p>
        </w:tc>
      </w:tr>
      <w:tr>
        <w:tc>
          <w:tcPr/>
          <w:p>
            <w:pPr>
              <w:pStyle w:val="Compact"/>
              <w:jc w:val="left"/>
            </w:pPr>
            <w:r>
              <w:t xml:space="preserve">NL005 bij hartinfarct (Zhang 2025, PMID 41229390)</w:t>
            </w:r>
          </w:p>
        </w:tc>
        <w:tc>
          <w:tcPr/>
          <w:p>
            <w:pPr>
              <w:pStyle w:val="Compact"/>
              <w:jc w:val="left"/>
            </w:pPr>
            <w:r>
              <w:t xml:space="preserve">96 personen met STEMI na katheterbehandeling, RCT tegen placebo</w:t>
            </w:r>
          </w:p>
        </w:tc>
        <w:tc>
          <w:tcPr/>
          <w:p>
            <w:pPr>
              <w:pStyle w:val="Compact"/>
              <w:jc w:val="left"/>
            </w:pPr>
            <w:r>
              <w:t xml:space="preserve">90 dagen</w:t>
            </w:r>
          </w:p>
        </w:tc>
        <w:tc>
          <w:tcPr/>
          <w:p>
            <w:pPr>
              <w:pStyle w:val="Compact"/>
              <w:jc w:val="left"/>
            </w:pPr>
            <w:r>
              <w:t xml:space="preserve">in totaal geen significant verschil in infarctgrootte; voordeel alleen in de subgroep met toediening binnen 8 uur (n = 43)</w:t>
            </w:r>
          </w:p>
        </w:tc>
      </w:tr>
      <w:tr>
        <w:tc>
          <w:tcPr/>
          <w:p>
            <w:pPr>
              <w:pStyle w:val="Compact"/>
              <w:jc w:val="left"/>
            </w:pPr>
            <w:r>
              <w:t xml:space="preserve">Met Tβ4 voorbehandelde stamcellen (Zhu 2016, PMID 27288307)</w:t>
            </w:r>
          </w:p>
        </w:tc>
        <w:tc>
          <w:tcPr/>
          <w:p>
            <w:pPr>
              <w:pStyle w:val="Compact"/>
              <w:jc w:val="left"/>
            </w:pPr>
            <w:r>
              <w:t xml:space="preserve">10 personen met hartinfarct, gerandomiseerde pilotstudie</w:t>
            </w:r>
          </w:p>
        </w:tc>
        <w:tc>
          <w:tcPr/>
          <w:p>
            <w:pPr>
              <w:pStyle w:val="Compact"/>
              <w:jc w:val="left"/>
            </w:pPr>
            <w:r>
              <w:t xml:space="preserve">6 maanden</w:t>
            </w:r>
          </w:p>
        </w:tc>
        <w:tc>
          <w:tcPr/>
          <w:p>
            <w:pPr>
              <w:pStyle w:val="Compact"/>
              <w:jc w:val="left"/>
            </w:pPr>
            <w:r>
              <w:t xml:space="preserve">loopafstand sterker verbeterd; Tβ4 werd alleen in het laboratorium aan de cellen toegevoegd, niet aan de patiënten gegeven</w:t>
            </w:r>
          </w:p>
        </w:tc>
      </w:tr>
    </w:tbl>
    <w:p>
      <w:pPr>
        <w:pStyle w:val="BodyText"/>
      </w:pPr>
      <w:r>
        <w:t xml:space="preserve">De belangrijkste hartstudie is de Chinese studie met 96 infarctpatiënten. Over alle deelnemers heen verkleinde recombinant Tβ4 de infarctgrootte na 90 dagen niet significant; een voordeel was alleen te zien in de subgroep die de eerste dosis binnen acht uur kreeg</w:t>
      </w:r>
      <w:r>
        <w:rPr>
          <w:rStyle w:val="FootnoteReference"/>
        </w:rPr>
        <w:footnoteReference w:id="967"/>
      </w:r>
      <w:r>
        <w:t xml:space="preserve">. Resultaten van subgroepen gelden als aanwijzing, niet als bewijs. De auteurs pleiten zelf voor verdere gerandomiseerde studies.</w:t>
      </w:r>
    </w:p>
    <w:bookmarkEnd w:id="968"/>
    <w:bookmarkStart w:id="971" w:name="huid-en-wonden"/>
    <w:p>
      <w:pPr>
        <w:pStyle w:val="Heading4"/>
      </w:pPr>
      <w:r>
        <w:t xml:space="preserve">Huid en wonden</w:t>
      </w:r>
    </w:p>
    <w:p>
      <w:pPr>
        <w:pStyle w:val="FirstParagraph"/>
      </w:pPr>
      <w:r>
        <w:t xml:space="preserve">In de jaren 2000 onderzocht RegeneRx een Tβ4-gel bij veneuze beenzweren, doorligwonden en de erfelijke blaarziekte epidermolysis bullosa. De studie naar veneuze zweren randomiseerde 73 personen; de veiligheid was vergelijkbaar met placebo, een effect kon alleen als tendens worden beschreven voor de concentratie van 0,03%</w:t>
      </w:r>
      <w:r>
        <w:rPr>
          <w:rStyle w:val="FootnoteReference"/>
        </w:rPr>
        <w:footnoteReference w:id="969"/>
      </w:r>
      <w:r>
        <w:t xml:space="preserve">. De studie naar epidermolysis bullosa werd voortijdig beëindigd</w:t>
      </w:r>
      <w:r>
        <w:rPr>
          <w:rStyle w:val="FootnoteReference"/>
        </w:rPr>
        <w:footnoteReference w:id="970"/>
      </w:r>
      <w:r>
        <w:t xml:space="preserve">. Geen van deze studies leidde tot een registratie.</w:t>
      </w:r>
    </w:p>
    <w:bookmarkEnd w:id="971"/>
    <w:bookmarkStart w:id="974" w:name="tb-500-bij-mensen"/>
    <w:p>
      <w:pPr>
        <w:pStyle w:val="Heading4"/>
      </w:pPr>
      <w:r>
        <w:t xml:space="preserve">TB-500 bij mensen</w:t>
      </w:r>
    </w:p>
    <w:p>
      <w:pPr>
        <w:pStyle w:val="FirstParagraph"/>
      </w:pPr>
      <w:r>
        <w:t xml:space="preserve">Voor het fragment TB-500 bestaat geen gepubliceerde studie bij mensen. Een in 2026 ingeschreven registervermelding over TB-500 bij hart- en vaatziekte</w:t>
      </w:r>
      <w:r>
        <w:rPr>
          <w:rStyle w:val="FootnoteReference"/>
        </w:rPr>
        <w:footnoteReference w:id="972"/>
      </w:r>
      <w:r>
        <w:t xml:space="preserve"> </w:t>
      </w:r>
      <w:r>
        <w:t xml:space="preserve">noemt zichzelf in de eigen beschrijving een</w:t>
      </w:r>
      <w:r>
        <w:t xml:space="preserve"> </w:t>
      </w:r>
      <w:r>
        <w:t xml:space="preserve">‘</w:t>
      </w:r>
      <w:r>
        <w:t xml:space="preserve">fictief</w:t>
      </w:r>
      <w:r>
        <w:t xml:space="preserve">’</w:t>
      </w:r>
      <w:r>
        <w:t xml:space="preserve"> </w:t>
      </w:r>
      <w:r>
        <w:t xml:space="preserve">voorbeeld van een registervermelding; ze moet daarom niet als echte studie worden beschouwd. De enige publicatie bij mensen die Tβ4 bij gewrichtsklachten noemt, is een retrospectieve telefonische enquête waarin vier personen BPC-157 samen met Tβ4 in de knie geïnjecteerd kregen</w:t>
      </w:r>
      <w:r>
        <w:rPr>
          <w:rStyle w:val="FootnoteReference"/>
        </w:rPr>
        <w:footnoteReference w:id="973"/>
      </w:r>
      <w:r>
        <w:t xml:space="preserve"> </w:t>
      </w:r>
      <w:r>
        <w:t xml:space="preserve">– te weinig voor welke uitspraak dan ook.</w:t>
      </w:r>
    </w:p>
    <w:bookmarkEnd w:id="974"/>
    <w:bookmarkEnd w:id="975"/>
    <w:bookmarkStart w:id="983" w:name="dier--en-laboratoriumstudies-16"/>
    <w:p>
      <w:pPr>
        <w:pStyle w:val="Heading3"/>
      </w:pPr>
      <w:r>
        <w:t xml:space="preserve">Dier- en laboratoriumstudies</w:t>
      </w:r>
    </w:p>
    <w:p>
      <w:pPr>
        <w:pStyle w:val="FirstParagraph"/>
      </w:pPr>
      <w:r>
        <w:t xml:space="preserve">De reputatie van Tβ4 als</w:t>
      </w:r>
      <w:r>
        <w:t xml:space="preserve"> </w:t>
      </w:r>
      <w:r>
        <w:t xml:space="preserve">‘</w:t>
      </w:r>
      <w:r>
        <w:t xml:space="preserve">herstelpeptide</w:t>
      </w:r>
      <w:r>
        <w:t xml:space="preserve">’</w:t>
      </w:r>
      <w:r>
        <w:t xml:space="preserve"> </w:t>
      </w:r>
      <w:r>
        <w:t xml:space="preserve">komt vooral uit twee publicaties in het vaktijdschrift Nature. Bij muizen met een kunstmatig opgewekt hartinfarct verbeterde Tβ4 de overleving van hartspiercellen en de hartfunctie</w:t>
      </w:r>
      <w:r>
        <w:rPr>
          <w:rStyle w:val="FootnoteReference"/>
        </w:rPr>
        <w:footnoteReference w:id="976"/>
      </w:r>
      <w:r>
        <w:t xml:space="preserve">. Een vervolgstudie liet bij muizen zien dat Tβ4 voorlopercellen van het buitenste hartvlies activeert en de vorming van nieuwe bloedvaten stimuleert</w:t>
      </w:r>
      <w:r>
        <w:rPr>
          <w:rStyle w:val="FootnoteReference"/>
        </w:rPr>
        <w:footnoteReference w:id="977"/>
      </w:r>
      <w:r>
        <w:t xml:space="preserve">. Een onafhankelijke groep kon echter niet bevestigen dat Tβ4 na een infarct uit deze cellen nieuwe hartspiercellen laat ontstaan</w:t>
      </w:r>
      <w:r>
        <w:rPr>
          <w:rStyle w:val="FootnoteReference"/>
        </w:rPr>
        <w:footnoteReference w:id="978"/>
      </w:r>
      <w:r>
        <w:t xml:space="preserve"> </w:t>
      </w:r>
      <w:r>
        <w:t xml:space="preserve">– een voorbeeld van hoe belangrijk onafhankelijke herhalingen zijn.</w:t>
      </w:r>
    </w:p>
    <w:p>
      <w:pPr>
        <w:pStyle w:val="BodyText"/>
      </w:pPr>
      <w:r>
        <w:t xml:space="preserve">Andere dier- en laboratoriumbevindingen betreffen huid, hoornvlies, hersenen, nieren en lever. Bij ratten verbeterde Tβ4 de overleving van huidlappen</w:t>
      </w:r>
      <w:r>
        <w:rPr>
          <w:rStyle w:val="FootnoteReference"/>
        </w:rPr>
        <w:footnoteReference w:id="979"/>
      </w:r>
      <w:r>
        <w:t xml:space="preserve">, bij muizen de genezing van botbreuken</w:t>
      </w:r>
      <w:r>
        <w:rPr>
          <w:rStyle w:val="FootnoteReference"/>
        </w:rPr>
        <w:footnoteReference w:id="980"/>
      </w:r>
      <w:r>
        <w:t xml:space="preserve">. Voor pezen, banden en spieren – dus precies de toepassingen waarvoor TB-500 op internet wordt aangeprezen – zijn er alleen gegevens uit cellen en knaagdieren</w:t>
      </w:r>
      <w:r>
        <w:rPr>
          <w:rStyle w:val="FootnoteReference"/>
        </w:rPr>
        <w:footnoteReference w:id="981"/>
      </w:r>
      <w:r>
        <w:t xml:space="preserve">. Een rattenstudie uit 2026 vond na doorsnijding van de achillespees bij 32 dieren een hogere scheursterkte en een betere weefselstructuur in de TB-500-groep dan in de controlegroep</w:t>
      </w:r>
      <w:r>
        <w:rPr>
          <w:rStyle w:val="FootnoteReference"/>
        </w:rPr>
        <w:footnoteReference w:id="982"/>
      </w:r>
      <w:r>
        <w:t xml:space="preserve">. Dat is een van de weinige dierstudies met het daadwerkelijk verkochte fragment.</w:t>
      </w:r>
    </w:p>
    <w:bookmarkEnd w:id="983"/>
    <w:bookmarkStart w:id="993" w:name="risicos-en-bijwerkingen-16"/>
    <w:p>
      <w:pPr>
        <w:pStyle w:val="Heading3"/>
      </w:pPr>
      <w:r>
        <w:t xml:space="preserve">Risico’s en bijwerkingen</w:t>
      </w:r>
    </w:p>
    <w:bookmarkStart w:id="986" w:name="aangetoond-thymosine-bèta-4"/>
    <w:p>
      <w:pPr>
        <w:pStyle w:val="Heading4"/>
      </w:pPr>
      <w:r>
        <w:t xml:space="preserve">Aangetoond (thymosine bèta-4)</w:t>
      </w:r>
    </w:p>
    <w:p>
      <w:pPr>
        <w:pStyle w:val="FirstParagraph"/>
      </w:pPr>
      <w:r>
        <w:t xml:space="preserve">In de gerandomiseerde studies met oogdruppels, gel en infuus werd Tβ4 goed verdragen. Bij 40 gezonden traten bij infusen tot 1.260 mg per dag gedurende 14 dagen geen dosisbeperkende bijwerkingen op</w:t>
      </w:r>
      <w:r>
        <w:rPr>
          <w:rStyle w:val="FootnoteReference"/>
        </w:rPr>
        <w:footnoteReference w:id="984"/>
      </w:r>
      <w:r>
        <w:t xml:space="preserve">. In de Chinese fase 1-studie waren de bijwerkingen licht tot matig</w:t>
      </w:r>
      <w:r>
        <w:rPr>
          <w:rStyle w:val="FootnoteReference"/>
        </w:rPr>
        <w:footnoteReference w:id="985"/>
      </w:r>
      <w:r>
        <w:t xml:space="preserve">. Deze studies zijn echter kort, en ze betreffen het hele eiwit in geneesmiddelkwaliteit – niet producten van de grijze markt.</w:t>
      </w:r>
    </w:p>
    <w:bookmarkEnd w:id="986"/>
    <w:bookmarkStart w:id="989" w:name="theoretisch-kanker"/>
    <w:p>
      <w:pPr>
        <w:pStyle w:val="Heading4"/>
      </w:pPr>
      <w:r>
        <w:t xml:space="preserve">Theoretisch: kanker</w:t>
      </w:r>
    </w:p>
    <w:p>
      <w:pPr>
        <w:pStyle w:val="FirstParagraph"/>
      </w:pPr>
      <w:r>
        <w:t xml:space="preserve">Tβ4 bevordert celmigratie en vaatnieuwvorming – twee eigenschappen die ook tumoren gebruiken voor groei en uitzaaiing. In weefselmonsters van 138 patiënten met blaaskanker ging een sterke vorming van Tβ4 samen met een gevorderd stadium, aantasting van lymfeklieren en een kortere overleving</w:t>
      </w:r>
      <w:r>
        <w:rPr>
          <w:rStyle w:val="FootnoteReference"/>
        </w:rPr>
        <w:footnoteReference w:id="987"/>
      </w:r>
      <w:r>
        <w:t xml:space="preserve">. In kweken van borstkankercellen verhoogde toegevoegd Tβ4 het aantal cellen</w:t>
      </w:r>
      <w:r>
        <w:rPr>
          <w:rStyle w:val="FootnoteReference"/>
        </w:rPr>
        <w:footnoteReference w:id="988"/>
      </w:r>
      <w:r>
        <w:t xml:space="preserve">. Zulke verbanden bewijzen niet dat van buitenaf toegediend Tβ4 kanker veroorzaakt. Ze zijn echter een reden waarom deskundigen bij mensen met kanker of een verhoogd kankerrisico tot voorzichtigheid manen. Langetermijngegevens ontbreken. Deel IV behandelt het thema uitvoerig.</w:t>
      </w:r>
    </w:p>
    <w:bookmarkEnd w:id="989"/>
    <w:bookmarkStart w:id="992" w:name="grijze-markt"/>
    <w:p>
      <w:pPr>
        <w:pStyle w:val="Heading4"/>
      </w:pPr>
      <w:r>
        <w:t xml:space="preserve">Grijze markt</w:t>
      </w:r>
    </w:p>
    <w:p>
      <w:pPr>
        <w:pStyle w:val="FirstParagraph"/>
      </w:pPr>
      <w:r>
        <w:t xml:space="preserve">Wat als</w:t>
      </w:r>
      <w:r>
        <w:t xml:space="preserve"> </w:t>
      </w:r>
      <w:r>
        <w:t xml:space="preserve">‘</w:t>
      </w:r>
      <w:r>
        <w:t xml:space="preserve">TB-500</w:t>
      </w:r>
      <w:r>
        <w:t xml:space="preserve">’</w:t>
      </w:r>
      <w:r>
        <w:t xml:space="preserve"> </w:t>
      </w:r>
      <w:r>
        <w:t xml:space="preserve">wordt verkocht, bevat niet betrouwbaar wat op het etiket staat. Een laboratorium voor paardendoping analyseerde op internet aangeboden producten en vond dat de inhoud van</w:t>
      </w:r>
      <w:r>
        <w:t xml:space="preserve"> </w:t>
      </w:r>
      <w:r>
        <w:t xml:space="preserve">‘</w:t>
      </w:r>
      <w:r>
        <w:t xml:space="preserve">TB500</w:t>
      </w:r>
      <w:r>
        <w:t xml:space="preserve">’</w:t>
      </w:r>
      <w:r>
        <w:t xml:space="preserve"> </w:t>
      </w:r>
      <w:r>
        <w:t xml:space="preserve">en</w:t>
      </w:r>
      <w:r>
        <w:t xml:space="preserve"> </w:t>
      </w:r>
      <w:r>
        <w:t xml:space="preserve">‘</w:t>
      </w:r>
      <w:r>
        <w:t xml:space="preserve">TB1000</w:t>
      </w:r>
      <w:r>
        <w:t xml:space="preserve">’</w:t>
      </w:r>
      <w:r>
        <w:t xml:space="preserve"> </w:t>
      </w:r>
      <w:r>
        <w:t xml:space="preserve">niet overal overeenkwam met de vermelde samenstelling</w:t>
      </w:r>
      <w:r>
        <w:rPr>
          <w:rStyle w:val="FootnoteReference"/>
        </w:rPr>
        <w:footnoteReference w:id="990"/>
      </w:r>
      <w:r>
        <w:t xml:space="preserve">. Sommige producten bevatten het fragment, andere mogelijk het hele Tβ4, weer andere verontreinigingen. Daarbij komen de bekende risico’s van niet-steriele injecties. Dat laboratoria voor paardendoping al in 2012 detectiemethoden voor TB-500 ontwikkelden</w:t>
      </w:r>
      <w:r>
        <w:rPr>
          <w:rStyle w:val="FootnoteReference"/>
        </w:rPr>
        <w:footnoteReference w:id="991"/>
      </w:r>
      <w:r>
        <w:t xml:space="preserve">, laat zien uit welke hoek het product komt: uit de dierensector, niet uit de humane geneeskunde.</w:t>
      </w:r>
    </w:p>
    <w:bookmarkEnd w:id="992"/>
    <w:bookmarkEnd w:id="993"/>
    <w:bookmarkStart w:id="996" w:name="juridische-status-16"/>
    <w:p>
      <w:pPr>
        <w:pStyle w:val="Heading3"/>
      </w:pPr>
      <w:r>
        <w:t xml:space="preserve">Juridische status</w:t>
      </w:r>
    </w:p>
    <w:p>
      <w:pPr>
        <w:pStyle w:val="FirstParagraph"/>
      </w:pPr>
      <w:r>
        <w:rPr>
          <w:iCs/>
          <w:i/>
        </w:rPr>
        <w:t xml:space="preserve">Stand 2026, actuele situatie controleren.</w:t>
      </w:r>
    </w:p>
    <w:p>
      <w:pPr>
        <w:numPr>
          <w:ilvl w:val="0"/>
          <w:numId w:val="1120"/>
        </w:numPr>
        <w:pStyle w:val="Compact"/>
      </w:pPr>
      <w:r>
        <w:rPr>
          <w:bCs/>
          <w:b/>
        </w:rPr>
        <w:t xml:space="preserve">EU, Duitsland, Oostenrijk:</w:t>
      </w:r>
      <w:r>
        <w:t xml:space="preserve"> </w:t>
      </w:r>
      <w:r>
        <w:t xml:space="preserve">Tβ4 noch TB-500 is als geneesmiddel geregistreerd. Levering voor gebruik bij mensen is niet toegestaan; producten met de vermelding</w:t>
      </w:r>
      <w:r>
        <w:t xml:space="preserve"> </w:t>
      </w:r>
      <w:r>
        <w:t xml:space="preserve">‘</w:t>
      </w:r>
      <w:r>
        <w:t xml:space="preserve">alleen voor onderzoeksdoeleinden</w:t>
      </w:r>
      <w:r>
        <w:t xml:space="preserve">’</w:t>
      </w:r>
      <w:r>
        <w:t xml:space="preserve"> </w:t>
      </w:r>
      <w:r>
        <w:t xml:space="preserve">veranderen daar niets aan.</w:t>
      </w:r>
    </w:p>
    <w:p>
      <w:pPr>
        <w:numPr>
          <w:ilvl w:val="0"/>
          <w:numId w:val="1120"/>
        </w:numPr>
        <w:pStyle w:val="Compact"/>
      </w:pPr>
      <w:r>
        <w:rPr>
          <w:bCs/>
          <w:b/>
        </w:rPr>
        <w:t xml:space="preserve">VS:</w:t>
      </w:r>
      <w:r>
        <w:t xml:space="preserve"> </w:t>
      </w:r>
      <w:r>
        <w:t xml:space="preserve">geen FDA-registratie. Naar weten van de auteur deelde de FDA in 2023 het Tβ4-fragment (TB-500), net als BPC-157, in bij categorie 2 van de grondstoffen voor bereidingen, dus bij de stoffen met aanzienlijke veiligheidsbezwaren; de beoordeling van peptiden voor bereiding door apotheken wordt momenteel controversieel besproken</w:t>
      </w:r>
      <w:r>
        <w:rPr>
          <w:rStyle w:val="FootnoteReference"/>
        </w:rPr>
        <w:footnoteReference w:id="994"/>
      </w:r>
      <w:r>
        <w:t xml:space="preserve">.</w:t>
      </w:r>
    </w:p>
    <w:p>
      <w:pPr>
        <w:numPr>
          <w:ilvl w:val="0"/>
          <w:numId w:val="1120"/>
        </w:numPr>
        <w:pStyle w:val="Compact"/>
      </w:pPr>
      <w:r>
        <w:rPr>
          <w:bCs/>
          <w:b/>
        </w:rPr>
        <w:t xml:space="preserve">WADA:</w:t>
      </w:r>
      <w:r>
        <w:t xml:space="preserve"> </w:t>
      </w:r>
      <w:r>
        <w:t xml:space="preserve">Tβ4 en zijn derivaten zoals TB-500 zijn uitdrukkelijk verboden in klasse S2 (peptidehormonen, groeifactoren), binnen en buiten wedstrijden. Ook in de paardensport is het verboden</w:t>
      </w:r>
      <w:r>
        <w:rPr>
          <w:rStyle w:val="FootnoteReference"/>
        </w:rPr>
        <w:footnoteReference w:id="995"/>
      </w:r>
      <w:r>
        <w:t xml:space="preserve">.</w:t>
      </w:r>
    </w:p>
    <w:bookmarkEnd w:id="996"/>
    <w:bookmarkStart w:id="1000" w:name="lopende-studies-en-vooruitzichten-16"/>
    <w:p>
      <w:pPr>
        <w:pStyle w:val="Heading3"/>
      </w:pPr>
      <w:r>
        <w:t xml:space="preserve">Lopende studies en vooruitzichten</w:t>
      </w:r>
    </w:p>
    <w:p>
      <w:pPr>
        <w:pStyle w:val="FirstParagraph"/>
      </w:pPr>
      <w:r>
        <w:rPr>
          <w:bCs/>
          <w:b/>
        </w:rPr>
        <w:t xml:space="preserve">Vaststaand (volgens register):</w:t>
      </w:r>
    </w:p>
    <w:p>
      <w:pPr>
        <w:numPr>
          <w:ilvl w:val="0"/>
          <w:numId w:val="1121"/>
        </w:numPr>
        <w:pStyle w:val="Compact"/>
      </w:pPr>
      <w:r>
        <w:rPr>
          <w:bCs/>
          <w:b/>
        </w:rPr>
        <w:t xml:space="preserve">SEER-2</w:t>
      </w:r>
      <w:r>
        <w:rPr>
          <w:rStyle w:val="FootnoteReference"/>
        </w:rPr>
        <w:footnoteReference w:id="997"/>
      </w:r>
      <w:r>
        <w:rPr>
          <w:bCs/>
          <w:b/>
        </w:rPr>
        <w:t xml:space="preserve">:</w:t>
      </w:r>
      <w:r>
        <w:t xml:space="preserve"> </w:t>
      </w:r>
      <w:r>
        <w:t xml:space="preserve">fase 3-studie met RGN-259-oogdruppels bij neurotrofe keratopathie, gepland 70 personen, werving loopt, einde van de studie volgens register geschat op mei 2026. In oktober 2026 waren er geen resultaten gepubliceerd.</w:t>
      </w:r>
    </w:p>
    <w:p>
      <w:pPr>
        <w:numPr>
          <w:ilvl w:val="0"/>
          <w:numId w:val="1121"/>
        </w:numPr>
        <w:pStyle w:val="Compact"/>
      </w:pPr>
      <w:r>
        <w:rPr>
          <w:bCs/>
          <w:b/>
        </w:rPr>
        <w:t xml:space="preserve">NL005 bij hartinfarct</w:t>
      </w:r>
      <w:r>
        <w:rPr>
          <w:rStyle w:val="FootnoteReference"/>
        </w:rPr>
        <w:footnoteReference w:id="998"/>
      </w:r>
      <w:r>
        <w:rPr>
          <w:bCs/>
          <w:b/>
        </w:rPr>
        <w:t xml:space="preserve">:</w:t>
      </w:r>
      <w:r>
        <w:t xml:space="preserve"> </w:t>
      </w:r>
      <w:r>
        <w:t xml:space="preserve">Chinese fase 2c-studie met recombinant Tβ4, gepland 189 personen, primair eindpunt infarctgrootte op hart-MRI na 90 dagen; nog geen werving, einde geschat op 2028. Twee eerdere fase 2-studies van dezelfde fabrikant met 62 en 90 personen zijn volgens het register afgerond</w:t>
      </w:r>
      <w:r>
        <w:rPr>
          <w:rStyle w:val="FootnoteReference"/>
        </w:rPr>
        <w:footnoteReference w:id="999"/>
      </w:r>
      <w:r>
        <w:t xml:space="preserve">.</w:t>
      </w:r>
    </w:p>
    <w:p>
      <w:pPr>
        <w:numPr>
          <w:ilvl w:val="0"/>
          <w:numId w:val="1121"/>
        </w:numPr>
        <w:pStyle w:val="Compact"/>
      </w:pPr>
      <w:r>
        <w:rPr>
          <w:bCs/>
          <w:b/>
        </w:rPr>
        <w:t xml:space="preserve">TB-500:</w:t>
      </w:r>
      <w:r>
        <w:t xml:space="preserve"> </w:t>
      </w:r>
      <w:r>
        <w:t xml:space="preserve">geen geloofwaardige geregistreerde studie bij mensen.</w:t>
      </w:r>
    </w:p>
    <w:p>
      <w:pPr>
        <w:pStyle w:val="FirstParagraph"/>
      </w:pPr>
      <w:r>
        <w:rPr>
          <w:bCs/>
          <w:b/>
        </w:rPr>
        <w:t xml:space="preserve">Inschatting van de auteur:</w:t>
      </w:r>
      <w:r>
        <w:t xml:space="preserve"> </w:t>
      </w:r>
      <w:r>
        <w:t xml:space="preserve">de meest realistische kans op registratie heeft Tβ4 als oogdruppels bij de zeldzame neurotrofe keratopathie, waar al kleine studies kunnen volstaan voor registratie als weesgeneesmiddel – als SEER-2 positief uitvalt. Bij droge ogen spreken de grote fase 3-gegevens tegen een klinisch relevant nut. Bij hartinfarct hangt alles af van de lopende Chinese studie. Voor TB-500 als middel voor herstel van pezen en spieren is er voorlopig geen serieus onderzoek bij mensen in zicht.</w:t>
      </w:r>
    </w:p>
    <w:bookmarkEnd w:id="1000"/>
    <w:bookmarkStart w:id="1002" w:name="conclusie-16"/>
    <w:p>
      <w:pPr>
        <w:pStyle w:val="Heading3"/>
      </w:pPr>
      <w:r>
        <w:t xml:space="preserve">Conclusie</w:t>
      </w:r>
    </w:p>
    <w:p>
      <w:pPr>
        <w:pStyle w:val="FirstParagraph"/>
      </w:pPr>
      <w:r>
        <w:t xml:space="preserve">Thymosine bèta-4 is een lichaamseigen peptide dat in gerandomiseerde studies als oogdruppels en infuus goed werd verdragen, maar waarvan het nut in de grote studies bij droge ogen niet werd bevestigd en bij hartinfarct tot nu toe alleen in een subgroep werd gesuggereerd</w:t>
      </w:r>
      <w:r>
        <w:rPr>
          <w:rStyle w:val="FootnoteReference"/>
        </w:rPr>
        <w:footnoteReference w:id="1001"/>
      </w:r>
      <w:r>
        <w:t xml:space="preserve">. TB-500 is iets anders: een veranderd fragment dat nooit in een gepubliceerde studie bij mensen is onderzocht en waarvan de producten van de grijze markt aantoonbaar niet altijd bevatten wat wordt vermeld. De reclame voor TB-500 steunt op studies met het hele eiwit – en ook die gaan nauwelijks over pezen, banden of spieren. Voor sporters zijn beide stoffen verboden.</w:t>
      </w:r>
    </w:p>
    <w:bookmarkEnd w:id="1002"/>
    <w:bookmarkEnd w:id="1003"/>
    <w:bookmarkStart w:id="1063" w:name="thymosine-alfa-1-thymalfasine"/>
    <w:p>
      <w:pPr>
        <w:pStyle w:val="Heading2"/>
      </w:pPr>
      <w:r>
        <w:t xml:space="preserve">Thymosine alfa-1 (thymalfasine)</w:t>
      </w:r>
    </w:p>
    <w:p>
      <w:pPr>
        <w:pStyle w:val="FirstParagraph"/>
      </w:pPr>
      <w:r>
        <w:t xml:space="preserve">Thymosine alfa-1 is in deze groep een bijzonder geval. Anders dan BPC-157 of TB-500 is het in een reeks landen een geregistreerd geneesmiddel (handelsnaam Zadaxin), het is in tientallen gerandomiseerde studies bij duizenden mensen onderzocht, en in China hoort het in sommige ziekenhuizen bij de dagelijkse praktijk. Tegelijk laat juist dit peptide zien hoe een beeld verandert wanneer kleine, oudere studies worden opgevolgd door grote, zorgvuldig uitgevoerde studies. In Europa en de VS is het niet geregistreerd, maar in de</w:t>
      </w:r>
      <w:r>
        <w:t xml:space="preserve"> </w:t>
      </w:r>
      <w:r>
        <w:t xml:space="preserve">‘</w:t>
      </w:r>
      <w:r>
        <w:t xml:space="preserve">longevity</w:t>
      </w:r>
      <w:r>
        <w:t xml:space="preserve">’</w:t>
      </w:r>
      <w:r>
        <w:t xml:space="preserve">- en biohackingscene wordt het als immuunbooster op de markt gebracht.</w:t>
      </w:r>
    </w:p>
    <w:bookmarkStart w:id="1006" w:name="profiel-17"/>
    <w:p>
      <w:pPr>
        <w:pStyle w:val="Heading3"/>
      </w:pPr>
      <w:r>
        <w:t xml:space="preserve">Profiel</w:t>
      </w:r>
    </w:p>
    <w:p>
      <w:pPr>
        <w:numPr>
          <w:ilvl w:val="0"/>
          <w:numId w:val="1122"/>
        </w:numPr>
        <w:pStyle w:val="Compact"/>
      </w:pPr>
      <w:r>
        <w:rPr>
          <w:bCs/>
          <w:b/>
        </w:rPr>
        <w:t xml:space="preserve">Soort en structuur:</w:t>
      </w:r>
      <w:r>
        <w:t xml:space="preserve"> </w:t>
      </w:r>
      <w:r>
        <w:t xml:space="preserve">peptide van 28 aminozuren, aan het begin geacetyleerd</w:t>
      </w:r>
      <w:r>
        <w:rPr>
          <w:rStyle w:val="FootnoteReference"/>
        </w:rPr>
        <w:footnoteReference w:id="1004"/>
      </w:r>
      <w:r>
        <w:t xml:space="preserve">; fragment van het grotere eiwit prothymosine alfa.</w:t>
      </w:r>
    </w:p>
    <w:p>
      <w:pPr>
        <w:numPr>
          <w:ilvl w:val="0"/>
          <w:numId w:val="1122"/>
        </w:numPr>
        <w:pStyle w:val="Compact"/>
      </w:pPr>
      <w:r>
        <w:rPr>
          <w:bCs/>
          <w:b/>
        </w:rPr>
        <w:t xml:space="preserve">Herkomst:</w:t>
      </w:r>
      <w:r>
        <w:t xml:space="preserve"> </w:t>
      </w:r>
      <w:r>
        <w:t xml:space="preserve">in de jaren zeventig geïsoleerd uit een extract van de thymus (</w:t>
      </w:r>
      <w:r>
        <w:t xml:space="preserve">‘</w:t>
      </w:r>
      <w:r>
        <w:t xml:space="preserve">thymosinefractie 5</w:t>
      </w:r>
      <w:r>
        <w:t xml:space="preserve">’</w:t>
      </w:r>
      <w:r>
        <w:t xml:space="preserve">); tegenwoordig chemisch gesynthetiseerd. Naam van de werkzame stof: thymalfasine.</w:t>
      </w:r>
    </w:p>
    <w:p>
      <w:pPr>
        <w:numPr>
          <w:ilvl w:val="0"/>
          <w:numId w:val="1122"/>
        </w:numPr>
        <w:pStyle w:val="Compact"/>
      </w:pPr>
      <w:r>
        <w:rPr>
          <w:bCs/>
          <w:b/>
        </w:rPr>
        <w:t xml:space="preserve">Werkingsprincipe:</w:t>
      </w:r>
      <w:r>
        <w:t xml:space="preserve"> </w:t>
      </w:r>
      <w:r>
        <w:t xml:space="preserve">immunomodulator – zou de rijping en activiteit van T-cellen en dendritische cellen bevorderen.</w:t>
      </w:r>
    </w:p>
    <w:p>
      <w:pPr>
        <w:numPr>
          <w:ilvl w:val="0"/>
          <w:numId w:val="1122"/>
        </w:numPr>
        <w:pStyle w:val="Compact"/>
      </w:pPr>
      <w:r>
        <w:rPr>
          <w:bCs/>
          <w:b/>
        </w:rPr>
        <w:t xml:space="preserve">Registratie EU:</w:t>
      </w:r>
      <w:r>
        <w:t xml:space="preserve"> </w:t>
      </w:r>
      <w:r>
        <w:t xml:space="preserve">geen centrale registratie.</w:t>
      </w:r>
      <w:r>
        <w:t xml:space="preserve"> </w:t>
      </w:r>
      <w:r>
        <w:rPr>
          <w:bCs/>
          <w:b/>
        </w:rPr>
        <w:t xml:space="preserve">VS:</w:t>
      </w:r>
      <w:r>
        <w:t xml:space="preserve"> </w:t>
      </w:r>
      <w:r>
        <w:t xml:space="preserve">niet geregistreerd; de FDA beperkte in 2023 het gebruik in bereidingsapotheken</w:t>
      </w:r>
      <w:r>
        <w:rPr>
          <w:rStyle w:val="FootnoteReference"/>
        </w:rPr>
        <w:footnoteReference w:id="1005"/>
      </w:r>
      <w:r>
        <w:t xml:space="preserve">.</w:t>
      </w:r>
      <w:r>
        <w:t xml:space="preserve"> </w:t>
      </w:r>
      <w:r>
        <w:rPr>
          <w:bCs/>
          <w:b/>
        </w:rPr>
        <w:t xml:space="preserve">Andere landen:</w:t>
      </w:r>
      <w:r>
        <w:t xml:space="preserve"> </w:t>
      </w:r>
      <w:r>
        <w:t xml:space="preserve">als Zadaxin geregistreerd, vooral in China en andere Aziatische landen, meestal voor chronische hepatitis B en als ondersteunende therapie ter versterking van het immuunsysteem.</w:t>
      </w:r>
    </w:p>
    <w:p>
      <w:pPr>
        <w:numPr>
          <w:ilvl w:val="0"/>
          <w:numId w:val="1122"/>
        </w:numPr>
        <w:pStyle w:val="Compact"/>
      </w:pPr>
      <w:r>
        <w:rPr>
          <w:bCs/>
          <w:b/>
        </w:rPr>
        <w:t xml:space="preserve">WADA:</w:t>
      </w:r>
      <w:r>
        <w:t xml:space="preserve"> </w:t>
      </w:r>
      <w:r>
        <w:t xml:space="preserve">niet uitdrukkelijk vermeld.</w:t>
      </w:r>
    </w:p>
    <w:p>
      <w:pPr>
        <w:numPr>
          <w:ilvl w:val="0"/>
          <w:numId w:val="1122"/>
        </w:numPr>
        <w:pStyle w:val="Compact"/>
      </w:pPr>
      <w:r>
        <w:rPr>
          <w:bCs/>
          <w:b/>
        </w:rPr>
        <w:t xml:space="preserve">Bewijsniveau: B</w:t>
      </w:r>
      <w:r>
        <w:t xml:space="preserve"> </w:t>
      </w:r>
      <w:r>
        <w:t xml:space="preserve">– formeel zijn er veel gerandomiseerde studies; de grote, methodologisch beste studies misten echter hun primaire eindpunten, en de positieve resultaten komen overwegend uit kleine studies met een hoog risico op vertekening.</w:t>
      </w:r>
    </w:p>
    <w:bookmarkEnd w:id="1006"/>
    <w:bookmarkStart w:id="1009" w:name="hoe-het-zou-moeten-werken-17"/>
    <w:p>
      <w:pPr>
        <w:pStyle w:val="Heading3"/>
      </w:pPr>
      <w:r>
        <w:t xml:space="preserve">Hoe het zou moeten werken</w:t>
      </w:r>
    </w:p>
    <w:p>
      <w:pPr>
        <w:pStyle w:val="FirstParagraph"/>
      </w:pPr>
      <w:r>
        <w:t xml:space="preserve">De thymus achter het borstbeen is de</w:t>
      </w:r>
      <w:r>
        <w:t xml:space="preserve"> </w:t>
      </w:r>
      <w:r>
        <w:t xml:space="preserve">‘</w:t>
      </w:r>
      <w:r>
        <w:t xml:space="preserve">school</w:t>
      </w:r>
      <w:r>
        <w:t xml:space="preserve">’</w:t>
      </w:r>
      <w:r>
        <w:t xml:space="preserve"> </w:t>
      </w:r>
      <w:r>
        <w:t xml:space="preserve">van de T-cellen: hier leren deze witte bloedcellen vreemd van eigen te onderscheiden. Met de leeftijd krimpt de thymus. Al vroeg vermoedde men dat boodschapperstoffen uit de thymus de afweer sturen, en men zocht ernaar in thymusextracten. Thymosine alfa-1 was een van de eerste zo geïdentificeerde stoffen.</w:t>
      </w:r>
    </w:p>
    <w:p>
      <w:pPr>
        <w:pStyle w:val="BodyText"/>
      </w:pPr>
      <w:r>
        <w:t xml:space="preserve">In laboratorium- en dierexperimenten activeert thymosine alfa-1 dendritische cellen – de</w:t>
      </w:r>
      <w:r>
        <w:t xml:space="preserve"> </w:t>
      </w:r>
      <w:r>
        <w:t xml:space="preserve">‘</w:t>
      </w:r>
      <w:r>
        <w:t xml:space="preserve">verkenners</w:t>
      </w:r>
      <w:r>
        <w:t xml:space="preserve">’</w:t>
      </w:r>
      <w:r>
        <w:t xml:space="preserve"> </w:t>
      </w:r>
      <w:r>
        <w:t xml:space="preserve">van het immuunsysteem – via zogeheten Toll-like-receptoren, verhoogt het de expressie van herkenningsmoleculen op cellen en versterkt het de werking van interferon</w:t>
      </w:r>
      <w:r>
        <w:rPr>
          <w:rStyle w:val="FootnoteReference"/>
        </w:rPr>
        <w:footnoteReference w:id="1007"/>
      </w:r>
      <w:r>
        <w:t xml:space="preserve">. Daaruit werden de drie grote toepassingsideeën afgeleid:</w:t>
      </w:r>
    </w:p>
    <w:p>
      <w:pPr>
        <w:numPr>
          <w:ilvl w:val="0"/>
          <w:numId w:val="1123"/>
        </w:numPr>
        <w:pStyle w:val="Compact"/>
      </w:pPr>
      <w:r>
        <w:rPr>
          <w:bCs/>
          <w:b/>
        </w:rPr>
        <w:t xml:space="preserve">Chronische virusinfecties</w:t>
      </w:r>
      <w:r>
        <w:t xml:space="preserve"> </w:t>
      </w:r>
      <w:r>
        <w:t xml:space="preserve">(hepatitis B en C), waarbij het immuunsysteem het virus niet op eigen kracht opruimt.</w:t>
      </w:r>
    </w:p>
    <w:p>
      <w:pPr>
        <w:numPr>
          <w:ilvl w:val="0"/>
          <w:numId w:val="1123"/>
        </w:numPr>
        <w:pStyle w:val="Compact"/>
      </w:pPr>
      <w:r>
        <w:rPr>
          <w:bCs/>
          <w:b/>
        </w:rPr>
        <w:t xml:space="preserve">Sepsis en ernstige infecties</w:t>
      </w:r>
      <w:r>
        <w:t xml:space="preserve">, waarbij na een aanvankelijke overreactie vaak een fase van immuunzwakte volgt.</w:t>
      </w:r>
    </w:p>
    <w:p>
      <w:pPr>
        <w:numPr>
          <w:ilvl w:val="0"/>
          <w:numId w:val="1123"/>
        </w:numPr>
        <w:pStyle w:val="Compact"/>
      </w:pPr>
      <w:r>
        <w:rPr>
          <w:bCs/>
          <w:b/>
        </w:rPr>
        <w:t xml:space="preserve">Kanker</w:t>
      </w:r>
      <w:r>
        <w:t xml:space="preserve">, als aanvulling op chemo-, bestralings- en immunotherapie.</w:t>
      </w:r>
    </w:p>
    <w:p>
      <w:pPr>
        <w:pStyle w:val="FirstParagraph"/>
      </w:pPr>
      <w:r>
        <w:t xml:space="preserve">De halfwaardetijd in het bloed bedraagt ongeveer twee uur; na 24 uur is de spiegel weer op de uitgangswaarde</w:t>
      </w:r>
      <w:r>
        <w:rPr>
          <w:rStyle w:val="FootnoteReference"/>
        </w:rPr>
        <w:footnoteReference w:id="1008"/>
      </w:r>
      <w:r>
        <w:t xml:space="preserve">.</w:t>
      </w:r>
    </w:p>
    <w:bookmarkEnd w:id="1009"/>
    <w:bookmarkStart w:id="1039" w:name="studies-bij-mensen-1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90</w:t>
      </w:r>
      <w:r>
        <w:t xml:space="preserve"> </w:t>
      </w:r>
      <w:r>
        <w:t xml:space="preserve">studies bij mensen in PubMed en</w:t>
      </w:r>
      <w:r>
        <w:t xml:space="preserve"> </w:t>
      </w:r>
      <w:r>
        <w:rPr>
          <w:bCs/>
          <w:b/>
        </w:rPr>
        <w:t xml:space="preserve">66</w:t>
      </w:r>
      <w:r>
        <w:t xml:space="preserve"> </w:t>
      </w:r>
      <w:r>
        <w:t xml:space="preserve">vermeldingen bij ClinicalTrials.gov, plus 15 meta-analyses en systematische overzichten. Een groot deel van de studies komt uit China en is klein. Een overzicht uit 2024, dat meer dan 30 studies met meer dan 11.000 personen samenvat, werd uitdrukkelijk geschreven om tegen de FDA-beperking te pleiten</w:t>
      </w:r>
      <w:r>
        <w:rPr>
          <w:rStyle w:val="FootnoteReference"/>
        </w:rPr>
        <w:footnoteReference w:id="1010"/>
      </w:r>
      <w:r>
        <w:t xml:space="preserve"> </w:t>
      </w:r>
      <w:r>
        <w:t xml:space="preserve">– het moet daarom niet als neutrale beoordeling worden gelezen.</w:t>
      </w:r>
    </w:p>
    <w:bookmarkStart w:id="1011" w:name="de-belangrijkste-grote-studies"/>
    <w:p>
      <w:pPr>
        <w:pStyle w:val="Heading4"/>
      </w:pPr>
      <w:r>
        <w:t xml:space="preserve">De belangrijkste grote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TESTS, sepsis (Wu 2025, PMID 39814420)</w:t>
            </w:r>
          </w:p>
        </w:tc>
        <w:tc>
          <w:tcPr/>
          <w:p>
            <w:pPr>
              <w:pStyle w:val="Compact"/>
              <w:jc w:val="left"/>
            </w:pPr>
            <w:r>
              <w:t xml:space="preserve">1.106 volwassenen met sepsis, 22 centra in China, dubbelblinde RCT tegen placebo</w:t>
            </w:r>
          </w:p>
        </w:tc>
        <w:tc>
          <w:tcPr/>
          <w:p>
            <w:pPr>
              <w:pStyle w:val="Compact"/>
              <w:jc w:val="left"/>
            </w:pPr>
            <w:r>
              <w:t xml:space="preserve">7 dagen behandeling, 28 dagen observatie</w:t>
            </w:r>
          </w:p>
        </w:tc>
        <w:tc>
          <w:tcPr/>
          <w:p>
            <w:pPr>
              <w:pStyle w:val="Compact"/>
              <w:jc w:val="left"/>
            </w:pPr>
            <w:r>
              <w:t xml:space="preserve">sterfte 23,4% vs. 24,1%; geen verschil</w:t>
            </w:r>
          </w:p>
        </w:tc>
      </w:tr>
      <w:tr>
        <w:tc>
          <w:tcPr/>
          <w:p>
            <w:pPr>
              <w:pStyle w:val="Compact"/>
              <w:jc w:val="left"/>
            </w:pPr>
            <w:r>
              <w:t xml:space="preserve">Necrotiserende pancreatitis (Ke 2022, PMID 35713670)</w:t>
            </w:r>
          </w:p>
        </w:tc>
        <w:tc>
          <w:tcPr/>
          <w:p>
            <w:pPr>
              <w:pStyle w:val="Compact"/>
              <w:jc w:val="left"/>
            </w:pPr>
            <w:r>
              <w:t xml:space="preserve">508 personen, dubbelblinde RCT tegen placebo</w:t>
            </w:r>
          </w:p>
        </w:tc>
        <w:tc>
          <w:tcPr/>
          <w:p>
            <w:pPr>
              <w:pStyle w:val="Compact"/>
              <w:jc w:val="left"/>
            </w:pPr>
            <w:r>
              <w:t xml:space="preserve">14 dagen behandeling</w:t>
            </w:r>
          </w:p>
        </w:tc>
        <w:tc>
          <w:tcPr/>
          <w:p>
            <w:pPr>
              <w:pStyle w:val="Compact"/>
              <w:jc w:val="left"/>
            </w:pPr>
            <w:r>
              <w:t xml:space="preserve">geïnfecteerde necrose 15,7% vs. 18,1%; geen significant verschil</w:t>
            </w:r>
          </w:p>
        </w:tc>
      </w:tr>
      <w:tr>
        <w:tc>
          <w:tcPr/>
          <w:p>
            <w:pPr>
              <w:pStyle w:val="Compact"/>
              <w:jc w:val="left"/>
            </w:pPr>
            <w:r>
              <w:t xml:space="preserve">Melanoom (Maio 2010, PMID 20194853)</w:t>
            </w:r>
          </w:p>
        </w:tc>
        <w:tc>
          <w:tcPr/>
          <w:p>
            <w:pPr>
              <w:pStyle w:val="Compact"/>
              <w:jc w:val="left"/>
            </w:pPr>
            <w:r>
              <w:t xml:space="preserve">488 personen met gemetastaseerd melanoom, RCT met 5 groepen</w:t>
            </w:r>
          </w:p>
        </w:tc>
        <w:tc>
          <w:tcPr/>
          <w:p>
            <w:pPr>
              <w:pStyle w:val="Compact"/>
              <w:jc w:val="left"/>
            </w:pPr>
            <w:r>
              <w:t xml:space="preserve">tot 24 maanden</w:t>
            </w:r>
          </w:p>
        </w:tc>
        <w:tc>
          <w:tcPr/>
          <w:p>
            <w:pPr>
              <w:pStyle w:val="Compact"/>
              <w:jc w:val="left"/>
            </w:pPr>
            <w:r>
              <w:t xml:space="preserve">meer tumorrespons in twee Tα1-groepen; totale overleving 9,4 vs. 6,6 maanden, niet significant (p = 0,08)</w:t>
            </w:r>
          </w:p>
        </w:tc>
      </w:tr>
      <w:tr>
        <w:tc>
          <w:tcPr/>
          <w:p>
            <w:pPr>
              <w:pStyle w:val="Compact"/>
              <w:jc w:val="left"/>
            </w:pPr>
            <w:r>
              <w:t xml:space="preserve">Hepatitis B-cirrose (Wu 2018, PMID 30063860)</w:t>
            </w:r>
          </w:p>
        </w:tc>
        <w:tc>
          <w:tcPr/>
          <w:p>
            <w:pPr>
              <w:pStyle w:val="Compact"/>
              <w:jc w:val="left"/>
            </w:pPr>
            <w:r>
              <w:t xml:space="preserve">690 personen, open-label RCT, Tα1 plus entecavir vs. entecavir alleen</w:t>
            </w:r>
          </w:p>
        </w:tc>
        <w:tc>
          <w:tcPr/>
          <w:p>
            <w:pPr>
              <w:pStyle w:val="Compact"/>
              <w:jc w:val="left"/>
            </w:pPr>
            <w:r>
              <w:t xml:space="preserve">mediaan 38,2 maanden</w:t>
            </w:r>
          </w:p>
        </w:tc>
        <w:tc>
          <w:tcPr/>
          <w:p>
            <w:pPr>
              <w:pStyle w:val="Compact"/>
              <w:jc w:val="left"/>
            </w:pPr>
            <w:r>
              <w:t xml:space="preserve">geen verschil in leverfalen, leverkanker of overlijden</w:t>
            </w:r>
          </w:p>
        </w:tc>
      </w:tr>
      <w:tr>
        <w:tc>
          <w:tcPr/>
          <w:p>
            <w:pPr>
              <w:pStyle w:val="Compact"/>
              <w:jc w:val="left"/>
            </w:pPr>
            <w:r>
              <w:t xml:space="preserve">Hepatitis B, Japan (Iino 2005, PMID 15850471)</w:t>
            </w:r>
          </w:p>
        </w:tc>
        <w:tc>
          <w:tcPr/>
          <w:p>
            <w:pPr>
              <w:pStyle w:val="Compact"/>
              <w:jc w:val="left"/>
            </w:pPr>
            <w:r>
              <w:t xml:space="preserve">316 personen, vergelijking van twee doses, geen placebogroep</w:t>
            </w:r>
          </w:p>
        </w:tc>
        <w:tc>
          <w:tcPr/>
          <w:p>
            <w:pPr>
              <w:pStyle w:val="Compact"/>
              <w:jc w:val="left"/>
            </w:pPr>
            <w:r>
              <w:t xml:space="preserve">24 weken plus 48 weken</w:t>
            </w:r>
          </w:p>
        </w:tc>
        <w:tc>
          <w:tcPr/>
          <w:p>
            <w:pPr>
              <w:pStyle w:val="Compact"/>
              <w:jc w:val="left"/>
            </w:pPr>
            <w:r>
              <w:t xml:space="preserve">verlies van HBe-antigeen bij 22,8% bij de hogere dosis</w:t>
            </w:r>
          </w:p>
        </w:tc>
      </w:tr>
      <w:tr>
        <w:tc>
          <w:tcPr/>
          <w:p>
            <w:pPr>
              <w:pStyle w:val="Compact"/>
              <w:jc w:val="left"/>
            </w:pPr>
            <w:r>
              <w:t xml:space="preserve">Hepatitis B, fase 3 (Mutchnick 1999, PMID 10607256)</w:t>
            </w:r>
          </w:p>
        </w:tc>
        <w:tc>
          <w:tcPr/>
          <w:p>
            <w:pPr>
              <w:pStyle w:val="Compact"/>
              <w:jc w:val="left"/>
            </w:pPr>
            <w:r>
              <w:t xml:space="preserve">97 personen, dubbelblinde RCT tegen placebo</w:t>
            </w:r>
          </w:p>
        </w:tc>
        <w:tc>
          <w:tcPr/>
          <w:p>
            <w:pPr>
              <w:pStyle w:val="Compact"/>
              <w:jc w:val="left"/>
            </w:pPr>
            <w:r>
              <w:t xml:space="preserve">12 maanden</w:t>
            </w:r>
          </w:p>
        </w:tc>
        <w:tc>
          <w:tcPr/>
          <w:p>
            <w:pPr>
              <w:pStyle w:val="Compact"/>
              <w:jc w:val="left"/>
            </w:pPr>
            <w:r>
              <w:t xml:space="preserve">volledige respons 14% vs. 4%, niet significant</w:t>
            </w:r>
          </w:p>
        </w:tc>
      </w:tr>
    </w:tbl>
    <w:bookmarkEnd w:id="1011"/>
    <w:bookmarkStart w:id="1019" w:name="hepatitis-b-en-c"/>
    <w:p>
      <w:pPr>
        <w:pStyle w:val="Heading4"/>
      </w:pPr>
      <w:r>
        <w:t xml:space="preserve">Hepatitis B en C</w:t>
      </w:r>
    </w:p>
    <w:p>
      <w:pPr>
        <w:pStyle w:val="FirstParagraph"/>
      </w:pPr>
      <w:r>
        <w:t xml:space="preserve">De registraties in Azië berusten vooral op studies naar chronische hepatitis B uit de jaren negentig. Een gerandomiseerde studie met 98 personen vond 18 maanden na het begin een volledige virologische respons bij 40,6 procent na een behandeling van zes maanden tegenover 9,4 procent in de onbehandelde controlegroep</w:t>
      </w:r>
      <w:r>
        <w:rPr>
          <w:rStyle w:val="FootnoteReference"/>
        </w:rPr>
        <w:footnoteReference w:id="1012"/>
      </w:r>
      <w:r>
        <w:t xml:space="preserve">. De dubbelblinde, placebogecontroleerde fase 3-studie kon dat niet bevestigen: 14 procent vs. 4 procent, statistisch niet significant; de auteurs schrijven zelf dat de resultaten eerdere waarnemingen niet bevestigden</w:t>
      </w:r>
      <w:r>
        <w:rPr>
          <w:rStyle w:val="FootnoteReference"/>
        </w:rPr>
        <w:footnoteReference w:id="1013"/>
      </w:r>
      <w:r>
        <w:t xml:space="preserve">.</w:t>
      </w:r>
    </w:p>
    <w:p>
      <w:pPr>
        <w:pStyle w:val="BodyText"/>
      </w:pPr>
      <w:r>
        <w:t xml:space="preserve">Een meta-analyse van vier kleine studies met 199 personen vond dat thymosine alfa-1 aan het einde van de behandeling slechter, maar zes maanden daarna beter scoorde dan interferon alfa</w:t>
      </w:r>
      <w:r>
        <w:rPr>
          <w:rStyle w:val="FootnoteReference"/>
        </w:rPr>
        <w:footnoteReference w:id="1014"/>
      </w:r>
      <w:r>
        <w:t xml:space="preserve">. Tegenwoordig is die vraag grotendeels achterhaald: moderne tabletten tegen hepatitis B (zoals entecavir) onderdrukken het virus betrouwbaar. In de grote studie met 690 personen met levercirrose leverde toevoeging van thymosine alfa-1 aan entecavir geen voordeel op voor het primaire eindpunt van leverdecompensatie, leverkanker of overlijden</w:t>
      </w:r>
      <w:r>
        <w:rPr>
          <w:rStyle w:val="FootnoteReference"/>
        </w:rPr>
        <w:footnoteReference w:id="1015"/>
      </w:r>
      <w:r>
        <w:t xml:space="preserve">. Een meta-analyse van Chinese studies naar dezelfde combinatie vond weliswaar betere responspercentages na 24 weken, maar na 48 tot 52 weken geen verschil meer</w:t>
      </w:r>
      <w:r>
        <w:rPr>
          <w:rStyle w:val="FootnoteReference"/>
        </w:rPr>
        <w:footnoteReference w:id="1016"/>
      </w:r>
      <w:r>
        <w:t xml:space="preserve">.</w:t>
      </w:r>
    </w:p>
    <w:p>
      <w:pPr>
        <w:pStyle w:val="BodyText"/>
      </w:pPr>
      <w:r>
        <w:t xml:space="preserve">Bij een bijzonder ernstige verlopsvorm – acuut-op-chronisch leverfalen bij hepatitis B – lag de transplantatievrije overleving na 90 dagen in een open-label studie met 120 personen met thymosine alfa-1 op 75,0 procent tegenover 53,4 procent; nieuwe infecties kwamen minder vaak voor</w:t>
      </w:r>
      <w:r>
        <w:rPr>
          <w:rStyle w:val="FootnoteReference"/>
        </w:rPr>
        <w:footnoteReference w:id="1017"/>
      </w:r>
      <w:r>
        <w:t xml:space="preserve">. De studie was niet geblindeerd, en in een analyse die rekening hield met concurrerende risico’s was het verschil in overleving niet significant.</w:t>
      </w:r>
    </w:p>
    <w:p>
      <w:pPr>
        <w:pStyle w:val="BodyText"/>
      </w:pPr>
      <w:r>
        <w:t xml:space="preserve">Bij hepatitis C verbeterde de combinatie met interferon in kleinere studies de waarden aan het einde van de behandeling</w:t>
      </w:r>
      <w:r>
        <w:rPr>
          <w:rStyle w:val="FootnoteReference"/>
        </w:rPr>
        <w:footnoteReference w:id="1018"/>
      </w:r>
      <w:r>
        <w:t xml:space="preserve">, maar de blijvende respons verschilde niet wezenlijk. Sinds er direct werkende tabletten zijn die hepatitis C in de overgrote meerderheid van de gevallen opruimen, speelt thymosine alfa-1 hier geen rol meer.</w:t>
      </w:r>
    </w:p>
    <w:bookmarkEnd w:id="1019"/>
    <w:bookmarkStart w:id="1024" w:name="sepsis"/>
    <w:p>
      <w:pPr>
        <w:pStyle w:val="Heading4"/>
      </w:pPr>
      <w:r>
        <w:t xml:space="preserve">Sepsis</w:t>
      </w:r>
    </w:p>
    <w:p>
      <w:pPr>
        <w:pStyle w:val="FirstParagraph"/>
      </w:pPr>
      <w:r>
        <w:t xml:space="preserve">Aan sepsis is de ontwikkeling van het bewijs bijzonder goed te laten zien. Vroege meta-analyses van overwegend kleine Chinese studies vonden een duidelijk lagere sterfte (Li 2015, PMID 25532482: relatief risico 0,68 in 12 studies met 1.480 personen), maar wezen zelf op de slechte kwaliteit van de studies. De eerste grotere gerandomiseerde studie (ETASS) met 361 personen vond een sterfte na 28 dagen van 26,0 vs. 35,0 procent – net op de grens van statistische significantie, enkelblind</w:t>
      </w:r>
      <w:r>
        <w:rPr>
          <w:rStyle w:val="FootnoteReference"/>
        </w:rPr>
        <w:footnoteReference w:id="1020"/>
      </w:r>
      <w:r>
        <w:t xml:space="preserve">.</w:t>
      </w:r>
    </w:p>
    <w:p>
      <w:pPr>
        <w:pStyle w:val="BodyText"/>
      </w:pPr>
      <w:r>
        <w:t xml:space="preserve">Daarop plande dezelfde onderzoeksgroep de tot nu toe grootste en beste studie: TESTS, dubbelblind, placebogecontroleerd, 1.106 volwassenen in 22 centra. Resultaat: de sterfte na 28 dagen bedroeg 23,4 procent met thymosine alfa-1 en 24,1 procent met placebo – geen verschil. Ook geen enkel secundair eindpunt verschilde</w:t>
      </w:r>
      <w:r>
        <w:rPr>
          <w:rStyle w:val="FootnoteReference"/>
        </w:rPr>
        <w:footnoteReference w:id="1021"/>
      </w:r>
      <w:r>
        <w:t xml:space="preserve">. In subgroepen leken er bij mensen ouder dan 60 en mensen met diabetes voordelen te zijn, bij mensen jonger dan 60 echter zelfs nadelen – zulke subgroepbevindingen zijn onzeker.</w:t>
      </w:r>
    </w:p>
    <w:p>
      <w:pPr>
        <w:pStyle w:val="BodyText"/>
      </w:pPr>
      <w:r>
        <w:t xml:space="preserve">Een meta-analyse uit 2025 met 11 gerandomiseerde studies vond in totaal een lagere sterfte, maar niet wanneer alleen de hoogwaardige of alleen de multicenterstudies werden bekeken; de beschikbare hoeveelheid gegevens zou te klein zijn voor een definitieve uitspraak</w:t>
      </w:r>
      <w:r>
        <w:rPr>
          <w:rStyle w:val="FootnoteReference"/>
        </w:rPr>
        <w:footnoteReference w:id="1022"/>
      </w:r>
      <w:r>
        <w:t xml:space="preserve">. Veel Chinese studies combineren thymosine alfa-1 bovendien met ulinastatine, een ander in China gebruikt middel; netwerk-meta-analyses beoordelen de betrouwbaarheid van deze resultaten als overwegend laag</w:t>
      </w:r>
      <w:r>
        <w:rPr>
          <w:rStyle w:val="FootnoteReference"/>
        </w:rPr>
        <w:footnoteReference w:id="1023"/>
      </w:r>
      <w:r>
        <w:t xml:space="preserve">.</w:t>
      </w:r>
    </w:p>
    <w:bookmarkEnd w:id="1024"/>
    <w:bookmarkStart w:id="1030" w:name="covid-19"/>
    <w:p>
      <w:pPr>
        <w:pStyle w:val="Heading4"/>
      </w:pPr>
      <w:r>
        <w:t xml:space="preserve">COVID-19</w:t>
      </w:r>
    </w:p>
    <w:p>
      <w:pPr>
        <w:pStyle w:val="FirstParagraph"/>
      </w:pPr>
      <w:r>
        <w:t xml:space="preserve">Tijdens de pandemie werd thymosine alfa-1 in China breed ingezet. Een vroege retrospectieve analyse van 76 ernstig zieken in Wuhan meldde een sterfte van 11,1 vs. 30,0 procent</w:t>
      </w:r>
      <w:r>
        <w:rPr>
          <w:rStyle w:val="FootnoteReference"/>
        </w:rPr>
        <w:footnoteReference w:id="1025"/>
      </w:r>
      <w:r>
        <w:t xml:space="preserve">. Een grotere retrospectieve studie in vijf ziekenhuizen met meer dan 2.200 personen vond het tegendeel: na correctie voor verstorende factoren ging de behandeling samen met een hoger percentage niet-herstel</w:t>
      </w:r>
      <w:r>
        <w:rPr>
          <w:rStyle w:val="FootnoteReference"/>
        </w:rPr>
        <w:footnoteReference w:id="1026"/>
      </w:r>
      <w:r>
        <w:t xml:space="preserve">. Een kleine gerandomiseerde pilotstudie met 49 personen vond snellere stijgingen van de T-helpercellen, maar geen significant verschil in herstel</w:t>
      </w:r>
      <w:r>
        <w:rPr>
          <w:rStyle w:val="FootnoteReference"/>
        </w:rPr>
        <w:footnoteReference w:id="1027"/>
      </w:r>
      <w:r>
        <w:t xml:space="preserve">.</w:t>
      </w:r>
    </w:p>
    <w:p>
      <w:pPr>
        <w:pStyle w:val="BodyText"/>
      </w:pPr>
      <w:r>
        <w:t xml:space="preserve">Twee meta-analyses kwamen tot tegengestelde conclusies: één met 9 studies en 5.352 personen vond geen effect op de sterfte en raadt gebruik bij in het ziekenhuis opgenomen volwassenen af</w:t>
      </w:r>
      <w:r>
        <w:rPr>
          <w:rStyle w:val="FootnoteReference"/>
        </w:rPr>
        <w:footnoteReference w:id="1028"/>
      </w:r>
      <w:r>
        <w:t xml:space="preserve">; een andere met 8 studies vond een lagere sterfte, maar bij een zeer sterke heterogeniteit van de studies</w:t>
      </w:r>
      <w:r>
        <w:rPr>
          <w:rStyle w:val="FootnoteReference"/>
        </w:rPr>
        <w:footnoteReference w:id="1029"/>
      </w:r>
      <w:r>
        <w:t xml:space="preserve">. Vrijwel alle gegevens komen uit niet-gerandomiseerde observationele studies. Een nut bij COVID-19 is daarmee niet aangetoond.</w:t>
      </w:r>
    </w:p>
    <w:bookmarkEnd w:id="1030"/>
    <w:bookmarkStart w:id="1034" w:name="kanker"/>
    <w:p>
      <w:pPr>
        <w:pStyle w:val="Heading4"/>
      </w:pPr>
      <w:r>
        <w:t xml:space="preserve">Kanker</w:t>
      </w:r>
    </w:p>
    <w:p>
      <w:pPr>
        <w:pStyle w:val="FirstParagraph"/>
      </w:pPr>
      <w:r>
        <w:t xml:space="preserve">De grootste gerandomiseerde kankerstudie onderzocht thymosine alfa-1 bij gemetastaseerd melanoom als aanvulling op chemotherapie met dacarbazine. In twee Tα1-groepen reageerden meer tumoren dan in de controlegroep (10 resp. 12 vs. 4 responsen); de mediane totale overleving lag op 9,4 tegenover 6,6 maanden, maar het verschil was niet significant</w:t>
      </w:r>
      <w:r>
        <w:rPr>
          <w:rStyle w:val="FootnoteReference"/>
        </w:rPr>
        <w:footnoteReference w:id="1031"/>
      </w:r>
      <w:r>
        <w:t xml:space="preserve">. Een registratie volgde niet, en de behandeling van melanoom is sindsdien fundamenteel veranderd door immuuncheckpointremmers.</w:t>
      </w:r>
    </w:p>
    <w:p>
      <w:pPr>
        <w:pStyle w:val="BodyText"/>
      </w:pPr>
      <w:r>
        <w:t xml:space="preserve">Meta-analyses van Chinese studies naar long- en maagkanker melden betere responspercentages, een betere kwaliteit van leven en minder bijwerkingen van de chemotherapie wanneer thymuspeptiden werden toegevoegd (Zeng 2019, PMID 31326719: 27 studies, 1.925 personen; Wang 2026, PMID 42827862: 20 studies, 1.704 personen). Beide publicaties beoordelen de kwaliteit van het bewijs echter als matig tot zeer laag, en gegevens over overleving op lange termijn ontbreken grotendeels. Een overzicht van kankerstudies uit 2016 tot 2026 vond overwegend retrospectieve observationele studies en casusbeschrijvingen uit China en een niet-uniforme registratie van bijwerkingen</w:t>
      </w:r>
      <w:r>
        <w:rPr>
          <w:rStyle w:val="FootnoteReference"/>
        </w:rPr>
        <w:footnoteReference w:id="1032"/>
      </w:r>
      <w:r>
        <w:t xml:space="preserve">. Nieuwere fase 2-studies combineren thymosine alfa-1 met immuuncheckpointremmers, bijvoorbeeld vóór de operatie van maagkanker met 30 personen</w:t>
      </w:r>
      <w:r>
        <w:rPr>
          <w:rStyle w:val="FootnoteReference"/>
        </w:rPr>
        <w:footnoteReference w:id="1033"/>
      </w:r>
      <w:r>
        <w:t xml:space="preserve">; zonder controlegroep valt de bijdrage van thymosine alfa-1 daaruit niet af te lezen.</w:t>
      </w:r>
    </w:p>
    <w:bookmarkEnd w:id="1034"/>
    <w:bookmarkStart w:id="1038" w:name="versterking-van-vaccinatie"/>
    <w:p>
      <w:pPr>
        <w:pStyle w:val="Heading4"/>
      </w:pPr>
      <w:r>
        <w:t xml:space="preserve">Versterking van vaccinatie</w:t>
      </w:r>
    </w:p>
    <w:p>
      <w:pPr>
        <w:pStyle w:val="FirstParagraph"/>
      </w:pPr>
      <w:r>
        <w:t xml:space="preserve">Al in 1989 kregen 90 mannen tussen 65 en 99 jaar naast de griepprik thymosine alfa-1 of placebo; bijwerkingen werden niet waargenomen</w:t>
      </w:r>
      <w:r>
        <w:rPr>
          <w:rStyle w:val="FootnoteReference"/>
        </w:rPr>
        <w:footnoteReference w:id="1035"/>
      </w:r>
      <w:r>
        <w:t xml:space="preserve">. Dit idee wordt tegenwoordig weer opgepakt, bijvoorbeeld bij dialysepatiënten in verband met COVID-19</w:t>
      </w:r>
      <w:r>
        <w:rPr>
          <w:rStyle w:val="FootnoteReference"/>
        </w:rPr>
        <w:footnoteReference w:id="1036"/>
      </w:r>
      <w:r>
        <w:t xml:space="preserve"> </w:t>
      </w:r>
      <w:r>
        <w:t xml:space="preserve">en in een lopende studie naar boostervaccinatie bij ouderen</w:t>
      </w:r>
      <w:r>
        <w:rPr>
          <w:rStyle w:val="FootnoteReference"/>
        </w:rPr>
        <w:footnoteReference w:id="1037"/>
      </w:r>
      <w:r>
        <w:t xml:space="preserve">. Betrouwbare eindpuntgegevens – dus minder ziektegevallen of sterfgevallen – ontbreken.</w:t>
      </w:r>
    </w:p>
    <w:bookmarkEnd w:id="1038"/>
    <w:bookmarkEnd w:id="1039"/>
    <w:bookmarkStart w:id="1041" w:name="dier--en-laboratoriumstudies-17"/>
    <w:p>
      <w:pPr>
        <w:pStyle w:val="Heading3"/>
      </w:pPr>
      <w:r>
        <w:t xml:space="preserve">Dier- en laboratoriumstudies</w:t>
      </w:r>
    </w:p>
    <w:p>
      <w:pPr>
        <w:pStyle w:val="FirstParagraph"/>
      </w:pPr>
      <w:r>
        <w:t xml:space="preserve">Omdat thymosine alfa-1 al decennialang bij mensen wordt onderzocht, spelen dierstudies voor de beoordeling een kleinere rol. Belangrijk waren ze voor het kankeridee: in muismodellen voor longkanker, leukemie en melanoom en in een rattenmodel voor levermetastasen werkte de combinatie van thymosine alfa-1 met interferon of interleukine-2 en chemotherapie beter dan de afzonderlijke behandelingen</w:t>
      </w:r>
      <w:r>
        <w:rPr>
          <w:rStyle w:val="FootnoteReference"/>
        </w:rPr>
        <w:footnoteReference w:id="1040"/>
      </w:r>
      <w:r>
        <w:t xml:space="preserve">. Deze bevindingen konden bij mensen tot nu toe niet overtuigend worden herhaald.</w:t>
      </w:r>
    </w:p>
    <w:bookmarkEnd w:id="1041"/>
    <w:bookmarkStart w:id="1050" w:name="risicos-en-bijwerkingen-17"/>
    <w:p>
      <w:pPr>
        <w:pStyle w:val="Heading3"/>
      </w:pPr>
      <w:r>
        <w:t xml:space="preserve">Risico’s en bijwerkingen</w:t>
      </w:r>
    </w:p>
    <w:bookmarkStart w:id="1045" w:name="aangetoond-1"/>
    <w:p>
      <w:pPr>
        <w:pStyle w:val="Heading4"/>
      </w:pPr>
      <w:r>
        <w:t xml:space="preserve">Aangetoond</w:t>
      </w:r>
    </w:p>
    <w:p>
      <w:pPr>
        <w:pStyle w:val="FirstParagraph"/>
      </w:pPr>
      <w:r>
        <w:t xml:space="preserve">Thymosine alfa-1 geldt in de studies als goed verdraagbaar. In de oudere studies werd meestal alleen een plaatselijke irritatie op de injectieplaats waargenomen</w:t>
      </w:r>
      <w:r>
        <w:rPr>
          <w:rStyle w:val="FootnoteReference"/>
        </w:rPr>
        <w:footnoteReference w:id="1042"/>
      </w:r>
      <w:r>
        <w:t xml:space="preserve">. In de grote sepsisstudie TESTS verschilden de veiligheidseindpunten niet van placebo</w:t>
      </w:r>
      <w:r>
        <w:rPr>
          <w:rStyle w:val="FootnoteReference"/>
        </w:rPr>
        <w:footnoteReference w:id="1043"/>
      </w:r>
      <w:r>
        <w:t xml:space="preserve">. Bij hepatitis B kwamen soms schommelingen van de leverwaarden voor, die werden geïnterpreteerd als uiting van de immuunreactie</w:t>
      </w:r>
      <w:r>
        <w:rPr>
          <w:rStyle w:val="FootnoteReference"/>
        </w:rPr>
        <w:footnoteReference w:id="1044"/>
      </w:r>
      <w:r>
        <w:t xml:space="preserve">.</w:t>
      </w:r>
    </w:p>
    <w:bookmarkEnd w:id="1045"/>
    <w:bookmarkStart w:id="1049" w:name="aandachtspunten"/>
    <w:p>
      <w:pPr>
        <w:pStyle w:val="Heading4"/>
      </w:pPr>
      <w:r>
        <w:t xml:space="preserve">Aandachtspunten</w:t>
      </w:r>
    </w:p>
    <w:p>
      <w:pPr>
        <w:numPr>
          <w:ilvl w:val="0"/>
          <w:numId w:val="1124"/>
        </w:numPr>
        <w:pStyle w:val="Compact"/>
      </w:pPr>
      <w:r>
        <w:rPr>
          <w:bCs/>
          <w:b/>
        </w:rPr>
        <w:t xml:space="preserve">Subgroepen met mogelijke schade:</w:t>
      </w:r>
      <w:r>
        <w:t xml:space="preserve"> </w:t>
      </w:r>
      <w:r>
        <w:t xml:space="preserve">in TESTS was de sterfte bij mensen jonger dan 60 met thymosine alfa-1 hoger dan met placebo (hazard ratio 1,67)</w:t>
      </w:r>
      <w:r>
        <w:rPr>
          <w:rStyle w:val="FootnoteReference"/>
        </w:rPr>
        <w:footnoteReference w:id="1046"/>
      </w:r>
      <w:r>
        <w:t xml:space="preserve">; bij COVID-19 ging de behandeling in een grote observationele studie samen met een slechter verloop</w:t>
      </w:r>
      <w:r>
        <w:rPr>
          <w:rStyle w:val="FootnoteReference"/>
        </w:rPr>
        <w:footnoteReference w:id="1047"/>
      </w:r>
      <w:r>
        <w:t xml:space="preserve">. Beide kunnen toeval of vertekening zijn, maar laten wel zien dat</w:t>
      </w:r>
      <w:r>
        <w:t xml:space="preserve"> </w:t>
      </w:r>
      <w:r>
        <w:t xml:space="preserve">‘</w:t>
      </w:r>
      <w:r>
        <w:t xml:space="preserve">onschuldige immuunbooster</w:t>
      </w:r>
      <w:r>
        <w:t xml:space="preserve">’</w:t>
      </w:r>
      <w:r>
        <w:t xml:space="preserve"> </w:t>
      </w:r>
      <w:r>
        <w:t xml:space="preserve">geen vaststaande omschrijving is.</w:t>
      </w:r>
    </w:p>
    <w:p>
      <w:pPr>
        <w:numPr>
          <w:ilvl w:val="0"/>
          <w:numId w:val="1124"/>
        </w:numPr>
        <w:pStyle w:val="Compact"/>
      </w:pPr>
      <w:r>
        <w:rPr>
          <w:bCs/>
          <w:b/>
        </w:rPr>
        <w:t xml:space="preserve">Auto-immuunziekten en transplantatie:</w:t>
      </w:r>
      <w:r>
        <w:t xml:space="preserve"> </w:t>
      </w:r>
      <w:r>
        <w:t xml:space="preserve">een stof die het immuunsysteem moet stimuleren, zou theoretisch auto-immuunziekten kunnen versterken of de afstoting van getransplanteerde organen in de hand kunnen werken. Systematische gegevens daarover ontbreken.</w:t>
      </w:r>
    </w:p>
    <w:p>
      <w:pPr>
        <w:numPr>
          <w:ilvl w:val="0"/>
          <w:numId w:val="1124"/>
        </w:numPr>
        <w:pStyle w:val="Compact"/>
      </w:pPr>
      <w:r>
        <w:rPr>
          <w:bCs/>
          <w:b/>
        </w:rPr>
        <w:t xml:space="preserve">Combinatie met immunotherapie:</w:t>
      </w:r>
      <w:r>
        <w:t xml:space="preserve"> </w:t>
      </w:r>
      <w:r>
        <w:t xml:space="preserve">een overzichtsartikel verwijst naar een casusbeschrijving waarin bij een combinatiebehandeling een ernstige immuunreactie in meerdere organen optrad, zonder dat thymosine alfa-1 met zekerheid als oorzaak vaststond</w:t>
      </w:r>
      <w:r>
        <w:rPr>
          <w:rStyle w:val="FootnoteReference"/>
        </w:rPr>
        <w:footnoteReference w:id="1048"/>
      </w:r>
      <w:r>
        <w:t xml:space="preserve">.</w:t>
      </w:r>
    </w:p>
    <w:p>
      <w:pPr>
        <w:numPr>
          <w:ilvl w:val="0"/>
          <w:numId w:val="1124"/>
        </w:numPr>
        <w:pStyle w:val="Compact"/>
      </w:pPr>
      <w:r>
        <w:rPr>
          <w:bCs/>
          <w:b/>
        </w:rPr>
        <w:t xml:space="preserve">Grijze markt:</w:t>
      </w:r>
      <w:r>
        <w:t xml:space="preserve"> </w:t>
      </w:r>
      <w:r>
        <w:t xml:space="preserve">buiten de landen met registratie wordt thymosine alfa-1 verkocht als</w:t>
      </w:r>
      <w:r>
        <w:t xml:space="preserve"> </w:t>
      </w:r>
      <w:r>
        <w:t xml:space="preserve">‘</w:t>
      </w:r>
      <w:r>
        <w:t xml:space="preserve">onderzoekspeptide</w:t>
      </w:r>
      <w:r>
        <w:t xml:space="preserve">’</w:t>
      </w:r>
      <w:r>
        <w:t xml:space="preserve">. Voor deze producten gelden de studies met Zadaxin niet – zuiverheid, gehalte en steriliteit zijn onbekend.</w:t>
      </w:r>
    </w:p>
    <w:bookmarkEnd w:id="1049"/>
    <w:bookmarkEnd w:id="1050"/>
    <w:bookmarkStart w:id="1053" w:name="juridische-status-17"/>
    <w:p>
      <w:pPr>
        <w:pStyle w:val="Heading3"/>
      </w:pPr>
      <w:r>
        <w:t xml:space="preserve">Juridische status</w:t>
      </w:r>
    </w:p>
    <w:p>
      <w:pPr>
        <w:pStyle w:val="FirstParagraph"/>
      </w:pPr>
      <w:r>
        <w:rPr>
          <w:iCs/>
          <w:i/>
        </w:rPr>
        <w:t xml:space="preserve">Stand 2026, actuele situatie controleren.</w:t>
      </w:r>
    </w:p>
    <w:p>
      <w:pPr>
        <w:numPr>
          <w:ilvl w:val="0"/>
          <w:numId w:val="1125"/>
        </w:numPr>
        <w:pStyle w:val="Compact"/>
      </w:pPr>
      <w:r>
        <w:rPr>
          <w:bCs/>
          <w:b/>
        </w:rPr>
        <w:t xml:space="preserve">EU, Duitsland, Oostenrijk:</w:t>
      </w:r>
      <w:r>
        <w:t xml:space="preserve"> </w:t>
      </w:r>
      <w:r>
        <w:t xml:space="preserve">geen registratie als geneesmiddel. Voorschrijven in een individueel geval via individuele import uit een land met registratie kan volgens nationaal recht onder strikte voorwaarden mogelijk zijn; verkoop als</w:t>
      </w:r>
      <w:r>
        <w:t xml:space="preserve"> </w:t>
      </w:r>
      <w:r>
        <w:t xml:space="preserve">‘</w:t>
      </w:r>
      <w:r>
        <w:t xml:space="preserve">research peptide</w:t>
      </w:r>
      <w:r>
        <w:t xml:space="preserve">’</w:t>
      </w:r>
      <w:r>
        <w:t xml:space="preserve"> </w:t>
      </w:r>
      <w:r>
        <w:t xml:space="preserve">voor gebruik bij mensen is niet toegestaan.</w:t>
      </w:r>
    </w:p>
    <w:p>
      <w:pPr>
        <w:numPr>
          <w:ilvl w:val="0"/>
          <w:numId w:val="1125"/>
        </w:numPr>
        <w:pStyle w:val="Compact"/>
      </w:pPr>
      <w:r>
        <w:rPr>
          <w:bCs/>
          <w:b/>
        </w:rPr>
        <w:t xml:space="preserve">VS:</w:t>
      </w:r>
      <w:r>
        <w:t xml:space="preserve"> </w:t>
      </w:r>
      <w:r>
        <w:t xml:space="preserve">geen FDA-registratie. In 2023 nam de FDA thymosine alfa-1 samen met andere peptiden op in de lijst van stoffen met veiligheidsbezwaren voor bereiding door apotheken; voorstanders bekritiseren dat</w:t>
      </w:r>
      <w:r>
        <w:rPr>
          <w:rStyle w:val="FootnoteReference"/>
        </w:rPr>
        <w:footnoteReference w:id="1051"/>
      </w:r>
      <w:r>
        <w:t xml:space="preserve">. De indeling van peptiden wordt in het adviescomité van de FDA verder besproken</w:t>
      </w:r>
      <w:r>
        <w:rPr>
          <w:rStyle w:val="FootnoteReference"/>
        </w:rPr>
        <w:footnoteReference w:id="1052"/>
      </w:r>
      <w:r>
        <w:t xml:space="preserve">.</w:t>
      </w:r>
    </w:p>
    <w:p>
      <w:pPr>
        <w:numPr>
          <w:ilvl w:val="0"/>
          <w:numId w:val="1125"/>
        </w:numPr>
        <w:pStyle w:val="Compact"/>
      </w:pPr>
      <w:r>
        <w:rPr>
          <w:bCs/>
          <w:b/>
        </w:rPr>
        <w:t xml:space="preserve">China en andere landen:</w:t>
      </w:r>
      <w:r>
        <w:t xml:space="preserve"> </w:t>
      </w:r>
      <w:r>
        <w:t xml:space="preserve">als Zadaxin resp. thymalfasine geregistreerd; in China bestaan ook een reeks generieke preparaten.</w:t>
      </w:r>
    </w:p>
    <w:p>
      <w:pPr>
        <w:numPr>
          <w:ilvl w:val="0"/>
          <w:numId w:val="1125"/>
        </w:numPr>
        <w:pStyle w:val="Compact"/>
      </w:pPr>
      <w:r>
        <w:rPr>
          <w:bCs/>
          <w:b/>
        </w:rPr>
        <w:t xml:space="preserve">WADA:</w:t>
      </w:r>
      <w:r>
        <w:t xml:space="preserve"> </w:t>
      </w:r>
      <w:r>
        <w:t xml:space="preserve">niet uitdrukkelijk op de lijst van verboden middelen. Sporters kunnen vóór gebruik toch het beste navraag doen bij hun nationale antidopingorganisatie.</w:t>
      </w:r>
    </w:p>
    <w:bookmarkEnd w:id="1053"/>
    <w:bookmarkStart w:id="1058" w:name="lopende-studies-en-vooruitzichten-17"/>
    <w:p>
      <w:pPr>
        <w:pStyle w:val="Heading3"/>
      </w:pPr>
      <w:r>
        <w:t xml:space="preserve">Lopende studies en vooruitzichten</w:t>
      </w:r>
    </w:p>
    <w:p>
      <w:pPr>
        <w:pStyle w:val="FirstParagraph"/>
      </w:pPr>
      <w:r>
        <w:rPr>
          <w:bCs/>
          <w:b/>
        </w:rPr>
        <w:t xml:space="preserve">Vaststaand (volgens register):</w:t>
      </w:r>
    </w:p>
    <w:p>
      <w:pPr>
        <w:numPr>
          <w:ilvl w:val="0"/>
          <w:numId w:val="1126"/>
        </w:numPr>
        <w:pStyle w:val="Compact"/>
      </w:pPr>
      <w:r>
        <w:rPr>
          <w:bCs/>
          <w:b/>
        </w:rPr>
        <w:t xml:space="preserve">Darmkanker na operatie</w:t>
      </w:r>
      <w:r>
        <w:rPr>
          <w:rStyle w:val="FootnoteReference"/>
        </w:rPr>
        <w:footnoteReference w:id="1054"/>
      </w:r>
      <w:r>
        <w:rPr>
          <w:bCs/>
          <w:b/>
        </w:rPr>
        <w:t xml:space="preserve">:</w:t>
      </w:r>
      <w:r>
        <w:t xml:space="preserve"> </w:t>
      </w:r>
      <w:r>
        <w:t xml:space="preserve">fase 3-studie van de Fudan-universiteit in Shanghai, gepland 2.500 personen met darmkanker in stadium II of III, primair eindpunt ziektevrije overleving na drie jaar; einde geschat op maart 2027. De studie is slechts enkelblind.</w:t>
      </w:r>
    </w:p>
    <w:p>
      <w:pPr>
        <w:numPr>
          <w:ilvl w:val="0"/>
          <w:numId w:val="1126"/>
        </w:numPr>
        <w:pStyle w:val="Compact"/>
      </w:pPr>
      <w:r>
        <w:rPr>
          <w:bCs/>
          <w:b/>
        </w:rPr>
        <w:t xml:space="preserve">Kanker en immunotherapie:</w:t>
      </w:r>
      <w:r>
        <w:t xml:space="preserve"> </w:t>
      </w:r>
      <w:r>
        <w:t xml:space="preserve">talrijke kleinere Chinese fase 2-studies die thymosine alfa-1 combineren met immuuncheckpointremmers en chemo- of bestralingstherapie, bijvoorbeeld bij triple-negatieve borstkanker met gepland 572 personen</w:t>
      </w:r>
      <w:r>
        <w:rPr>
          <w:rStyle w:val="FootnoteReference"/>
        </w:rPr>
        <w:footnoteReference w:id="1055"/>
      </w:r>
      <w:r>
        <w:t xml:space="preserve">.</w:t>
      </w:r>
    </w:p>
    <w:p>
      <w:pPr>
        <w:numPr>
          <w:ilvl w:val="0"/>
          <w:numId w:val="1126"/>
        </w:numPr>
        <w:pStyle w:val="Compact"/>
      </w:pPr>
      <w:r>
        <w:rPr>
          <w:bCs/>
          <w:b/>
        </w:rPr>
        <w:t xml:space="preserve">Sepsis:</w:t>
      </w:r>
      <w:r>
        <w:t xml:space="preserve"> </w:t>
      </w:r>
      <w:r>
        <w:t xml:space="preserve">een kleinere studie naar herstel van de immuunfunctie bij 60 personen</w:t>
      </w:r>
      <w:r>
        <w:rPr>
          <w:rStyle w:val="FootnoteReference"/>
        </w:rPr>
        <w:footnoteReference w:id="1056"/>
      </w:r>
      <w:r>
        <w:t xml:space="preserve">.</w:t>
      </w:r>
    </w:p>
    <w:p>
      <w:pPr>
        <w:numPr>
          <w:ilvl w:val="0"/>
          <w:numId w:val="1126"/>
        </w:numPr>
        <w:pStyle w:val="Compact"/>
      </w:pPr>
      <w:r>
        <w:rPr>
          <w:bCs/>
          <w:b/>
        </w:rPr>
        <w:t xml:space="preserve">Vaccinatierespons bij ouderen</w:t>
      </w:r>
      <w:r>
        <w:rPr>
          <w:rStyle w:val="FootnoteReference"/>
        </w:rPr>
        <w:footnoteReference w:id="1057"/>
      </w:r>
      <w:r>
        <w:rPr>
          <w:bCs/>
          <w:b/>
        </w:rPr>
        <w:t xml:space="preserve">:</w:t>
      </w:r>
      <w:r>
        <w:t xml:space="preserve"> </w:t>
      </w:r>
      <w:r>
        <w:t xml:space="preserve">fase 1, gepland 75 personen.</w:t>
      </w:r>
    </w:p>
    <w:p>
      <w:pPr>
        <w:pStyle w:val="FirstParagraph"/>
      </w:pPr>
      <w:r>
        <w:rPr>
          <w:bCs/>
          <w:b/>
        </w:rPr>
        <w:t xml:space="preserve">Inschatting van de auteur:</w:t>
      </w:r>
      <w:r>
        <w:t xml:space="preserve"> </w:t>
      </w:r>
      <w:r>
        <w:t xml:space="preserve">de grote darmkankerstudie is de belangrijkste open vraag. Als die positief uitvalt, zou dat het eerste grote bewijs zijn voor een nut bij een vorm van kanker – vanwege de ontbrekende dubbele blindering echter met voorbehoud. Bij sepsis zal TESTS de vraag voor brede toepassing voorlopig hebben beantwoord; toekomstige studies zullen zich richten op subgroepen met aangetoonde immuunzwakte. Een registratie in de EU of de VS is de komende jaren niet te verwachten.</w:t>
      </w:r>
    </w:p>
    <w:bookmarkEnd w:id="1058"/>
    <w:bookmarkStart w:id="1062" w:name="conclusie-17"/>
    <w:p>
      <w:pPr>
        <w:pStyle w:val="Heading3"/>
      </w:pPr>
      <w:r>
        <w:t xml:space="preserve">Conclusie</w:t>
      </w:r>
    </w:p>
    <w:p>
      <w:pPr>
        <w:pStyle w:val="FirstParagraph"/>
      </w:pPr>
      <w:r>
        <w:t xml:space="preserve">Thymosine alfa-1 is het best onderzochte peptide in deze groep en in sommige landen een geregistreerd geneesmiddel. De vroege, kleine studies leken veelbelovend, maar de grote, zorgvuldig geblindeerde studies lieten bij sepsis</w:t>
      </w:r>
      <w:r>
        <w:rPr>
          <w:rStyle w:val="FootnoteReference"/>
        </w:rPr>
        <w:footnoteReference w:id="1059"/>
      </w:r>
      <w:r>
        <w:t xml:space="preserve">, ernstige alvleesklierontsteking</w:t>
      </w:r>
      <w:r>
        <w:rPr>
          <w:rStyle w:val="FootnoteReference"/>
        </w:rPr>
        <w:footnoteReference w:id="1060"/>
      </w:r>
      <w:r>
        <w:t xml:space="preserve"> </w:t>
      </w:r>
      <w:r>
        <w:t xml:space="preserve">en hepatitis B-cirrose</w:t>
      </w:r>
      <w:r>
        <w:rPr>
          <w:rStyle w:val="FootnoteReference"/>
        </w:rPr>
        <w:footnoteReference w:id="1061"/>
      </w:r>
      <w:r>
        <w:t xml:space="preserve"> </w:t>
      </w:r>
      <w:r>
        <w:t xml:space="preserve">geen voordeel zien voor hun primaire eindpunten. Bij COVID-19 en kanker berusten positieve uitspraken overwegend op observationele studies en studies van lage kwaliteit. Het peptide wordt in studies goed verdragen – maar een aangetoond nut als algemene</w:t>
      </w:r>
      <w:r>
        <w:t xml:space="preserve"> </w:t>
      </w:r>
      <w:r>
        <w:t xml:space="preserve">‘</w:t>
      </w:r>
      <w:r>
        <w:t xml:space="preserve">immuunbooster</w:t>
      </w:r>
      <w:r>
        <w:t xml:space="preserve">’</w:t>
      </w:r>
      <w:r>
        <w:t xml:space="preserve"> </w:t>
      </w:r>
      <w:r>
        <w:t xml:space="preserve">voor gezonde mensen bestaat niet.</w:t>
      </w:r>
    </w:p>
    <w:bookmarkEnd w:id="1062"/>
    <w:bookmarkEnd w:id="1063"/>
    <w:bookmarkStart w:id="1086" w:name="kpv"/>
    <w:p>
      <w:pPr>
        <w:pStyle w:val="Heading2"/>
      </w:pPr>
      <w:r>
        <w:t xml:space="preserve">KPV</w:t>
      </w:r>
    </w:p>
    <w:p>
      <w:pPr>
        <w:pStyle w:val="FirstParagraph"/>
      </w:pPr>
      <w:r>
        <w:t xml:space="preserve">KPV is het kleinste peptide in dit boek: slechts drie aminozuren lang. Op internet wordt het aangeboden als ontstekingsremmend middel voor darm en huid, vaak als capsule of crème, soms voor injectie. De wetenschappelijke basis daarvoor bestaat uit celexperimenten en muismodellen – studies bij mensen zijn er niet.</w:t>
      </w:r>
    </w:p>
    <w:bookmarkStart w:id="1065" w:name="profiel-18"/>
    <w:p>
      <w:pPr>
        <w:pStyle w:val="Heading3"/>
      </w:pPr>
      <w:r>
        <w:t xml:space="preserve">Profiel</w:t>
      </w:r>
    </w:p>
    <w:p>
      <w:pPr>
        <w:numPr>
          <w:ilvl w:val="0"/>
          <w:numId w:val="1127"/>
        </w:numPr>
        <w:pStyle w:val="Compact"/>
      </w:pPr>
      <w:r>
        <w:rPr>
          <w:bCs/>
          <w:b/>
        </w:rPr>
        <w:t xml:space="preserve">Soort en structuur:</w:t>
      </w:r>
      <w:r>
        <w:t xml:space="preserve"> </w:t>
      </w:r>
      <w:r>
        <w:t xml:space="preserve">tripeptide uit de aminozuren lysine, proline en valine (Lys-Pro-Val, vandaar KPV).</w:t>
      </w:r>
    </w:p>
    <w:p>
      <w:pPr>
        <w:numPr>
          <w:ilvl w:val="0"/>
          <w:numId w:val="1127"/>
        </w:numPr>
        <w:pStyle w:val="Compact"/>
      </w:pPr>
      <w:r>
        <w:rPr>
          <w:bCs/>
          <w:b/>
        </w:rPr>
        <w:t xml:space="preserve">Herkomst:</w:t>
      </w:r>
      <w:r>
        <w:t xml:space="preserve"> </w:t>
      </w:r>
      <w:r>
        <w:t xml:space="preserve">komt overeen met de laatste drie aminozuren (positie 11 tot 13) van het lichaamseigen hormoon alfa-MSH (alfa-melanocytstimulerend hormoon), dat onder meer betrokken is bij het bruinen van de huid en bij de sturing van ontstekingen</w:t>
      </w:r>
      <w:r>
        <w:rPr>
          <w:rStyle w:val="FootnoteReference"/>
        </w:rPr>
        <w:footnoteReference w:id="1064"/>
      </w:r>
      <w:r>
        <w:t xml:space="preserve">.</w:t>
      </w:r>
    </w:p>
    <w:p>
      <w:pPr>
        <w:numPr>
          <w:ilvl w:val="0"/>
          <w:numId w:val="1127"/>
        </w:numPr>
        <w:pStyle w:val="Compact"/>
      </w:pPr>
      <w:r>
        <w:rPr>
          <w:bCs/>
          <w:b/>
        </w:rPr>
        <w:t xml:space="preserve">Werkingsprincipe (vermoed, uit laboratorium- en dierstudies):</w:t>
      </w:r>
      <w:r>
        <w:t xml:space="preserve"> </w:t>
      </w:r>
      <w:r>
        <w:t xml:space="preserve">remming van ontstekingsbevorderende signaalroutes in darm- en immuuncellen na opname via de peptidetransporter PepT1.</w:t>
      </w:r>
    </w:p>
    <w:p>
      <w:pPr>
        <w:numPr>
          <w:ilvl w:val="0"/>
          <w:numId w:val="1127"/>
        </w:numPr>
        <w:pStyle w:val="Compact"/>
      </w:pPr>
      <w:r>
        <w:rPr>
          <w:bCs/>
          <w:b/>
        </w:rPr>
        <w:t xml:space="preserve">Registratie EU/VS:</w:t>
      </w:r>
      <w:r>
        <w:t xml:space="preserve"> </w:t>
      </w:r>
      <w:r>
        <w:t xml:space="preserve">nee.</w:t>
      </w:r>
    </w:p>
    <w:p>
      <w:pPr>
        <w:numPr>
          <w:ilvl w:val="0"/>
          <w:numId w:val="1127"/>
        </w:numPr>
        <w:pStyle w:val="Compact"/>
      </w:pPr>
      <w:r>
        <w:rPr>
          <w:bCs/>
          <w:b/>
        </w:rPr>
        <w:t xml:space="preserve">WADA:</w:t>
      </w:r>
      <w:r>
        <w:t xml:space="preserve"> </w:t>
      </w:r>
      <w:r>
        <w:t xml:space="preserve">niet uitdrukkelijk vermeld; als niet-geregistreerde stof valt het naar het oordeel van de auteur onder groep S0.</w:t>
      </w:r>
    </w:p>
    <w:p>
      <w:pPr>
        <w:numPr>
          <w:ilvl w:val="0"/>
          <w:numId w:val="1127"/>
        </w:numPr>
        <w:pStyle w:val="Compact"/>
      </w:pPr>
      <w:r>
        <w:rPr>
          <w:bCs/>
          <w:b/>
        </w:rPr>
        <w:t xml:space="preserve">Bewijsniveau: D</w:t>
      </w:r>
      <w:r>
        <w:t xml:space="preserve"> </w:t>
      </w:r>
      <w:r>
        <w:t xml:space="preserve">– geen gepubliceerde studie bij mensen.</w:t>
      </w:r>
    </w:p>
    <w:bookmarkEnd w:id="1065"/>
    <w:bookmarkStart w:id="1070" w:name="hoe-het-zou-moeten-werken-18"/>
    <w:p>
      <w:pPr>
        <w:pStyle w:val="Heading3"/>
      </w:pPr>
      <w:r>
        <w:t xml:space="preserve">Hoe het zou moeten werken</w:t>
      </w:r>
    </w:p>
    <w:p>
      <w:pPr>
        <w:pStyle w:val="FirstParagraph"/>
      </w:pPr>
      <w:r>
        <w:t xml:space="preserve">Alfa-MSH is vooral bekend als bruiningshormoon, maar werkt ook ontstekingsremmend. Al in de jaren negentig viel het onderzoekers op dat een deel van dit effect afhangt van de laatste drie aminozuren. In menselijk bloed van hiv-geïnfecteerden verlaagden alfa-MSH en zijn eindstuk KPV in de reageerbuis de vorming van de ontstekingsboodschappers interleukine-1 en TNF-alfa</w:t>
      </w:r>
      <w:r>
        <w:rPr>
          <w:rStyle w:val="FootnoteReference"/>
        </w:rPr>
        <w:footnoteReference w:id="1066"/>
      </w:r>
      <w:r>
        <w:t xml:space="preserve">.</w:t>
      </w:r>
    </w:p>
    <w:p>
      <w:pPr>
        <w:pStyle w:val="BodyText"/>
      </w:pPr>
      <w:r>
        <w:t xml:space="preserve">Anders dan het volledige hormoon werkt KPV kennelijk niet via de klassieke melanocortinereceptoren. Bij muizen met een buikvliesontsteking remde KPV de instroom van ontstekingscellen zonder de typische boodschapperstof cAMP te verhogen; de auteurs vermoeden een remming van de werking van interleukine-1</w:t>
      </w:r>
      <w:r>
        <w:rPr>
          <w:rStyle w:val="FootnoteReference"/>
        </w:rPr>
        <w:footnoteReference w:id="1067"/>
      </w:r>
      <w:r>
        <w:t xml:space="preserve">. Dat heeft een praktisch voordeel: KPV zou, anders dan melanotan of afgeleiden van alfa-MSH, de huid niet moeten bruinen.</w:t>
      </w:r>
    </w:p>
    <w:p>
      <w:pPr>
        <w:pStyle w:val="BodyText"/>
      </w:pPr>
      <w:r>
        <w:t xml:space="preserve">Een tweede mechanisme betreft de darm. Daar zit de transporter PepT1, die normaal kleine eiwitfragmenten uit de voeding opneemt. Bij chronische inflammatoire darmziekten wordt PepT1 ook in de dikke darm in verhoogde mate gevormd. In celkweken van menselijke darm- en immuuncellen werd KPV via PepT1 opgenomen en remde het in zeer lage concentraties de ontstekingsschakelaars NF-kappaB en MAP-kinasen</w:t>
      </w:r>
      <w:r>
        <w:rPr>
          <w:rStyle w:val="FootnoteReference"/>
        </w:rPr>
        <w:footnoteReference w:id="1068"/>
      </w:r>
      <w:r>
        <w:t xml:space="preserve">. Daaruit ontstond het idee KPV als tablet tegen darmontstekingen in te zetten.</w:t>
      </w:r>
    </w:p>
    <w:p>
      <w:pPr>
        <w:pStyle w:val="BodyText"/>
      </w:pPr>
      <w:r>
        <w:t xml:space="preserve">Daarnaast remden alfa-MSH en KPV in het laboratorium de groei van de bacterie Staphylococcus aureus en de gist Candida albicans</w:t>
      </w:r>
      <w:r>
        <w:rPr>
          <w:rStyle w:val="FootnoteReference"/>
        </w:rPr>
        <w:footnoteReference w:id="1069"/>
      </w:r>
      <w:r>
        <w:t xml:space="preserve">.</w:t>
      </w:r>
    </w:p>
    <w:bookmarkEnd w:id="1070"/>
    <w:bookmarkStart w:id="1075" w:name="studies-bij-mensen-1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0</w:t>
      </w:r>
      <w:r>
        <w:t xml:space="preserve"> </w:t>
      </w:r>
      <w:r>
        <w:t xml:space="preserve">studies bij mensen in PubMed en</w:t>
      </w:r>
      <w:r>
        <w:t xml:space="preserve"> </w:t>
      </w:r>
      <w:r>
        <w:rPr>
          <w:bCs/>
          <w:b/>
        </w:rPr>
        <w:t xml:space="preserve">0</w:t>
      </w:r>
      <w:r>
        <w:t xml:space="preserve"> </w:t>
      </w:r>
      <w:r>
        <w:t xml:space="preserve">vermeldingen bij ClinicalTrials.gov. Ook een gerichte aanvullende zoektocht naar pilotstudies, casusbeschrijvingen of meldingen van bijwerkingen leverde geen publicatie op waarin mensen KPV hebben gekregen.</w:t>
      </w:r>
    </w:p>
    <w:p>
      <w:pPr>
        <w:pStyle w:val="BodyText"/>
      </w:pPr>
      <w:r>
        <w:t xml:space="preserve">Wat er wel is, zijn laboratoriumexperimenten met menselijke cellen of weefsels, zoals:</w:t>
      </w:r>
    </w:p>
    <w:p>
      <w:pPr>
        <w:numPr>
          <w:ilvl w:val="0"/>
          <w:numId w:val="1128"/>
        </w:numPr>
        <w:pStyle w:val="Compact"/>
      </w:pPr>
      <w:r>
        <w:t xml:space="preserve">bloedmonsters van hiv-geïnfecteerden, waarin KPV de vorming van ontstekingsboodschappers verlaagde</w:t>
      </w:r>
      <w:r>
        <w:rPr>
          <w:rStyle w:val="FootnoteReference"/>
        </w:rPr>
        <w:footnoteReference w:id="1071"/>
      </w:r>
      <w:r>
        <w:t xml:space="preserve">,</w:t>
      </w:r>
    </w:p>
    <w:p>
      <w:pPr>
        <w:numPr>
          <w:ilvl w:val="0"/>
          <w:numId w:val="1128"/>
        </w:numPr>
        <w:pStyle w:val="Compact"/>
      </w:pPr>
      <w:r>
        <w:t xml:space="preserve">menselijke huidcellijnen</w:t>
      </w:r>
      <w:r>
        <w:rPr>
          <w:rStyle w:val="FootnoteReference"/>
        </w:rPr>
        <w:footnoteReference w:id="1072"/>
      </w:r>
      <w:r>
        <w:t xml:space="preserve">,</w:t>
      </w:r>
    </w:p>
    <w:p>
      <w:pPr>
        <w:numPr>
          <w:ilvl w:val="0"/>
          <w:numId w:val="1128"/>
        </w:numPr>
        <w:pStyle w:val="Compact"/>
      </w:pPr>
      <w:r>
        <w:t xml:space="preserve">gedoneerde menselijke huid, waarop werd getest of KPV met micronaalden en zwakke stroom door de huid komt – zonder hulpmiddelen drong het niet meetbaar door</w:t>
      </w:r>
      <w:r>
        <w:rPr>
          <w:rStyle w:val="FootnoteReference"/>
        </w:rPr>
        <w:footnoteReference w:id="1073"/>
      </w:r>
      <w:r>
        <w:t xml:space="preserve">.</w:t>
      </w:r>
    </w:p>
    <w:p>
      <w:pPr>
        <w:pStyle w:val="FirstParagraph"/>
      </w:pPr>
      <w:r>
        <w:t xml:space="preserve">Deze studies zeggen iets over mechanismen en toedieningsvormen, maar niets over werkzaamheid of veiligheid bij mensen.</w:t>
      </w:r>
    </w:p>
    <w:p>
      <w:pPr>
        <w:pStyle w:val="BodyText"/>
      </w:pPr>
      <w:r>
        <w:t xml:space="preserve">Een naaste verwant, het kunstmatige dubbelmolecuul (CKPV)2, werd halverwege de jaren 2000 klinisch onderzocht als middel tegen schimmelinfecties; een publicatie uit 2006 vermeldt dat het zich</w:t>
      </w:r>
      <w:r>
        <w:t xml:space="preserve"> </w:t>
      </w:r>
      <w:r>
        <w:t xml:space="preserve">‘</w:t>
      </w:r>
      <w:r>
        <w:t xml:space="preserve">momenteel in klinisch onderzoek</w:t>
      </w:r>
      <w:r>
        <w:t xml:space="preserve">’</w:t>
      </w:r>
      <w:r>
        <w:t xml:space="preserve"> </w:t>
      </w:r>
      <w:r>
        <w:t xml:space="preserve">bevond</w:t>
      </w:r>
      <w:r>
        <w:rPr>
          <w:rStyle w:val="FootnoteReference"/>
        </w:rPr>
        <w:footnoteReference w:id="1074"/>
      </w:r>
      <w:r>
        <w:t xml:space="preserve">. Resultaten van deze studies zijn in PubMed niet gepubliceerd. (CKPV)2 is bovendien een andere stof dan het op internet verkochte KPV.</w:t>
      </w:r>
    </w:p>
    <w:bookmarkEnd w:id="1075"/>
    <w:bookmarkStart w:id="1076" w:name="dier--en-laboratoriumstudies-18"/>
    <w:p>
      <w:pPr>
        <w:pStyle w:val="Heading3"/>
      </w:pPr>
      <w:r>
        <w:t xml:space="preserve">Dier- en laboratoriumstudies</w:t>
      </w:r>
    </w:p>
    <w:p>
      <w:pPr>
        <w:pStyle w:val="FirstParagraph"/>
      </w:pPr>
      <w:r>
        <w:t xml:space="preserve">Het zwaartepunt van het onderzoek ligt bij chronische inflammatoire darmziekten. Alle volgende resultaten komen uit muizenexperimenten: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Dalmasso 2008, PMID 18061177</w:t>
            </w:r>
          </w:p>
        </w:tc>
        <w:tc>
          <w:tcPr/>
          <w:p>
            <w:pPr>
              <w:pStyle w:val="Compact"/>
              <w:jc w:val="left"/>
            </w:pPr>
            <w:r>
              <w:t xml:space="preserve">chemisch opgewekte colitis bij muizen, KPV in het drinkwater</w:t>
            </w:r>
          </w:p>
        </w:tc>
        <w:tc>
          <w:tcPr/>
          <w:p>
            <w:pPr>
              <w:pStyle w:val="Compact"/>
              <w:jc w:val="left"/>
            </w:pPr>
            <w:r>
              <w:t xml:space="preserve">minder ontsteking, minder ontstekingsboodschappers</w:t>
            </w:r>
          </w:p>
        </w:tc>
      </w:tr>
      <w:tr>
        <w:tc>
          <w:tcPr/>
          <w:p>
            <w:pPr>
              <w:pStyle w:val="Compact"/>
              <w:jc w:val="left"/>
            </w:pPr>
            <w:r>
              <w:t xml:space="preserve">Kannengiesser 2008, PMID 18092346</w:t>
            </w:r>
          </w:p>
        </w:tc>
        <w:tc>
          <w:tcPr/>
          <w:p>
            <w:pPr>
              <w:pStyle w:val="Compact"/>
              <w:jc w:val="left"/>
            </w:pPr>
            <w:r>
              <w:t xml:space="preserve">twee colitismodellen bij muizen</w:t>
            </w:r>
          </w:p>
        </w:tc>
        <w:tc>
          <w:tcPr/>
          <w:p>
            <w:pPr>
              <w:pStyle w:val="Compact"/>
              <w:jc w:val="left"/>
            </w:pPr>
            <w:r>
              <w:t xml:space="preserve">sneller herstel, minder ontstekingscellen; in één model overleefden alle behandelde dieren</w:t>
            </w:r>
          </w:p>
        </w:tc>
      </w:tr>
      <w:tr>
        <w:tc>
          <w:tcPr/>
          <w:p>
            <w:pPr>
              <w:pStyle w:val="Compact"/>
              <w:jc w:val="left"/>
            </w:pPr>
            <w:r>
              <w:t xml:space="preserve">Viennois 2016, PMID 27458604</w:t>
            </w:r>
          </w:p>
        </w:tc>
        <w:tc>
          <w:tcPr/>
          <w:p>
            <w:pPr>
              <w:pStyle w:val="Compact"/>
              <w:jc w:val="left"/>
            </w:pPr>
            <w:r>
              <w:t xml:space="preserve">door ontsteking veroorzaakte darmkanker bij muizen</w:t>
            </w:r>
          </w:p>
        </w:tc>
        <w:tc>
          <w:tcPr/>
          <w:p>
            <w:pPr>
              <w:pStyle w:val="Compact"/>
              <w:jc w:val="left"/>
            </w:pPr>
            <w:r>
              <w:t xml:space="preserve">KPV voorkwam het ontstaan van tumoren, maar alleen bij muizen met een functionerend PepT1</w:t>
            </w:r>
          </w:p>
        </w:tc>
      </w:tr>
      <w:tr>
        <w:tc>
          <w:tcPr/>
          <w:p>
            <w:pPr>
              <w:pStyle w:val="Compact"/>
              <w:jc w:val="left"/>
            </w:pPr>
            <w:r>
              <w:t xml:space="preserve">Xiao 2017, PMID 28143741</w:t>
            </w:r>
          </w:p>
        </w:tc>
        <w:tc>
          <w:tcPr/>
          <w:p>
            <w:pPr>
              <w:pStyle w:val="Compact"/>
              <w:jc w:val="left"/>
            </w:pPr>
            <w:r>
              <w:t xml:space="preserve">colitis bij muizen, KPV in nanodeeltjes</w:t>
            </w:r>
          </w:p>
        </w:tc>
        <w:tc>
          <w:tcPr/>
          <w:p>
            <w:pPr>
              <w:pStyle w:val="Compact"/>
              <w:jc w:val="left"/>
            </w:pPr>
            <w:r>
              <w:t xml:space="preserve">sterker effect dan ongebonden KPV</w:t>
            </w:r>
          </w:p>
        </w:tc>
      </w:tr>
    </w:tbl>
    <w:p>
      <w:pPr>
        <w:pStyle w:val="BodyText"/>
      </w:pPr>
      <w:r>
        <w:t xml:space="preserve">Andere studies onderzoeken KPV in hydrogels voor wonden en slijmvlies, in nanodeeltjes tegen vaatverkalking of in de stofwisseling van vetcellen – vrijwel uitsluitend in celkweek of bij knaagdieren. Opvallend is dat een groot deel van de nieuwere literatuur toedieningsvormen ontwikkelt (nanodeeltjes, gels, pleisters). Dat laat zien dat KPV alleen, als tablet of crème, kennelijk niet goed genoeg op de plaats van werking komt – een punt dat relevant is voor de vrij verkochte producten.</w:t>
      </w:r>
    </w:p>
    <w:bookmarkEnd w:id="1076"/>
    <w:bookmarkStart w:id="1081" w:name="risicos-en-bijwerkingen-18"/>
    <w:p>
      <w:pPr>
        <w:pStyle w:val="Heading3"/>
      </w:pPr>
      <w:r>
        <w:t xml:space="preserve">Risico’s en bijwerkingen</w:t>
      </w:r>
    </w:p>
    <w:bookmarkStart w:id="1077" w:name="aangetoond-2"/>
    <w:p>
      <w:pPr>
        <w:pStyle w:val="Heading4"/>
      </w:pPr>
      <w:r>
        <w:t xml:space="preserve">Aangetoond</w:t>
      </w:r>
    </w:p>
    <w:p>
      <w:pPr>
        <w:pStyle w:val="FirstParagraph"/>
      </w:pPr>
      <w:r>
        <w:t xml:space="preserve">Geen – omdat er geen studies bij mensen zijn. Het ontbreken van gemelde bijwerkingen is hier geen aanwijzing voor veiligheid.</w:t>
      </w:r>
    </w:p>
    <w:bookmarkEnd w:id="1077"/>
    <w:bookmarkStart w:id="1080" w:name="theoretisch"/>
    <w:p>
      <w:pPr>
        <w:pStyle w:val="Heading4"/>
      </w:pPr>
      <w:r>
        <w:t xml:space="preserve">Theoretisch</w:t>
      </w:r>
    </w:p>
    <w:p>
      <w:pPr>
        <w:numPr>
          <w:ilvl w:val="0"/>
          <w:numId w:val="1129"/>
        </w:numPr>
        <w:pStyle w:val="Compact"/>
      </w:pPr>
      <w:r>
        <w:rPr>
          <w:bCs/>
          <w:b/>
        </w:rPr>
        <w:t xml:space="preserve">Demping van de afweer:</w:t>
      </w:r>
      <w:r>
        <w:t xml:space="preserve"> </w:t>
      </w:r>
      <w:r>
        <w:t xml:space="preserve">een stof die ontstekingssignalen remt, zou in principe ook de afweer tegen infecties kunnen aantasten. De laboratoriumbevindingen wijzen eerder op een eigen antimicrobiële werking</w:t>
      </w:r>
      <w:r>
        <w:rPr>
          <w:rStyle w:val="FootnoteReference"/>
        </w:rPr>
        <w:footnoteReference w:id="1078"/>
      </w:r>
      <w:r>
        <w:t xml:space="preserve">, maar gegevens bij mensen ontbreken.</w:t>
      </w:r>
    </w:p>
    <w:p>
      <w:pPr>
        <w:numPr>
          <w:ilvl w:val="0"/>
          <w:numId w:val="1129"/>
        </w:numPr>
        <w:pStyle w:val="Compact"/>
      </w:pPr>
      <w:r>
        <w:rPr>
          <w:bCs/>
          <w:b/>
        </w:rPr>
        <w:t xml:space="preserve">Onduidelijke opname en dosis:</w:t>
      </w:r>
      <w:r>
        <w:t xml:space="preserve"> </w:t>
      </w:r>
      <w:r>
        <w:t xml:space="preserve">hoeveel KPV uit een capsule of crème daadwerkelijk werkzaam wordt, is bij mensen niet onderzocht.</w:t>
      </w:r>
    </w:p>
    <w:p>
      <w:pPr>
        <w:numPr>
          <w:ilvl w:val="0"/>
          <w:numId w:val="1129"/>
        </w:numPr>
        <w:pStyle w:val="Compact"/>
      </w:pPr>
      <w:r>
        <w:rPr>
          <w:bCs/>
          <w:b/>
        </w:rPr>
        <w:t xml:space="preserve">Kwaliteit op de grijze markt:</w:t>
      </w:r>
      <w:r>
        <w:t xml:space="preserve"> </w:t>
      </w:r>
      <w:r>
        <w:t xml:space="preserve">KPV wordt verkocht als</w:t>
      </w:r>
      <w:r>
        <w:t xml:space="preserve"> </w:t>
      </w:r>
      <w:r>
        <w:t xml:space="preserve">‘</w:t>
      </w:r>
      <w:r>
        <w:t xml:space="preserve">onderzoekspeptide</w:t>
      </w:r>
      <w:r>
        <w:t xml:space="preserve">’</w:t>
      </w:r>
      <w:r>
        <w:t xml:space="preserve"> </w:t>
      </w:r>
      <w:r>
        <w:t xml:space="preserve">zonder geneesmiddelcontrole. Een sportgeneeskundig overzicht noemt KPV uitdrukkelijk onder de peptidefragmenten die in bodybuildingkringen circuleren, en waarschuwt voor verkeerd gedeclareerde of verontreinigde producten</w:t>
      </w:r>
      <w:r>
        <w:rPr>
          <w:rStyle w:val="FootnoteReference"/>
        </w:rPr>
        <w:footnoteReference w:id="1079"/>
      </w:r>
      <w:r>
        <w:t xml:space="preserve">.</w:t>
      </w:r>
    </w:p>
    <w:bookmarkEnd w:id="1080"/>
    <w:bookmarkEnd w:id="1081"/>
    <w:bookmarkStart w:id="1082" w:name="juridische-status-18"/>
    <w:p>
      <w:pPr>
        <w:pStyle w:val="Heading3"/>
      </w:pPr>
      <w:r>
        <w:t xml:space="preserve">Juridische status</w:t>
      </w:r>
    </w:p>
    <w:p>
      <w:pPr>
        <w:pStyle w:val="FirstParagraph"/>
      </w:pPr>
      <w:r>
        <w:rPr>
          <w:iCs/>
          <w:i/>
        </w:rPr>
        <w:t xml:space="preserve">Stand 2026, actuele situatie controleren.</w:t>
      </w:r>
    </w:p>
    <w:p>
      <w:pPr>
        <w:numPr>
          <w:ilvl w:val="0"/>
          <w:numId w:val="1130"/>
        </w:numPr>
        <w:pStyle w:val="Compact"/>
      </w:pPr>
      <w:r>
        <w:rPr>
          <w:bCs/>
          <w:b/>
        </w:rPr>
        <w:t xml:space="preserve">EU, Duitsland, Oostenrijk:</w:t>
      </w:r>
      <w:r>
        <w:t xml:space="preserve"> </w:t>
      </w:r>
      <w:r>
        <w:t xml:space="preserve">niet geregistreerd als geneesmiddel. Wordt KPV aangeboden met beweringen over het verlichten van ziekten, dan geldt het als niet-geregistreerd geneesmiddel. Als bestanddeel van cosmetica gelden de regels van de EU-cosmeticaverordening; gezondheidsclaims zijn daar niet toegestaan.</w:t>
      </w:r>
    </w:p>
    <w:p>
      <w:pPr>
        <w:numPr>
          <w:ilvl w:val="0"/>
          <w:numId w:val="1130"/>
        </w:numPr>
        <w:pStyle w:val="Compact"/>
      </w:pPr>
      <w:r>
        <w:rPr>
          <w:bCs/>
          <w:b/>
        </w:rPr>
        <w:t xml:space="preserve">VS:</w:t>
      </w:r>
      <w:r>
        <w:t xml:space="preserve"> </w:t>
      </w:r>
      <w:r>
        <w:t xml:space="preserve">geen FDA-registratie.</w:t>
      </w:r>
    </w:p>
    <w:p>
      <w:pPr>
        <w:numPr>
          <w:ilvl w:val="0"/>
          <w:numId w:val="1130"/>
        </w:numPr>
        <w:pStyle w:val="Compact"/>
      </w:pPr>
      <w:r>
        <w:rPr>
          <w:bCs/>
          <w:b/>
        </w:rPr>
        <w:t xml:space="preserve">WADA:</w:t>
      </w:r>
      <w:r>
        <w:t xml:space="preserve"> </w:t>
      </w:r>
      <w:r>
        <w:t xml:space="preserve">niet bij naam vermeld. Als farmacologisch werkzame stof zonder registratie valt KPV naar het oordeel van de auteur onder S0 (niet-goedgekeurde stoffen).</w:t>
      </w:r>
    </w:p>
    <w:bookmarkEnd w:id="1082"/>
    <w:bookmarkStart w:id="1083" w:name="lopende-studies-en-vooruitzichten-18"/>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met KPV geregistreerd.</w:t>
      </w:r>
    </w:p>
    <w:p>
      <w:pPr>
        <w:pStyle w:val="BodyText"/>
      </w:pPr>
      <w:r>
        <w:rPr>
          <w:bCs/>
          <w:b/>
        </w:rPr>
        <w:t xml:space="preserve">Inschatting van de auteur:</w:t>
      </w:r>
      <w:r>
        <w:t xml:space="preserve"> </w:t>
      </w:r>
      <w:r>
        <w:t xml:space="preserve">de muizengegevens over darmontstekingen zijn consistent en komen van meerdere onafhankelijke groepen – dat is meer dan veel andere</w:t>
      </w:r>
      <w:r>
        <w:t xml:space="preserve"> </w:t>
      </w:r>
      <w:r>
        <w:t xml:space="preserve">‘</w:t>
      </w:r>
      <w:r>
        <w:t xml:space="preserve">onderzoekspeptiden</w:t>
      </w:r>
      <w:r>
        <w:t xml:space="preserve">’</w:t>
      </w:r>
      <w:r>
        <w:t xml:space="preserve"> </w:t>
      </w:r>
      <w:r>
        <w:t xml:space="preserve">kunnen voorleggen. Zonder een bedrijf dat KPV als geneesmiddel ontwikkelt, is een studie bij mensen echter niet in zicht. Waarschijnlijker is dat KPV als bouwsteen in nieuwe toedieningsvormen (nanodeeltjes, gels) verder in het laboratorium wordt onderzocht.</w:t>
      </w:r>
    </w:p>
    <w:bookmarkEnd w:id="1083"/>
    <w:bookmarkStart w:id="1085" w:name="conclusie-18"/>
    <w:p>
      <w:pPr>
        <w:pStyle w:val="Heading3"/>
      </w:pPr>
      <w:r>
        <w:t xml:space="preserve">Conclusie</w:t>
      </w:r>
    </w:p>
    <w:p>
      <w:pPr>
        <w:pStyle w:val="FirstParagraph"/>
      </w:pPr>
      <w:r>
        <w:t xml:space="preserve">KPV is een fragment van drie aminozuren van het lichaamseigen hormoon alfa-MSH dat in celkweken en bij muizen ontstekingen in de darm duidelijk verminderde</w:t>
      </w:r>
      <w:r>
        <w:rPr>
          <w:rStyle w:val="FootnoteReference"/>
        </w:rPr>
        <w:footnoteReference w:id="1084"/>
      </w:r>
      <w:r>
        <w:t xml:space="preserve">. Bij mensen is KPV nooit onderzocht – noch op werking, noch op veiligheid. Alle uitspraken over effecten op darm of huid bij mensen zijn daarom vermoedens op basis van dierproeven. Wie KPV-producten van internet gebruikt, maakt deel uit van een ongecontroleerd zelfexperiment met producten van onbekende kwaliteit.</w:t>
      </w:r>
    </w:p>
    <w:bookmarkEnd w:id="1085"/>
    <w:bookmarkEnd w:id="1086"/>
    <w:bookmarkStart w:id="1121" w:name="ll-37"/>
    <w:p>
      <w:pPr>
        <w:pStyle w:val="Heading2"/>
      </w:pPr>
      <w:r>
        <w:t xml:space="preserve">LL-37</w:t>
      </w:r>
    </w:p>
    <w:p>
      <w:pPr>
        <w:pStyle w:val="FirstParagraph"/>
      </w:pPr>
      <w:r>
        <w:t xml:space="preserve">LL-37 is een lichaamseigen afweerpeptide. Huid, slijmvliezen en witte bloedcellen maken het aan om bacteriën, schimmels en virussen te doden. In de peptidescene wordt het aangeboden als</w:t>
      </w:r>
      <w:r>
        <w:t xml:space="preserve"> </w:t>
      </w:r>
      <w:r>
        <w:t xml:space="preserve">‘</w:t>
      </w:r>
      <w:r>
        <w:t xml:space="preserve">natuurlijk antibioticum</w:t>
      </w:r>
      <w:r>
        <w:t xml:space="preserve">’</w:t>
      </w:r>
      <w:r>
        <w:t xml:space="preserve"> </w:t>
      </w:r>
      <w:r>
        <w:t xml:space="preserve">en middel tegen chronische infecties, de ziekte van Lyme of</w:t>
      </w:r>
      <w:r>
        <w:t xml:space="preserve"> </w:t>
      </w:r>
      <w:r>
        <w:t xml:space="preserve">‘</w:t>
      </w:r>
      <w:r>
        <w:t xml:space="preserve">immuunzwakte</w:t>
      </w:r>
      <w:r>
        <w:t xml:space="preserve">’</w:t>
      </w:r>
      <w:r>
        <w:t xml:space="preserve">. Bij het onderzoek moet zorgvuldig onderscheid worden gemaakt: er zijn zeer veel onderzoeken waarin LL-37 in bloed of weefsel</w:t>
      </w:r>
      <w:r>
        <w:t xml:space="preserve"> </w:t>
      </w:r>
      <w:r>
        <w:rPr>
          <w:iCs/>
          <w:i/>
        </w:rPr>
        <w:t xml:space="preserve">gemeten</w:t>
      </w:r>
      <w:r>
        <w:t xml:space="preserve"> </w:t>
      </w:r>
      <w:r>
        <w:t xml:space="preserve">werd – maar slechts een handvol waarin mensen LL-37 als werkzame stof</w:t>
      </w:r>
      <w:r>
        <w:t xml:space="preserve"> </w:t>
      </w:r>
      <w:r>
        <w:rPr>
          <w:iCs/>
          <w:i/>
        </w:rPr>
        <w:t xml:space="preserve">kregen</w:t>
      </w:r>
      <w:r>
        <w:t xml:space="preserve">.</w:t>
      </w:r>
    </w:p>
    <w:bookmarkStart w:id="1088" w:name="profiel-19"/>
    <w:p>
      <w:pPr>
        <w:pStyle w:val="Heading3"/>
      </w:pPr>
      <w:r>
        <w:t xml:space="preserve">Profiel</w:t>
      </w:r>
    </w:p>
    <w:p>
      <w:pPr>
        <w:numPr>
          <w:ilvl w:val="0"/>
          <w:numId w:val="1131"/>
        </w:numPr>
        <w:pStyle w:val="Compact"/>
      </w:pPr>
      <w:r>
        <w:rPr>
          <w:bCs/>
          <w:b/>
        </w:rPr>
        <w:t xml:space="preserve">Soort en structuur:</w:t>
      </w:r>
      <w:r>
        <w:t xml:space="preserve"> </w:t>
      </w:r>
      <w:r>
        <w:t xml:space="preserve">peptide van 37 aminozuren, de eerste twee zijn leucines (vandaar</w:t>
      </w:r>
      <w:r>
        <w:t xml:space="preserve"> </w:t>
      </w:r>
      <w:r>
        <w:t xml:space="preserve">‘</w:t>
      </w:r>
      <w:r>
        <w:t xml:space="preserve">LL</w:t>
      </w:r>
      <w:r>
        <w:t xml:space="preserve">’</w:t>
      </w:r>
      <w:r>
        <w:t xml:space="preserve">). Enige cathelicidine van de mens – zo heet een familie van afweerpeptiden.</w:t>
      </w:r>
    </w:p>
    <w:p>
      <w:pPr>
        <w:numPr>
          <w:ilvl w:val="0"/>
          <w:numId w:val="1131"/>
        </w:numPr>
        <w:pStyle w:val="Compact"/>
      </w:pPr>
      <w:r>
        <w:rPr>
          <w:bCs/>
          <w:b/>
        </w:rPr>
        <w:t xml:space="preserve">Herkomst:</w:t>
      </w:r>
      <w:r>
        <w:t xml:space="preserve"> </w:t>
      </w:r>
      <w:r>
        <w:t xml:space="preserve">wordt afgesplitst van het voorlopereiwit hCAP18; het bijbehorende gen (CAMP) wordt onder meer door vitamine D aangeschakeld</w:t>
      </w:r>
      <w:r>
        <w:rPr>
          <w:rStyle w:val="FootnoteReference"/>
        </w:rPr>
        <w:footnoteReference w:id="1087"/>
      </w:r>
      <w:r>
        <w:t xml:space="preserve">.</w:t>
      </w:r>
    </w:p>
    <w:p>
      <w:pPr>
        <w:numPr>
          <w:ilvl w:val="0"/>
          <w:numId w:val="1131"/>
        </w:numPr>
        <w:pStyle w:val="Compact"/>
      </w:pPr>
      <w:r>
        <w:rPr>
          <w:bCs/>
          <w:b/>
        </w:rPr>
        <w:t xml:space="preserve">Werkingsprincipe:</w:t>
      </w:r>
      <w:r>
        <w:t xml:space="preserve"> </w:t>
      </w:r>
      <w:r>
        <w:t xml:space="preserve">vernietigt de omhulling van microben; trekt tegelijk immuuncellen aan, bevordert vaatnieuwvorming en wondgenezing en beïnvloedt ontstekingsreacties.</w:t>
      </w:r>
    </w:p>
    <w:p>
      <w:pPr>
        <w:numPr>
          <w:ilvl w:val="0"/>
          <w:numId w:val="1131"/>
        </w:numPr>
        <w:pStyle w:val="Compact"/>
      </w:pPr>
      <w:r>
        <w:rPr>
          <w:bCs/>
          <w:b/>
        </w:rPr>
        <w:t xml:space="preserve">Registratie EU/VS:</w:t>
      </w:r>
      <w:r>
        <w:t xml:space="preserve"> </w:t>
      </w:r>
      <w:r>
        <w:t xml:space="preserve">nee.</w:t>
      </w:r>
    </w:p>
    <w:p>
      <w:pPr>
        <w:numPr>
          <w:ilvl w:val="0"/>
          <w:numId w:val="1131"/>
        </w:numPr>
        <w:pStyle w:val="Compact"/>
      </w:pPr>
      <w:r>
        <w:rPr>
          <w:bCs/>
          <w:b/>
        </w:rPr>
        <w:t xml:space="preserve">WADA:</w:t>
      </w:r>
      <w:r>
        <w:t xml:space="preserve"> </w:t>
      </w:r>
      <w:r>
        <w:t xml:space="preserve">niet uitdrukkelijk vermeld; als niet-geregistreerde stof valt het naar het oordeel van de auteur onder S0.</w:t>
      </w:r>
    </w:p>
    <w:p>
      <w:pPr>
        <w:numPr>
          <w:ilvl w:val="0"/>
          <w:numId w:val="1131"/>
        </w:numPr>
        <w:pStyle w:val="Compact"/>
      </w:pPr>
      <w:r>
        <w:rPr>
          <w:bCs/>
          <w:b/>
        </w:rPr>
        <w:t xml:space="preserve">Bewijsniveau: B</w:t>
      </w:r>
      <w:r>
        <w:t xml:space="preserve"> </w:t>
      </w:r>
      <w:r>
        <w:t xml:space="preserve">– afzonderlijke kleine tot middelgrote gerandomiseerde studies met plaatselijke toepassing op wonden; de grootste daarvan miste haar primaire doel.</w:t>
      </w:r>
    </w:p>
    <w:bookmarkEnd w:id="1088"/>
    <w:bookmarkStart w:id="1093" w:name="hoe-het-zou-moeten-werken-19"/>
    <w:p>
      <w:pPr>
        <w:pStyle w:val="Heading3"/>
      </w:pPr>
      <w:r>
        <w:t xml:space="preserve">Hoe het zou moeten werken</w:t>
      </w:r>
    </w:p>
    <w:p>
      <w:pPr>
        <w:pStyle w:val="FirstParagraph"/>
      </w:pPr>
      <w:r>
        <w:t xml:space="preserve">LL-37 hoort bij het aangeboren immuunsysteem, de eerste, niet-specifieke verdedigingslinie. Het peptide is positief geladen en hecht zich aan de negatief geladen omhullingen van bacteriën, die daardoor doorlaatbaar worden. Daarnaast werkt het als signaalstof: het trekt witte bloedcellen aan en zet huidcellen aan tot migratie – daarom werd het interessant voor wondgenezing.</w:t>
      </w:r>
    </w:p>
    <w:p>
      <w:pPr>
        <w:pStyle w:val="BodyText"/>
      </w:pPr>
      <w:r>
        <w:t xml:space="preserve">De aanmaak van LL-37 hangt bij de mens nauw samen met vitamine D. Het gen voor het voorlopereiwit draagt een schakelaar waaraan de vitamine D-receptor bindt; deze schakelaar komt voor bij primaten, maar niet bij muizen, ratten of honden</w:t>
      </w:r>
      <w:r>
        <w:rPr>
          <w:rStyle w:val="FootnoteReference"/>
        </w:rPr>
        <w:footnoteReference w:id="1089"/>
      </w:r>
      <w:r>
        <w:t xml:space="preserve">. Dat verklaart waarom veel studies vitamine D geven en LL-37 meten – en waarom dierproeven bij LL-37 maar beperkt op de mens zijn over te dragen.</w:t>
      </w:r>
    </w:p>
    <w:p>
      <w:pPr>
        <w:pStyle w:val="BodyText"/>
      </w:pPr>
      <w:r>
        <w:t xml:space="preserve">De keerzijde: LL-37 kan ontstekingen ook aanwakkeren. Bij psoriasis bindt LL-37 lichaamseigen erfelijk materiaal uit uiteengevallen cellen en maakt het</w:t>
      </w:r>
      <w:r>
        <w:t xml:space="preserve"> </w:t>
      </w:r>
      <w:r>
        <w:t xml:space="preserve">‘</w:t>
      </w:r>
      <w:r>
        <w:t xml:space="preserve">zichtbaar</w:t>
      </w:r>
      <w:r>
        <w:t xml:space="preserve">’</w:t>
      </w:r>
      <w:r>
        <w:t xml:space="preserve"> </w:t>
      </w:r>
      <w:r>
        <w:t xml:space="preserve">voor bepaalde immuuncellen, die daarop interferon afgeven</w:t>
      </w:r>
      <w:r>
        <w:rPr>
          <w:rStyle w:val="FootnoteReference"/>
        </w:rPr>
        <w:footnoteReference w:id="1090"/>
      </w:r>
      <w:r>
        <w:t xml:space="preserve">. Bij twee derde van de onderzochte mensen met matige tot ernstige psoriasis werden T-cellen gevonden die tegen LL-37 zelf gericht waren</w:t>
      </w:r>
      <w:r>
        <w:rPr>
          <w:rStyle w:val="FootnoteReference"/>
        </w:rPr>
        <w:footnoteReference w:id="1091"/>
      </w:r>
      <w:r>
        <w:t xml:space="preserve">. Mensen met rosacea maken ongewoon veel LL-37 aan in de gezichtshuid, en bij muizen veroorzaakte het injecteren van deze peptiden huidontstekingen</w:t>
      </w:r>
      <w:r>
        <w:rPr>
          <w:rStyle w:val="FootnoteReference"/>
        </w:rPr>
        <w:footnoteReference w:id="1092"/>
      </w:r>
      <w:r>
        <w:t xml:space="preserve">.</w:t>
      </w:r>
    </w:p>
    <w:bookmarkEnd w:id="1093"/>
    <w:bookmarkStart w:id="1105" w:name="studies-bij-mensen-1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91</w:t>
      </w:r>
      <w:r>
        <w:t xml:space="preserve"> </w:t>
      </w:r>
      <w:r>
        <w:t xml:space="preserve">publicaties die als studie bij mensen werden ingedeeld, en</w:t>
      </w:r>
      <w:r>
        <w:t xml:space="preserve"> </w:t>
      </w:r>
      <w:r>
        <w:rPr>
          <w:bCs/>
          <w:b/>
        </w:rPr>
        <w:t xml:space="preserve">20</w:t>
      </w:r>
      <w:r>
        <w:t xml:space="preserve"> </w:t>
      </w:r>
      <w:r>
        <w:t xml:space="preserve">vermeldingen bij ClinicalTrials.gov. Het overgrote deel daarvan geeft</w:t>
      </w:r>
      <w:r>
        <w:t xml:space="preserve"> </w:t>
      </w:r>
      <w:r>
        <w:rPr>
          <w:iCs/>
          <w:i/>
        </w:rPr>
        <w:t xml:space="preserve">niet</w:t>
      </w:r>
      <w:r>
        <w:t xml:space="preserve"> </w:t>
      </w:r>
      <w:r>
        <w:t xml:space="preserve">LL-37 als werkzame stof: het gaat om vitamine D- of probioticastudies die LL-37 als meetwaarde vastleggen, of om observationele studies naar LL-37-spiegels bij ziekten. Studies waarin LL-37 zelf werd toegediend, zijn in PubMed slechts vijf te vinden; in het register zijn het er twee.</w:t>
      </w:r>
    </w:p>
    <w:bookmarkStart w:id="1098" w:name="X2b79a858c7003961297f898bcf5b4c3cebdd727"/>
    <w:p>
      <w:pPr>
        <w:pStyle w:val="Heading4"/>
      </w:pPr>
      <w:r>
        <w:t xml:space="preserve">Interventiestudies: LL-37 als werkzame stof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Veneuze beenzweren (Grönberg 2014, PMID 25041740)</w:t>
            </w:r>
          </w:p>
        </w:tc>
        <w:tc>
          <w:tcPr/>
          <w:p>
            <w:pPr>
              <w:pStyle w:val="Compact"/>
              <w:jc w:val="left"/>
            </w:pPr>
            <w:r>
              <w:t xml:space="preserve">34 personen, eerste toepassing bij mensen, dubbelblinde RCT met drie concentraties en placebo</w:t>
            </w:r>
          </w:p>
        </w:tc>
        <w:tc>
          <w:tcPr/>
          <w:p>
            <w:pPr>
              <w:pStyle w:val="Compact"/>
              <w:jc w:val="left"/>
            </w:pPr>
            <w:r>
              <w:t xml:space="preserve">4 weken behandeling</w:t>
            </w:r>
          </w:p>
        </w:tc>
        <w:tc>
          <w:tcPr/>
          <w:p>
            <w:pPr>
              <w:pStyle w:val="Compact"/>
              <w:jc w:val="left"/>
            </w:pPr>
            <w:r>
              <w:t xml:space="preserve">wondoppervlak met de laagste concentratie 68%, met de middelste 50% verkleind; hoogste concentratie niet beter dan placebo</w:t>
            </w:r>
          </w:p>
        </w:tc>
      </w:tr>
      <w:tr>
        <w:tc>
          <w:tcPr/>
          <w:p>
            <w:pPr>
              <w:pStyle w:val="Compact"/>
              <w:jc w:val="left"/>
            </w:pPr>
            <w:r>
              <w:t xml:space="preserve">HEAL LL-37, veneuze beenzweren (Mahlapuu 2021, PMID 34687253)</w:t>
            </w:r>
          </w:p>
        </w:tc>
        <w:tc>
          <w:tcPr/>
          <w:p>
            <w:pPr>
              <w:pStyle w:val="Compact"/>
              <w:jc w:val="left"/>
            </w:pPr>
            <w:r>
              <w:t xml:space="preserve">148 personen, fase 2b, dubbelblinde RCT</w:t>
            </w:r>
          </w:p>
        </w:tc>
        <w:tc>
          <w:tcPr/>
          <w:p>
            <w:pPr>
              <w:pStyle w:val="Compact"/>
              <w:jc w:val="left"/>
            </w:pPr>
            <w:r>
              <w:t xml:space="preserve">3 armen, naast compressie</w:t>
            </w:r>
          </w:p>
        </w:tc>
        <w:tc>
          <w:tcPr/>
          <w:p>
            <w:pPr>
              <w:pStyle w:val="Compact"/>
              <w:jc w:val="left"/>
            </w:pPr>
            <w:r>
              <w:t xml:space="preserve">geen significant verschil met placebo; voordeel alleen in een achteraf uitgevoerde subgroepanalyse van grote wonden</w:t>
            </w:r>
          </w:p>
        </w:tc>
      </w:tr>
      <w:tr>
        <w:tc>
          <w:tcPr/>
          <w:p>
            <w:pPr>
              <w:pStyle w:val="Compact"/>
              <w:jc w:val="left"/>
            </w:pPr>
            <w:r>
              <w:t xml:space="preserve">Diabetische voetzweer (Miranda 2023, PMID 37480520; NCT04098562)</w:t>
            </w:r>
          </w:p>
        </w:tc>
        <w:tc>
          <w:tcPr/>
          <w:p>
            <w:pPr>
              <w:pStyle w:val="Compact"/>
              <w:jc w:val="left"/>
            </w:pPr>
            <w:r>
              <w:t xml:space="preserve">personen met een licht geïnfecteerde voetzweer in Jakarta, dubbelblinde RCT tegen placebocrème</w:t>
            </w:r>
          </w:p>
        </w:tc>
        <w:tc>
          <w:tcPr/>
          <w:p>
            <w:pPr>
              <w:pStyle w:val="Compact"/>
              <w:jc w:val="left"/>
            </w:pPr>
            <w:r>
              <w:t xml:space="preserve">4 weken</w:t>
            </w:r>
          </w:p>
        </w:tc>
        <w:tc>
          <w:tcPr/>
          <w:p>
            <w:pPr>
              <w:pStyle w:val="Compact"/>
              <w:jc w:val="left"/>
            </w:pPr>
            <w:r>
              <w:t xml:space="preserve">sterkere toename van granulatieweefsel; geen daling van ontstekingswaarden of aantal bacteriën</w:t>
            </w:r>
          </w:p>
        </w:tc>
      </w:tr>
      <w:tr>
        <w:tc>
          <w:tcPr/>
          <w:p>
            <w:pPr>
              <w:pStyle w:val="Compact"/>
              <w:jc w:val="left"/>
            </w:pPr>
            <w:r>
              <w:t xml:space="preserve">COVID-19, oraal LL-37 uit melkzuurbacteriën (Zhao 2023, PMID 37605995)</w:t>
            </w:r>
          </w:p>
        </w:tc>
        <w:tc>
          <w:tcPr/>
          <w:p>
            <w:pPr>
              <w:pStyle w:val="Compact"/>
              <w:jc w:val="left"/>
            </w:pPr>
            <w:r>
              <w:t xml:space="preserve">238 ziekenhuispatiënten, open-label RCT, één centrum</w:t>
            </w:r>
          </w:p>
        </w:tc>
        <w:tc>
          <w:tcPr/>
          <w:p>
            <w:pPr>
              <w:pStyle w:val="Compact"/>
              <w:jc w:val="left"/>
            </w:pPr>
            <w:r>
              <w:t xml:space="preserve">ziekenhuisopname</w:t>
            </w:r>
          </w:p>
        </w:tc>
        <w:tc>
          <w:tcPr/>
          <w:p>
            <w:pPr>
              <w:pStyle w:val="Compact"/>
              <w:jc w:val="left"/>
            </w:pPr>
            <w:r>
              <w:t xml:space="preserve">virus-PCR gemiddeld na 9,8 in plaats van 14,0 dagen negatief; geen ernstige bijwerkingen</w:t>
            </w:r>
          </w:p>
        </w:tc>
      </w:tr>
      <w:tr>
        <w:tc>
          <w:tcPr/>
          <w:p>
            <w:pPr>
              <w:pStyle w:val="Compact"/>
              <w:jc w:val="left"/>
            </w:pPr>
            <w:r>
              <w:t xml:space="preserve">Melanoom, injectie in tumoren (NCT02225366)</w:t>
            </w:r>
          </w:p>
        </w:tc>
        <w:tc>
          <w:tcPr/>
          <w:p>
            <w:pPr>
              <w:pStyle w:val="Compact"/>
              <w:jc w:val="left"/>
            </w:pPr>
            <w:r>
              <w:t xml:space="preserve">4 personen, fase 1/2 zonder controlegroep</w:t>
            </w:r>
          </w:p>
        </w:tc>
        <w:tc>
          <w:tcPr/>
          <w:p>
            <w:pPr>
              <w:pStyle w:val="Compact"/>
              <w:jc w:val="left"/>
            </w:pPr>
            <w:r>
              <w:t xml:space="preserve">tot 8 weken</w:t>
            </w:r>
          </w:p>
        </w:tc>
        <w:tc>
          <w:tcPr/>
          <w:p>
            <w:pPr>
              <w:pStyle w:val="Compact"/>
              <w:jc w:val="left"/>
            </w:pPr>
            <w:r>
              <w:t xml:space="preserve">dosisbepaling; klein aantal, zie risico’s</w:t>
            </w:r>
          </w:p>
        </w:tc>
      </w:tr>
    </w:tbl>
    <w:p>
      <w:pPr>
        <w:pStyle w:val="BodyText"/>
      </w:pPr>
      <w:r>
        <w:t xml:space="preserve">De wondstudies laten het bekende patroon zien: de eerste kleine studie was bemoedigend – opvallend genoeg werkten de lagere concentraties, de hoogste niet</w:t>
      </w:r>
      <w:r>
        <w:rPr>
          <w:rStyle w:val="FootnoteReference"/>
        </w:rPr>
        <w:footnoteReference w:id="1094"/>
      </w:r>
      <w:r>
        <w:t xml:space="preserve">. De grotere fase 2b-studie HEAL LL-37 met 148 personen vond in de totale groep geen voordeel ten opzichte van placebo. Een nut bij grote wonden bleek alleen in een achteraf vastgelegde subgroepanalyse, die de auteurs zelf als aanleiding voor een verdere studie zien, niet als bewijs</w:t>
      </w:r>
      <w:r>
        <w:rPr>
          <w:rStyle w:val="FootnoteReference"/>
        </w:rPr>
        <w:footnoteReference w:id="1095"/>
      </w:r>
      <w:r>
        <w:t xml:space="preserve">.</w:t>
      </w:r>
    </w:p>
    <w:p>
      <w:pPr>
        <w:pStyle w:val="BodyText"/>
      </w:pPr>
      <w:r>
        <w:t xml:space="preserve">De Indonesische studie naar diabetische voetzweren mat als primaire grootheid het aandeel granulatieweefsel, dus vers herstelweefsel – een tussenmarker, niet de volledige wondgenezing. De ontstekingswaarden en de bacteriële kolonisatie daalden met LL-37 niet sterker dan met placebo</w:t>
      </w:r>
      <w:r>
        <w:rPr>
          <w:rStyle w:val="FootnoteReference"/>
        </w:rPr>
        <w:footnoteReference w:id="1096"/>
      </w:r>
      <w:r>
        <w:t xml:space="preserve">.</w:t>
      </w:r>
    </w:p>
    <w:p>
      <w:pPr>
        <w:pStyle w:val="BodyText"/>
      </w:pPr>
      <w:r>
        <w:t xml:space="preserve">De COVID-19-studie gebruikte geen LL-37-peptide, maar genetisch gemodificeerde melkzuurbacteriën die LL-37 in de darm zouden moeten aanmaken. Ze was niet geblindeerd en liep in één enkel centrum; gemeten werd de tijd tot een negatieve PCR-test, niet het ziekteverloop of de sterfte</w:t>
      </w:r>
      <w:r>
        <w:rPr>
          <w:rStyle w:val="FootnoteReference"/>
        </w:rPr>
        <w:footnoteReference w:id="1097"/>
      </w:r>
      <w:r>
        <w:t xml:space="preserve">.</w:t>
      </w:r>
    </w:p>
    <w:bookmarkEnd w:id="1098"/>
    <w:bookmarkStart w:id="1102" w:name="X44a525a9bcf106a8910180e56c53aa96c8c6789"/>
    <w:p>
      <w:pPr>
        <w:pStyle w:val="Heading4"/>
      </w:pPr>
      <w:r>
        <w:t xml:space="preserve">Observationele studies: LL-37 als meetwaarde</w:t>
      </w:r>
    </w:p>
    <w:p>
      <w:pPr>
        <w:pStyle w:val="FirstParagraph"/>
      </w:pPr>
      <w:r>
        <w:t xml:space="preserve">Deze studies zeggen niets over de vraag of toegediend LL-37 helpt. Ze laten alleen zien hoe het lichaam LL-37 aanmaakt bij ziekten. Enkele voorbeelden:</w:t>
      </w:r>
    </w:p>
    <w:p>
      <w:pPr>
        <w:numPr>
          <w:ilvl w:val="0"/>
          <w:numId w:val="1132"/>
        </w:numPr>
        <w:pStyle w:val="Compact"/>
      </w:pPr>
      <w:r>
        <w:t xml:space="preserve">Bij 50 personen met longtuberculose lagen de LL-37-spiegels in het bloed hoger dan bij longontsteking door andere bacteriën en bij gezonden</w:t>
      </w:r>
      <w:r>
        <w:rPr>
          <w:rStyle w:val="FootnoteReference"/>
        </w:rPr>
        <w:footnoteReference w:id="1099"/>
      </w:r>
      <w:r>
        <w:t xml:space="preserve">.</w:t>
      </w:r>
    </w:p>
    <w:p>
      <w:pPr>
        <w:numPr>
          <w:ilvl w:val="0"/>
          <w:numId w:val="1132"/>
        </w:numPr>
        <w:pStyle w:val="Compact"/>
      </w:pPr>
      <w:r>
        <w:t xml:space="preserve">Bij 76 kinderen met bacteriële hersenvliesontsteking steeg LL-37 in het hersenvocht met de hoeveelheid bacteriën; een hoge verhouding van LL-37 tot bacteriën ging samen met minder gehoorschade</w:t>
      </w:r>
      <w:r>
        <w:rPr>
          <w:rStyle w:val="FootnoteReference"/>
        </w:rPr>
        <w:footnoteReference w:id="1100"/>
      </w:r>
      <w:r>
        <w:t xml:space="preserve">.</w:t>
      </w:r>
    </w:p>
    <w:p>
      <w:pPr>
        <w:numPr>
          <w:ilvl w:val="0"/>
          <w:numId w:val="1132"/>
        </w:numPr>
        <w:pStyle w:val="Compact"/>
      </w:pPr>
      <w:r>
        <w:t xml:space="preserve">Bij 30 intensivecarepatiënten met sepsis stegen de LL-37-spiegels na hooggedoseerde vitamine D</w:t>
      </w:r>
      <w:r>
        <w:rPr>
          <w:rStyle w:val="FootnoteReference"/>
        </w:rPr>
        <w:footnoteReference w:id="1101"/>
      </w:r>
      <w:r>
        <w:t xml:space="preserve">.</w:t>
      </w:r>
    </w:p>
    <w:bookmarkEnd w:id="1102"/>
    <w:bookmarkStart w:id="1104" w:name="indirect-ll-37-stimuleren-via-vitamine-d"/>
    <w:p>
      <w:pPr>
        <w:pStyle w:val="Heading4"/>
      </w:pPr>
      <w:r>
        <w:t xml:space="preserve">Indirect: LL-37 stimuleren via vitamine D</w:t>
      </w:r>
    </w:p>
    <w:p>
      <w:pPr>
        <w:pStyle w:val="FirstParagraph"/>
      </w:pPr>
      <w:r>
        <w:t xml:space="preserve">In een dubbelblinde studie uit Bangladesh met 288 personen met longtuberculose waren na vier weken meer deelnemers kweeknegatief wanneer ze daarnaast vitamine D3 en fenylbutyraat kregen – twee stoffen die de lichaamseigen aanmaak van LL-37 stimuleren (71% vs. 42,2% met placebo)</w:t>
      </w:r>
      <w:r>
        <w:rPr>
          <w:rStyle w:val="FootnoteReference"/>
        </w:rPr>
        <w:footnoteReference w:id="1103"/>
      </w:r>
      <w:r>
        <w:t xml:space="preserve">. Dat is een uitspraak over deze combinatie, niet over LL-37 als peptide. Vitamine D zelf is geen peptide en wordt in dit boek niet afzonderlijk behandeld.</w:t>
      </w:r>
    </w:p>
    <w:bookmarkEnd w:id="1104"/>
    <w:bookmarkEnd w:id="1105"/>
    <w:bookmarkStart w:id="1108" w:name="dier--en-laboratoriumstudies-19"/>
    <w:p>
      <w:pPr>
        <w:pStyle w:val="Heading3"/>
      </w:pPr>
      <w:r>
        <w:t xml:space="preserve">Dier- en laboratoriumstudies</w:t>
      </w:r>
    </w:p>
    <w:p>
      <w:pPr>
        <w:pStyle w:val="FirstParagraph"/>
      </w:pPr>
      <w:r>
        <w:t xml:space="preserve">In het laboratorium doodt LL-37 een breed scala aan bacteriën, schimmels en sommige virussen en bevordert het de migratie van huidcellen. Een overzichtsartikel over de rol bij kanker vat samen dat LL-37 in cel- en dierexperimenten bij eierstok-, long-, borst-, prostaat- en alvleesklierkanker en bij melanoom de tumorgroei</w:t>
      </w:r>
      <w:r>
        <w:t xml:space="preserve"> </w:t>
      </w:r>
      <w:r>
        <w:rPr>
          <w:iCs/>
          <w:i/>
        </w:rPr>
        <w:t xml:space="preserve">bevordert</w:t>
      </w:r>
      <w:r>
        <w:t xml:space="preserve">, bij dikkedarm-, maag- en sommige vormen van bloedkanker daarentegen</w:t>
      </w:r>
      <w:r>
        <w:t xml:space="preserve"> </w:t>
      </w:r>
      <w:r>
        <w:rPr>
          <w:iCs/>
          <w:i/>
        </w:rPr>
        <w:t xml:space="preserve">remt</w:t>
      </w:r>
      <w:r>
        <w:rPr>
          <w:rStyle w:val="FootnoteReference"/>
        </w:rPr>
        <w:footnoteReference w:id="1106"/>
      </w:r>
      <w:r>
        <w:t xml:space="preserve">. Dezelfde stof kan dus afhankelijk van het weefsel tegengesteld werken.</w:t>
      </w:r>
    </w:p>
    <w:p>
      <w:pPr>
        <w:pStyle w:val="BodyText"/>
      </w:pPr>
      <w:r>
        <w:t xml:space="preserve">Voor de overdraagbaarheid is belangrijk: muizen hebben een eigen cathelicidine dat slechts lijkt op het menselijke LL-37, en reguleren het anders</w:t>
      </w:r>
      <w:r>
        <w:rPr>
          <w:rStyle w:val="FootnoteReference"/>
        </w:rPr>
        <w:footnoteReference w:id="1107"/>
      </w:r>
      <w:r>
        <w:t xml:space="preserve">. Bevindingen bij muizen over LL-37 moeten daarom nog voorzichtiger worden beoordeeld dan bij andere peptiden.</w:t>
      </w:r>
    </w:p>
    <w:bookmarkEnd w:id="1108"/>
    <w:bookmarkStart w:id="1116" w:name="risicos-en-bijwerkingen-19"/>
    <w:p>
      <w:pPr>
        <w:pStyle w:val="Heading3"/>
      </w:pPr>
      <w:r>
        <w:t xml:space="preserve">Risico’s en bijwerkingen</w:t>
      </w:r>
    </w:p>
    <w:bookmarkStart w:id="1111" w:name="aangetoond-3"/>
    <w:p>
      <w:pPr>
        <w:pStyle w:val="Heading4"/>
      </w:pPr>
      <w:r>
        <w:t xml:space="preserve">Aangetoond</w:t>
      </w:r>
    </w:p>
    <w:p>
      <w:pPr>
        <w:pStyle w:val="FirstParagraph"/>
      </w:pPr>
      <w:r>
        <w:t xml:space="preserve">In de wondstudies werd plaatselijk aangebracht LL-37 goed verdragen; er waren geen veiligheidsbezwaren wat betreft plaatselijke of algemene bijwerkingen</w:t>
      </w:r>
      <w:r>
        <w:rPr>
          <w:rStyle w:val="FootnoteReference"/>
        </w:rPr>
        <w:footnoteReference w:id="1109"/>
      </w:r>
      <w:r>
        <w:t xml:space="preserve">.</w:t>
      </w:r>
    </w:p>
    <w:p>
      <w:pPr>
        <w:pStyle w:val="BodyText"/>
      </w:pPr>
      <w:r>
        <w:t xml:space="preserve">Een casusbeschrijving uit de melanoomstudie laat echter zien dat LL-37 in injectievorm niet onschuldig is: bij een 63-jarige vrouw die acht wekelijkse injecties in huidmetastasen kreeg, ontstonden ongeveer 45 dagen na het begin talrijke wratachtige huidafwijkingen en blaren op romp en ledematen, die aanvankelijk voor huidkanker werden aangezien. Histologisch werden ontstekingsveranderingen met atypische huidcellen gezien; alle afwijkingen verdwenen binnen twee maanden na het stoppen</w:t>
      </w:r>
      <w:r>
        <w:rPr>
          <w:rStyle w:val="FootnoteReference"/>
        </w:rPr>
        <w:footnoteReference w:id="1110"/>
      </w:r>
      <w:r>
        <w:t xml:space="preserve">.</w:t>
      </w:r>
    </w:p>
    <w:bookmarkEnd w:id="1111"/>
    <w:bookmarkStart w:id="1115" w:name="X61e0a88780818fab9943056c73b55bb312b1849"/>
    <w:p>
      <w:pPr>
        <w:pStyle w:val="Heading4"/>
      </w:pPr>
      <w:r>
        <w:t xml:space="preserve">Theoretisch en afgeleid uit ziekteonderzoek</w:t>
      </w:r>
    </w:p>
    <w:p>
      <w:pPr>
        <w:numPr>
          <w:ilvl w:val="0"/>
          <w:numId w:val="1133"/>
        </w:numPr>
        <w:pStyle w:val="Compact"/>
      </w:pPr>
      <w:r>
        <w:rPr>
          <w:bCs/>
          <w:b/>
        </w:rPr>
        <w:t xml:space="preserve">Auto-immuniteit en huidziekten:</w:t>
      </w:r>
      <w:r>
        <w:t xml:space="preserve"> </w:t>
      </w:r>
      <w:r>
        <w:t xml:space="preserve">LL-37 is bij psoriasis een uitlokker van de ontsteking en een doelwit van ontspoorde T-cellen</w:t>
      </w:r>
      <w:r>
        <w:rPr>
          <w:rStyle w:val="FootnoteReference"/>
        </w:rPr>
        <w:footnoteReference w:id="1112"/>
      </w:r>
      <w:r>
        <w:t xml:space="preserve"> </w:t>
      </w:r>
      <w:r>
        <w:t xml:space="preserve">en is bij rosacea betrokken bij de huidontsteking</w:t>
      </w:r>
      <w:r>
        <w:rPr>
          <w:rStyle w:val="FootnoteReference"/>
        </w:rPr>
        <w:footnoteReference w:id="1113"/>
      </w:r>
      <w:r>
        <w:t xml:space="preserve">. Mensen met deze of andere auto-immuunziekten (zoals lupus) moeten bijzonder voorzichtig zijn – studies daarnaar zijn er niet.</w:t>
      </w:r>
    </w:p>
    <w:p>
      <w:pPr>
        <w:numPr>
          <w:ilvl w:val="0"/>
          <w:numId w:val="1133"/>
        </w:numPr>
        <w:pStyle w:val="Compact"/>
      </w:pPr>
      <w:r>
        <w:rPr>
          <w:bCs/>
          <w:b/>
        </w:rPr>
        <w:t xml:space="preserve">Kanker:</w:t>
      </w:r>
      <w:r>
        <w:t xml:space="preserve"> </w:t>
      </w:r>
      <w:r>
        <w:t xml:space="preserve">omdat LL-37 in laboratoriumexperimenten de groei van sommige tumorsoorten bevordert</w:t>
      </w:r>
      <w:r>
        <w:rPr>
          <w:rStyle w:val="FootnoteReference"/>
        </w:rPr>
        <w:footnoteReference w:id="1114"/>
      </w:r>
      <w:r>
        <w:t xml:space="preserve">, is gebruik bij mensen met kanker of een voorgeschiedenis van kanker zonder studies niet in te schatten.</w:t>
      </w:r>
    </w:p>
    <w:p>
      <w:pPr>
        <w:numPr>
          <w:ilvl w:val="0"/>
          <w:numId w:val="1133"/>
        </w:numPr>
        <w:pStyle w:val="Compact"/>
      </w:pPr>
      <w:r>
        <w:rPr>
          <w:bCs/>
          <w:b/>
        </w:rPr>
        <w:t xml:space="preserve">Celschade bij hoge concentraties:</w:t>
      </w:r>
      <w:r>
        <w:t xml:space="preserve"> </w:t>
      </w:r>
      <w:r>
        <w:t xml:space="preserve">het peptide valt celomhullingen aan; in hogere concentraties kan het ook menselijke cellen beschadigen. Dat zou kunnen verklaren waarom in de eerste wondstudie de hoogste concentratie niet werkte.</w:t>
      </w:r>
    </w:p>
    <w:p>
      <w:pPr>
        <w:numPr>
          <w:ilvl w:val="0"/>
          <w:numId w:val="1133"/>
        </w:numPr>
        <w:pStyle w:val="Compact"/>
      </w:pPr>
      <w:r>
        <w:rPr>
          <w:bCs/>
          <w:b/>
        </w:rPr>
        <w:t xml:space="preserve">Grijze markt:</w:t>
      </w:r>
      <w:r>
        <w:t xml:space="preserve"> </w:t>
      </w:r>
      <w:r>
        <w:t xml:space="preserve">zoals bij alle</w:t>
      </w:r>
      <w:r>
        <w:t xml:space="preserve"> </w:t>
      </w:r>
      <w:r>
        <w:t xml:space="preserve">‘</w:t>
      </w:r>
      <w:r>
        <w:t xml:space="preserve">onderzoekspeptiden</w:t>
      </w:r>
      <w:r>
        <w:t xml:space="preserve">’</w:t>
      </w:r>
      <w:r>
        <w:t xml:space="preserve"> </w:t>
      </w:r>
      <w:r>
        <w:t xml:space="preserve">zijn zuiverheid, gehalte en steriliteit onbekend. Voor injecties geldt dat in bijzondere mate.</w:t>
      </w:r>
    </w:p>
    <w:bookmarkEnd w:id="1115"/>
    <w:bookmarkEnd w:id="1116"/>
    <w:bookmarkStart w:id="1117" w:name="juridische-status-19"/>
    <w:p>
      <w:pPr>
        <w:pStyle w:val="Heading3"/>
      </w:pPr>
      <w:r>
        <w:t xml:space="preserve">Juridische status</w:t>
      </w:r>
    </w:p>
    <w:p>
      <w:pPr>
        <w:pStyle w:val="FirstParagraph"/>
      </w:pPr>
      <w:r>
        <w:rPr>
          <w:iCs/>
          <w:i/>
        </w:rPr>
        <w:t xml:space="preserve">Stand 2026, actuele situatie controleren.</w:t>
      </w:r>
    </w:p>
    <w:p>
      <w:pPr>
        <w:numPr>
          <w:ilvl w:val="0"/>
          <w:numId w:val="1134"/>
        </w:numPr>
        <w:pStyle w:val="Compact"/>
      </w:pPr>
      <w:r>
        <w:rPr>
          <w:bCs/>
          <w:b/>
        </w:rPr>
        <w:t xml:space="preserve">EU, Duitsland, Oostenrijk:</w:t>
      </w:r>
      <w:r>
        <w:t xml:space="preserve"> </w:t>
      </w:r>
      <w:r>
        <w:t xml:space="preserve">LL-37 is niet geregistreerd als geneesmiddel. De ontwikkeling als wondmiddel door een Zweeds bedrijf (onder de naam ropocamptide) is naar weten van de auteur niet verder gekomen dan fase 2. Verkoop voor gebruik bij mensen is niet toegestaan.</w:t>
      </w:r>
    </w:p>
    <w:p>
      <w:pPr>
        <w:numPr>
          <w:ilvl w:val="0"/>
          <w:numId w:val="1134"/>
        </w:numPr>
        <w:pStyle w:val="Compact"/>
      </w:pPr>
      <w:r>
        <w:rPr>
          <w:bCs/>
          <w:b/>
        </w:rPr>
        <w:t xml:space="preserve">VS:</w:t>
      </w:r>
      <w:r>
        <w:t xml:space="preserve"> </w:t>
      </w:r>
      <w:r>
        <w:t xml:space="preserve">geen FDA-registratie.</w:t>
      </w:r>
    </w:p>
    <w:p>
      <w:pPr>
        <w:numPr>
          <w:ilvl w:val="0"/>
          <w:numId w:val="1134"/>
        </w:numPr>
        <w:pStyle w:val="Compact"/>
      </w:pPr>
      <w:r>
        <w:rPr>
          <w:bCs/>
          <w:b/>
        </w:rPr>
        <w:t xml:space="preserve">WADA:</w:t>
      </w:r>
      <w:r>
        <w:t xml:space="preserve"> </w:t>
      </w:r>
      <w:r>
        <w:t xml:space="preserve">niet bij naam vermeld; naar het oordeel van de auteur als niet-geregistreerde stof in te delen onder S0.</w:t>
      </w:r>
    </w:p>
    <w:bookmarkEnd w:id="1117"/>
    <w:bookmarkStart w:id="1118" w:name="lopende-studies-en-vooruitzichten-19"/>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geregistreerd waarin LL-37 als werkzame stof wordt toegediend. De twee vermeldingen met LL-37 als werkzame stof (melanoom, NCT02225366; diabetische voetzweer, NCT04098562) zijn afgerond resp. hebben een onbekende status. De overige registervermeldingen meten LL-37 alleen als biomarker, bijvoorbeeld in het tandvlees of bij toediening van vitamine D.</w:t>
      </w:r>
    </w:p>
    <w:p>
      <w:pPr>
        <w:pStyle w:val="BodyText"/>
      </w:pPr>
      <w:r>
        <w:rPr>
          <w:bCs/>
          <w:b/>
        </w:rPr>
        <w:t xml:space="preserve">Inschatting van de auteur:</w:t>
      </w:r>
      <w:r>
        <w:t xml:space="preserve"> </w:t>
      </w:r>
      <w:r>
        <w:t xml:space="preserve">LL-37 zelf zal als geneesmiddel nauwelijks een toekomst hebben – te instabiel, in hoge concentraties schadelijk voor cellen en behept met auto-immuunrisico’s. Het onderzoek verschuift naar ingekorte of veranderde afgeleiden en naar manieren om de lichaamseigen aanmaak te verhogen. Een wondstudie in de subgroep van grote beenzweren, zoals de HEAL-auteurs bepleiten, zou de volgende logische stap zijn; geregistreerd is die niet.</w:t>
      </w:r>
    </w:p>
    <w:bookmarkEnd w:id="1118"/>
    <w:bookmarkStart w:id="1120" w:name="conclusie-19"/>
    <w:p>
      <w:pPr>
        <w:pStyle w:val="Heading3"/>
      </w:pPr>
      <w:r>
        <w:t xml:space="preserve">Conclusie</w:t>
      </w:r>
    </w:p>
    <w:p>
      <w:pPr>
        <w:pStyle w:val="FirstParagraph"/>
      </w:pPr>
      <w:r>
        <w:t xml:space="preserve">LL-37 is een belangrijk lichaamseigen afweerpeptide waarvan de spiegel in veel studies werd gemeten – als werkzame stof werd het bij mensen echter maar in een paar kleine studies gegeven. Op wonden aangebracht werd het goed verdragen, maar de grootste gerandomiseerde studie met 148 personen vond geen voordeel ten opzichte van placebo</w:t>
      </w:r>
      <w:r>
        <w:rPr>
          <w:rStyle w:val="FootnoteReference"/>
        </w:rPr>
        <w:footnoteReference w:id="1119"/>
      </w:r>
      <w:r>
        <w:t xml:space="preserve">. Tegelijk speelt LL-37 bij psoriasis en rosacea een rol als aanjager van ontsteking, en een behandeling met injecties veroorzaakte in een gedocumenteerd geval uitgesproken huidafwijkingen. Voor de op internet aangeprezen toepassingen – zoals tegen chronische infecties of als immuunbooster per injectie – zijn er geen studies bij mensen.</w:t>
      </w:r>
    </w:p>
    <w:bookmarkEnd w:id="1120"/>
    <w:bookmarkEnd w:id="1121"/>
    <w:bookmarkStart w:id="1154" w:name="ara-290-cibinetide"/>
    <w:p>
      <w:pPr>
        <w:pStyle w:val="Heading2"/>
      </w:pPr>
      <w:r>
        <w:t xml:space="preserve">ARA-290 (cibinetide)</w:t>
      </w:r>
    </w:p>
    <w:p>
      <w:pPr>
        <w:pStyle w:val="FirstParagraph"/>
      </w:pPr>
      <w:r>
        <w:t xml:space="preserve">ARA-290 is een kunstmatig peptide dat is afgeleid van het bloedvormingshormoon erytropoëtine (EPO) – het hormoon dat in de wielersport als dopingmiddel beroemd werd. ARA-290 zou echter juist niet de bloedaanmaak moeten stimuleren, maar alleen de weefselbeschermende eigenschappen van EPO benutten. In kleine studies bij zenuwpijn in het kader van sarcoïdose liet het bemoedigende signalen zien. In de biohackingscene wordt het inmiddels aangeboden als peptide voor</w:t>
      </w:r>
      <w:r>
        <w:t xml:space="preserve"> </w:t>
      </w:r>
      <w:r>
        <w:t xml:space="preserve">‘</w:t>
      </w:r>
      <w:r>
        <w:t xml:space="preserve">zenuwregeneratie</w:t>
      </w:r>
      <w:r>
        <w:t xml:space="preserve">’</w:t>
      </w:r>
      <w:r>
        <w:t xml:space="preserve"> </w:t>
      </w:r>
      <w:r>
        <w:t xml:space="preserve">en</w:t>
      </w:r>
      <w:r>
        <w:t xml:space="preserve"> </w:t>
      </w:r>
      <w:r>
        <w:t xml:space="preserve">‘</w:t>
      </w:r>
      <w:r>
        <w:t xml:space="preserve">anti-aging</w:t>
      </w:r>
      <w:r>
        <w:t xml:space="preserve">’</w:t>
      </w:r>
      <w:r>
        <w:t xml:space="preserve">.</w:t>
      </w:r>
    </w:p>
    <w:bookmarkStart w:id="1124" w:name="profiel-20"/>
    <w:p>
      <w:pPr>
        <w:pStyle w:val="Heading3"/>
      </w:pPr>
      <w:r>
        <w:t xml:space="preserve">Profiel</w:t>
      </w:r>
    </w:p>
    <w:p>
      <w:pPr>
        <w:numPr>
          <w:ilvl w:val="0"/>
          <w:numId w:val="1135"/>
        </w:numPr>
        <w:pStyle w:val="Compact"/>
      </w:pPr>
      <w:r>
        <w:rPr>
          <w:bCs/>
          <w:b/>
        </w:rPr>
        <w:t xml:space="preserve">Soort en structuur:</w:t>
      </w:r>
      <w:r>
        <w:t xml:space="preserve"> </w:t>
      </w:r>
      <w:r>
        <w:t xml:space="preserve">synthetisch peptide van 11 aminozuren</w:t>
      </w:r>
      <w:r>
        <w:rPr>
          <w:rStyle w:val="FootnoteReference"/>
        </w:rPr>
        <w:footnoteReference w:id="1122"/>
      </w:r>
      <w:r>
        <w:t xml:space="preserve">; naam van de werkzame stof cibinetide.</w:t>
      </w:r>
    </w:p>
    <w:p>
      <w:pPr>
        <w:numPr>
          <w:ilvl w:val="0"/>
          <w:numId w:val="1135"/>
        </w:numPr>
        <w:pStyle w:val="Compact"/>
      </w:pPr>
      <w:r>
        <w:rPr>
          <w:bCs/>
          <w:b/>
        </w:rPr>
        <w:t xml:space="preserve">Herkomst:</w:t>
      </w:r>
      <w:r>
        <w:t xml:space="preserve"> </w:t>
      </w:r>
      <w:r>
        <w:t xml:space="preserve">nagebouwd naar een deel van de ruimtelijke structuur van erytropoëtine dat verantwoordelijk zou zijn voor de weefselbescherming ervan; ontwikkeld door het Amerikaanse bedrijf Araim Pharmaceuticals.</w:t>
      </w:r>
    </w:p>
    <w:p>
      <w:pPr>
        <w:numPr>
          <w:ilvl w:val="0"/>
          <w:numId w:val="1135"/>
        </w:numPr>
        <w:pStyle w:val="Compact"/>
      </w:pPr>
      <w:r>
        <w:rPr>
          <w:bCs/>
          <w:b/>
        </w:rPr>
        <w:t xml:space="preserve">Werkingsprincipe:</w:t>
      </w:r>
      <w:r>
        <w:t xml:space="preserve"> </w:t>
      </w:r>
      <w:r>
        <w:t xml:space="preserve">bindt aan een zogeheten</w:t>
      </w:r>
      <w:r>
        <w:t xml:space="preserve"> </w:t>
      </w:r>
      <w:r>
        <w:t xml:space="preserve">‘</w:t>
      </w:r>
      <w:r>
        <w:t xml:space="preserve">aangeboren herstelreceptor</w:t>
      </w:r>
      <w:r>
        <w:t xml:space="preserve">’</w:t>
      </w:r>
      <w:r>
        <w:t xml:space="preserve"> </w:t>
      </w:r>
      <w:r>
        <w:t xml:space="preserve">(een combinatie van de EPO-receptor en de receptorbouwsteen CD131), niet aan de klassieke EPO-receptor van de bloedaanmaak; zou ontstekingen dempen en weefselherstel op gang brengen.</w:t>
      </w:r>
    </w:p>
    <w:p>
      <w:pPr>
        <w:numPr>
          <w:ilvl w:val="0"/>
          <w:numId w:val="1135"/>
        </w:numPr>
        <w:pStyle w:val="Compact"/>
      </w:pPr>
      <w:r>
        <w:rPr>
          <w:bCs/>
          <w:b/>
        </w:rPr>
        <w:t xml:space="preserve">Registratie EU/VS:</w:t>
      </w:r>
      <w:r>
        <w:t xml:space="preserve"> </w:t>
      </w:r>
      <w:r>
        <w:t xml:space="preserve">nee.</w:t>
      </w:r>
    </w:p>
    <w:p>
      <w:pPr>
        <w:numPr>
          <w:ilvl w:val="0"/>
          <w:numId w:val="1135"/>
        </w:numPr>
        <w:pStyle w:val="Compact"/>
      </w:pPr>
      <w:r>
        <w:rPr>
          <w:bCs/>
          <w:b/>
        </w:rPr>
        <w:t xml:space="preserve">WADA:</w:t>
      </w:r>
      <w:r>
        <w:t xml:space="preserve"> </w:t>
      </w:r>
      <w:r>
        <w:t xml:space="preserve">verboden – niet-erytropoëtische EPO-receptoragonisten zoals ARA-290 worden in klasse S2 uitdrukkelijk genoemd; antidopinglaboratoria hebben detectiemethoden ontwikkeld</w:t>
      </w:r>
      <w:r>
        <w:rPr>
          <w:rStyle w:val="FootnoteReference"/>
        </w:rPr>
        <w:footnoteReference w:id="1123"/>
      </w:r>
      <w:r>
        <w:t xml:space="preserve">.</w:t>
      </w:r>
    </w:p>
    <w:p>
      <w:pPr>
        <w:numPr>
          <w:ilvl w:val="0"/>
          <w:numId w:val="1135"/>
        </w:numPr>
        <w:pStyle w:val="Compact"/>
      </w:pPr>
      <w:r>
        <w:rPr>
          <w:bCs/>
          <w:b/>
        </w:rPr>
        <w:t xml:space="preserve">Bewijsniveau: B</w:t>
      </w:r>
      <w:r>
        <w:t xml:space="preserve"> </w:t>
      </w:r>
      <w:r>
        <w:t xml:space="preserve">– meerdere kleine gerandomiseerde, placebogecontroleerde fase 2-studies; geen fase 3-studie.</w:t>
      </w:r>
    </w:p>
    <w:bookmarkEnd w:id="1124"/>
    <w:bookmarkStart w:id="1127" w:name="hoe-het-zou-moeten-werken-20"/>
    <w:p>
      <w:pPr>
        <w:pStyle w:val="Heading3"/>
      </w:pPr>
      <w:r>
        <w:t xml:space="preserve">Hoe het zou moeten werken</w:t>
      </w:r>
    </w:p>
    <w:p>
      <w:pPr>
        <w:pStyle w:val="FirstParagraph"/>
      </w:pPr>
      <w:r>
        <w:t xml:space="preserve">Erytropoëtine wordt in de nier gemaakt en stimuleert in het beenmerg de aanmaak van rode bloedcellen. In de jaren 2000 bleek in dierproeven dat EPO daarnaast zenuwen, hart en nieren tegen schade kan beschermen. Als geneesmiddel is EPO daarvoor echter ongeschikt: het verhoogt het aantal rode bloedcellen, maakt het bloed dikker en verhoogt het risico op trombose.</w:t>
      </w:r>
    </w:p>
    <w:p>
      <w:pPr>
        <w:pStyle w:val="BodyText"/>
      </w:pPr>
      <w:r>
        <w:t xml:space="preserve">De ontwikkelaars van ARA-290 vermoedden dat de beschermende werking via een andere receptor verloopt dan de bloedaanmaak. Deze</w:t>
      </w:r>
      <w:r>
        <w:t xml:space="preserve"> </w:t>
      </w:r>
      <w:r>
        <w:t xml:space="preserve">‘</w:t>
      </w:r>
      <w:r>
        <w:t xml:space="preserve">herstelreceptor</w:t>
      </w:r>
      <w:r>
        <w:t xml:space="preserve">’</w:t>
      </w:r>
      <w:r>
        <w:t xml:space="preserve"> </w:t>
      </w:r>
      <w:r>
        <w:t xml:space="preserve">wordt pas bij weefselschade of ontsteking in verhoogde mate gevormd. ARA-290 zou gericht alleen deze receptor activeren. Bij ratten met zenuwletsel verminderde het dosisafhankelijk de overgevoeligheid voor aanraking en kou tot 20 weken lang en dempte het de activering van immuuncellen in het ruggenmerg</w:t>
      </w:r>
      <w:r>
        <w:rPr>
          <w:rStyle w:val="FootnoteReference"/>
        </w:rPr>
        <w:footnoteReference w:id="1125"/>
      </w:r>
      <w:r>
        <w:t xml:space="preserve">.</w:t>
      </w:r>
    </w:p>
    <w:p>
      <w:pPr>
        <w:pStyle w:val="BodyText"/>
      </w:pPr>
      <w:r>
        <w:t xml:space="preserve">ARA-290 wordt in het bloed snel afgebroken; een antidopinglaboratorium beschreef een uitgesproken afbraak door enzymen met één belangrijk afbraakproduct</w:t>
      </w:r>
      <w:r>
        <w:rPr>
          <w:rStyle w:val="FootnoteReference"/>
        </w:rPr>
        <w:footnoteReference w:id="1126"/>
      </w:r>
      <w:r>
        <w:t xml:space="preserve">.</w:t>
      </w:r>
    </w:p>
    <w:bookmarkEnd w:id="1127"/>
    <w:bookmarkStart w:id="1136" w:name="studies-bij-mensen-2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5</w:t>
      </w:r>
      <w:r>
        <w:t xml:space="preserve"> </w:t>
      </w:r>
      <w:r>
        <w:t xml:space="preserve">studies bij mensen in PubMed en</w:t>
      </w:r>
      <w:r>
        <w:t xml:space="preserve"> </w:t>
      </w:r>
      <w:r>
        <w:rPr>
          <w:bCs/>
          <w:b/>
        </w:rPr>
        <w:t xml:space="preserve">5</w:t>
      </w:r>
      <w:r>
        <w:t xml:space="preserve"> </w:t>
      </w:r>
      <w:r>
        <w:t xml:space="preserve">vermeldingen bij ClinicalTrials.gov. Een andere studie (diabetisch macula-oedeem) werd gericht nagezocht. Alle studies zijn klein en duurden vier tot twaalf weken.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Sarcoïdose, pilotstudie (Heij 2012, PMID 23168581)</w:t>
            </w:r>
          </w:p>
        </w:tc>
        <w:tc>
          <w:tcPr/>
          <w:p>
            <w:pPr>
              <w:pStyle w:val="Compact"/>
              <w:jc w:val="left"/>
            </w:pPr>
            <w:r>
              <w:t xml:space="preserve">22 personen met zenuwpijn bij sarcoïdose, dubbelblinde RCT, infuus</w:t>
            </w:r>
          </w:p>
        </w:tc>
        <w:tc>
          <w:tcPr/>
          <w:p>
            <w:pPr>
              <w:pStyle w:val="Compact"/>
              <w:jc w:val="left"/>
            </w:pPr>
            <w:r>
              <w:t xml:space="preserve">4 weken</w:t>
            </w:r>
          </w:p>
        </w:tc>
        <w:tc>
          <w:tcPr/>
          <w:p>
            <w:pPr>
              <w:pStyle w:val="Compact"/>
              <w:jc w:val="left"/>
            </w:pPr>
            <w:r>
              <w:t xml:space="preserve">neuropathievragenlijst −11,5 vs. −2,9 punten; belangrijkste pijnschaal in beide groepen even sterk verbeterd</w:t>
            </w:r>
          </w:p>
        </w:tc>
      </w:tr>
      <w:tr>
        <w:tc>
          <w:tcPr/>
          <w:p>
            <w:pPr>
              <w:pStyle w:val="Compact"/>
              <w:jc w:val="left"/>
            </w:pPr>
            <w:r>
              <w:t xml:space="preserve">Sarcoïdose, injectie onder de huid (Dahan 2013, PMID 24136731)</w:t>
            </w:r>
          </w:p>
        </w:tc>
        <w:tc>
          <w:tcPr/>
          <w:p>
            <w:pPr>
              <w:pStyle w:val="Compact"/>
              <w:jc w:val="left"/>
            </w:pPr>
            <w:r>
              <w:t xml:space="preserve">personen met verlies van zenuwvezels bij sarcoïdose, geblindeerde, placebogecontroleerde studie</w:t>
            </w:r>
          </w:p>
        </w:tc>
        <w:tc>
          <w:tcPr/>
          <w:p>
            <w:pPr>
              <w:pStyle w:val="Compact"/>
              <w:jc w:val="left"/>
            </w:pPr>
            <w:r>
              <w:t xml:space="preserve">28 dagen</w:t>
            </w:r>
          </w:p>
        </w:tc>
        <w:tc>
          <w:tcPr/>
          <w:p>
            <w:pPr>
              <w:pStyle w:val="Compact"/>
              <w:jc w:val="left"/>
            </w:pPr>
            <w:r>
              <w:t xml:space="preserve">verbetering van de klachten, meer zenuwvezels in het hoornvlies, langere loopafstand</w:t>
            </w:r>
          </w:p>
        </w:tc>
      </w:tr>
      <w:tr>
        <w:tc>
          <w:tcPr/>
          <w:p>
            <w:pPr>
              <w:pStyle w:val="Compact"/>
              <w:jc w:val="left"/>
            </w:pPr>
            <w:r>
              <w:t xml:space="preserve">Sarcoïdose, fase 2b (Culver 2017, PMID 28475703; NCT02039687)</w:t>
            </w:r>
          </w:p>
        </w:tc>
        <w:tc>
          <w:tcPr/>
          <w:p>
            <w:pPr>
              <w:pStyle w:val="Compact"/>
              <w:jc w:val="left"/>
            </w:pPr>
            <w:r>
              <w:t xml:space="preserve">64 personen, RCT met drie doses en placebo</w:t>
            </w:r>
          </w:p>
        </w:tc>
        <w:tc>
          <w:tcPr/>
          <w:p>
            <w:pPr>
              <w:pStyle w:val="Compact"/>
              <w:jc w:val="left"/>
            </w:pPr>
            <w:r>
              <w:t xml:space="preserve">28 dagen</w:t>
            </w:r>
          </w:p>
        </w:tc>
        <w:tc>
          <w:tcPr/>
          <w:p>
            <w:pPr>
              <w:pStyle w:val="Compact"/>
              <w:jc w:val="left"/>
            </w:pPr>
            <w:r>
              <w:t xml:space="preserve">zenuwvezeloppervlak van het hoornvlies alleen bij de middelste dosis significant toegenomen; pijn in alle groepen inclusief placebo verbeterd</w:t>
            </w:r>
          </w:p>
        </w:tc>
      </w:tr>
      <w:tr>
        <w:tc>
          <w:tcPr/>
          <w:p>
            <w:pPr>
              <w:pStyle w:val="Compact"/>
              <w:jc w:val="left"/>
            </w:pPr>
            <w:r>
              <w:t xml:space="preserve">Diabetes type 2 met neuropathie (Brines 2015, PMID 25387363)</w:t>
            </w:r>
          </w:p>
        </w:tc>
        <w:tc>
          <w:tcPr/>
          <w:p>
            <w:pPr>
              <w:pStyle w:val="Compact"/>
              <w:jc w:val="left"/>
            </w:pPr>
            <w:r>
              <w:t xml:space="preserve">personen met diabetes type 2 en zenuwpijn, fase 2, tegen placebo</w:t>
            </w:r>
          </w:p>
        </w:tc>
        <w:tc>
          <w:tcPr/>
          <w:p>
            <w:pPr>
              <w:pStyle w:val="Compact"/>
              <w:jc w:val="left"/>
            </w:pPr>
            <w:r>
              <w:t xml:space="preserve">28 dagen plus 28 dagen</w:t>
            </w:r>
          </w:p>
        </w:tc>
        <w:tc>
          <w:tcPr/>
          <w:p>
            <w:pPr>
              <w:pStyle w:val="Compact"/>
              <w:jc w:val="left"/>
            </w:pPr>
            <w:r>
              <w:t xml:space="preserve">HbA1c en bloedvetten verbeterd, neuropathievragenlijst beter</w:t>
            </w:r>
          </w:p>
        </w:tc>
      </w:tr>
      <w:tr>
        <w:tc>
          <w:tcPr/>
          <w:p>
            <w:pPr>
              <w:pStyle w:val="Compact"/>
              <w:jc w:val="left"/>
            </w:pPr>
            <w:r>
              <w:t xml:space="preserve">Diabetisch macula-oedeem (Lois 2020, PMID 32674280)</w:t>
            </w:r>
          </w:p>
        </w:tc>
        <w:tc>
          <w:tcPr/>
          <w:p>
            <w:pPr>
              <w:pStyle w:val="Compact"/>
              <w:jc w:val="left"/>
            </w:pPr>
            <w:r>
              <w:t xml:space="preserve">9 personen, fase 2 zonder controlegroep</w:t>
            </w:r>
          </w:p>
        </w:tc>
        <w:tc>
          <w:tcPr/>
          <w:p>
            <w:pPr>
              <w:pStyle w:val="Compact"/>
              <w:jc w:val="left"/>
            </w:pPr>
            <w:r>
              <w:t xml:space="preserve">12 weken</w:t>
            </w:r>
          </w:p>
        </w:tc>
        <w:tc>
          <w:tcPr/>
          <w:p>
            <w:pPr>
              <w:pStyle w:val="Compact"/>
              <w:jc w:val="left"/>
            </w:pPr>
            <w:r>
              <w:t xml:space="preserve">geen verbetering van gezichtsscherpte of netvliesdikte; geen antilichamen tegen de werkzame stof</w:t>
            </w:r>
          </w:p>
        </w:tc>
      </w:tr>
      <w:tr>
        <w:tc>
          <w:tcPr/>
          <w:p>
            <w:pPr>
              <w:pStyle w:val="Compact"/>
              <w:jc w:val="left"/>
            </w:pPr>
            <w:r>
              <w:t xml:space="preserve">Gezonden, stemming (Cerit 2015, PMID 26431906)</w:t>
            </w:r>
          </w:p>
        </w:tc>
        <w:tc>
          <w:tcPr/>
          <w:p>
            <w:pPr>
              <w:pStyle w:val="Compact"/>
              <w:jc w:val="left"/>
            </w:pPr>
            <w:r>
              <w:t xml:space="preserve">36 gezonden, dubbelblinde RCT, eenmalige dosis</w:t>
            </w:r>
          </w:p>
        </w:tc>
        <w:tc>
          <w:tcPr/>
          <w:p>
            <w:pPr>
              <w:pStyle w:val="Compact"/>
              <w:jc w:val="left"/>
            </w:pPr>
            <w:r>
              <w:t xml:space="preserve">1 week</w:t>
            </w:r>
          </w:p>
        </w:tc>
        <w:tc>
          <w:tcPr/>
          <w:p>
            <w:pPr>
              <w:pStyle w:val="Compact"/>
              <w:jc w:val="left"/>
            </w:pPr>
            <w:r>
              <w:t xml:space="preserve">geen effect op de stemming; bevindingen pleiten niet eenduidig voor een antidepressieve werking</w:t>
            </w:r>
          </w:p>
        </w:tc>
      </w:tr>
    </w:tbl>
    <w:bookmarkStart w:id="1131" w:name="X1f30c78cde5fa20125c481d666cd32c09fa98da"/>
    <w:p>
      <w:pPr>
        <w:pStyle w:val="Heading4"/>
      </w:pPr>
      <w:r>
        <w:t xml:space="preserve">Sarcoïdose – het belangrijkste toepassingsgebied</w:t>
      </w:r>
    </w:p>
    <w:p>
      <w:pPr>
        <w:pStyle w:val="FirstParagraph"/>
      </w:pPr>
      <w:r>
        <w:t xml:space="preserve">Sarcoïdose is een ontstekingsziekte waarbij zich in longen, huid, ogen en andere organen kleine knobbeltjes vormen. Veel patiënten lijden aan brandende pijn en gevoelsstoornissen door beschadigde fijne zenuwvezels (dunnevezelneuropathie). Werkzame behandelingen zijn er nauwelijks.</w:t>
      </w:r>
    </w:p>
    <w:p>
      <w:pPr>
        <w:pStyle w:val="BodyText"/>
      </w:pPr>
      <w:r>
        <w:t xml:space="preserve">In de eerste pilotstudie met 22 personen verbeterde een vragenlijst over neuropathieklachten met ARA-290 duidelijk sterker dan met placebo. De waarden van de belangrijkste pijnvragenlijst en van de vermoeidheid verbeterden echter in beide groepen even sterk – een aanwijzing voor een aanzienlijk placebo-effect</w:t>
      </w:r>
      <w:r>
        <w:rPr>
          <w:rStyle w:val="FootnoteReference"/>
        </w:rPr>
        <w:footnoteReference w:id="1128"/>
      </w:r>
      <w:r>
        <w:t xml:space="preserve">.</w:t>
      </w:r>
    </w:p>
    <w:p>
      <w:pPr>
        <w:pStyle w:val="BodyText"/>
      </w:pPr>
      <w:r>
        <w:t xml:space="preserve">De grootste studie, een fase 2b-studie met 64 personen, koos als primaire grootheid het oppervlak van de fijne zenuwvezels in het hoornvlies van het oog, dat met een speciale microscoop kan worden gemeten. Alleen bij de middelste van drie doses nam dit oppervlak ten opzichte van placebo significant toe; de lage en de hoge dosis lieten geen significant effect zien. De pijn verbeterde in alle groepen, ook met placebo</w:t>
      </w:r>
      <w:r>
        <w:rPr>
          <w:rStyle w:val="FootnoteReference"/>
        </w:rPr>
        <w:footnoteReference w:id="1129"/>
      </w:r>
      <w:r>
        <w:t xml:space="preserve">. De zenuwvezels in het hoornvlies zijn een surrogaatmarker (surrogaateindpunt): of meer zenuwvezels in het hoornvlies ook blijvend minder pijn betekenen, is niet aangetoond.</w:t>
      </w:r>
    </w:p>
    <w:p>
      <w:pPr>
        <w:pStyle w:val="BodyText"/>
      </w:pPr>
      <w:r>
        <w:t xml:space="preserve">Een overzicht van leden van de Leidse onderzoeksgroep beoordeelde de vooruitzichten als veelbelovend</w:t>
      </w:r>
      <w:r>
        <w:rPr>
          <w:rStyle w:val="FootnoteReference"/>
        </w:rPr>
        <w:footnoteReference w:id="1130"/>
      </w:r>
      <w:r>
        <w:t xml:space="preserve">. Daarbij moet worden bedacht dat een groot deel van de studies afkomstig is van het ontwikkelende bedrijf en nauw daarmee verbonden onderzoekers.</w:t>
      </w:r>
    </w:p>
    <w:bookmarkEnd w:id="1131"/>
    <w:bookmarkStart w:id="1135" w:name="diabetes"/>
    <w:p>
      <w:pPr>
        <w:pStyle w:val="Heading4"/>
      </w:pPr>
      <w:r>
        <w:t xml:space="preserve">Diabetes</w:t>
      </w:r>
    </w:p>
    <w:p>
      <w:pPr>
        <w:pStyle w:val="FirstParagraph"/>
      </w:pPr>
      <w:r>
        <w:t xml:space="preserve">Bij mensen met diabetes type 2 en pijnlijke neuropathie verbeterden met ARA-290 over 28 dagen de langetermijnbloedsuiker HbA1c, de bloedvetten en de neuropathieklachten</w:t>
      </w:r>
      <w:r>
        <w:rPr>
          <w:rStyle w:val="FootnoteReference"/>
        </w:rPr>
        <w:footnoteReference w:id="1132"/>
      </w:r>
      <w:r>
        <w:t xml:space="preserve">. Het aantal deelnemers staat niet in het abstract; de studie was kort. Een afzonderlijk geregistreerde Zweedse studie naar het effect op de bloedsuiker bij prediabetes met gepland 24 personen heeft een onbekende status</w:t>
      </w:r>
      <w:r>
        <w:rPr>
          <w:rStyle w:val="FootnoteReference"/>
        </w:rPr>
        <w:footnoteReference w:id="1133"/>
      </w:r>
      <w:r>
        <w:t xml:space="preserve">. Bij negen personen met diabetisch macula-oedeem – een zwelling van het centrum van het netvlies – verbeterden gezichtsscherpte en netvliesdikte niet</w:t>
      </w:r>
      <w:r>
        <w:rPr>
          <w:rStyle w:val="FootnoteReference"/>
        </w:rPr>
        <w:footnoteReference w:id="1134"/>
      </w:r>
      <w:r>
        <w:t xml:space="preserve">.</w:t>
      </w:r>
    </w:p>
    <w:bookmarkEnd w:id="1135"/>
    <w:bookmarkEnd w:id="1136"/>
    <w:bookmarkStart w:id="1142" w:name="dier--en-laboratoriumstudies-20"/>
    <w:p>
      <w:pPr>
        <w:pStyle w:val="Heading3"/>
      </w:pPr>
      <w:r>
        <w:t xml:space="preserve">Dier- en laboratoriumstudies</w:t>
      </w:r>
    </w:p>
    <w:p>
      <w:pPr>
        <w:pStyle w:val="FirstParagraph"/>
      </w:pPr>
      <w:r>
        <w:t xml:space="preserve">Het dieronderzoek naar ARA-290 is breed. Bij ratten, muizen en varkens werden beschermende effecten beschreven bij zenuwpijn</w:t>
      </w:r>
      <w:r>
        <w:rPr>
          <w:rStyle w:val="FootnoteReference"/>
        </w:rPr>
        <w:footnoteReference w:id="1137"/>
      </w:r>
      <w:r>
        <w:t xml:space="preserve">, nierschade na doorbloedingsstoornis bij varkens</w:t>
      </w:r>
      <w:r>
        <w:rPr>
          <w:rStyle w:val="FootnoteReference"/>
        </w:rPr>
        <w:footnoteReference w:id="1138"/>
      </w:r>
      <w:r>
        <w:t xml:space="preserve">, diabetes bij ratten</w:t>
      </w:r>
      <w:r>
        <w:rPr>
          <w:rStyle w:val="FootnoteReference"/>
        </w:rPr>
        <w:footnoteReference w:id="1139"/>
      </w:r>
      <w:r>
        <w:t xml:space="preserve"> </w:t>
      </w:r>
      <w:r>
        <w:t xml:space="preserve">en alzheimerachtige veranderingen</w:t>
      </w:r>
      <w:r>
        <w:rPr>
          <w:rStyle w:val="FootnoteReference"/>
        </w:rPr>
        <w:footnoteReference w:id="1140"/>
      </w:r>
      <w:r>
        <w:t xml:space="preserve">. In een langetermijnstudie bij verouderende ratten over 15 maanden verminderde ARA-290 ontstekingskenmerken in het hart en verzachtte het leeftijdsgebonden verslechteringen van de hartfunctie</w:t>
      </w:r>
      <w:r>
        <w:rPr>
          <w:rStyle w:val="FootnoteReference"/>
        </w:rPr>
        <w:footnoteReference w:id="1141"/>
      </w:r>
      <w:r>
        <w:t xml:space="preserve"> </w:t>
      </w:r>
      <w:r>
        <w:t xml:space="preserve">– op deze studie steunt de marketing als</w:t>
      </w:r>
      <w:r>
        <w:t xml:space="preserve"> </w:t>
      </w:r>
      <w:r>
        <w:t xml:space="preserve">‘</w:t>
      </w:r>
      <w:r>
        <w:t xml:space="preserve">anti-agingpeptide</w:t>
      </w:r>
      <w:r>
        <w:t xml:space="preserve">’</w:t>
      </w:r>
      <w:r>
        <w:t xml:space="preserve">. Al deze resultaten komen uit dierproeven.</w:t>
      </w:r>
    </w:p>
    <w:bookmarkEnd w:id="1142"/>
    <w:bookmarkStart w:id="1147" w:name="risicos-en-bijwerkingen-20"/>
    <w:p>
      <w:pPr>
        <w:pStyle w:val="Heading3"/>
      </w:pPr>
      <w:r>
        <w:t xml:space="preserve">Risico’s en bijwerkingen</w:t>
      </w:r>
    </w:p>
    <w:bookmarkStart w:id="1145" w:name="aangetoond-4"/>
    <w:p>
      <w:pPr>
        <w:pStyle w:val="Heading4"/>
      </w:pPr>
      <w:r>
        <w:t xml:space="preserve">Aangetoond</w:t>
      </w:r>
    </w:p>
    <w:p>
      <w:pPr>
        <w:pStyle w:val="FirstParagraph"/>
      </w:pPr>
      <w:r>
        <w:t xml:space="preserve">In alle gepubliceerde studies werden geen veiligheidsproblemen gemeld</w:t>
      </w:r>
      <w:r>
        <w:rPr>
          <w:rStyle w:val="FootnoteReference"/>
        </w:rPr>
        <w:footnoteReference w:id="1143"/>
      </w:r>
      <w:r>
        <w:t xml:space="preserve">. In de macula-oedeemstudie van twaalf weken traden geen ernstige bijwerkingen en geen antilichamen tegen ARA-290 op</w:t>
      </w:r>
      <w:r>
        <w:rPr>
          <w:rStyle w:val="FootnoteReference"/>
        </w:rPr>
        <w:footnoteReference w:id="1144"/>
      </w:r>
      <w:r>
        <w:t xml:space="preserve">. De gegevensbasis is met in totaal duidelijk minder dan 200 behandelde personen en behandelduren van hooguit twaalf weken echter klein.</w:t>
      </w:r>
    </w:p>
    <w:bookmarkEnd w:id="1145"/>
    <w:bookmarkStart w:id="1146" w:name="theoretisch-1"/>
    <w:p>
      <w:pPr>
        <w:pStyle w:val="Heading4"/>
      </w:pPr>
      <w:r>
        <w:t xml:space="preserve">Theoretisch</w:t>
      </w:r>
    </w:p>
    <w:p>
      <w:pPr>
        <w:numPr>
          <w:ilvl w:val="0"/>
          <w:numId w:val="1136"/>
        </w:numPr>
        <w:pStyle w:val="Compact"/>
      </w:pPr>
      <w:r>
        <w:rPr>
          <w:bCs/>
          <w:b/>
        </w:rPr>
        <w:t xml:space="preserve">EPO-achtige effecten:</w:t>
      </w:r>
      <w:r>
        <w:t xml:space="preserve"> </w:t>
      </w:r>
      <w:r>
        <w:t xml:space="preserve">ARA-290 is zo ontworpen dat het de bloedaanmaak niet stimuleert. Of bij langer gebruik of hogere doses, zoals die op de grijze markt circuleren, toch EPO-achtige effecten optreden, is bij mensen niet onderzocht.</w:t>
      </w:r>
    </w:p>
    <w:p>
      <w:pPr>
        <w:numPr>
          <w:ilvl w:val="0"/>
          <w:numId w:val="1136"/>
        </w:numPr>
        <w:pStyle w:val="Compact"/>
      </w:pPr>
      <w:r>
        <w:rPr>
          <w:bCs/>
          <w:b/>
        </w:rPr>
        <w:t xml:space="preserve">Tumorgroei:</w:t>
      </w:r>
      <w:r>
        <w:t xml:space="preserve"> </w:t>
      </w:r>
      <w:r>
        <w:t xml:space="preserve">EPO zelf wordt ervan verdacht bij sommige vormen van kanker de tumorgroei te bevorderen. Of dat voor ARA-290 een rol speelt, is onbekend; langetermijngegevens ontbreken.</w:t>
      </w:r>
    </w:p>
    <w:p>
      <w:pPr>
        <w:numPr>
          <w:ilvl w:val="0"/>
          <w:numId w:val="1136"/>
        </w:numPr>
        <w:pStyle w:val="Compact"/>
      </w:pPr>
      <w:r>
        <w:rPr>
          <w:bCs/>
          <w:b/>
        </w:rPr>
        <w:t xml:space="preserve">Grijze markt:</w:t>
      </w:r>
      <w:r>
        <w:t xml:space="preserve"> </w:t>
      </w:r>
      <w:r>
        <w:t xml:space="preserve">de studies werden uitgevoerd met geneesmiddelkwaliteit. Voor vrij verkochte producten zijn zuiverheid en gehalte onbekend.</w:t>
      </w:r>
    </w:p>
    <w:bookmarkEnd w:id="1146"/>
    <w:bookmarkEnd w:id="1147"/>
    <w:bookmarkStart w:id="1148" w:name="juridische-status-20"/>
    <w:p>
      <w:pPr>
        <w:pStyle w:val="Heading3"/>
      </w:pPr>
      <w:r>
        <w:t xml:space="preserve">Juridische status</w:t>
      </w:r>
    </w:p>
    <w:p>
      <w:pPr>
        <w:pStyle w:val="FirstParagraph"/>
      </w:pPr>
      <w:r>
        <w:rPr>
          <w:iCs/>
          <w:i/>
        </w:rPr>
        <w:t xml:space="preserve">Stand 2026, actuele situatie controleren.</w:t>
      </w:r>
    </w:p>
    <w:p>
      <w:pPr>
        <w:numPr>
          <w:ilvl w:val="0"/>
          <w:numId w:val="1137"/>
        </w:numPr>
        <w:pStyle w:val="Compact"/>
      </w:pPr>
      <w:r>
        <w:rPr>
          <w:bCs/>
          <w:b/>
        </w:rPr>
        <w:t xml:space="preserve">EU, Duitsland, Oostenrijk:</w:t>
      </w:r>
      <w:r>
        <w:t xml:space="preserve"> </w:t>
      </w:r>
      <w:r>
        <w:t xml:space="preserve">niet geregistreerd. Levering voor gebruik bij mensen is niet toegestaan.</w:t>
      </w:r>
    </w:p>
    <w:p>
      <w:pPr>
        <w:numPr>
          <w:ilvl w:val="0"/>
          <w:numId w:val="1137"/>
        </w:numPr>
        <w:pStyle w:val="Compact"/>
      </w:pPr>
      <w:r>
        <w:rPr>
          <w:bCs/>
          <w:b/>
        </w:rPr>
        <w:t xml:space="preserve">VS:</w:t>
      </w:r>
      <w:r>
        <w:t xml:space="preserve"> </w:t>
      </w:r>
      <w:r>
        <w:t xml:space="preserve">geen FDA-registratie.</w:t>
      </w:r>
    </w:p>
    <w:p>
      <w:pPr>
        <w:numPr>
          <w:ilvl w:val="0"/>
          <w:numId w:val="1137"/>
        </w:numPr>
        <w:pStyle w:val="Compact"/>
      </w:pPr>
      <w:r>
        <w:rPr>
          <w:bCs/>
          <w:b/>
        </w:rPr>
        <w:t xml:space="preserve">WADA:</w:t>
      </w:r>
      <w:r>
        <w:t xml:space="preserve"> </w:t>
      </w:r>
      <w:r>
        <w:t xml:space="preserve">binnen en buiten wedstrijden verboden (S2, peptidehormonen en verwante stoffen; ARA-290 wordt genoemd als voorbeeld van niet-erytropoëtische EPO-receptoragonisten).</w:t>
      </w:r>
    </w:p>
    <w:bookmarkEnd w:id="1148"/>
    <w:bookmarkStart w:id="1151" w:name="lopende-studies-en-vooruitzichten-20"/>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ARA-290 resp. cibinetide geregistreerd. De tot nu toe grootste studie</w:t>
      </w:r>
      <w:r>
        <w:rPr>
          <w:rStyle w:val="FootnoteReference"/>
        </w:rPr>
        <w:footnoteReference w:id="1149"/>
      </w:r>
      <w:r>
        <w:t xml:space="preserve"> </w:t>
      </w:r>
      <w:r>
        <w:t xml:space="preserve">werd in 2015 afgerond; sindsdien is geen fase 3-studie gestart. De studie naar macula-oedeem werd met negen personen beëindigd</w:t>
      </w:r>
      <w:r>
        <w:rPr>
          <w:rStyle w:val="FootnoteReference"/>
        </w:rPr>
        <w:footnoteReference w:id="1150"/>
      </w:r>
      <w:r>
        <w:t xml:space="preserve">.</w:t>
      </w:r>
    </w:p>
    <w:p>
      <w:pPr>
        <w:pStyle w:val="BodyText"/>
      </w:pPr>
      <w:r>
        <w:rPr>
          <w:bCs/>
          <w:b/>
        </w:rPr>
        <w:t xml:space="preserve">Inschatting van de auteur:</w:t>
      </w:r>
      <w:r>
        <w:t xml:space="preserve"> </w:t>
      </w:r>
      <w:r>
        <w:t xml:space="preserve">de resultaten bij sarcoïdoseneuropathie waren interessant genoeg voor een fase 3-studie, die echter meer dan tien jaar na de fase 2b-studie niet zichtbaar is begonnen. Zonder nieuwe ontwikkelaar of financier is een registratie onwaarschijnlijk. De marketing op de grijze markt als anti-agingmiddel steunt op rattenstudies en heeft weinig te maken met de onderzochte toepassingen bij mensen.</w:t>
      </w:r>
    </w:p>
    <w:bookmarkEnd w:id="1151"/>
    <w:bookmarkStart w:id="1153" w:name="conclusie-20"/>
    <w:p>
      <w:pPr>
        <w:pStyle w:val="Heading3"/>
      </w:pPr>
      <w:r>
        <w:t xml:space="preserve">Conclusie</w:t>
      </w:r>
    </w:p>
    <w:p>
      <w:pPr>
        <w:pStyle w:val="FirstParagraph"/>
      </w:pPr>
      <w:r>
        <w:t xml:space="preserve">ARA-290 is een van erytropoëtine afgeleid peptide dat weefsel zou moeten beschermen zonder de bloedaanmaak te stimuleren. In kleine gerandomiseerde studies bij zenuwschade door sarcoïdose namen zenuwvezels in het hoornvlies toe, maar slechts bij één van drie doses, en de pijn verbeterde ook met placebo duidelijk</w:t>
      </w:r>
      <w:r>
        <w:rPr>
          <w:rStyle w:val="FootnoteReference"/>
        </w:rPr>
        <w:footnoteReference w:id="1152"/>
      </w:r>
      <w:r>
        <w:t xml:space="preserve">. De verdraagbaarheid was in de korte studies goed, langetermijngegevens ontbreken. Sinds 2015 zijn er geen nieuwe geregistreerde studies; in de sport is ARA-290 verboden.</w:t>
      </w:r>
    </w:p>
    <w:bookmarkEnd w:id="1153"/>
    <w:bookmarkEnd w:id="1154"/>
    <w:bookmarkStart w:id="1192" w:name="larazotide"/>
    <w:p>
      <w:pPr>
        <w:pStyle w:val="Heading2"/>
      </w:pPr>
      <w:r>
        <w:t xml:space="preserve">Larazotide</w:t>
      </w:r>
    </w:p>
    <w:p>
      <w:pPr>
        <w:pStyle w:val="FirstParagraph"/>
      </w:pPr>
      <w:r>
        <w:t xml:space="preserve">Larazotide is het enige peptide in deze groep dat het tot een fase 3-registratiestudie heeft geschopt zonder eerder ergens geregistreerd te zijn. Het moest het eerste geneesmiddel tegen coeliakie worden – een aandoening waarbij tot op heden alleen levenslang glutenvrij eten helpt. Het onderliggende concept, het afdichten van een</w:t>
      </w:r>
      <w:r>
        <w:t xml:space="preserve"> </w:t>
      </w:r>
      <w:r>
        <w:t xml:space="preserve">‘</w:t>
      </w:r>
      <w:r>
        <w:t xml:space="preserve">lekke</w:t>
      </w:r>
      <w:r>
        <w:t xml:space="preserve">’</w:t>
      </w:r>
      <w:r>
        <w:t xml:space="preserve"> </w:t>
      </w:r>
      <w:r>
        <w:t xml:space="preserve">darmwand, maakt larazotide ook interessant voor de scene rond de</w:t>
      </w:r>
      <w:r>
        <w:t xml:space="preserve"> </w:t>
      </w:r>
      <w:r>
        <w:t xml:space="preserve">‘</w:t>
      </w:r>
      <w:r>
        <w:t xml:space="preserve">leaky gut</w:t>
      </w:r>
      <w:r>
        <w:t xml:space="preserve">’</w:t>
      </w:r>
      <w:r>
        <w:t xml:space="preserve">. De geschiedenis van deze werkzame stof laat zien hoe moeilijk het is om van een aannemelijk idee een werkzaam geneesmiddel te maken.</w:t>
      </w:r>
    </w:p>
    <w:bookmarkStart w:id="1156" w:name="profiel-21"/>
    <w:p>
      <w:pPr>
        <w:pStyle w:val="Heading3"/>
      </w:pPr>
      <w:r>
        <w:t xml:space="preserve">Profiel</w:t>
      </w:r>
    </w:p>
    <w:p>
      <w:pPr>
        <w:numPr>
          <w:ilvl w:val="0"/>
          <w:numId w:val="1138"/>
        </w:numPr>
        <w:pStyle w:val="Compact"/>
      </w:pPr>
      <w:r>
        <w:rPr>
          <w:bCs/>
          <w:b/>
        </w:rPr>
        <w:t xml:space="preserve">Soort en structuur:</w:t>
      </w:r>
      <w:r>
        <w:t xml:space="preserve"> </w:t>
      </w:r>
      <w:r>
        <w:t xml:space="preserve">synthetisch peptide van 8 aminozuren</w:t>
      </w:r>
      <w:r>
        <w:rPr>
          <w:rStyle w:val="FootnoteReference"/>
        </w:rPr>
        <w:footnoteReference w:id="1155"/>
      </w:r>
      <w:r>
        <w:t xml:space="preserve">, als acetaatzout (larazotideacetaat); ontwikkelingscode AT-1001.</w:t>
      </w:r>
    </w:p>
    <w:p>
      <w:pPr>
        <w:numPr>
          <w:ilvl w:val="0"/>
          <w:numId w:val="1138"/>
        </w:numPr>
        <w:pStyle w:val="Compact"/>
      </w:pPr>
      <w:r>
        <w:rPr>
          <w:bCs/>
          <w:b/>
        </w:rPr>
        <w:t xml:space="preserve">Herkomst:</w:t>
      </w:r>
      <w:r>
        <w:t xml:space="preserve"> </w:t>
      </w:r>
      <w:r>
        <w:t xml:space="preserve">afgeleid van het onderzoek naar het zonula-occludens-toxine van de cholerabacterie, dat de verbindingen tussen darmcellen opent; larazotide zou omgekeerd moeten werken.</w:t>
      </w:r>
    </w:p>
    <w:p>
      <w:pPr>
        <w:numPr>
          <w:ilvl w:val="0"/>
          <w:numId w:val="1138"/>
        </w:numPr>
        <w:pStyle w:val="Compact"/>
      </w:pPr>
      <w:r>
        <w:rPr>
          <w:bCs/>
          <w:b/>
        </w:rPr>
        <w:t xml:space="preserve">Werkingsprincipe:</w:t>
      </w:r>
      <w:r>
        <w:t xml:space="preserve"> </w:t>
      </w:r>
      <w:r>
        <w:t xml:space="preserve">regulator van de</w:t>
      </w:r>
      <w:r>
        <w:t xml:space="preserve"> </w:t>
      </w:r>
      <w:r>
        <w:t xml:space="preserve">‘</w:t>
      </w:r>
      <w:r>
        <w:t xml:space="preserve">tight junctions</w:t>
      </w:r>
      <w:r>
        <w:t xml:space="preserve">’</w:t>
      </w:r>
      <w:r>
        <w:t xml:space="preserve"> </w:t>
      </w:r>
      <w:r>
        <w:t xml:space="preserve">(sluitlijsten tussen darmcellen); geldt als tegenspeler van de lichaamseigen signaalstof zonuline. Werkt plaatselijk in de darm en wordt nauwelijks in het bloed opgenomen.</w:t>
      </w:r>
    </w:p>
    <w:p>
      <w:pPr>
        <w:numPr>
          <w:ilvl w:val="0"/>
          <w:numId w:val="1138"/>
        </w:numPr>
        <w:pStyle w:val="Compact"/>
      </w:pPr>
      <w:r>
        <w:rPr>
          <w:bCs/>
          <w:b/>
        </w:rPr>
        <w:t xml:space="preserve">Registratie EU/VS:</w:t>
      </w:r>
      <w:r>
        <w:t xml:space="preserve"> </w:t>
      </w:r>
      <w:r>
        <w:t xml:space="preserve">nee.</w:t>
      </w:r>
    </w:p>
    <w:p>
      <w:pPr>
        <w:numPr>
          <w:ilvl w:val="0"/>
          <w:numId w:val="1138"/>
        </w:numPr>
        <w:pStyle w:val="Compact"/>
      </w:pPr>
      <w:r>
        <w:rPr>
          <w:bCs/>
          <w:b/>
        </w:rPr>
        <w:t xml:space="preserve">WADA:</w:t>
      </w:r>
      <w:r>
        <w:t xml:space="preserve"> </w:t>
      </w:r>
      <w:r>
        <w:t xml:space="preserve">niet vermeld; zonder herkenbare prestatieverhogende werking.</w:t>
      </w:r>
    </w:p>
    <w:p>
      <w:pPr>
        <w:numPr>
          <w:ilvl w:val="0"/>
          <w:numId w:val="1138"/>
        </w:numPr>
        <w:pStyle w:val="Compact"/>
      </w:pPr>
      <w:r>
        <w:rPr>
          <w:bCs/>
          <w:b/>
        </w:rPr>
        <w:t xml:space="preserve">Bewijsniveau: B</w:t>
      </w:r>
      <w:r>
        <w:t xml:space="preserve"> </w:t>
      </w:r>
      <w:r>
        <w:t xml:space="preserve">– meerdere gerandomiseerde fase 2-studies met gemengde resultaten; de fase 3-studie werd afgebroken, zonder gepubliceerde resultaten.</w:t>
      </w:r>
    </w:p>
    <w:bookmarkEnd w:id="1156"/>
    <w:bookmarkStart w:id="1159" w:name="hoe-het-zou-moeten-werken-21"/>
    <w:p>
      <w:pPr>
        <w:pStyle w:val="Heading3"/>
      </w:pPr>
      <w:r>
        <w:t xml:space="preserve">Hoe het zou moeten werken</w:t>
      </w:r>
    </w:p>
    <w:p>
      <w:pPr>
        <w:pStyle w:val="FirstParagraph"/>
      </w:pPr>
      <w:r>
        <w:t xml:space="preserve">Bij coeliakie reageert het immuunsysteem van genetisch aangelegde mensen op gluten, een eiwit in tarwe, rogge en gerst. Fragmenten van gluten komen door het darmslijmvlies en veroorzaken daar een ontsteking die de darmvlokken vernietigt. Een deel van deze fragmenten gaat vermoedelijk door de openingen tussen de darmcellen. Die openingen worden afgesloten door de tight junctions – een soort moleculaire rits.</w:t>
      </w:r>
    </w:p>
    <w:p>
      <w:pPr>
        <w:pStyle w:val="BodyText"/>
      </w:pPr>
      <w:r>
        <w:t xml:space="preserve">De signaalstof zonuline kan deze rits openen; gliadine, een bestanddeel van gluten, maakt zonuline vrij. Larazotide zou deze route moeten blokkeren. In celkweken van menselijke darmcellen voorkwam larazotide de herschikking van de afsluitende eiwitten en verminderde het de doorgang van een gliadinefragment door de cellaag; bij genetisch gemodificeerde muizen met glutengevoeligheid bleef de structuur van de sluitlijsten behouden</w:t>
      </w:r>
      <w:r>
        <w:rPr>
          <w:rStyle w:val="FootnoteReference"/>
        </w:rPr>
        <w:footnoteReference w:id="1157"/>
      </w:r>
      <w:r>
        <w:t xml:space="preserve">. Nieuwere studies vermoeden daarnaast een remming van het enzym myosine-lichteketenkinase, dat de celverbindingen onder spanning zet</w:t>
      </w:r>
      <w:r>
        <w:rPr>
          <w:rStyle w:val="FootnoteReference"/>
        </w:rPr>
        <w:footnoteReference w:id="1158"/>
      </w:r>
      <w:r>
        <w:t xml:space="preserve">.</w:t>
      </w:r>
    </w:p>
    <w:p>
      <w:pPr>
        <w:pStyle w:val="BodyText"/>
      </w:pPr>
      <w:r>
        <w:t xml:space="preserve">Larazotide was nooit bedoeld als vervanging van het glutenvrije dieet. Het doel was een aanvullend middel voor patiënten die ondanks het dieet klachten hebben – bijvoorbeeld door onopgemerkte sporen gluten.</w:t>
      </w:r>
    </w:p>
    <w:bookmarkEnd w:id="1159"/>
    <w:bookmarkStart w:id="1175" w:name="studies-bij-mensen-2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4</w:t>
      </w:r>
      <w:r>
        <w:t xml:space="preserve"> </w:t>
      </w:r>
      <w:r>
        <w:t xml:space="preserve">studies bij mensen in PubMed en</w:t>
      </w:r>
      <w:r>
        <w:t xml:space="preserve"> </w:t>
      </w:r>
      <w:r>
        <w:rPr>
          <w:bCs/>
          <w:b/>
        </w:rPr>
        <w:t xml:space="preserve">29</w:t>
      </w:r>
      <w:r>
        <w:t xml:space="preserve"> </w:t>
      </w:r>
      <w:r>
        <w:t xml:space="preserve">vermeldingen bij ClinicalTrials.gov. Van deze 29 vermeldingen betreffen er echter 19 een volstrekt ander geneesmiddel: migalastat tegen de ziekte van Fabry droeg vroeger dezelfde ontwikkelingscode AT1001. Werkelijk bij larazotide horen</w:t>
      </w:r>
      <w:r>
        <w:t xml:space="preserve"> </w:t>
      </w:r>
      <w:r>
        <w:rPr>
          <w:bCs/>
          <w:b/>
        </w:rPr>
        <w:t xml:space="preserve">10</w:t>
      </w:r>
      <w:r>
        <w:t xml:space="preserve"> </w:t>
      </w:r>
      <w:r>
        <w:t xml:space="preserve">registervermeldingen. Een meta-analyse uit 2022 vatte vier gerandomiseerde studies met 626 personen samen</w:t>
      </w:r>
      <w:r>
        <w:rPr>
          <w:rStyle w:val="FootnoteReference"/>
        </w:rPr>
        <w:footnoteReference w:id="1160"/>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Glutenbelasting (Leffler 2012, PMID 22825365)</w:t>
            </w:r>
          </w:p>
        </w:tc>
        <w:tc>
          <w:tcPr/>
          <w:p>
            <w:pPr>
              <w:pStyle w:val="Compact"/>
              <w:jc w:val="left"/>
            </w:pPr>
            <w:r>
              <w:t xml:space="preserve">86 personen met coeliakie, RCT met 4 doses en placebo</w:t>
            </w:r>
          </w:p>
        </w:tc>
        <w:tc>
          <w:tcPr/>
          <w:p>
            <w:pPr>
              <w:pStyle w:val="Compact"/>
              <w:jc w:val="left"/>
            </w:pPr>
            <w:r>
              <w:t xml:space="preserve">14 dagen</w:t>
            </w:r>
          </w:p>
        </w:tc>
        <w:tc>
          <w:tcPr/>
          <w:p>
            <w:pPr>
              <w:pStyle w:val="Compact"/>
              <w:jc w:val="left"/>
            </w:pPr>
            <w:r>
              <w:t xml:space="preserve">doorlaatbaarheidstest zonder significant verschil; minder klachten bij enkele lage doses</w:t>
            </w:r>
          </w:p>
        </w:tc>
      </w:tr>
      <w:tr>
        <w:tc>
          <w:tcPr/>
          <w:p>
            <w:pPr>
              <w:pStyle w:val="Compact"/>
              <w:jc w:val="left"/>
            </w:pPr>
            <w:r>
              <w:t xml:space="preserve">Glutenbelasting (Kelly 2013, PMID 23163616)</w:t>
            </w:r>
          </w:p>
        </w:tc>
        <w:tc>
          <w:tcPr/>
          <w:p>
            <w:pPr>
              <w:pStyle w:val="Compact"/>
              <w:jc w:val="left"/>
            </w:pPr>
            <w:r>
              <w:t xml:space="preserve">184 personen, RCT met 3 doses en placebo, dagelijks 2,7 g gluten</w:t>
            </w:r>
          </w:p>
        </w:tc>
        <w:tc>
          <w:tcPr/>
          <w:p>
            <w:pPr>
              <w:pStyle w:val="Compact"/>
              <w:jc w:val="left"/>
            </w:pPr>
            <w:r>
              <w:t xml:space="preserve">6 weken</w:t>
            </w:r>
          </w:p>
        </w:tc>
        <w:tc>
          <w:tcPr/>
          <w:p>
            <w:pPr>
              <w:pStyle w:val="Compact"/>
              <w:jc w:val="left"/>
            </w:pPr>
            <w:r>
              <w:t xml:space="preserve">doorlaatbaarheid onveranderd; minder klachten alleen met 1 mg; kleinere stijging van de coeliakie-antilichamen</w:t>
            </w:r>
          </w:p>
        </w:tc>
      </w:tr>
      <w:tr>
        <w:tc>
          <w:tcPr/>
          <w:p>
            <w:pPr>
              <w:pStyle w:val="Compact"/>
              <w:jc w:val="left"/>
            </w:pPr>
            <w:r>
              <w:t xml:space="preserve">Klachten ondanks dieet (Leffler 2015, PMID 25683116; NCT01396213)</w:t>
            </w:r>
          </w:p>
        </w:tc>
        <w:tc>
          <w:tcPr/>
          <w:p>
            <w:pPr>
              <w:pStyle w:val="Compact"/>
              <w:jc w:val="left"/>
            </w:pPr>
            <w:r>
              <w:t xml:space="preserve">342 personen, RCT met 3 doses en placebo</w:t>
            </w:r>
          </w:p>
        </w:tc>
        <w:tc>
          <w:tcPr/>
          <w:p>
            <w:pPr>
              <w:pStyle w:val="Compact"/>
              <w:jc w:val="left"/>
            </w:pPr>
            <w:r>
              <w:t xml:space="preserve">12 weken</w:t>
            </w:r>
          </w:p>
        </w:tc>
        <w:tc>
          <w:tcPr/>
          <w:p>
            <w:pPr>
              <w:pStyle w:val="Compact"/>
              <w:jc w:val="left"/>
            </w:pPr>
            <w:r>
              <w:t xml:space="preserve">primair doel alleen met de laagste dosis (0,5 mg) bereikt; 1 mg en 2 mg niet beter dan placebo</w:t>
            </w:r>
          </w:p>
        </w:tc>
      </w:tr>
      <w:tr>
        <w:tc>
          <w:tcPr/>
          <w:p>
            <w:pPr>
              <w:pStyle w:val="Compact"/>
              <w:jc w:val="left"/>
            </w:pPr>
            <w:r>
              <w:t xml:space="preserve">CeDLara, fase 3 (NCT03569007)</w:t>
            </w:r>
          </w:p>
        </w:tc>
        <w:tc>
          <w:tcPr/>
          <w:p>
            <w:pPr>
              <w:pStyle w:val="Compact"/>
              <w:jc w:val="left"/>
            </w:pPr>
            <w:r>
              <w:t xml:space="preserve">307 personen, gerandomiseerd, geblindeerd</w:t>
            </w:r>
          </w:p>
        </w:tc>
        <w:tc>
          <w:tcPr/>
          <w:p>
            <w:pPr>
              <w:pStyle w:val="Compact"/>
              <w:jc w:val="left"/>
            </w:pPr>
            <w:r>
              <w:t xml:space="preserve">gepland 12 weken</w:t>
            </w:r>
          </w:p>
        </w:tc>
        <w:tc>
          <w:tcPr/>
          <w:p>
            <w:pPr>
              <w:pStyle w:val="Compact"/>
              <w:jc w:val="left"/>
            </w:pPr>
            <w:r>
              <w:t xml:space="preserve">in 2022 door de sponsor afgebroken; geen resultaten gepubliceerd</w:t>
            </w:r>
          </w:p>
        </w:tc>
      </w:tr>
      <w:tr>
        <w:tc>
          <w:tcPr/>
          <w:p>
            <w:pPr>
              <w:pStyle w:val="Compact"/>
              <w:jc w:val="left"/>
            </w:pPr>
            <w:r>
              <w:t xml:space="preserve">MIS-C bij kinderen (Yonker 2025, PMID 40737433)</w:t>
            </w:r>
          </w:p>
        </w:tc>
        <w:tc>
          <w:tcPr/>
          <w:p>
            <w:pPr>
              <w:pStyle w:val="Compact"/>
              <w:jc w:val="left"/>
            </w:pPr>
            <w:r>
              <w:t xml:space="preserve">12 kinderen met ontstekingssyndroom na COVID-19, fase 2a, RCT</w:t>
            </w:r>
          </w:p>
        </w:tc>
        <w:tc>
          <w:tcPr/>
          <w:p>
            <w:pPr>
              <w:pStyle w:val="Compact"/>
              <w:jc w:val="left"/>
            </w:pPr>
            <w:r>
              <w:t xml:space="preserve">3 weken</w:t>
            </w:r>
          </w:p>
        </w:tc>
        <w:tc>
          <w:tcPr/>
          <w:p>
            <w:pPr>
              <w:pStyle w:val="Compact"/>
              <w:jc w:val="left"/>
            </w:pPr>
            <w:r>
              <w:t xml:space="preserve">sneller verdwijnen van de maag-darmklachten; geen bijwerkingen door larazotide</w:t>
            </w:r>
          </w:p>
        </w:tc>
      </w:tr>
    </w:tbl>
    <w:bookmarkStart w:id="1165" w:name="coeliakie-fase-2"/>
    <w:p>
      <w:pPr>
        <w:pStyle w:val="Heading4"/>
      </w:pPr>
      <w:r>
        <w:t xml:space="preserve">Coeliakie: fase 2</w:t>
      </w:r>
    </w:p>
    <w:p>
      <w:pPr>
        <w:pStyle w:val="FirstParagraph"/>
      </w:pPr>
      <w:r>
        <w:t xml:space="preserve">In de twee studies met gerichte glutenbelasting moest larazotide de toename van de darmdoorlaatbaarheid voorkomen. Die werd gemeten met een suikertest in de urine (lactulose-mannitolverhouding). Deze test schommelde in het dagelijks leven zo sterk dat geen effect kon worden aangetoond</w:t>
      </w:r>
      <w:r>
        <w:rPr>
          <w:rStyle w:val="FootnoteReference"/>
        </w:rPr>
        <w:footnoteReference w:id="1161"/>
      </w:r>
      <w:r>
        <w:t xml:space="preserve">. Bij de klachten was een ongewoon patroon te zien: lage doses werkten soms beter dan hoge. In de studie met 184 personen beperkte alleen de dosis van 1 mg de door gluten uitgelokte klachten significant; tegelijk stegen de coeliakie-antilichamen bij alle larazotidedoses duidelijk minder dan bij placebo</w:t>
      </w:r>
      <w:r>
        <w:rPr>
          <w:rStyle w:val="FootnoteReference"/>
        </w:rPr>
        <w:footnoteReference w:id="1162"/>
      </w:r>
      <w:r>
        <w:t xml:space="preserve">.</w:t>
      </w:r>
    </w:p>
    <w:p>
      <w:pPr>
        <w:pStyle w:val="BodyText"/>
      </w:pPr>
      <w:r>
        <w:t xml:space="preserve">De grootste fase 2-studie met 342 personen die ondanks een glutenvrij dieet klachten hadden, bereikte haar primaire doel alleen met de laagste dosis van 0,5 mg. Bij deze dosis waren er 26 procent minder dagen met coeliakieklachten. De hogere doses waren op geen enkel eindpunt beter dan placebo; de auteurs noemen de resultaten zelf</w:t>
      </w:r>
      <w:r>
        <w:t xml:space="preserve"> </w:t>
      </w:r>
      <w:r>
        <w:t xml:space="preserve">‘</w:t>
      </w:r>
      <w:r>
        <w:t xml:space="preserve">gemengd</w:t>
      </w:r>
      <w:r>
        <w:t xml:space="preserve">’</w:t>
      </w:r>
      <w:r>
        <w:rPr>
          <w:rStyle w:val="FootnoteReference"/>
        </w:rPr>
        <w:footnoteReference w:id="1163"/>
      </w:r>
      <w:r>
        <w:t xml:space="preserve">. Een geneesmiddel waarbij alleen de laagste dosis werkt, is farmacologisch ongewoon en laat twijfel bestaan of het om een echt effect of om toeval gaat.</w:t>
      </w:r>
    </w:p>
    <w:p>
      <w:pPr>
        <w:pStyle w:val="BodyText"/>
      </w:pPr>
      <w:r>
        <w:t xml:space="preserve">De meta-analyse vond geen effect op de darmdoorlaatbaarheid, en een verbetering van de klachten alleen bij glutenbelasting, maar niet bij personen met een glutenvrij dieet – dus juist niet in de groep waarvoor larazotide bedoeld was</w:t>
      </w:r>
      <w:r>
        <w:rPr>
          <w:rStyle w:val="FootnoteReference"/>
        </w:rPr>
        <w:footnoteReference w:id="1164"/>
      </w:r>
      <w:r>
        <w:t xml:space="preserve">.</w:t>
      </w:r>
    </w:p>
    <w:bookmarkEnd w:id="1165"/>
    <w:bookmarkStart w:id="1169" w:name="coeliakie-de-fase-3-studie-cedlara"/>
    <w:p>
      <w:pPr>
        <w:pStyle w:val="Heading4"/>
      </w:pPr>
      <w:r>
        <w:t xml:space="preserve">Coeliakie: de fase 3-studie CeDLara</w:t>
      </w:r>
    </w:p>
    <w:p>
      <w:pPr>
        <w:pStyle w:val="FirstParagraph"/>
      </w:pPr>
      <w:r>
        <w:t xml:space="preserve">Op basis van de resultaten met 0,5 mg startte in 2019 de fase 3-studie CeDLara met larazotide in maagsapresistente bolletjes</w:t>
      </w:r>
      <w:r>
        <w:rPr>
          <w:rStyle w:val="FootnoteReference"/>
        </w:rPr>
        <w:footnoteReference w:id="1166"/>
      </w:r>
      <w:r>
        <w:t xml:space="preserve">. Volgens het register werden 307 personen opgenomen; de studie werd in juli 2022</w:t>
      </w:r>
      <w:r>
        <w:t xml:space="preserve"> </w:t>
      </w:r>
      <w:r>
        <w:t xml:space="preserve">‘</w:t>
      </w:r>
      <w:r>
        <w:t xml:space="preserve">door de sponsor beëindigd</w:t>
      </w:r>
      <w:r>
        <w:t xml:space="preserve">’</w:t>
      </w:r>
      <w:r>
        <w:t xml:space="preserve">. Naar weten van de auteur motiveerde de toenmalige fabrikant 9 Meters Biopharma de stopzetting met het argument dat een tussentijdse analyse had uitgewezen dat aanzienlijk meer deelnemers nodig zouden zijn geweest om een verschil met placebo aan te tonen. Een vakpublicatie van de resultaten is er in PubMed niet. Overzichtsartikelen stellen vast dat tot op heden geen enkel coeliakiegeneesmiddel een fase 3-studie met succes heeft afgerond</w:t>
      </w:r>
      <w:r>
        <w:rPr>
          <w:rStyle w:val="FootnoteReference"/>
        </w:rPr>
        <w:footnoteReference w:id="1167"/>
      </w:r>
      <w:r>
        <w:t xml:space="preserve"> </w:t>
      </w:r>
      <w:r>
        <w:t xml:space="preserve">en dat geen behandeling is aangetoond als werkzaam alternatief voor glutenvrij eten</w:t>
      </w:r>
      <w:r>
        <w:rPr>
          <w:rStyle w:val="FootnoteReference"/>
        </w:rPr>
        <w:footnoteReference w:id="1168"/>
      </w:r>
      <w:r>
        <w:t xml:space="preserve">.</w:t>
      </w:r>
    </w:p>
    <w:bookmarkEnd w:id="1169"/>
    <w:bookmarkStart w:id="1174" w:name="Xb278433846771da9af6aca906e6386b1690c49e"/>
    <w:p>
      <w:pPr>
        <w:pStyle w:val="Heading4"/>
      </w:pPr>
      <w:r>
        <w:t xml:space="preserve">Nieuwe toepassing: ontstekingssyndroom na COVID-19</w:t>
      </w:r>
    </w:p>
    <w:p>
      <w:pPr>
        <w:pStyle w:val="FirstParagraph"/>
      </w:pPr>
      <w:r>
        <w:t xml:space="preserve">Een onderzoeksgroep vermoedt dat bij het multisysteemontstekingssyndroom bij kinderen (MIS-C) na COVID-19 virusbestanddelen uit de darm in het bloed terechtkomen. In een eerste casusreeks met vier kinderen verdween het viruseiwit met larazotide uit het bloed, en de maag-darmklachten verdwenen sneller dan bij 22 vergelijkingskinderen</w:t>
      </w:r>
      <w:r>
        <w:rPr>
          <w:rStyle w:val="FootnoteReference"/>
        </w:rPr>
        <w:footnoteReference w:id="1170"/>
      </w:r>
      <w:r>
        <w:t xml:space="preserve">. Een gerandomiseerde fase 2a-studie met slechts 12 kinderen bevestigde een sneller herstel van de klachten; bijwerkingen door larazotide werden niet waargenomen</w:t>
      </w:r>
      <w:r>
        <w:rPr>
          <w:rStyle w:val="FootnoteReference"/>
        </w:rPr>
        <w:footnoteReference w:id="1171"/>
      </w:r>
      <w:r>
        <w:t xml:space="preserve">. De studie werd afgebroken vanwege dalende aantallen patiënten</w:t>
      </w:r>
      <w:r>
        <w:rPr>
          <w:rStyle w:val="FootnoteReference"/>
        </w:rPr>
        <w:footnoteReference w:id="1172"/>
      </w:r>
      <w:r>
        <w:t xml:space="preserve">. Een studie bij long covid met 107 kinderen en volwassenen is volgens het register sinds juni 2026 afgerond</w:t>
      </w:r>
      <w:r>
        <w:rPr>
          <w:rStyle w:val="FootnoteReference"/>
        </w:rPr>
        <w:footnoteReference w:id="1173"/>
      </w:r>
      <w:r>
        <w:t xml:space="preserve">; resultaten waren in oktober 2026 niet gepubliceerd.</w:t>
      </w:r>
    </w:p>
    <w:bookmarkEnd w:id="1174"/>
    <w:bookmarkEnd w:id="1175"/>
    <w:bookmarkStart w:id="1179" w:name="dier--en-laboratoriumstudies-21"/>
    <w:p>
      <w:pPr>
        <w:pStyle w:val="Heading3"/>
      </w:pPr>
      <w:r>
        <w:t xml:space="preserve">Dier- en laboratoriumstudies</w:t>
      </w:r>
    </w:p>
    <w:p>
      <w:pPr>
        <w:pStyle w:val="FirstParagraph"/>
      </w:pPr>
      <w:r>
        <w:t xml:space="preserve">Naast coeliakie werd larazotide in diermodellen onderzocht voor andere aandoeningen met een verstoorde darmbarrière. Bij muizen die aanleg hebben voor gewrichtsontsteking, verminderde larazotide het uitbreken van artritis</w:t>
      </w:r>
      <w:r>
        <w:rPr>
          <w:rStyle w:val="FootnoteReference"/>
        </w:rPr>
        <w:footnoteReference w:id="1176"/>
      </w:r>
      <w:r>
        <w:t xml:space="preserve">. Bij varkens bevorderde het het herstel van dunnedarmweefsel na een doorbloedingsstoornis</w:t>
      </w:r>
      <w:r>
        <w:rPr>
          <w:rStyle w:val="FootnoteReference"/>
        </w:rPr>
        <w:footnoteReference w:id="1177"/>
      </w:r>
      <w:r>
        <w:t xml:space="preserve">. Bij ratten werden effecten beschreven bij acute alvleesklierontsteking en acuut leverfalen</w:t>
      </w:r>
      <w:r>
        <w:rPr>
          <w:rStyle w:val="FootnoteReference"/>
        </w:rPr>
        <w:footnoteReference w:id="1178"/>
      </w:r>
      <w:r>
        <w:t xml:space="preserve">. Dit zijn dierproeven; uitspraken over reuma, alvleesklier of lever bij de mens vallen daaruit niet af te leiden.</w:t>
      </w:r>
    </w:p>
    <w:bookmarkEnd w:id="1179"/>
    <w:bookmarkStart w:id="1185" w:name="risicos-en-bijwerkingen-21"/>
    <w:p>
      <w:pPr>
        <w:pStyle w:val="Heading3"/>
      </w:pPr>
      <w:r>
        <w:t xml:space="preserve">Risico’s en bijwerkingen</w:t>
      </w:r>
    </w:p>
    <w:bookmarkStart w:id="1183" w:name="aangetoond-5"/>
    <w:p>
      <w:pPr>
        <w:pStyle w:val="Heading4"/>
      </w:pPr>
      <w:r>
        <w:t xml:space="preserve">Aangetoond</w:t>
      </w:r>
    </w:p>
    <w:p>
      <w:pPr>
        <w:pStyle w:val="FirstParagraph"/>
      </w:pPr>
      <w:r>
        <w:t xml:space="preserve">Larazotide werd in alle studies goed verdragen. In de studie met 86 personen traden geen ernstige bijwerkingen op; het meest voorkomend waren hoofdpijn en urineweginfecties</w:t>
      </w:r>
      <w:r>
        <w:rPr>
          <w:rStyle w:val="FootnoteReference"/>
        </w:rPr>
        <w:footnoteReference w:id="1180"/>
      </w:r>
      <w:r>
        <w:t xml:space="preserve">. In de grootste fase 2-studie was de veiligheid vergelijkbaar met placebo</w:t>
      </w:r>
      <w:r>
        <w:rPr>
          <w:rStyle w:val="FootnoteReference"/>
        </w:rPr>
        <w:footnoteReference w:id="1181"/>
      </w:r>
      <w:r>
        <w:t xml:space="preserve">. De meta-analyse vond in totaal geen opeenstapeling van bijwerkingen ten opzichte van placebo</w:t>
      </w:r>
      <w:r>
        <w:rPr>
          <w:rStyle w:val="FootnoteReference"/>
        </w:rPr>
        <w:footnoteReference w:id="1182"/>
      </w:r>
      <w:r>
        <w:t xml:space="preserve">. Omdat larazotide nauwelijks in het bloed komt, is een gunstig veiligheidsprofiel aannemelijk.</w:t>
      </w:r>
    </w:p>
    <w:bookmarkEnd w:id="1183"/>
    <w:bookmarkStart w:id="1184" w:name="aandachtspunten-1"/>
    <w:p>
      <w:pPr>
        <w:pStyle w:val="Heading4"/>
      </w:pPr>
      <w:r>
        <w:t xml:space="preserve">Aandachtspunten</w:t>
      </w:r>
    </w:p>
    <w:p>
      <w:pPr>
        <w:numPr>
          <w:ilvl w:val="0"/>
          <w:numId w:val="1139"/>
        </w:numPr>
        <w:pStyle w:val="Compact"/>
      </w:pPr>
      <w:r>
        <w:rPr>
          <w:bCs/>
          <w:b/>
        </w:rPr>
        <w:t xml:space="preserve">Geen alternatief voor het dieet:</w:t>
      </w:r>
      <w:r>
        <w:t xml:space="preserve"> </w:t>
      </w:r>
      <w:r>
        <w:t xml:space="preserve">ook in de positieve studies beschermde larazotide niet tegen schade door grotere hoeveelheden gluten. Wie vanwege zo’n middel het glutenvrije dieet versoepelt, riskeert darmschade.</w:t>
      </w:r>
    </w:p>
    <w:p>
      <w:pPr>
        <w:numPr>
          <w:ilvl w:val="0"/>
          <w:numId w:val="1139"/>
        </w:numPr>
        <w:pStyle w:val="Compact"/>
      </w:pPr>
      <w:r>
        <w:rPr>
          <w:bCs/>
          <w:b/>
        </w:rPr>
        <w:t xml:space="preserve">Grijze markt:</w:t>
      </w:r>
      <w:r>
        <w:t xml:space="preserve"> </w:t>
      </w:r>
      <w:r>
        <w:t xml:space="preserve">larazotide wordt hier en daar aangeboden als</w:t>
      </w:r>
      <w:r>
        <w:t xml:space="preserve"> </w:t>
      </w:r>
      <w:r>
        <w:t xml:space="preserve">‘</w:t>
      </w:r>
      <w:r>
        <w:t xml:space="preserve">leaky-gut-peptide</w:t>
      </w:r>
      <w:r>
        <w:t xml:space="preserve">’</w:t>
      </w:r>
      <w:r>
        <w:t xml:space="preserve">. De studies gebruikten een speciale maagsapresistente toedieningsvorm; of vrij verkochte producten de werkzame stof überhaupt op de plaats van werking brengen, is onbekend. Voor het concept</w:t>
      </w:r>
      <w:r>
        <w:t xml:space="preserve"> </w:t>
      </w:r>
      <w:r>
        <w:t xml:space="preserve">‘</w:t>
      </w:r>
      <w:r>
        <w:t xml:space="preserve">leaky gut</w:t>
      </w:r>
      <w:r>
        <w:t xml:space="preserve">’</w:t>
      </w:r>
      <w:r>
        <w:t xml:space="preserve"> </w:t>
      </w:r>
      <w:r>
        <w:t xml:space="preserve">zonder coeliakie zijn er geen studies met larazotide.</w:t>
      </w:r>
    </w:p>
    <w:bookmarkEnd w:id="1184"/>
    <w:bookmarkEnd w:id="1185"/>
    <w:bookmarkStart w:id="1186" w:name="juridische-status-21"/>
    <w:p>
      <w:pPr>
        <w:pStyle w:val="Heading3"/>
      </w:pPr>
      <w:r>
        <w:t xml:space="preserve">Juridische status</w:t>
      </w:r>
    </w:p>
    <w:p>
      <w:pPr>
        <w:pStyle w:val="FirstParagraph"/>
      </w:pPr>
      <w:r>
        <w:rPr>
          <w:iCs/>
          <w:i/>
        </w:rPr>
        <w:t xml:space="preserve">Stand 2026, actuele situatie controleren.</w:t>
      </w:r>
    </w:p>
    <w:p>
      <w:pPr>
        <w:numPr>
          <w:ilvl w:val="0"/>
          <w:numId w:val="1140"/>
        </w:numPr>
        <w:pStyle w:val="Compact"/>
      </w:pPr>
      <w:r>
        <w:rPr>
          <w:bCs/>
          <w:b/>
        </w:rPr>
        <w:t xml:space="preserve">EU, Duitsland, Oostenrijk:</w:t>
      </w:r>
      <w:r>
        <w:t xml:space="preserve"> </w:t>
      </w:r>
      <w:r>
        <w:t xml:space="preserve">niet geregistreerd.</w:t>
      </w:r>
    </w:p>
    <w:p>
      <w:pPr>
        <w:numPr>
          <w:ilvl w:val="0"/>
          <w:numId w:val="1140"/>
        </w:numPr>
        <w:pStyle w:val="Compact"/>
      </w:pPr>
      <w:r>
        <w:rPr>
          <w:bCs/>
          <w:b/>
        </w:rPr>
        <w:t xml:space="preserve">VS:</w:t>
      </w:r>
      <w:r>
        <w:t xml:space="preserve"> </w:t>
      </w:r>
      <w:r>
        <w:t xml:space="preserve">niet geregistreerd. De ontwikkelaar had naar weten van de auteur van de FDA een versnelde beoordeling (</w:t>
      </w:r>
      <w:r>
        <w:t xml:space="preserve">‘</w:t>
      </w:r>
      <w:r>
        <w:t xml:space="preserve">Fast Track</w:t>
      </w:r>
      <w:r>
        <w:t xml:space="preserve">’</w:t>
      </w:r>
      <w:r>
        <w:t xml:space="preserve">) voor coeliakie gekregen; na de stopzetting van de fase 3-studie werd geen registratieaanvraag ingediend.</w:t>
      </w:r>
    </w:p>
    <w:p>
      <w:pPr>
        <w:numPr>
          <w:ilvl w:val="0"/>
          <w:numId w:val="1140"/>
        </w:numPr>
        <w:pStyle w:val="Compact"/>
      </w:pPr>
      <w:r>
        <w:rPr>
          <w:bCs/>
          <w:b/>
        </w:rPr>
        <w:t xml:space="preserve">WADA:</w:t>
      </w:r>
      <w:r>
        <w:t xml:space="preserve"> </w:t>
      </w:r>
      <w:r>
        <w:t xml:space="preserve">niet vermeld.</w:t>
      </w:r>
    </w:p>
    <w:bookmarkEnd w:id="1186"/>
    <w:bookmarkStart w:id="1189" w:name="lopende-studies-en-vooruitzichten-21"/>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larazotide geregistreerd. De long-covidstudie</w:t>
      </w:r>
      <w:r>
        <w:rPr>
          <w:rStyle w:val="FootnoteReference"/>
        </w:rPr>
        <w:footnoteReference w:id="1187"/>
      </w:r>
      <w:r>
        <w:t xml:space="preserve"> </w:t>
      </w:r>
      <w:r>
        <w:t xml:space="preserve">is afgerond, resultaten volgen nog.</w:t>
      </w:r>
    </w:p>
    <w:p>
      <w:pPr>
        <w:pStyle w:val="BodyText"/>
      </w:pPr>
      <w:r>
        <w:rPr>
          <w:bCs/>
          <w:b/>
        </w:rPr>
        <w:t xml:space="preserve">Inschatting van de auteur:</w:t>
      </w:r>
      <w:r>
        <w:t xml:space="preserve"> </w:t>
      </w:r>
      <w:r>
        <w:t xml:space="preserve">voor coeliakie zal larazotide na de stopzetting van CeDLara waarschijnlijk geen toekomst hebben, tenzij een nieuwe ontwikkelaar de rechten overneemt. Andere benaderingen – glutenafbrekende enzymen, remmers van transglutaminase 2 of methoden voor immuuntolerantie – gelden momenteel als kansrijker</w:t>
      </w:r>
      <w:r>
        <w:rPr>
          <w:rStyle w:val="FootnoteReference"/>
        </w:rPr>
        <w:footnoteReference w:id="1188"/>
      </w:r>
      <w:r>
        <w:t xml:space="preserve">. Bij MIS-C en long covid hangt de verdere ontwikkeling af van de nog ongepubliceerde resultaten.</w:t>
      </w:r>
    </w:p>
    <w:bookmarkEnd w:id="1189"/>
    <w:bookmarkStart w:id="1191" w:name="conclusie-21"/>
    <w:p>
      <w:pPr>
        <w:pStyle w:val="Heading3"/>
      </w:pPr>
      <w:r>
        <w:t xml:space="preserve">Conclusie</w:t>
      </w:r>
    </w:p>
    <w:p>
      <w:pPr>
        <w:pStyle w:val="FirstParagraph"/>
      </w:pPr>
      <w:r>
        <w:t xml:space="preserve">Larazotide is een peptide van acht aminozuren dat de verbindingen tussen darmcellen zou moeten afdichten, en was de eerste werkzame stof tegen coeliakie die een fase 3-studie bereikte. In de fase 2-studies waren de resultaten gemengd: een effect op de darmdoorlaatbaarheid kon niet worden aangetoond, en bij klachten ondanks het dieet werkte alleen de laagste dosis</w:t>
      </w:r>
      <w:r>
        <w:rPr>
          <w:rStyle w:val="FootnoteReference"/>
        </w:rPr>
        <w:footnoteReference w:id="1190"/>
      </w:r>
      <w:r>
        <w:t xml:space="preserve">. De fase 3-studie CeDLara werd in 2022 afgebroken, resultaten werden niet gepubliceerd. Larazotide wordt goed verdragen, maar is geregistreerd noch als werkzaam aangetoond – en is geen vervanging voor het glutenvrije dieet.</w:t>
      </w:r>
    </w:p>
    <w:bookmarkEnd w:id="1191"/>
    <w:bookmarkEnd w:id="1192"/>
    <w:bookmarkStart w:id="1221" w:name="thymaline-en-thymogen"/>
    <w:p>
      <w:pPr>
        <w:pStyle w:val="Heading2"/>
      </w:pPr>
      <w:r>
        <w:t xml:space="preserve">Thymaline en thymogen</w:t>
      </w:r>
    </w:p>
    <w:p>
      <w:pPr>
        <w:pStyle w:val="FirstParagraph"/>
      </w:pPr>
      <w:r>
        <w:t xml:space="preserve">Thymaline is een extract uit de thymus van kalveren, thymogen een daarvan afgeleid synthetisch dipeptide. Beide stammen uit de Sovjet-militaire geneeskunde van de jaren zeventig en tachtig en zijn in Rusland tot op heden als geneesmiddel in de handel. In westerse longevitykringen worden ze op de markt gebracht als</w:t>
      </w:r>
      <w:r>
        <w:t xml:space="preserve"> </w:t>
      </w:r>
      <w:r>
        <w:t xml:space="preserve">‘</w:t>
      </w:r>
      <w:r>
        <w:t xml:space="preserve">bioregulatoren</w:t>
      </w:r>
      <w:r>
        <w:t xml:space="preserve">’</w:t>
      </w:r>
      <w:r>
        <w:t xml:space="preserve"> </w:t>
      </w:r>
      <w:r>
        <w:t xml:space="preserve">die het immuunsysteem zouden</w:t>
      </w:r>
      <w:r>
        <w:t xml:space="preserve"> </w:t>
      </w:r>
      <w:r>
        <w:t xml:space="preserve">‘</w:t>
      </w:r>
      <w:r>
        <w:t xml:space="preserve">verjongen</w:t>
      </w:r>
      <w:r>
        <w:t xml:space="preserve">’</w:t>
      </w:r>
      <w:r>
        <w:t xml:space="preserve"> </w:t>
      </w:r>
      <w:r>
        <w:t xml:space="preserve">en het leven zouden verlengen. De basis van deze beloften is vrijwel uitsluitend het onderzoek van één enkele school rond de Sint-Petersburgse gerontoloog Vladimir Khavinson. Dit hoofdstuk plaatst dat onderzoek in perspectief – en legt uit waarom de resultaten met grote voorzichtigheid moeten worden gelezen.</w:t>
      </w:r>
    </w:p>
    <w:bookmarkStart w:id="1196" w:name="profiel-22"/>
    <w:p>
      <w:pPr>
        <w:pStyle w:val="Heading3"/>
      </w:pPr>
      <w:r>
        <w:t xml:space="preserve">Profiel</w:t>
      </w:r>
    </w:p>
    <w:p>
      <w:pPr>
        <w:numPr>
          <w:ilvl w:val="0"/>
          <w:numId w:val="1141"/>
        </w:numPr>
        <w:pStyle w:val="Compact"/>
      </w:pPr>
      <w:r>
        <w:rPr>
          <w:bCs/>
          <w:b/>
        </w:rPr>
        <w:t xml:space="preserve">Thymaline:</w:t>
      </w:r>
      <w:r>
        <w:t xml:space="preserve"> </w:t>
      </w:r>
      <w:r>
        <w:t xml:space="preserve">mengsel van peptiden, verkregen door zuurextractie uit de thymus van kalveren</w:t>
      </w:r>
      <w:r>
        <w:rPr>
          <w:rStyle w:val="FootnoteReference"/>
        </w:rPr>
        <w:footnoteReference w:id="1193"/>
      </w:r>
      <w:r>
        <w:t xml:space="preserve">; geen eenduidig gedefinieerde stof. Als belangrijkste werkzame bestanddelen worden de dipeptiden Lys-Glu (KE) en Glu-Trp (EW) genoemd</w:t>
      </w:r>
      <w:r>
        <w:rPr>
          <w:rStyle w:val="FootnoteReference"/>
        </w:rPr>
        <w:footnoteReference w:id="1194"/>
      </w:r>
      <w:r>
        <w:t xml:space="preserve">.</w:t>
      </w:r>
    </w:p>
    <w:p>
      <w:pPr>
        <w:numPr>
          <w:ilvl w:val="0"/>
          <w:numId w:val="1141"/>
        </w:numPr>
        <w:pStyle w:val="Compact"/>
      </w:pPr>
      <w:r>
        <w:rPr>
          <w:bCs/>
          <w:b/>
        </w:rPr>
        <w:t xml:space="preserve">Thymogen:</w:t>
      </w:r>
      <w:r>
        <w:t xml:space="preserve"> </w:t>
      </w:r>
      <w:r>
        <w:t xml:space="preserve">synthetisch vervaardigd dipeptide L-Glu-L-Trp, dat uit thymaline werd geïsoleerd</w:t>
      </w:r>
      <w:r>
        <w:rPr>
          <w:rStyle w:val="FootnoteReference"/>
        </w:rPr>
        <w:footnoteReference w:id="1195"/>
      </w:r>
      <w:r>
        <w:t xml:space="preserve">; in Rusland ook verkrijgbaar als neusspray.</w:t>
      </w:r>
    </w:p>
    <w:p>
      <w:pPr>
        <w:numPr>
          <w:ilvl w:val="0"/>
          <w:numId w:val="1141"/>
        </w:numPr>
        <w:pStyle w:val="Compact"/>
      </w:pPr>
      <w:r>
        <w:rPr>
          <w:bCs/>
          <w:b/>
        </w:rPr>
        <w:t xml:space="preserve">Werkingsprincipe (beweerd):</w:t>
      </w:r>
      <w:r>
        <w:t xml:space="preserve"> </w:t>
      </w:r>
      <w:r>
        <w:t xml:space="preserve">stimulering van de rijping van T-cellen,</w:t>
      </w:r>
      <w:r>
        <w:t xml:space="preserve"> </w:t>
      </w:r>
      <w:r>
        <w:t xml:space="preserve">‘</w:t>
      </w:r>
      <w:r>
        <w:t xml:space="preserve">normalisering</w:t>
      </w:r>
      <w:r>
        <w:t xml:space="preserve">’</w:t>
      </w:r>
      <w:r>
        <w:t xml:space="preserve"> </w:t>
      </w:r>
      <w:r>
        <w:t xml:space="preserve">van immuunfunctie en bloedstolling; volgens Khavinsons theorie werken korte peptiden als</w:t>
      </w:r>
      <w:r>
        <w:t xml:space="preserve"> </w:t>
      </w:r>
      <w:r>
        <w:t xml:space="preserve">‘</w:t>
      </w:r>
      <w:r>
        <w:t xml:space="preserve">bioregulatoren</w:t>
      </w:r>
      <w:r>
        <w:t xml:space="preserve">’</w:t>
      </w:r>
      <w:r>
        <w:t xml:space="preserve"> </w:t>
      </w:r>
      <w:r>
        <w:t xml:space="preserve">rechtstreeks op de genactiviteit.</w:t>
      </w:r>
    </w:p>
    <w:p>
      <w:pPr>
        <w:numPr>
          <w:ilvl w:val="0"/>
          <w:numId w:val="1141"/>
        </w:numPr>
        <w:pStyle w:val="Compact"/>
      </w:pPr>
      <w:r>
        <w:rPr>
          <w:bCs/>
          <w:b/>
        </w:rPr>
        <w:t xml:space="preserve">Registratie:</w:t>
      </w:r>
      <w:r>
        <w:t xml:space="preserve"> </w:t>
      </w:r>
      <w:r>
        <w:t xml:space="preserve">in Rusland en enkele opvolgerstaten van de Sovjet-Unie als geneesmiddel geregistreerd;</w:t>
      </w:r>
      <w:r>
        <w:t xml:space="preserve"> </w:t>
      </w:r>
      <w:r>
        <w:rPr>
          <w:bCs/>
          <w:b/>
        </w:rPr>
        <w:t xml:space="preserve">EU en VS:</w:t>
      </w:r>
      <w:r>
        <w:t xml:space="preserve"> </w:t>
      </w:r>
      <w:r>
        <w:t xml:space="preserve">nee.</w:t>
      </w:r>
    </w:p>
    <w:p>
      <w:pPr>
        <w:numPr>
          <w:ilvl w:val="0"/>
          <w:numId w:val="1141"/>
        </w:numPr>
        <w:pStyle w:val="Compact"/>
      </w:pPr>
      <w:r>
        <w:rPr>
          <w:bCs/>
          <w:b/>
        </w:rPr>
        <w:t xml:space="preserve">WADA:</w:t>
      </w:r>
      <w:r>
        <w:t xml:space="preserve"> </w:t>
      </w:r>
      <w:r>
        <w:t xml:space="preserve">niet uitdrukkelijk vermeld.</w:t>
      </w:r>
    </w:p>
    <w:p>
      <w:pPr>
        <w:numPr>
          <w:ilvl w:val="0"/>
          <w:numId w:val="1141"/>
        </w:numPr>
        <w:pStyle w:val="Compact"/>
      </w:pPr>
      <w:r>
        <w:rPr>
          <w:bCs/>
          <w:b/>
        </w:rPr>
        <w:t xml:space="preserve">Bewijsniveau: C</w:t>
      </w:r>
      <w:r>
        <w:t xml:space="preserve"> </w:t>
      </w:r>
      <w:r>
        <w:t xml:space="preserve">– overwegend kleine, open-label of onvoldoende beschreven studies; slechts één enkele als gerandomiseerd en placebogecontroleerd beschreven studie in PubMed.</w:t>
      </w:r>
    </w:p>
    <w:bookmarkEnd w:id="1196"/>
    <w:bookmarkStart w:id="1200" w:name="hoe-het-zou-moeten-werken-22"/>
    <w:p>
      <w:pPr>
        <w:pStyle w:val="Heading3"/>
      </w:pPr>
      <w:r>
        <w:t xml:space="preserve">Hoe het zou moeten werken</w:t>
      </w:r>
    </w:p>
    <w:p>
      <w:pPr>
        <w:pStyle w:val="FirstParagraph"/>
      </w:pPr>
      <w:r>
        <w:t xml:space="preserve">Het idee volgt dezelfde logica als bij thymosine alfa-1 (zie aldaar): de thymus traint T-cellen en krimpt met de leeftijd, dus zouden boodschapperstoffen uit de thymus de afweer moeten versterken. Terwijl thymosine alfa-1 echter een nauwkeurig gedefinieerd peptide met een bekende sequentie is, is thymaline een mengsel van veel bestanddelen van dierlijke oorsprong.</w:t>
      </w:r>
    </w:p>
    <w:p>
      <w:pPr>
        <w:pStyle w:val="BodyText"/>
      </w:pPr>
      <w:r>
        <w:t xml:space="preserve">Uit dit mengsel isoleerden de onderzoekers het dipeptide Glu-Trp en brachten het synthetisch als thymogen op de markt. Het zou de differentiatie van T-cellen en de herkenning van antigenen bevorderen en vreetcellen activeren</w:t>
      </w:r>
      <w:r>
        <w:rPr>
          <w:rStyle w:val="FootnoteReference"/>
        </w:rPr>
        <w:footnoteReference w:id="1197"/>
      </w:r>
      <w:r>
        <w:t xml:space="preserve">.</w:t>
      </w:r>
    </w:p>
    <w:p>
      <w:pPr>
        <w:pStyle w:val="BodyText"/>
      </w:pPr>
      <w:r>
        <w:t xml:space="preserve">Khavinson ontwikkelde daaruit een omvattendere theorie: korte peptiden uit verschillende organen zouden weefselspecifiek werken en de genactiviteit</w:t>
      </w:r>
      <w:r>
        <w:t xml:space="preserve"> </w:t>
      </w:r>
      <w:r>
        <w:t xml:space="preserve">‘</w:t>
      </w:r>
      <w:r>
        <w:t xml:space="preserve">reguleren</w:t>
      </w:r>
      <w:r>
        <w:t xml:space="preserve">’</w:t>
      </w:r>
      <w:r>
        <w:t xml:space="preserve"> </w:t>
      </w:r>
      <w:r>
        <w:t xml:space="preserve">– peptiden uit de pijnappelklier voor de pijnappelklier, uit de thymus voor het immuunsysteem enzovoort</w:t>
      </w:r>
      <w:r>
        <w:rPr>
          <w:rStyle w:val="FootnoteReference"/>
        </w:rPr>
        <w:footnoteReference w:id="1198"/>
      </w:r>
      <w:r>
        <w:t xml:space="preserve">. Ook epitalon, dat in deel II · D wordt behandeld, komt uit deze school. Deze theorie is buiten de onderzoeksgroep nauwelijks getoetst en komt niet overeen met het algemene begrip van hoe peptideboodschappers werken – namelijk doorgaans via receptoren aan het celoppervlak. Nieuwere publicaties van de groep onderbouwen het mechanisme vooral met computersimulaties van de binding aan erfelijk materiaal en met celkweken</w:t>
      </w:r>
      <w:r>
        <w:rPr>
          <w:rStyle w:val="FootnoteReference"/>
        </w:rPr>
        <w:footnoteReference w:id="1199"/>
      </w:r>
      <w:r>
        <w:t xml:space="preserve">.</w:t>
      </w:r>
    </w:p>
    <w:bookmarkEnd w:id="1200"/>
    <w:bookmarkStart w:id="1209" w:name="studies-bij-mensen-2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17</w:t>
      </w:r>
      <w:r>
        <w:t xml:space="preserve"> </w:t>
      </w:r>
      <w:r>
        <w:t xml:space="preserve">studies bij mensen in PubMed en</w:t>
      </w:r>
      <w:r>
        <w:t xml:space="preserve"> </w:t>
      </w:r>
      <w:r>
        <w:rPr>
          <w:bCs/>
          <w:b/>
        </w:rPr>
        <w:t xml:space="preserve">0</w:t>
      </w:r>
      <w:r>
        <w:t xml:space="preserve"> </w:t>
      </w:r>
      <w:r>
        <w:t xml:space="preserve">vermeldingen bij ClinicalTrials.gov. In totaal vermeldt PubMed ongeveer 290 publicaties over thymaline of thymogen; daarvan zijn er ongeveer 250 in het Russisch, en slechts één enkele vermeldt in titel of abstract</w:t>
      </w:r>
      <w:r>
        <w:t xml:space="preserve"> </w:t>
      </w:r>
      <w:r>
        <w:t xml:space="preserve">‘</w:t>
      </w:r>
      <w:r>
        <w:t xml:space="preserve">gerandomiseerd</w:t>
      </w:r>
      <w:r>
        <w:t xml:space="preserve">’</w:t>
      </w:r>
      <w:r>
        <w:t xml:space="preserve"> </w:t>
      </w:r>
      <w:r>
        <w:t xml:space="preserve">of</w:t>
      </w:r>
      <w:r>
        <w:t xml:space="preserve"> </w:t>
      </w:r>
      <w:r>
        <w:t xml:space="preserve">‘</w:t>
      </w:r>
      <w:r>
        <w:t xml:space="preserve">placebo</w:t>
      </w:r>
      <w:r>
        <w:t xml:space="preserve">’</w:t>
      </w:r>
      <w:r>
        <w:t xml:space="preserve">. Bij de meeste studies bij mensen is in PubMed alleen een kort Russisch of Oekraïens abstract beschikbaar, vaak zonder gegevens over het aantal deelnemers, de controlegroep of de blindering.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t>
            </w:r>
            <w:r>
              <w:t xml:space="preserve">Verlenging van het leven</w:t>
            </w:r>
            <w:r>
              <w:t xml:space="preserve">’</w:t>
            </w:r>
            <w:r>
              <w:t xml:space="preserve"> </w:t>
            </w:r>
            <w:r>
              <w:t xml:space="preserve">(Khavinson 2003, PMID 14523363)</w:t>
            </w:r>
          </w:p>
        </w:tc>
        <w:tc>
          <w:tcPr/>
          <w:p>
            <w:pPr>
              <w:pStyle w:val="Compact"/>
              <w:jc w:val="left"/>
            </w:pPr>
            <w:r>
              <w:t xml:space="preserve">266 ouderen, thymaline en/of epithalamine vs. controle; toewijzing en blindering niet beschreven</w:t>
            </w:r>
          </w:p>
        </w:tc>
        <w:tc>
          <w:tcPr/>
          <w:p>
            <w:pPr>
              <w:pStyle w:val="Compact"/>
              <w:jc w:val="left"/>
            </w:pPr>
            <w:r>
              <w:t xml:space="preserve">6–8 jaar observatie</w:t>
            </w:r>
          </w:p>
        </w:tc>
        <w:tc>
          <w:tcPr/>
          <w:p>
            <w:pPr>
              <w:pStyle w:val="Compact"/>
              <w:jc w:val="left"/>
            </w:pPr>
            <w:r>
              <w:t xml:space="preserve">sterfte in de thymalinegroep 2,0 tot 2,1 keer lager dan in de controlegroep</w:t>
            </w:r>
          </w:p>
        </w:tc>
      </w:tr>
      <w:tr>
        <w:tc>
          <w:tcPr/>
          <w:p>
            <w:pPr>
              <w:pStyle w:val="Compact"/>
              <w:jc w:val="left"/>
            </w:pPr>
            <w:r>
              <w:t xml:space="preserve">Vóór buikoperaties (Smirnov 2011, PMID 21957588)</w:t>
            </w:r>
          </w:p>
        </w:tc>
        <w:tc>
          <w:tcPr/>
          <w:p>
            <w:pPr>
              <w:pStyle w:val="Compact"/>
              <w:jc w:val="left"/>
            </w:pPr>
            <w:r>
              <w:t xml:space="preserve">oudere personen met tumoren in de buikholte, dubbelblinde RCT tegen placebo, thymogen als neusdruppels; aantal deelnemers niet vermeld in het abstract</w:t>
            </w:r>
          </w:p>
        </w:tc>
        <w:tc>
          <w:tcPr/>
          <w:p>
            <w:pPr>
              <w:pStyle w:val="Compact"/>
              <w:jc w:val="left"/>
            </w:pPr>
            <w:r>
              <w:t xml:space="preserve">7 dagen vóór de operatie</w:t>
            </w:r>
          </w:p>
        </w:tc>
        <w:tc>
          <w:tcPr/>
          <w:p>
            <w:pPr>
              <w:pStyle w:val="Compact"/>
              <w:jc w:val="left"/>
            </w:pPr>
            <w:r>
              <w:t xml:space="preserve">minder complicaties na de operatie</w:t>
            </w:r>
          </w:p>
        </w:tc>
      </w:tr>
      <w:tr>
        <w:tc>
          <w:tcPr/>
          <w:p>
            <w:pPr>
              <w:pStyle w:val="Compact"/>
              <w:jc w:val="left"/>
            </w:pPr>
            <w:r>
              <w:t xml:space="preserve">Ernstige COVID-19 (Kuznik 2022, PMID 36169363)</w:t>
            </w:r>
          </w:p>
        </w:tc>
        <w:tc>
          <w:tcPr/>
          <w:p>
            <w:pPr>
              <w:pStyle w:val="Compact"/>
              <w:jc w:val="left"/>
            </w:pPr>
            <w:r>
              <w:t xml:space="preserve">drie groepen: basistherapie, plus tocilizumab, plus thymaline; toewijzing niet beschreven</w:t>
            </w:r>
          </w:p>
        </w:tc>
        <w:tc>
          <w:tcPr/>
          <w:p>
            <w:pPr>
              <w:pStyle w:val="Compact"/>
              <w:jc w:val="left"/>
            </w:pPr>
            <w:r>
              <w:t xml:space="preserve">ziekenhuisopname</w:t>
            </w:r>
          </w:p>
        </w:tc>
        <w:tc>
          <w:tcPr/>
          <w:p>
            <w:pPr>
              <w:pStyle w:val="Compact"/>
              <w:jc w:val="left"/>
            </w:pPr>
            <w:r>
              <w:t xml:space="preserve">ziekenhuissterfte 40,9%, 28,4% en 20,6%</w:t>
            </w:r>
          </w:p>
        </w:tc>
      </w:tr>
      <w:tr>
        <w:tc>
          <w:tcPr/>
          <w:p>
            <w:pPr>
              <w:pStyle w:val="Compact"/>
              <w:jc w:val="left"/>
            </w:pPr>
            <w:r>
              <w:t xml:space="preserve">Therapieresistente schizofrenie (Govorin 1990, PMID 2163147)</w:t>
            </w:r>
          </w:p>
        </w:tc>
        <w:tc>
          <w:tcPr/>
          <w:p>
            <w:pPr>
              <w:pStyle w:val="Compact"/>
              <w:jc w:val="left"/>
            </w:pPr>
            <w:r>
              <w:t xml:space="preserve">36 personen, geen controlegroep</w:t>
            </w:r>
          </w:p>
        </w:tc>
        <w:tc>
          <w:tcPr/>
          <w:p>
            <w:pPr>
              <w:pStyle w:val="Compact"/>
              <w:jc w:val="left"/>
            </w:pPr>
            <w:r>
              <w:t xml:space="preserve">niet vermeld</w:t>
            </w:r>
          </w:p>
        </w:tc>
        <w:tc>
          <w:tcPr/>
          <w:p>
            <w:pPr>
              <w:pStyle w:val="Compact"/>
              <w:jc w:val="left"/>
            </w:pPr>
            <w:r>
              <w:t xml:space="preserve">verbetering van psychische symptomen gemeld</w:t>
            </w:r>
          </w:p>
        </w:tc>
      </w:tr>
      <w:tr>
        <w:tc>
          <w:tcPr/>
          <w:p>
            <w:pPr>
              <w:pStyle w:val="Compact"/>
              <w:jc w:val="left"/>
            </w:pPr>
            <w:r>
              <w:t xml:space="preserve">Parkinson (Musienko 1999, PMID 10424021)</w:t>
            </w:r>
          </w:p>
        </w:tc>
        <w:tc>
          <w:tcPr/>
          <w:p>
            <w:pPr>
              <w:pStyle w:val="Compact"/>
              <w:jc w:val="left"/>
            </w:pPr>
            <w:r>
              <w:t xml:space="preserve">15 personen, geen controlegroep</w:t>
            </w:r>
          </w:p>
        </w:tc>
        <w:tc>
          <w:tcPr/>
          <w:p>
            <w:pPr>
              <w:pStyle w:val="Compact"/>
              <w:jc w:val="left"/>
            </w:pPr>
            <w:r>
              <w:t xml:space="preserve">één behandelreeks</w:t>
            </w:r>
          </w:p>
        </w:tc>
        <w:tc>
          <w:tcPr/>
          <w:p>
            <w:pPr>
              <w:pStyle w:val="Compact"/>
              <w:jc w:val="left"/>
            </w:pPr>
            <w:r>
              <w:t xml:space="preserve">verbetering van welbevinden en symptomen gemeld</w:t>
            </w:r>
          </w:p>
        </w:tc>
      </w:tr>
    </w:tbl>
    <w:bookmarkStart w:id="1202" w:name="X737abe25d97bd9a5a3949734ac459d0f81945fc"/>
    <w:p>
      <w:pPr>
        <w:pStyle w:val="Heading4"/>
      </w:pPr>
      <w:r>
        <w:t xml:space="preserve">De langetermijnstudie naar levensverlenging</w:t>
      </w:r>
    </w:p>
    <w:p>
      <w:pPr>
        <w:pStyle w:val="FirstParagraph"/>
      </w:pPr>
      <w:r>
        <w:t xml:space="preserve">Het bekendste werk is tegelijk het meest problematische. Gedurende zes tot acht jaar werden 266 ouderen in Sint-Petersburg en Kiev gevolgd, van wie sommigen in de eerste twee tot drie jaar thymaline, epithalamine of beide kregen. Gemeld wordt een 2,0 tot 2,1 keer lagere sterfte met thymaline en een 4,1 keer lagere bij een jaarlijkse combinatiebehandeling over zes jaar</w:t>
      </w:r>
      <w:r>
        <w:rPr>
          <w:rStyle w:val="FootnoteReference"/>
        </w:rPr>
        <w:footnoteReference w:id="1201"/>
      </w:r>
      <w:r>
        <w:t xml:space="preserve">.</w:t>
      </w:r>
    </w:p>
    <w:p>
      <w:pPr>
        <w:pStyle w:val="BodyText"/>
      </w:pPr>
      <w:r>
        <w:t xml:space="preserve">Zulke effecten zouden spectaculair zijn – groter dan bij vrijwel elk gevestigd geneesmiddel. Het abstract beschrijft echter niet hoe de deelnemers aan de groepen werden toegewezen, of er blindering was, of hoeveel personen er in elke groep zaten. Wie gezonder en actiever is, neemt eerder deel aan een jarenlange behandeling; zonder gerandomiseerde toewijzing kan zo’n verschil alleen daardoor al ontstaan. Onafhankelijke herhalingen zijn er niet.</w:t>
      </w:r>
    </w:p>
    <w:bookmarkEnd w:id="1202"/>
    <w:bookmarkStart w:id="1205" w:name="covid-19-1"/>
    <w:p>
      <w:pPr>
        <w:pStyle w:val="Heading4"/>
      </w:pPr>
      <w:r>
        <w:t xml:space="preserve">COVID-19</w:t>
      </w:r>
    </w:p>
    <w:p>
      <w:pPr>
        <w:pStyle w:val="FirstParagraph"/>
      </w:pPr>
      <w:r>
        <w:t xml:space="preserve">Tijdens de pandemie rapporteerde de onderzoeksgroep over thymaline bij ernstig zieke COVID-19-patiënten. In een analyse lag de ziekenhuissterfte bij basistherapie op 40,9 procent, met extra tocilizumab op 28,4 procent en met extra thymaline op 20,6 procent</w:t>
      </w:r>
      <w:r>
        <w:rPr>
          <w:rStyle w:val="FootnoteReference"/>
        </w:rPr>
        <w:footnoteReference w:id="1203"/>
      </w:r>
      <w:r>
        <w:t xml:space="preserve">. Hoe de personen aan de groepen werden toegewezen en hoe groot de groepen waren, blijkt niet uit het abstract. Een andere publicatie meldt snellere dalingen van ontstekings- en stollingswaarden</w:t>
      </w:r>
      <w:r>
        <w:rPr>
          <w:rStyle w:val="FootnoteReference"/>
        </w:rPr>
        <w:footnoteReference w:id="1204"/>
      </w:r>
      <w:r>
        <w:t xml:space="preserve">. Na de ervaringen met thymosine alfa-1, waarbij vroege gunstige observationele gegevens in grotere studies niet werden bevestigd (zie aldaar), zijn deze cijfers zonder gerandomiseerde bevestiging niet betrouwbaar.</w:t>
      </w:r>
    </w:p>
    <w:bookmarkEnd w:id="1205"/>
    <w:bookmarkStart w:id="1207" w:name="de-enige-placebogecontroleerde-studie"/>
    <w:p>
      <w:pPr>
        <w:pStyle w:val="Heading4"/>
      </w:pPr>
      <w:r>
        <w:t xml:space="preserve">De enige placebogecontroleerde studie</w:t>
      </w:r>
    </w:p>
    <w:p>
      <w:pPr>
        <w:pStyle w:val="FirstParagraph"/>
      </w:pPr>
      <w:r>
        <w:t xml:space="preserve">De enige als dubbelblind, gerandomiseerd en placebogecontroleerd beschreven studie onderzocht thymogen-neusdruppels bij ouderen vóór tumoroperaties in de buikholte. Gemeld worden minder complicaties na de operatie en een korter herstelverloop</w:t>
      </w:r>
      <w:r>
        <w:rPr>
          <w:rStyle w:val="FootnoteReference"/>
        </w:rPr>
        <w:footnoteReference w:id="1206"/>
      </w:r>
      <w:r>
        <w:t xml:space="preserve">. Het aantal deelnemers en de effectgroottes worden in het Russische abstract niet genoemd.</w:t>
      </w:r>
    </w:p>
    <w:bookmarkEnd w:id="1207"/>
    <w:bookmarkStart w:id="1208" w:name="overige-studies"/>
    <w:p>
      <w:pPr>
        <w:pStyle w:val="Heading4"/>
      </w:pPr>
      <w:r>
        <w:t xml:space="preserve">Overige studies</w:t>
      </w:r>
    </w:p>
    <w:p>
      <w:pPr>
        <w:pStyle w:val="FirstParagraph"/>
      </w:pPr>
      <w:r>
        <w:t xml:space="preserve">De overige studies bij mensen stammen overwegend uit de jaren tachtig en negentig en betreffen een opvallend breed spectrum: tuberculose, dysenterie, wondroos, etterende wonden, buikvliesontsteking bij kinderen, alvleesklierontsteking, colitis ulcerosa, ontstekingen van de vrouwelijke geslachtsorganen, schizofrenie en parkinson. Vrijwel altijd werd thymaline of thymogen naast de standaardbehandeling gegeven, zonder placebo en meestal zonder gerandomiseerde toewijzing. Gemeten werden vaak laboratoriumwaarden van het immuunsysteem, geen harde eindpunten zoals genezing of overleving.</w:t>
      </w:r>
    </w:p>
    <w:bookmarkEnd w:id="1208"/>
    <w:bookmarkEnd w:id="1209"/>
    <w:bookmarkStart w:id="1212" w:name="dier--en-laboratoriumstudies-22"/>
    <w:p>
      <w:pPr>
        <w:pStyle w:val="Heading3"/>
      </w:pPr>
      <w:r>
        <w:t xml:space="preserve">Dier- en laboratoriumstudies</w:t>
      </w:r>
    </w:p>
    <w:p>
      <w:pPr>
        <w:pStyle w:val="FirstParagraph"/>
      </w:pPr>
      <w:r>
        <w:t xml:space="preserve">Ook de dierstudies zijn overwegend afkomstig van Russische en Oekraïense onderzoeksgroepen. Bij 76 ratten die twaalf maanden lang Glu-Trp (thymogen) of zoutoplossing kregen, was de gemiddelde levensduur gelijk; de langstlevende tien procent leefde met thymogen langer, en tumoren kwamen minder vaak voor</w:t>
      </w:r>
      <w:r>
        <w:rPr>
          <w:rStyle w:val="FootnoteReference"/>
        </w:rPr>
        <w:footnoteReference w:id="1210"/>
      </w:r>
      <w:r>
        <w:t xml:space="preserve">. In celkweken van menselijke bloedstamcellen beïnvloedde thymaline de differentiatie ervan</w:t>
      </w:r>
      <w:r>
        <w:rPr>
          <w:rStyle w:val="FootnoteReference"/>
        </w:rPr>
        <w:footnoteReference w:id="1211"/>
      </w:r>
      <w:r>
        <w:t xml:space="preserve">. Andere publicaties beschrijven effecten op bloedstolling, het ontstaan van kanker na bestraling of chemicaliën en infecties bij knaagdieren.</w:t>
      </w:r>
    </w:p>
    <w:bookmarkEnd w:id="1212"/>
    <w:bookmarkStart w:id="1213" w:name="Xaeeb48270b3c431a4f13a64358de213fb33f7d8"/>
    <w:p>
      <w:pPr>
        <w:pStyle w:val="Heading3"/>
      </w:pPr>
      <w:r>
        <w:t xml:space="preserve">Kwaliteit van het onderzoek: een kritische plaatsbepaling</w:t>
      </w:r>
    </w:p>
    <w:p>
      <w:pPr>
        <w:pStyle w:val="FirstParagraph"/>
      </w:pPr>
      <w:r>
        <w:t xml:space="preserve">Voor de beoordeling van thymaline en thymogen is de herkomst van de gegevens belangrijker dan de afzonderlijke resultaten:</w:t>
      </w:r>
    </w:p>
    <w:p>
      <w:pPr>
        <w:numPr>
          <w:ilvl w:val="0"/>
          <w:numId w:val="1142"/>
        </w:numPr>
        <w:pStyle w:val="Compact"/>
      </w:pPr>
      <w:r>
        <w:rPr>
          <w:bCs/>
          <w:b/>
        </w:rPr>
        <w:t xml:space="preserve">Eén school, nauwelijks onafhankelijke bevestiging.</w:t>
      </w:r>
      <w:r>
        <w:t xml:space="preserve"> </w:t>
      </w:r>
      <w:r>
        <w:t xml:space="preserve">Een groot deel van de publicaties komt van Khavinson, zijn medewerkers of samenwerkende instituten. Khavinson is volgens PubMed betrokken bij meer dan 80 van de ongeveer 290 publicaties; veel andere komen van nauw verbonden groepen. Onafhankelijke westerse herhalingsstudies ontbreken.</w:t>
      </w:r>
    </w:p>
    <w:p>
      <w:pPr>
        <w:numPr>
          <w:ilvl w:val="0"/>
          <w:numId w:val="1142"/>
        </w:numPr>
        <w:pStyle w:val="Compact"/>
      </w:pPr>
      <w:r>
        <w:rPr>
          <w:bCs/>
          <w:b/>
        </w:rPr>
        <w:t xml:space="preserve">Taal en toegankelijkheid.</w:t>
      </w:r>
      <w:r>
        <w:t xml:space="preserve"> </w:t>
      </w:r>
      <w:r>
        <w:t xml:space="preserve">Ongeveer 250 van de publicaties zijn Russischtalig, in PubMed vaak alleen met een kort abstract. Volledige teksten zijn moeilijk toegankelijk, methoden zijn nauwelijks te controleren.</w:t>
      </w:r>
    </w:p>
    <w:p>
      <w:pPr>
        <w:numPr>
          <w:ilvl w:val="0"/>
          <w:numId w:val="1142"/>
        </w:numPr>
        <w:pStyle w:val="Compact"/>
      </w:pPr>
      <w:r>
        <w:rPr>
          <w:bCs/>
          <w:b/>
        </w:rPr>
        <w:t xml:space="preserve">Studiedesign.</w:t>
      </w:r>
      <w:r>
        <w:t xml:space="preserve"> </w:t>
      </w:r>
      <w:r>
        <w:t xml:space="preserve">Vrijwel geen studie is naar de huidige normen gerandomiseerd, geblindeerd en vooraf geregistreerd. Geen enkele studie staat ingeschreven bij ClinicalTrials.gov.</w:t>
      </w:r>
    </w:p>
    <w:p>
      <w:pPr>
        <w:numPr>
          <w:ilvl w:val="0"/>
          <w:numId w:val="1142"/>
        </w:numPr>
        <w:pStyle w:val="Compact"/>
      </w:pPr>
      <w:r>
        <w:rPr>
          <w:bCs/>
          <w:b/>
        </w:rPr>
        <w:t xml:space="preserve">Ongewoon grote effecten bij zeer veel aandoeningen.</w:t>
      </w:r>
      <w:r>
        <w:t xml:space="preserve"> </w:t>
      </w:r>
      <w:r>
        <w:t xml:space="preserve">Een preparaat dat bij tuberculose, schizofrenie, parkinson, COVID-19 en veroudering evengoed werkt en de sterfte halveert, is methodologisch gezien een waarschuwingssignaal, geen aanbeveling.</w:t>
      </w:r>
    </w:p>
    <w:p>
      <w:pPr>
        <w:numPr>
          <w:ilvl w:val="0"/>
          <w:numId w:val="1142"/>
        </w:numPr>
        <w:pStyle w:val="Compact"/>
      </w:pPr>
      <w:r>
        <w:rPr>
          <w:bCs/>
          <w:b/>
        </w:rPr>
        <w:t xml:space="preserve">Belangenconflicten.</w:t>
      </w:r>
      <w:r>
        <w:t xml:space="preserve"> </w:t>
      </w:r>
      <w:r>
        <w:t xml:space="preserve">De onderzoeksgroep heeft de preparaten zelf ontwikkeld; naar weten van de auteur worden</w:t>
      </w:r>
      <w:r>
        <w:t xml:space="preserve"> </w:t>
      </w:r>
      <w:r>
        <w:t xml:space="preserve">‘</w:t>
      </w:r>
      <w:r>
        <w:t xml:space="preserve">bioregulatoren</w:t>
      </w:r>
      <w:r>
        <w:t xml:space="preserve">’</w:t>
      </w:r>
      <w:r>
        <w:t xml:space="preserve"> </w:t>
      </w:r>
      <w:r>
        <w:t xml:space="preserve">uit deze school internationaal als voedingssupplement op de markt gebracht. Onafhankelijke toetsing door onderzoekers zonder zulke banden ontbreekt.</w:t>
      </w:r>
    </w:p>
    <w:p>
      <w:pPr>
        <w:pStyle w:val="FirstParagraph"/>
      </w:pPr>
      <w:r>
        <w:t xml:space="preserve">Dat betekent niet dat alle resultaten onjuist moeten zijn. Het betekent dat ze volgens de maatstaven van dit boek niet als bewijs voor een nut kunnen gelden zolang ze niet in degelijk opgezette, onafhankelijke studies worden bevestigd.</w:t>
      </w:r>
    </w:p>
    <w:bookmarkEnd w:id="1213"/>
    <w:bookmarkStart w:id="1216" w:name="risicos-en-bijwerkingen-22"/>
    <w:p>
      <w:pPr>
        <w:pStyle w:val="Heading3"/>
      </w:pPr>
      <w:r>
        <w:t xml:space="preserve">Risico’s en bijwerkingen</w:t>
      </w:r>
    </w:p>
    <w:bookmarkStart w:id="1214" w:name="aangetoond-6"/>
    <w:p>
      <w:pPr>
        <w:pStyle w:val="Heading4"/>
      </w:pPr>
      <w:r>
        <w:t xml:space="preserve">Aangetoond</w:t>
      </w:r>
    </w:p>
    <w:p>
      <w:pPr>
        <w:pStyle w:val="FirstParagraph"/>
      </w:pPr>
      <w:r>
        <w:t xml:space="preserve">Systematisch verzamelde veiligheidsgegevens volgens de huidige normen zijn er niet. De beschikbare studies melden nauwelijks bijwerkingen – wat bij kleine, niet-geblindeerde studies weinig zegt.</w:t>
      </w:r>
    </w:p>
    <w:bookmarkEnd w:id="1214"/>
    <w:bookmarkStart w:id="1215" w:name="theoretisch-2"/>
    <w:p>
      <w:pPr>
        <w:pStyle w:val="Heading4"/>
      </w:pPr>
      <w:r>
        <w:t xml:space="preserve">Theoretisch</w:t>
      </w:r>
    </w:p>
    <w:p>
      <w:pPr>
        <w:numPr>
          <w:ilvl w:val="0"/>
          <w:numId w:val="1143"/>
        </w:numPr>
        <w:pStyle w:val="Compact"/>
      </w:pPr>
      <w:r>
        <w:rPr>
          <w:bCs/>
          <w:b/>
        </w:rPr>
        <w:t xml:space="preserve">Dierlijk uitgangsmateriaal:</w:t>
      </w:r>
      <w:r>
        <w:t xml:space="preserve"> </w:t>
      </w:r>
      <w:r>
        <w:t xml:space="preserve">thymaline is een extract uit kalverthymus. Bij dierlijke extracten bestaan in principe risico’s door verontreinigingen, schommelingen tussen batches en allergische reacties. Ook de overdracht van ziekteverwekkers uit rundweefsel is een theoretisch risico dat afhangt van de productiekwaliteit.</w:t>
      </w:r>
    </w:p>
    <w:p>
      <w:pPr>
        <w:numPr>
          <w:ilvl w:val="0"/>
          <w:numId w:val="1143"/>
        </w:numPr>
        <w:pStyle w:val="Compact"/>
      </w:pPr>
      <w:r>
        <w:rPr>
          <w:bCs/>
          <w:b/>
        </w:rPr>
        <w:t xml:space="preserve">Immuunstimulatie:</w:t>
      </w:r>
      <w:r>
        <w:t xml:space="preserve"> </w:t>
      </w:r>
      <w:r>
        <w:t xml:space="preserve">bij auto-immuunziekten of na orgaantransplantatie zou een stimulering van het immuunsysteem schadelijk kunnen zijn. Gegevens daarover ontbreken.</w:t>
      </w:r>
    </w:p>
    <w:p>
      <w:pPr>
        <w:numPr>
          <w:ilvl w:val="0"/>
          <w:numId w:val="1143"/>
        </w:numPr>
        <w:pStyle w:val="Compact"/>
      </w:pPr>
      <w:r>
        <w:rPr>
          <w:bCs/>
          <w:b/>
        </w:rPr>
        <w:t xml:space="preserve">Grijze markt en</w:t>
      </w:r>
      <w:r>
        <w:rPr>
          <w:bCs/>
          <w:b/>
        </w:rPr>
        <w:t xml:space="preserve"> </w:t>
      </w:r>
      <w:r>
        <w:rPr>
          <w:bCs/>
          <w:b/>
        </w:rPr>
        <w:t xml:space="preserve">‘</w:t>
      </w:r>
      <w:r>
        <w:rPr>
          <w:bCs/>
          <w:b/>
        </w:rPr>
        <w:t xml:space="preserve">bioregulatoren</w:t>
      </w:r>
      <w:r>
        <w:rPr>
          <w:bCs/>
          <w:b/>
        </w:rPr>
        <w:t xml:space="preserve">’</w:t>
      </w:r>
      <w:r>
        <w:rPr>
          <w:bCs/>
          <w:b/>
        </w:rPr>
        <w:t xml:space="preserve">:</w:t>
      </w:r>
      <w:r>
        <w:t xml:space="preserve"> </w:t>
      </w:r>
      <w:r>
        <w:t xml:space="preserve">buiten Rusland worden thymaline, thymogen en verwante producten via internet verkocht, deels als injectievloeistof, deels als capsules met de aanduiding</w:t>
      </w:r>
      <w:r>
        <w:t xml:space="preserve"> </w:t>
      </w:r>
      <w:r>
        <w:t xml:space="preserve">‘</w:t>
      </w:r>
      <w:r>
        <w:t xml:space="preserve">bioregulator</w:t>
      </w:r>
      <w:r>
        <w:t xml:space="preserve">’</w:t>
      </w:r>
      <w:r>
        <w:t xml:space="preserve">. Herkomst, gehalte en kwaliteit van deze producten zijn niet controleerbaar.</w:t>
      </w:r>
    </w:p>
    <w:bookmarkEnd w:id="1215"/>
    <w:bookmarkEnd w:id="1216"/>
    <w:bookmarkStart w:id="1217" w:name="juridische-status-22"/>
    <w:p>
      <w:pPr>
        <w:pStyle w:val="Heading3"/>
      </w:pPr>
      <w:r>
        <w:t xml:space="preserve">Juridische status</w:t>
      </w:r>
    </w:p>
    <w:p>
      <w:pPr>
        <w:pStyle w:val="FirstParagraph"/>
      </w:pPr>
      <w:r>
        <w:rPr>
          <w:iCs/>
          <w:i/>
        </w:rPr>
        <w:t xml:space="preserve">Stand 2026, actuele situatie controleren.</w:t>
      </w:r>
    </w:p>
    <w:p>
      <w:pPr>
        <w:numPr>
          <w:ilvl w:val="0"/>
          <w:numId w:val="1144"/>
        </w:numPr>
        <w:pStyle w:val="Compact"/>
      </w:pPr>
      <w:r>
        <w:rPr>
          <w:bCs/>
          <w:b/>
        </w:rPr>
        <w:t xml:space="preserve">Rusland en enkele opvolgerstaten van de Sovjet-Unie:</w:t>
      </w:r>
      <w:r>
        <w:t xml:space="preserve"> </w:t>
      </w:r>
      <w:r>
        <w:t xml:space="preserve">thymaline en thymogen zijn als geneesmiddel geregistreerd.</w:t>
      </w:r>
    </w:p>
    <w:p>
      <w:pPr>
        <w:numPr>
          <w:ilvl w:val="0"/>
          <w:numId w:val="1144"/>
        </w:numPr>
        <w:pStyle w:val="Compact"/>
      </w:pPr>
      <w:r>
        <w:rPr>
          <w:bCs/>
          <w:b/>
        </w:rPr>
        <w:t xml:space="preserve">EU, Duitsland, Oostenrijk:</w:t>
      </w:r>
      <w:r>
        <w:t xml:space="preserve"> </w:t>
      </w:r>
      <w:r>
        <w:t xml:space="preserve">geen registratie. Invoer en levering voor gebruik bij mensen zijn alleen toegestaan onder de strikte voorwaarden van het betreffende geneesmiddelenrecht. Capsules met orgaanextracten die als voedingssupplement worden verkocht, mogen geen effecten op ziekten beloven; of ze als geneesmiddel moeten worden aangemerkt, hangt af van het afzonderlijke geval.</w:t>
      </w:r>
    </w:p>
    <w:p>
      <w:pPr>
        <w:numPr>
          <w:ilvl w:val="0"/>
          <w:numId w:val="1144"/>
        </w:numPr>
        <w:pStyle w:val="Compact"/>
      </w:pPr>
      <w:r>
        <w:rPr>
          <w:bCs/>
          <w:b/>
        </w:rPr>
        <w:t xml:space="preserve">VS:</w:t>
      </w:r>
      <w:r>
        <w:t xml:space="preserve"> </w:t>
      </w:r>
      <w:r>
        <w:t xml:space="preserve">geen FDA-registratie.</w:t>
      </w:r>
    </w:p>
    <w:p>
      <w:pPr>
        <w:numPr>
          <w:ilvl w:val="0"/>
          <w:numId w:val="1144"/>
        </w:numPr>
        <w:pStyle w:val="Compact"/>
      </w:pPr>
      <w:r>
        <w:rPr>
          <w:bCs/>
          <w:b/>
        </w:rPr>
        <w:t xml:space="preserve">WADA:</w:t>
      </w:r>
      <w:r>
        <w:t xml:space="preserve"> </w:t>
      </w:r>
      <w:r>
        <w:t xml:space="preserve">niet bij naam vermeld.</w:t>
      </w:r>
    </w:p>
    <w:bookmarkEnd w:id="1217"/>
    <w:bookmarkStart w:id="1218" w:name="lopende-studies-en-vooruitzichten-22"/>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naar thymaline of thymogen geregistreerd.</w:t>
      </w:r>
    </w:p>
    <w:p>
      <w:pPr>
        <w:pStyle w:val="BodyText"/>
      </w:pPr>
      <w:r>
        <w:rPr>
          <w:bCs/>
          <w:b/>
        </w:rPr>
        <w:t xml:space="preserve">Inschatting van de auteur:</w:t>
      </w:r>
      <w:r>
        <w:t xml:space="preserve"> </w:t>
      </w:r>
      <w:r>
        <w:t xml:space="preserve">een registratie in de EU of de VS is zonder nieuwe, volgens internationale normen uitgevoerde studies uitgesloten, en zulke studies zijn niet in zicht. Thymaline en thymogen zullen daarom naar verwachting een verschijnsel blijven van de Russischtalige gezondheidsmarkt en de internationale longevityscene.</w:t>
      </w:r>
    </w:p>
    <w:bookmarkEnd w:id="1218"/>
    <w:bookmarkStart w:id="1220" w:name="conclusie-22"/>
    <w:p>
      <w:pPr>
        <w:pStyle w:val="Heading3"/>
      </w:pPr>
      <w:r>
        <w:t xml:space="preserve">Conclusie</w:t>
      </w:r>
    </w:p>
    <w:p>
      <w:pPr>
        <w:pStyle w:val="FirstParagraph"/>
      </w:pPr>
      <w:r>
        <w:t xml:space="preserve">Thymaline is een extract uit kalverthymus, thymogen een daarvan afgeleid dipeptide; beide zijn in Rusland geregistreerd en worden in het Westen aangeprezen als</w:t>
      </w:r>
      <w:r>
        <w:t xml:space="preserve"> </w:t>
      </w:r>
      <w:r>
        <w:t xml:space="preserve">‘</w:t>
      </w:r>
      <w:r>
        <w:t xml:space="preserve">bioregulatoren</w:t>
      </w:r>
      <w:r>
        <w:t xml:space="preserve">’</w:t>
      </w:r>
      <w:r>
        <w:t xml:space="preserve"> </w:t>
      </w:r>
      <w:r>
        <w:t xml:space="preserve">voor levensverlenging. Het onderzoek komt vrijwel volledig van één enkele Russische onderzoeksschool, is overwegend in het Russisch gepubliceerd en bestaat uit kleine, meestal niet-gerandomiseerde studies. De veel geciteerde halvering van de sterfte bij ouderen</w:t>
      </w:r>
      <w:r>
        <w:rPr>
          <w:rStyle w:val="FootnoteReference"/>
        </w:rPr>
        <w:footnoteReference w:id="1219"/>
      </w:r>
      <w:r>
        <w:t xml:space="preserve"> </w:t>
      </w:r>
      <w:r>
        <w:t xml:space="preserve">berust op een studie waarvan het design in het abstract niet navolgbaar is beschreven. Een nut is naar de huidige maatstaven niet aangetoond, en de kwaliteit van vrij verkochte producten is onbekend.</w:t>
      </w:r>
    </w:p>
    <w:bookmarkEnd w:id="1220"/>
    <w:bookmarkEnd w:id="1221"/>
    <w:bookmarkEnd w:id="1222"/>
    <w:bookmarkStart w:id="1602" w:name="deel-ii-c-groeihormoonas"/>
    <w:p>
      <w:pPr>
        <w:pStyle w:val="Heading1"/>
      </w:pPr>
      <w:r>
        <w:t xml:space="preserve">Deel II · C – Groeihormoonas</w:t>
      </w:r>
    </w:p>
    <w:p>
      <w:pPr>
        <w:pStyle w:val="FirstParagraph"/>
      </w:pPr>
      <w:r>
        <w:t xml:space="preserve">Groeihormoon (GH, naar het Engelse</w:t>
      </w:r>
      <w:r>
        <w:t xml:space="preserve"> </w:t>
      </w:r>
      <w:r>
        <w:rPr>
          <w:iCs/>
          <w:i/>
        </w:rPr>
        <w:t xml:space="preserve">growth hormone</w:t>
      </w:r>
      <w:r>
        <w:t xml:space="preserve">) is een van de meest gemythologiseerde hormonen überhaupt. In sportscholen geldt het als spieropbouw- en vetverbrandingshormoon en in anti-agingpraktijken als</w:t>
      </w:r>
      <w:r>
        <w:t xml:space="preserve"> </w:t>
      </w:r>
      <w:r>
        <w:t xml:space="preserve">‘</w:t>
      </w:r>
      <w:r>
        <w:t xml:space="preserve">bron van eeuwige jeugd</w:t>
      </w:r>
      <w:r>
        <w:t xml:space="preserve">’</w:t>
      </w:r>
      <w:r>
        <w:t xml:space="preserve">. Echt groeihormoon is een groot, duur eiwit dat alleen op recept verkrijgbaar is. De peptiden in dit deel beloven een ogenschijnlijk elegantere weg: ze zouden het lichaam ertoe aanzetten</w:t>
      </w:r>
      <w:r>
        <w:t xml:space="preserve"> </w:t>
      </w:r>
      <w:r>
        <w:rPr>
          <w:iCs/>
          <w:i/>
        </w:rPr>
        <w:t xml:space="preserve">meer eigen</w:t>
      </w:r>
      <w:r>
        <w:t xml:space="preserve"> </w:t>
      </w:r>
      <w:r>
        <w:t xml:space="preserve">groeihormoon af te geven – of ze leveren rechtstreeks de daarachter liggende boodschapperstof IGF-1.</w:t>
      </w:r>
    </w:p>
    <w:bookmarkStart w:id="1224" w:name="de-as-in-vier-stations"/>
    <w:p>
      <w:pPr>
        <w:pStyle w:val="Heading3"/>
      </w:pPr>
      <w:r>
        <w:t xml:space="preserve">De as in vier stations</w:t>
      </w:r>
    </w:p>
    <w:p>
      <w:pPr>
        <w:numPr>
          <w:ilvl w:val="0"/>
          <w:numId w:val="1145"/>
        </w:numPr>
        <w:pStyle w:val="Compact"/>
      </w:pPr>
      <w:r>
        <w:rPr>
          <w:bCs/>
          <w:b/>
        </w:rPr>
        <w:t xml:space="preserve">GHRH</w:t>
      </w:r>
      <w:r>
        <w:t xml:space="preserve"> </w:t>
      </w:r>
      <w:r>
        <w:t xml:space="preserve">(groeihormoon-releasing hormoon) uit de tussenhersenen geeft de hypofyse het signaal tot afgifte. Zijn tegenspeler somatostatine remt.</w:t>
      </w:r>
    </w:p>
    <w:p>
      <w:pPr>
        <w:numPr>
          <w:ilvl w:val="0"/>
          <w:numId w:val="1145"/>
        </w:numPr>
        <w:pStyle w:val="Compact"/>
      </w:pPr>
      <w:r>
        <w:rPr>
          <w:bCs/>
          <w:b/>
        </w:rPr>
        <w:t xml:space="preserve">Ghreline</w:t>
      </w:r>
      <w:r>
        <w:t xml:space="preserve">, een hormoon uit de maag, versterkt de afgifte via een eigen receptor (GHS-R1a) en maakt tegelijk hongerig</w:t>
      </w:r>
      <w:r>
        <w:rPr>
          <w:rStyle w:val="FootnoteReference"/>
        </w:rPr>
        <w:footnoteReference w:id="1223"/>
      </w:r>
      <w:r>
        <w:t xml:space="preserve">.</w:t>
      </w:r>
    </w:p>
    <w:p>
      <w:pPr>
        <w:numPr>
          <w:ilvl w:val="0"/>
          <w:numId w:val="1145"/>
        </w:numPr>
        <w:pStyle w:val="Compact"/>
      </w:pPr>
      <w:r>
        <w:rPr>
          <w:bCs/>
          <w:b/>
        </w:rPr>
        <w:t xml:space="preserve">Groeihormoon</w:t>
      </w:r>
      <w:r>
        <w:t xml:space="preserve"> </w:t>
      </w:r>
      <w:r>
        <w:t xml:space="preserve">wordt door de hypofyse in pulsen afgegeven, vooral ’s nachts.</w:t>
      </w:r>
    </w:p>
    <w:p>
      <w:pPr>
        <w:numPr>
          <w:ilvl w:val="0"/>
          <w:numId w:val="1145"/>
        </w:numPr>
        <w:pStyle w:val="Compact"/>
      </w:pPr>
      <w:r>
        <w:rPr>
          <w:bCs/>
          <w:b/>
        </w:rPr>
        <w:t xml:space="preserve">IGF-1</w:t>
      </w:r>
      <w:r>
        <w:t xml:space="preserve"> </w:t>
      </w:r>
      <w:r>
        <w:t xml:space="preserve">(insulineachtige groeifactor 1) wordt vooral in de lever aangemaakt als reactie op groeihormoon en brengt veel van de opbouwende effecten ervan tot stand. Hoge IGF-1-spiegels remmen op hun beurt de as.</w:t>
      </w:r>
    </w:p>
    <w:p>
      <w:pPr>
        <w:pStyle w:val="FirstParagraph"/>
      </w:pPr>
      <w:r>
        <w:t xml:space="preserve">De werkzame stoffen in dit deel grijpen aan op verschillende stations:</w:t>
      </w:r>
      <w:r>
        <w:t xml:space="preserve"> </w:t>
      </w:r>
      <w:r>
        <w:rPr>
          <w:bCs/>
          <w:b/>
        </w:rPr>
        <w:t xml:space="preserve">GHRH-analogen</w:t>
      </w:r>
      <w:r>
        <w:t xml:space="preserve"> </w:t>
      </w:r>
      <w:r>
        <w:t xml:space="preserve">(sermoreline, tesamoreline, CJC-1295) op de GHRH-receptor,</w:t>
      </w:r>
      <w:r>
        <w:t xml:space="preserve"> </w:t>
      </w:r>
      <w:r>
        <w:rPr>
          <w:bCs/>
          <w:b/>
        </w:rPr>
        <w:t xml:space="preserve">ghrelinemimetica</w:t>
      </w:r>
      <w:r>
        <w:t xml:space="preserve"> </w:t>
      </w:r>
      <w:r>
        <w:t xml:space="preserve">(ipamoreline, GHRP-2, GHRP-6, hexareline, macimoreline en ter vergelijking het niet-peptide ibutamoren) op de ghrelinereceptor,</w:t>
      </w:r>
      <w:r>
        <w:t xml:space="preserve"> </w:t>
      </w:r>
      <w:r>
        <w:rPr>
          <w:bCs/>
          <w:b/>
        </w:rPr>
        <w:t xml:space="preserve">IGF-1 en zijn varianten</w:t>
      </w:r>
      <w:r>
        <w:t xml:space="preserve"> </w:t>
      </w:r>
      <w:r>
        <w:t xml:space="preserve">(mecasermine, IGF-1 LR3) direct aan het einde van de keten.</w:t>
      </w:r>
    </w:p>
    <w:bookmarkEnd w:id="1224"/>
    <w:bookmarkStart w:id="1227" w:name="waarom-deze-groep-zo-populair-is"/>
    <w:p>
      <w:pPr>
        <w:pStyle w:val="Heading3"/>
      </w:pPr>
      <w:r>
        <w:t xml:space="preserve">Waarom deze groep zo populair is</w:t>
      </w:r>
    </w:p>
    <w:p>
      <w:pPr>
        <w:pStyle w:val="FirstParagraph"/>
      </w:pPr>
      <w:r>
        <w:t xml:space="preserve">Groeihormoon breekt vet af en bouwt vetvrije massa op – dat is goed aangetoond. Een overzicht van gerandomiseerde studies bij jonge, getrainde mensen vond een toename van de vetvrije massa met 2,1 kg, maar geen verbetering van kracht of uithoudingsvermogen, wel meer vochtophoping en vermoeidheid</w:t>
      </w:r>
      <w:r>
        <w:rPr>
          <w:rStyle w:val="FootnoteReference"/>
        </w:rPr>
        <w:footnoteReference w:id="1225"/>
      </w:r>
      <w:r>
        <w:t xml:space="preserve">. Bij gezonde ouderen daalde de vetmassa met 2,1 kg en steeg de vetvrije massa met 2,1 kg; tegelijk kwamen vaker weefselzwelling, gewrichtspijn, carpaletunnelsyndroom en borstvergroting bij mannen voor</w:t>
      </w:r>
      <w:r>
        <w:rPr>
          <w:rStyle w:val="FootnoteReference"/>
        </w:rPr>
        <w:footnoteReference w:id="1226"/>
      </w:r>
      <w:r>
        <w:t xml:space="preserve">. Omdat de afgifte van groeihormoon met de leeftijd afneemt, ligt het idee voor de hand die</w:t>
      </w:r>
      <w:r>
        <w:t xml:space="preserve"> </w:t>
      </w:r>
      <w:r>
        <w:t xml:space="preserve">‘</w:t>
      </w:r>
      <w:r>
        <w:t xml:space="preserve">terug te draaien</w:t>
      </w:r>
      <w:r>
        <w:t xml:space="preserve">’</w:t>
      </w:r>
      <w:r>
        <w:t xml:space="preserve">. De afgiftestimulatoren gelden als zachter alternatief, omdat de lichaamseigen regulatie behouden blijft. Daarbij komt dat veel ervan als</w:t>
      </w:r>
      <w:r>
        <w:t xml:space="preserve"> </w:t>
      </w:r>
      <w:r>
        <w:t xml:space="preserve">‘</w:t>
      </w:r>
      <w:r>
        <w:t xml:space="preserve">research peptides</w:t>
      </w:r>
      <w:r>
        <w:t xml:space="preserve">’</w:t>
      </w:r>
      <w:r>
        <w:t xml:space="preserve"> </w:t>
      </w:r>
      <w:r>
        <w:t xml:space="preserve">goedkoop online verkrijgbaar zijn.</w:t>
      </w:r>
    </w:p>
    <w:p>
      <w:pPr>
        <w:pStyle w:val="BodyText"/>
      </w:pPr>
      <w:r>
        <w:t xml:space="preserve">Het patroon dat als een rode draad door vrijwel alle hoofdstukken loopt: IGF-1 en vetvrije massa stijgen, maar kracht, functie of ziekteverloop verbeteren in gecontroleerde studies nauwelijks – terwijl bloedsuiker, vochtophoping en bij sommige stoffen stresshormonen toenemen.</w:t>
      </w:r>
    </w:p>
    <w:bookmarkEnd w:id="1227"/>
    <w:bookmarkStart w:id="1234" w:name="het-belangrijkste-open-punt-kanker"/>
    <w:p>
      <w:pPr>
        <w:pStyle w:val="Heading3"/>
      </w:pPr>
      <w:r>
        <w:t xml:space="preserve">Het belangrijkste open punt: kanker</w:t>
      </w:r>
    </w:p>
    <w:p>
      <w:pPr>
        <w:pStyle w:val="FirstParagraph"/>
      </w:pPr>
      <w:r>
        <w:t xml:space="preserve">IGF-1 bevordert celdeling en houdt cellen in leven. Of een blijvende verhoging het kankerrisico vergroot, is de centrale veiligheidsvraag van deze groep. Het bewijs, nuchter samengevat:</w:t>
      </w:r>
    </w:p>
    <w:p>
      <w:pPr>
        <w:numPr>
          <w:ilvl w:val="0"/>
          <w:numId w:val="1146"/>
        </w:numPr>
        <w:pStyle w:val="Compact"/>
      </w:pPr>
      <w:r>
        <w:rPr>
          <w:bCs/>
          <w:b/>
        </w:rPr>
        <w:t xml:space="preserve">Van nature hoog IGF-1:</w:t>
      </w:r>
      <w:r>
        <w:t xml:space="preserve"> </w:t>
      </w:r>
      <w:r>
        <w:t xml:space="preserve">in observationele studies gaat een hogere spiegel samen met een matig verhoogd risico op prostaatkanker en borstkanker vóór de menopauze</w:t>
      </w:r>
      <w:r>
        <w:rPr>
          <w:rStyle w:val="FootnoteReference"/>
        </w:rPr>
        <w:footnoteReference w:id="1228"/>
      </w:r>
      <w:r>
        <w:t xml:space="preserve">. Genetische analyses met honderdduizenden deelnemers wijzen erop dat het verband bij borst- en darmkanker oorzakelijk zou kunnen zijn</w:t>
      </w:r>
      <w:r>
        <w:rPr>
          <w:rStyle w:val="FootnoteReference"/>
        </w:rPr>
        <w:footnoteReference w:id="1229"/>
      </w:r>
      <w:r>
        <w:t xml:space="preserve">.</w:t>
      </w:r>
    </w:p>
    <w:p>
      <w:pPr>
        <w:numPr>
          <w:ilvl w:val="0"/>
          <w:numId w:val="1146"/>
        </w:numPr>
        <w:pStyle w:val="Compact"/>
      </w:pPr>
      <w:r>
        <w:rPr>
          <w:bCs/>
          <w:b/>
        </w:rPr>
        <w:t xml:space="preserve">Van nature te veel groeihormoon (acromegalie):</w:t>
      </w:r>
      <w:r>
        <w:t xml:space="preserve"> </w:t>
      </w:r>
      <w:r>
        <w:t xml:space="preserve">een meta-analyse van 23 studies vond een ongeveer 50% hoger aantal gevallen van kanker, maar wijst ook op vertekeningen in oudere studies</w:t>
      </w:r>
      <w:r>
        <w:rPr>
          <w:rStyle w:val="FootnoteReference"/>
        </w:rPr>
        <w:footnoteReference w:id="1230"/>
      </w:r>
      <w:r>
        <w:t xml:space="preserve">.</w:t>
      </w:r>
    </w:p>
    <w:p>
      <w:pPr>
        <w:numPr>
          <w:ilvl w:val="0"/>
          <w:numId w:val="1146"/>
        </w:numPr>
        <w:pStyle w:val="Compact"/>
      </w:pPr>
      <w:r>
        <w:rPr>
          <w:bCs/>
          <w:b/>
        </w:rPr>
        <w:t xml:space="preserve">Levenslang IGF-1-tekort (syndroom van Laron):</w:t>
      </w:r>
      <w:r>
        <w:t xml:space="preserve"> </w:t>
      </w:r>
      <w:r>
        <w:t xml:space="preserve">kanker kwam opvallend zelden voor</w:t>
      </w:r>
      <w:r>
        <w:rPr>
          <w:rStyle w:val="FootnoteReference"/>
        </w:rPr>
        <w:footnoteReference w:id="1231"/>
      </w:r>
      <w:r>
        <w:t xml:space="preserve">.</w:t>
      </w:r>
    </w:p>
    <w:p>
      <w:pPr>
        <w:numPr>
          <w:ilvl w:val="0"/>
          <w:numId w:val="1146"/>
        </w:numPr>
        <w:pStyle w:val="Compact"/>
      </w:pPr>
      <w:r>
        <w:rPr>
          <w:bCs/>
          <w:b/>
        </w:rPr>
        <w:t xml:space="preserve">Groeihormoon als geneesmiddel:</w:t>
      </w:r>
      <w:r>
        <w:t xml:space="preserve"> </w:t>
      </w:r>
      <w:r>
        <w:t xml:space="preserve">in een Europees cohort met 23.984 behandelde kinderen werd geen algemeen verhoogd risico gevonden bij kinderen zonder voorafgaande aandoening, maar wel opvallende bevindingen bij afzonderlijke kankersoorten en bij kinderen die eerder kanker hadden gehad</w:t>
      </w:r>
      <w:r>
        <w:rPr>
          <w:rStyle w:val="FootnoteReference"/>
        </w:rPr>
        <w:footnoteReference w:id="1232"/>
      </w:r>
      <w:r>
        <w:t xml:space="preserve">. Bij 8.418 behandelde volwassenen met hypofyse-insufficiëntie was het kankerrisico niet verhoogd</w:t>
      </w:r>
      <w:r>
        <w:rPr>
          <w:rStyle w:val="FootnoteReference"/>
        </w:rPr>
        <w:footnoteReference w:id="1233"/>
      </w:r>
      <w:r>
        <w:t xml:space="preserve">.</w:t>
      </w:r>
    </w:p>
    <w:p>
      <w:pPr>
        <w:pStyle w:val="FirstParagraph"/>
      </w:pPr>
      <w:r>
        <w:t xml:space="preserve">Conclusie: bij mensen met een echt tekort gaat een substitutiebehandeling naar de huidige kennis niet gepaard met een duidelijk hoger kankerrisico. Voor gezonde mensen die een normale spiegel jarenlang verhogen, ontbreken gegevens – en de biologie pleit eerder voor dan tegen een zeker risico. Deel IV gaat dieper op het thema in.</w:t>
      </w:r>
    </w:p>
    <w:bookmarkEnd w:id="1234"/>
    <w:bookmarkStart w:id="1235" w:name="overzicht-1"/>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vroeger VS (Geref), tegenwoordig geen</w:t>
            </w:r>
          </w:p>
        </w:tc>
        <w:tc>
          <w:tcPr/>
          <w:p>
            <w:pPr>
              <w:pStyle w:val="Compact"/>
              <w:jc w:val="left"/>
            </w:pPr>
            <w:r>
              <w:t xml:space="preserve">GHRH-fragment; kinderen met GH-tekort</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VS (Egrifta)</w:t>
            </w:r>
          </w:p>
        </w:tc>
        <w:tc>
          <w:tcPr/>
          <w:p>
            <w:pPr>
              <w:pStyle w:val="Compact"/>
              <w:jc w:val="left"/>
            </w:pPr>
            <w:r>
              <w:t xml:space="preserve">minder buik- en levervet bij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geen</w:t>
            </w:r>
          </w:p>
        </w:tc>
        <w:tc>
          <w:tcPr/>
          <w:p>
            <w:pPr>
              <w:pStyle w:val="Compact"/>
              <w:jc w:val="left"/>
            </w:pPr>
            <w:r>
              <w:t xml:space="preserve">alleen fase 1-gegevens; variant</w:t>
            </w:r>
            <w:r>
              <w:t xml:space="preserve"> </w:t>
            </w:r>
            <w:r>
              <w:t xml:space="preserve">‘</w:t>
            </w:r>
            <w:r>
              <w:t xml:space="preserve">zonder DAC</w:t>
            </w:r>
            <w:r>
              <w:t xml:space="preserve">’</w:t>
            </w:r>
            <w:r>
              <w:t xml:space="preserve"> </w:t>
            </w:r>
            <w:r>
              <w:t xml:space="preserve">niet onderzocht</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geen nut bij darmverlamming na operatie</w:t>
            </w:r>
          </w:p>
        </w:tc>
      </w:tr>
      <w:tr>
        <w:tc>
          <w:tcPr/>
          <w:p>
            <w:pPr>
              <w:pStyle w:val="Compact"/>
              <w:jc w:val="left"/>
            </w:pPr>
            <w:r>
              <w:t xml:space="preserve">GHRP-2 (pralmoreline)</w:t>
            </w:r>
          </w:p>
        </w:tc>
        <w:tc>
          <w:tcPr/>
          <w:p>
            <w:pPr>
              <w:pStyle w:val="Compact"/>
              <w:jc w:val="left"/>
            </w:pPr>
            <w:r>
              <w:t xml:space="preserve">B</w:t>
            </w:r>
          </w:p>
        </w:tc>
        <w:tc>
          <w:tcPr/>
          <w:p>
            <w:pPr>
              <w:pStyle w:val="Compact"/>
              <w:jc w:val="left"/>
            </w:pPr>
            <w:r>
              <w:t xml:space="preserve">Japan (diagnosticum)</w:t>
            </w:r>
          </w:p>
        </w:tc>
        <w:tc>
          <w:tcPr/>
          <w:p>
            <w:pPr>
              <w:pStyle w:val="Compact"/>
              <w:jc w:val="left"/>
            </w:pPr>
            <w:r>
              <w:t xml:space="preserve">test op GH-tekort</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geen</w:t>
            </w:r>
          </w:p>
        </w:tc>
        <w:tc>
          <w:tcPr/>
          <w:p>
            <w:pPr>
              <w:pStyle w:val="Compact"/>
              <w:jc w:val="left"/>
            </w:pPr>
            <w:r>
              <w:t xml:space="preserve">onderzoeks- en teststof</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geen</w:t>
            </w:r>
          </w:p>
        </w:tc>
        <w:tc>
          <w:tcPr/>
          <w:p>
            <w:pPr>
              <w:pStyle w:val="Compact"/>
              <w:jc w:val="left"/>
            </w:pPr>
            <w:r>
              <w:t xml:space="preserve">acute effecten op het hart; verlies van werking bij langdurige toediening</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EU, VS (diagnosticum)</w:t>
            </w:r>
          </w:p>
        </w:tc>
        <w:tc>
          <w:tcPr/>
          <w:p>
            <w:pPr>
              <w:pStyle w:val="Compact"/>
              <w:jc w:val="left"/>
            </w:pPr>
            <w:r>
              <w:t xml:space="preserve">drinktest op GH-tekort</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EU, VS (Increlex)</w:t>
            </w:r>
          </w:p>
        </w:tc>
        <w:tc>
          <w:tcPr/>
          <w:p>
            <w:pPr>
              <w:pStyle w:val="Compact"/>
              <w:jc w:val="left"/>
            </w:pPr>
            <w:r>
              <w:t xml:space="preserve">ernstig IGF-1-tekort bij kinderen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geen</w:t>
            </w:r>
          </w:p>
        </w:tc>
        <w:tc>
          <w:tcPr/>
          <w:p>
            <w:pPr>
              <w:pStyle w:val="Compact"/>
              <w:jc w:val="left"/>
            </w:pPr>
            <w:r>
              <w:t xml:space="preserve">laboratoriumreagens, nooit bij mensen onderzocht</w:t>
            </w:r>
          </w:p>
        </w:tc>
      </w:tr>
      <w:tr>
        <w:tc>
          <w:tcPr/>
          <w:p>
            <w:pPr>
              <w:pStyle w:val="Compact"/>
              <w:jc w:val="left"/>
            </w:pPr>
            <w:r>
              <w:t xml:space="preserve">Ibutamoren (vergelijking)</w:t>
            </w:r>
          </w:p>
        </w:tc>
        <w:tc>
          <w:tcPr/>
          <w:p>
            <w:pPr>
              <w:pStyle w:val="Compact"/>
              <w:jc w:val="left"/>
            </w:pPr>
            <w:r>
              <w:t xml:space="preserve">B</w:t>
            </w:r>
          </w:p>
        </w:tc>
        <w:tc>
          <w:tcPr/>
          <w:p>
            <w:pPr>
              <w:pStyle w:val="Compact"/>
              <w:jc w:val="left"/>
            </w:pPr>
            <w:r>
              <w:t xml:space="preserve">geen</w:t>
            </w:r>
          </w:p>
        </w:tc>
        <w:tc>
          <w:tcPr/>
          <w:p>
            <w:pPr>
              <w:pStyle w:val="Compact"/>
              <w:jc w:val="left"/>
            </w:pPr>
            <w:r>
              <w:t xml:space="preserve">tablet; signaal voor hartfalen</w:t>
            </w:r>
          </w:p>
        </w:tc>
      </w:tr>
    </w:tbl>
    <w:bookmarkEnd w:id="1235"/>
    <w:bookmarkStart w:id="1236" w:name="leeswijzer-2"/>
    <w:p>
      <w:pPr>
        <w:pStyle w:val="Heading3"/>
      </w:pPr>
      <w:r>
        <w:t xml:space="preserve">Leeswijzer</w:t>
      </w:r>
    </w:p>
    <w:p>
      <w:pPr>
        <w:pStyle w:val="FirstParagraph"/>
      </w:pPr>
      <w:r>
        <w:t xml:space="preserve">Wie geïnteresseerd is in toepassingen met echt nut, begint met tesamoreline, macimoreline en mecasermine. Wie wil weten wat er achter de klassiekers van de grijze markt zit, leest CJC-1295, ipamoreline en IGF-1 LR3. Ibutamoren is weliswaar geen peptide, maar laat in grote studies bijzonder duidelijk zien wat een blijvende stimulering van de as teweegbrengt. Alle werkzame stoffen in deze groep staan op de lijst van verboden middelen van het Wereldantidopingagentschap (groep S2).</w:t>
      </w:r>
    </w:p>
    <w:bookmarkEnd w:id="1236"/>
    <w:bookmarkStart w:id="1273" w:name="sermoreline"/>
    <w:p>
      <w:pPr>
        <w:pStyle w:val="Heading2"/>
      </w:pPr>
      <w:r>
        <w:t xml:space="preserve">Sermoreline</w:t>
      </w:r>
    </w:p>
    <w:p>
      <w:pPr>
        <w:pStyle w:val="FirstParagraph"/>
      </w:pPr>
      <w:r>
        <w:t xml:space="preserve">Sermoreline is een stukje geneesmiddelengeschiedenis dat op internet een tweede leven leidt. In de jaren negentig was het in de VS als geneesmiddel geregistreerd – eerst als teststof voor de diagnose van een groeihormoontekort, daarna voor de behandeling van kinderen met een kleine gestalte. Sinds het einde van de jaren 2000 is het originele preparaat van de markt verdwenen. Tegenwoordig wordt sermoreline vooral in Amerikaanse</w:t>
      </w:r>
      <w:r>
        <w:t xml:space="preserve"> </w:t>
      </w:r>
      <w:r>
        <w:t xml:space="preserve">‘</w:t>
      </w:r>
      <w:r>
        <w:t xml:space="preserve">anti-aging</w:t>
      </w:r>
      <w:r>
        <w:t xml:space="preserve">’</w:t>
      </w:r>
      <w:r>
        <w:t xml:space="preserve">- en</w:t>
      </w:r>
      <w:r>
        <w:t xml:space="preserve"> </w:t>
      </w:r>
      <w:r>
        <w:t xml:space="preserve">‘</w:t>
      </w:r>
      <w:r>
        <w:t xml:space="preserve">men’s health</w:t>
      </w:r>
      <w:r>
        <w:t xml:space="preserve">’</w:t>
      </w:r>
      <w:r>
        <w:t xml:space="preserve">-klinieken als apotheekbereiding voorgeschreven en op de grijze markt aangeboden. Dit hoofdstuk laat zien wat de oude studies werkelijk aantonen en wat niet.</w:t>
      </w:r>
    </w:p>
    <w:bookmarkStart w:id="1238" w:name="profiel-23"/>
    <w:p>
      <w:pPr>
        <w:pStyle w:val="Heading3"/>
      </w:pPr>
      <w:r>
        <w:t xml:space="preserve">Profiel</w:t>
      </w:r>
    </w:p>
    <w:p>
      <w:pPr>
        <w:numPr>
          <w:ilvl w:val="0"/>
          <w:numId w:val="1147"/>
        </w:numPr>
        <w:pStyle w:val="Compact"/>
      </w:pPr>
      <w:r>
        <w:rPr>
          <w:bCs/>
          <w:b/>
        </w:rPr>
        <w:t xml:space="preserve">Soort en structuur:</w:t>
      </w:r>
      <w:r>
        <w:t xml:space="preserve"> </w:t>
      </w:r>
      <w:r>
        <w:t xml:space="preserve">synthetisch peptide van 29 aminozuren; het komt overeen met het voorste, werkzame deel van het lichaamseigen groeihormoon-releasing hormoon, GHRH(1-29)NH2. Het is het kortste synthetische peptide met volledige GHRH-werking</w:t>
      </w:r>
      <w:r>
        <w:rPr>
          <w:rStyle w:val="FootnoteReference"/>
        </w:rPr>
        <w:footnoteReference w:id="1237"/>
      </w:r>
      <w:r>
        <w:t xml:space="preserve">.</w:t>
      </w:r>
    </w:p>
    <w:p>
      <w:pPr>
        <w:numPr>
          <w:ilvl w:val="0"/>
          <w:numId w:val="1147"/>
        </w:numPr>
        <w:pStyle w:val="Compact"/>
      </w:pPr>
      <w:r>
        <w:rPr>
          <w:bCs/>
          <w:b/>
        </w:rPr>
        <w:t xml:space="preserve">Herkomst:</w:t>
      </w:r>
      <w:r>
        <w:t xml:space="preserve"> </w:t>
      </w:r>
      <w:r>
        <w:t xml:space="preserve">in de jaren tachtig afgeleid van het natuurlijke GHRH; op de markt gebracht door Serono als Geref.</w:t>
      </w:r>
    </w:p>
    <w:p>
      <w:pPr>
        <w:numPr>
          <w:ilvl w:val="0"/>
          <w:numId w:val="1147"/>
        </w:numPr>
        <w:pStyle w:val="Compact"/>
      </w:pPr>
      <w:r>
        <w:rPr>
          <w:bCs/>
          <w:b/>
        </w:rPr>
        <w:t xml:space="preserve">Werkingsprincipe:</w:t>
      </w:r>
      <w:r>
        <w:t xml:space="preserve"> </w:t>
      </w:r>
      <w:r>
        <w:t xml:space="preserve">bindt aan de GHRH-receptor van de hypofyse en veroorzaakt daar een afgifte van groeihormoon; de lichaamseigen regulatie (rem door somatostatine, terugkoppeling door IGF-1) blijft behouden.</w:t>
      </w:r>
    </w:p>
    <w:p>
      <w:pPr>
        <w:numPr>
          <w:ilvl w:val="0"/>
          <w:numId w:val="1147"/>
        </w:numPr>
        <w:pStyle w:val="Compact"/>
      </w:pPr>
      <w:r>
        <w:rPr>
          <w:bCs/>
          <w:b/>
        </w:rPr>
        <w:t xml:space="preserve">Registratie EU:</w:t>
      </w:r>
      <w:r>
        <w:t xml:space="preserve"> </w:t>
      </w:r>
      <w:r>
        <w:t xml:space="preserve">nee (stand 2026).</w:t>
      </w:r>
      <w:r>
        <w:t xml:space="preserve"> </w:t>
      </w:r>
      <w:r>
        <w:rPr>
          <w:bCs/>
          <w:b/>
        </w:rPr>
        <w:t xml:space="preserve">Registratie VS:</w:t>
      </w:r>
      <w:r>
        <w:t xml:space="preserve"> </w:t>
      </w:r>
      <w:r>
        <w:t xml:space="preserve">vroeger ja (Geref als diagnosticum en voor de behandeling van kinderen met groeihormoontekort); het originele preparaat is sinds het einde van de jaren 2000 niet meer verkrijgbaar.</w:t>
      </w:r>
    </w:p>
    <w:p>
      <w:pPr>
        <w:numPr>
          <w:ilvl w:val="0"/>
          <w:numId w:val="1147"/>
        </w:numPr>
        <w:pStyle w:val="Compact"/>
      </w:pPr>
      <w:r>
        <w:rPr>
          <w:bCs/>
          <w:b/>
        </w:rPr>
        <w:t xml:space="preserve">WADA:</w:t>
      </w:r>
      <w:r>
        <w:t xml:space="preserve"> </w:t>
      </w:r>
      <w:r>
        <w:t xml:space="preserve">verboden, groep S2 – sermoreline wordt als GHRH-analoog uitdrukkelijk genoemd.</w:t>
      </w:r>
    </w:p>
    <w:p>
      <w:pPr>
        <w:numPr>
          <w:ilvl w:val="0"/>
          <w:numId w:val="1147"/>
        </w:numPr>
        <w:pStyle w:val="Compact"/>
      </w:pPr>
      <w:r>
        <w:rPr>
          <w:bCs/>
          <w:b/>
        </w:rPr>
        <w:t xml:space="preserve">Bewijsniveau: B</w:t>
      </w:r>
      <w:r>
        <w:t xml:space="preserve"> </w:t>
      </w:r>
      <w:r>
        <w:t xml:space="preserve">– afzonderlijke kleine gerandomiseerde resp. gecontroleerde studies, meestal open-label en uit de jaren tachtig en negentig; geen moderne grote studie.</w:t>
      </w:r>
    </w:p>
    <w:bookmarkEnd w:id="1238"/>
    <w:bookmarkStart w:id="1240" w:name="hoe-het-zou-moeten-werken-23"/>
    <w:p>
      <w:pPr>
        <w:pStyle w:val="Heading3"/>
      </w:pPr>
      <w:r>
        <w:t xml:space="preserve">Hoe het zou moeten werken</w:t>
      </w:r>
    </w:p>
    <w:p>
      <w:pPr>
        <w:pStyle w:val="FirstParagraph"/>
      </w:pPr>
      <w:r>
        <w:t xml:space="preserve">De hypofyse geeft groeihormoon in pulsen af. Het startsein geeft GHRH uit de tussenhersenen. Wanneer GHRH in de natuur wordt gevormd, is het 44 aminozuren lang; onderzoekers stelden in de jaren tachtig vast dat de eerste 29 aminozuren volstaan voor de volledige werking. Daaruit ontstond sermoreline.</w:t>
      </w:r>
    </w:p>
    <w:p>
      <w:pPr>
        <w:pStyle w:val="BodyText"/>
      </w:pPr>
      <w:r>
        <w:t xml:space="preserve">Het voordeel ten opzichte van geïnjecteerd groeihormoon zou erin liggen dat de hypofyse</w:t>
      </w:r>
      <w:r>
        <w:t xml:space="preserve"> </w:t>
      </w:r>
      <w:r>
        <w:t xml:space="preserve">‘</w:t>
      </w:r>
      <w:r>
        <w:t xml:space="preserve">meebeslist</w:t>
      </w:r>
      <w:r>
        <w:t xml:space="preserve">’</w:t>
      </w:r>
      <w:r>
        <w:t xml:space="preserve">: als er genoeg IGF-1 in het bloed is, remt het lichaam via somatostatine zelf af. Overdoseringen zoals bij directe toediening van GH zouden daardoor minder waarschijnlijk zijn. Het nadeel: sermoreline werkt alleen als de hypofyse nog groeihormoon kan aanmaken, en de werking is kort: de halfwaardetijd in het bloed bedraagt bij de mens slechts ongeveer 10 tot 20 minuten</w:t>
      </w:r>
      <w:r>
        <w:rPr>
          <w:rStyle w:val="FootnoteReference"/>
        </w:rPr>
        <w:footnoteReference w:id="1239"/>
      </w:r>
      <w:r>
        <w:t xml:space="preserve">. Het is daarom vooral werkzaam bij stoornissen die in de tussenhersenen liggen, niet in de hypofyse zelf.</w:t>
      </w:r>
    </w:p>
    <w:bookmarkEnd w:id="1240"/>
    <w:bookmarkStart w:id="1257" w:name="studies-bij-mensen-2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onder de zoekterm</w:t>
      </w:r>
      <w:r>
        <w:t xml:space="preserve"> </w:t>
      </w:r>
      <w:r>
        <w:t xml:space="preserve">‘</w:t>
      </w:r>
      <w:r>
        <w:t xml:space="preserve">sermorelin</w:t>
      </w:r>
      <w:r>
        <w:t xml:space="preserve">’</w:t>
      </w:r>
      <w:r>
        <w:t xml:space="preserve"> </w:t>
      </w:r>
      <w:r>
        <w:t xml:space="preserve">vond</w:t>
      </w:r>
      <w:r>
        <w:t xml:space="preserve"> </w:t>
      </w:r>
      <w:r>
        <w:rPr>
          <w:bCs/>
          <w:b/>
        </w:rPr>
        <w:t xml:space="preserve">geen</w:t>
      </w:r>
      <w:r>
        <w:t xml:space="preserve"> </w:t>
      </w:r>
      <w:r>
        <w:t xml:space="preserve">studie bij mensen (</w:t>
      </w:r>
      <w:r>
        <w:rPr>
          <w:rStyle w:val="VerbatimChar"/>
        </w:rPr>
        <w:t xml:space="preserve">humanstudien_alle</w:t>
      </w:r>
      <w:r>
        <w:t xml:space="preserve">: 0) en</w:t>
      </w:r>
      <w:r>
        <w:t xml:space="preserve"> </w:t>
      </w:r>
      <w:r>
        <w:rPr>
          <w:bCs/>
          <w:b/>
        </w:rPr>
        <w:t xml:space="preserve">27</w:t>
      </w:r>
      <w:r>
        <w:t xml:space="preserve"> </w:t>
      </w:r>
      <w:r>
        <w:t xml:space="preserve">vermeldingen bij ClinicalTrials.gov. Beide getallen misleiden: de meeste klinische studies verschenen onder aanduidingen als</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of</w:t>
      </w:r>
      <w:r>
        <w:t xml:space="preserve"> </w:t>
      </w:r>
      <w:r>
        <w:t xml:space="preserve">‘</w:t>
      </w:r>
      <w:r>
        <w:t xml:space="preserve">Geref</w:t>
      </w:r>
      <w:r>
        <w:t xml:space="preserve">’</w:t>
      </w:r>
      <w:r>
        <w:t xml:space="preserve"> </w:t>
      </w:r>
      <w:r>
        <w:t xml:space="preserve">en worden door een zuivere zoektocht op naam niet gevonden. Omgekeerd betreffen veel van de 27 registervermeldingen helemaal niet sermoreline, maar tesamoreline of GHRH-tests in het algemeen. Een gerichte aanvullende zoektocht leverde enkele tientallen klinische studies op, overwegend klein en uit de tijd vóór 2000.</w:t>
      </w:r>
    </w:p>
    <w:bookmarkStart w:id="1246" w:name="kinderen-met-groeihormoontekort"/>
    <w:p>
      <w:pPr>
        <w:pStyle w:val="Heading4"/>
      </w:pPr>
      <w:r>
        <w:t xml:space="preserve">Kinderen met groeihormoontekort</w:t>
      </w:r>
    </w:p>
    <w:p>
      <w:pPr>
        <w:pStyle w:val="FirstParagraph"/>
      </w:pPr>
      <w:r>
        <w:t xml:space="preserve">Het belangrijkste toepassingsgebied was groeistoornis bij kinderen. In een open-label multicenterstudie van de Geref-studiegroep kregen 110 nog niet eerder behandelde kinderen vóór de puberteit een jaar lang eenmaal per dag ’s avonds sermoreline. De groeisnelheid steeg van 4,1 cm per jaar naar 8,0 cm na zes maanden en 7,2 cm na twaalf maanden; 74% gold na zes maanden als goede responder. Opvallende laboratoriumveranderingen traden niet op</w:t>
      </w:r>
      <w:r>
        <w:rPr>
          <w:rStyle w:val="FootnoteReference"/>
        </w:rPr>
        <w:footnoteReference w:id="1241"/>
      </w:r>
      <w:r>
        <w:t xml:space="preserve">.</w:t>
      </w:r>
    </w:p>
    <w:p>
      <w:pPr>
        <w:pStyle w:val="BodyText"/>
      </w:pPr>
      <w:r>
        <w:t xml:space="preserve">Een vroege Britse studie met 18 kinderen liet de grenzen al zien: slechts bij 8 kinderen steeg de groeisnelheid in de eerste zes maanden met meer dan 2 cm per jaar; bij 14 kinderen vormden zich antilichamen tegen het peptide, zonder herkenbare invloed op de groei</w:t>
      </w:r>
      <w:r>
        <w:rPr>
          <w:rStyle w:val="FootnoteReference"/>
        </w:rPr>
        <w:footnoteReference w:id="1242"/>
      </w:r>
      <w:r>
        <w:t xml:space="preserve">. In een gerandomiseerde studie met 43 kinderen groeiden de kinderen met laaggedoseerd sermoreline het langzaamst; alleen met groeihormoon verbeterde de lichaamslengte in verhouding tot de botleeftijd</w:t>
      </w:r>
      <w:r>
        <w:rPr>
          <w:rStyle w:val="FootnoteReference"/>
        </w:rPr>
        <w:footnoteReference w:id="1243"/>
      </w:r>
      <w:r>
        <w:t xml:space="preserve">. Een overzicht stelde vast dat sermoreline bij een deel van de kinderen werkzaam is, maar zwakker dan groeihormoon, en dat gegevens over de eindlengte ontbreken</w:t>
      </w:r>
      <w:r>
        <w:rPr>
          <w:rStyle w:val="FootnoteReference"/>
        </w:rPr>
        <w:footnoteReference w:id="1244"/>
      </w:r>
      <w:r>
        <w:t xml:space="preserve">.</w:t>
      </w:r>
    </w:p>
    <w:p>
      <w:pPr>
        <w:pStyle w:val="BodyText"/>
      </w:pPr>
      <w:r>
        <w:t xml:space="preserve">Ook bij kinderen met idiopathische kleine gestalte (dus zonder aantoonbaar hormoontekort) steeg de groeisnelheid met tweemaal daagse injecties in een kleine studie met 18 kinderen; na het stoppen viel ze terug tot onder de uitgangswaarde, en nuchtere glucose en insuline stegen tijdens de behandeling</w:t>
      </w:r>
      <w:r>
        <w:rPr>
          <w:rStyle w:val="FootnoteReference"/>
        </w:rPr>
        <w:footnoteReference w:id="1245"/>
      </w:r>
      <w:r>
        <w:t xml:space="preserve">.</w:t>
      </w:r>
    </w:p>
    <w:bookmarkEnd w:id="1246"/>
    <w:bookmarkStart w:id="1251" w:name="oudere-volwassenen"/>
    <w:p>
      <w:pPr>
        <w:pStyle w:val="Heading4"/>
      </w:pPr>
      <w:r>
        <w:t xml:space="preserve">Oudere volwassenen</w:t>
      </w:r>
    </w:p>
    <w:p>
      <w:pPr>
        <w:pStyle w:val="FirstParagraph"/>
      </w:pPr>
      <w:r>
        <w:t xml:space="preserve">Voor de huidige marketing (</w:t>
      </w:r>
      <w:r>
        <w:t xml:space="preserve">‘</w:t>
      </w:r>
      <w:r>
        <w:t xml:space="preserve">anti-aging</w:t>
      </w:r>
      <w:r>
        <w:t xml:space="preserve">’</w:t>
      </w:r>
      <w:r>
        <w:t xml:space="preserve">) zijn studies bij ouderen doorslaggevend. Er zijn er maar weinig, en ze zijn zeer klein:</w:t>
      </w:r>
    </w:p>
    <w:p>
      <w:pPr>
        <w:numPr>
          <w:ilvl w:val="0"/>
          <w:numId w:val="1148"/>
        </w:numPr>
        <w:pStyle w:val="Compact"/>
      </w:pPr>
      <w:r>
        <w:t xml:space="preserve">19 gezonde vrouwen en mannen tussen 55 en 71 jaar kregen na vier weken placebo 16 weken lang een sermoreline-analoog. Groeihormoon en IGF-1 stegen, de huiddikte nam bij beide geslachten toe, de vetvrije massa en de insulinegevoeligheid alleen bij mannen. Mannen meldden een beter welbevinden en een verhoogd libido; de slaapkwaliteit veranderde niet. Als bijwerking trad tijdelijk een stijging van de bloedvetten op</w:t>
      </w:r>
      <w:r>
        <w:rPr>
          <w:rStyle w:val="FootnoteReference"/>
        </w:rPr>
        <w:footnoteReference w:id="1247"/>
      </w:r>
      <w:r>
        <w:t xml:space="preserve">. Dezelfde groep beschreef veranderingen van immuuncellen</w:t>
      </w:r>
      <w:r>
        <w:rPr>
          <w:rStyle w:val="FootnoteReference"/>
        </w:rPr>
        <w:footnoteReference w:id="1248"/>
      </w:r>
      <w:r>
        <w:t xml:space="preserve">. De studie was slechts enkelblind en had geen parallelle controlegroep.</w:t>
      </w:r>
    </w:p>
    <w:p>
      <w:pPr>
        <w:numPr>
          <w:ilvl w:val="0"/>
          <w:numId w:val="1148"/>
        </w:numPr>
        <w:pStyle w:val="Compact"/>
      </w:pPr>
      <w:r>
        <w:t xml:space="preserve">Bij 11 gezonde mannen tussen 64 en 76 jaar verhoogden zes weken nachtelijke injecties de nachtelijke GH-afgifte, maar IGF-1, spier- en vetmassa veranderden niet; twee van de zes krachtmetingen verbeterden</w:t>
      </w:r>
      <w:r>
        <w:rPr>
          <w:rStyle w:val="FootnoteReference"/>
        </w:rPr>
        <w:footnoteReference w:id="1249"/>
      </w:r>
      <w:r>
        <w:t xml:space="preserve">.</w:t>
      </w:r>
    </w:p>
    <w:p>
      <w:pPr>
        <w:pStyle w:val="FirstParagraph"/>
      </w:pPr>
      <w:r>
        <w:t xml:space="preserve">Twee latere studies naar GHRH bij ouderen werden na 5 resp. 13 deelnemers afgebroken</w:t>
      </w:r>
      <w:r>
        <w:rPr>
          <w:rStyle w:val="FootnoteReference"/>
        </w:rPr>
        <w:footnoteReference w:id="1250"/>
      </w:r>
      <w:r>
        <w:t xml:space="preserve">.</w:t>
      </w:r>
    </w:p>
    <w:bookmarkEnd w:id="1251"/>
    <w:bookmarkStart w:id="1254" w:name="diagnostiek"/>
    <w:p>
      <w:pPr>
        <w:pStyle w:val="Heading4"/>
      </w:pPr>
      <w:r>
        <w:t xml:space="preserve">Diagnostiek</w:t>
      </w:r>
    </w:p>
    <w:p>
      <w:pPr>
        <w:pStyle w:val="FirstParagraph"/>
      </w:pPr>
      <w:r>
        <w:t xml:space="preserve">Als teststof werd sermoreline intraveneus gegeven om na te gaan of de hypofyse op GHRH reageert. In combinatie met het aminozuur arginine gold deze test bij volwassenen als alternatief voor de belastende insuline-hypoglykemietest</w:t>
      </w:r>
      <w:r>
        <w:rPr>
          <w:rStyle w:val="FootnoteReference"/>
        </w:rPr>
        <w:footnoteReference w:id="1252"/>
      </w:r>
      <w:r>
        <w:t xml:space="preserve">. Nadat het diagnosticum in de VS niet meer beschikbaar was, moest een lopende studie naar een nieuwe test (macimoreline) haar design aanpassen</w:t>
      </w:r>
      <w:r>
        <w:rPr>
          <w:rStyle w:val="FootnoteReference"/>
        </w:rPr>
        <w:footnoteReference w:id="1253"/>
      </w:r>
      <w:r>
        <w:t xml:space="preserve">.</w:t>
      </w:r>
    </w:p>
    <w:bookmarkEnd w:id="1254"/>
    <w:bookmarkStart w:id="1256" w:name="moderne-mannengeneeskunde"/>
    <w:p>
      <w:pPr>
        <w:pStyle w:val="Heading4"/>
      </w:pPr>
      <w:r>
        <w:t xml:space="preserve">Moderne</w:t>
      </w:r>
      <w:r>
        <w:t xml:space="preserve"> </w:t>
      </w:r>
      <w:r>
        <w:t xml:space="preserve">‘</w:t>
      </w:r>
      <w:r>
        <w:t xml:space="preserve">mannengeneeskunde</w:t>
      </w:r>
      <w:r>
        <w:t xml:space="preserve">’</w:t>
      </w:r>
    </w:p>
    <w:p>
      <w:pPr>
        <w:pStyle w:val="FirstParagraph"/>
      </w:pPr>
      <w:r>
        <w:t xml:space="preserve">Een retrospectieve dossieranalyse uit een Amerikaanse mannenkliniek beschreef 14 jonge mannen onder testosterontherapie die een combinatie van sermoreline, GHRP-2 en GHRP-6 voorgeschreven kregen. IGF-1 steeg gemiddeld van 159,5 naar 239,0 ng/ml</w:t>
      </w:r>
      <w:r>
        <w:rPr>
          <w:rStyle w:val="FootnoteReference"/>
        </w:rPr>
        <w:footnoteReference w:id="1255"/>
      </w:r>
      <w:r>
        <w:t xml:space="preserve">. Van oorspronkelijk 105 mannen voldeden er slechts 14 aan de inclusiecriteria; uitspraken over spiermassa, vetverlies of veiligheid laat de studie niet toe.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Geref-studiegroep (Thorner 1996), PMID 8772599</w:t>
            </w:r>
          </w:p>
        </w:tc>
        <w:tc>
          <w:tcPr/>
          <w:p>
            <w:pPr>
              <w:pStyle w:val="Compact"/>
              <w:jc w:val="left"/>
            </w:pPr>
            <w:r>
              <w:t xml:space="preserve">110 kinderen met GH-tekort, open-label, zonder controlegroep</w:t>
            </w:r>
          </w:p>
        </w:tc>
        <w:tc>
          <w:tcPr/>
          <w:p>
            <w:pPr>
              <w:pStyle w:val="Compact"/>
              <w:jc w:val="left"/>
            </w:pPr>
            <w:r>
              <w:t xml:space="preserve">12 maanden</w:t>
            </w:r>
          </w:p>
        </w:tc>
        <w:tc>
          <w:tcPr/>
          <w:p>
            <w:pPr>
              <w:pStyle w:val="Compact"/>
              <w:jc w:val="left"/>
            </w:pPr>
            <w:r>
              <w:t xml:space="preserve">groei 4,1 → 7,2 cm/jaar</w:t>
            </w:r>
          </w:p>
        </w:tc>
      </w:tr>
      <w:tr>
        <w:tc>
          <w:tcPr/>
          <w:p>
            <w:pPr>
              <w:pStyle w:val="Compact"/>
              <w:jc w:val="left"/>
            </w:pPr>
            <w:r>
              <w:t xml:space="preserve">Vergelijking met GH (Neyzi 1993), PMID 8329826</w:t>
            </w:r>
          </w:p>
        </w:tc>
        <w:tc>
          <w:tcPr/>
          <w:p>
            <w:pPr>
              <w:pStyle w:val="Compact"/>
              <w:jc w:val="left"/>
            </w:pPr>
            <w:r>
              <w:t xml:space="preserve">43 kinderen, gerandomiseerd (2 sermorelinedoses vs. GH)</w:t>
            </w:r>
          </w:p>
        </w:tc>
        <w:tc>
          <w:tcPr/>
          <w:p>
            <w:pPr>
              <w:pStyle w:val="Compact"/>
              <w:jc w:val="left"/>
            </w:pPr>
            <w:r>
              <w:t xml:space="preserve">6 maanden</w:t>
            </w:r>
          </w:p>
        </w:tc>
        <w:tc>
          <w:tcPr/>
          <w:p>
            <w:pPr>
              <w:pStyle w:val="Compact"/>
              <w:jc w:val="left"/>
            </w:pPr>
            <w:r>
              <w:t xml:space="preserve">hoge dosis vergelijkbaar met GH, lage zwakker</w:t>
            </w:r>
          </w:p>
        </w:tc>
      </w:tr>
      <w:tr>
        <w:tc>
          <w:tcPr/>
          <w:p>
            <w:pPr>
              <w:pStyle w:val="Compact"/>
              <w:jc w:val="left"/>
            </w:pPr>
            <w:r>
              <w:t xml:space="preserve">Oudere volwassenen (Khorram 1997), PMID 9141536</w:t>
            </w:r>
          </w:p>
        </w:tc>
        <w:tc>
          <w:tcPr/>
          <w:p>
            <w:pPr>
              <w:pStyle w:val="Compact"/>
              <w:jc w:val="left"/>
            </w:pPr>
            <w:r>
              <w:t xml:space="preserve">19 gezonden, 55–71 jaar, enkelblind, placebo-voorfase</w:t>
            </w:r>
          </w:p>
        </w:tc>
        <w:tc>
          <w:tcPr/>
          <w:p>
            <w:pPr>
              <w:pStyle w:val="Compact"/>
              <w:jc w:val="left"/>
            </w:pPr>
            <w:r>
              <w:t xml:space="preserve">5 maanden</w:t>
            </w:r>
          </w:p>
        </w:tc>
        <w:tc>
          <w:tcPr/>
          <w:p>
            <w:pPr>
              <w:pStyle w:val="Compact"/>
              <w:jc w:val="left"/>
            </w:pPr>
            <w:r>
              <w:t xml:space="preserve">IGF-1 ↑, vetvrije massa ↑ alleen bij mannen</w:t>
            </w:r>
          </w:p>
        </w:tc>
      </w:tr>
      <w:tr>
        <w:tc>
          <w:tcPr/>
          <w:p>
            <w:pPr>
              <w:pStyle w:val="Compact"/>
              <w:jc w:val="left"/>
            </w:pPr>
            <w:r>
              <w:t xml:space="preserve">Oudere mannen (Vittone 1997), PMID 9005976</w:t>
            </w:r>
          </w:p>
        </w:tc>
        <w:tc>
          <w:tcPr/>
          <w:p>
            <w:pPr>
              <w:pStyle w:val="Compact"/>
              <w:jc w:val="left"/>
            </w:pPr>
            <w:r>
              <w:t xml:space="preserve">11 gezonden, 64–76 jaar, zonder controlegroep</w:t>
            </w:r>
          </w:p>
        </w:tc>
        <w:tc>
          <w:tcPr/>
          <w:p>
            <w:pPr>
              <w:pStyle w:val="Compact"/>
              <w:jc w:val="left"/>
            </w:pPr>
            <w:r>
              <w:t xml:space="preserve">6 weken</w:t>
            </w:r>
          </w:p>
        </w:tc>
        <w:tc>
          <w:tcPr/>
          <w:p>
            <w:pPr>
              <w:pStyle w:val="Compact"/>
              <w:jc w:val="left"/>
            </w:pPr>
            <w:r>
              <w:t xml:space="preserve">GH ↑, IGF-1 en lichaamssamenstelling onveranderd</w:t>
            </w:r>
          </w:p>
        </w:tc>
      </w:tr>
      <w:tr>
        <w:tc>
          <w:tcPr/>
          <w:p>
            <w:pPr>
              <w:pStyle w:val="Compact"/>
              <w:jc w:val="left"/>
            </w:pPr>
            <w:r>
              <w:t xml:space="preserve">Mannenkliniek (Sigalos 2017), PMID 28830317</w:t>
            </w:r>
          </w:p>
        </w:tc>
        <w:tc>
          <w:tcPr/>
          <w:p>
            <w:pPr>
              <w:pStyle w:val="Compact"/>
              <w:jc w:val="left"/>
            </w:pPr>
            <w:r>
              <w:t xml:space="preserve">14 mannen, retrospectief, combinatie met GHRP-2/-6</w:t>
            </w:r>
          </w:p>
        </w:tc>
        <w:tc>
          <w:tcPr/>
          <w:p>
            <w:pPr>
              <w:pStyle w:val="Compact"/>
              <w:jc w:val="left"/>
            </w:pPr>
            <w:r>
              <w:t xml:space="preserve">gemiddeld 134 dagen</w:t>
            </w:r>
          </w:p>
        </w:tc>
        <w:tc>
          <w:tcPr/>
          <w:p>
            <w:pPr>
              <w:pStyle w:val="Compact"/>
              <w:jc w:val="left"/>
            </w:pPr>
            <w:r>
              <w:t xml:space="preserve">IGF-1 159,5 → 239,0 ng/ml</w:t>
            </w:r>
          </w:p>
        </w:tc>
      </w:tr>
    </w:tbl>
    <w:bookmarkEnd w:id="1256"/>
    <w:bookmarkEnd w:id="1257"/>
    <w:bookmarkStart w:id="1260" w:name="dier--en-laboratoriumstudies-23"/>
    <w:p>
      <w:pPr>
        <w:pStyle w:val="Heading3"/>
      </w:pPr>
      <w:r>
        <w:t xml:space="preserve">Dier- en laboratoriumstudies</w:t>
      </w:r>
    </w:p>
    <w:p>
      <w:pPr>
        <w:pStyle w:val="FirstParagraph"/>
      </w:pPr>
      <w:r>
        <w:t xml:space="preserve">Sermoreline zelf werd in het laboratorium vooral onderzocht in verband met de ontdekking ervan en met varianten met een langere werkingsduur, zoals aan polyethyleenglycol gekoppelde varianten die bij ratten en varkens langer werkten dan het onveranderde peptide</w:t>
      </w:r>
      <w:r>
        <w:rPr>
          <w:rStyle w:val="FootnoteReference"/>
        </w:rPr>
        <w:footnoteReference w:id="1258"/>
      </w:r>
      <w:r>
        <w:t xml:space="preserve">. Een zuiver rekenkundige studie, die genactiviteitsgegevens van gliompatiënten vergeleek met een geneesmiddelendatabase, noemde sermoreline als mogelijke kandidaat tegen terugkerende hersentumoren</w:t>
      </w:r>
      <w:r>
        <w:rPr>
          <w:rStyle w:val="FootnoteReference"/>
        </w:rPr>
        <w:footnoteReference w:id="1259"/>
      </w:r>
      <w:r>
        <w:t xml:space="preserve">. Dat is een computerhypothese zonder bevestiging in het laboratorium of bij patiënten – en staat in opvallend contrast met de zorg dat stimulering van de groeias tumoren eerder zou kunnen bevorderen.</w:t>
      </w:r>
    </w:p>
    <w:bookmarkEnd w:id="1260"/>
    <w:bookmarkStart w:id="1266" w:name="risicos-en-bijwerkingen-23"/>
    <w:p>
      <w:pPr>
        <w:pStyle w:val="Heading3"/>
      </w:pPr>
      <w:r>
        <w:t xml:space="preserve">Risico’s en bijwerkingen</w:t>
      </w:r>
    </w:p>
    <w:p>
      <w:pPr>
        <w:pStyle w:val="FirstParagraph"/>
      </w:pPr>
      <w:r>
        <w:rPr>
          <w:bCs/>
          <w:b/>
        </w:rPr>
        <w:t xml:space="preserve">Aangetoond (uit de registratie- en studiegegevens):</w:t>
      </w:r>
      <w:r>
        <w:t xml:space="preserve"> </w:t>
      </w:r>
      <w:r>
        <w:t xml:space="preserve">tijdelijke roodheid van het gezicht (flush) en pijn op de injectieplaats waren de meest voorkomende bijwerkingen</w:t>
      </w:r>
      <w:r>
        <w:rPr>
          <w:rStyle w:val="FootnoteReference"/>
        </w:rPr>
        <w:footnoteReference w:id="1261"/>
      </w:r>
      <w:r>
        <w:t xml:space="preserve">. Antilichamen tegen sermoreline kwamen bij kinderen vaak voor, zonder herkenbare gevolgen</w:t>
      </w:r>
      <w:r>
        <w:rPr>
          <w:rStyle w:val="FootnoteReference"/>
        </w:rPr>
        <w:footnoteReference w:id="1262"/>
      </w:r>
      <w:r>
        <w:t xml:space="preserve">. In afzonderlijke studies stegen bloedsuiker, insuline of bloedvetten tijdelijk</w:t>
      </w:r>
      <w:r>
        <w:rPr>
          <w:rStyle w:val="FootnoteReference"/>
        </w:rPr>
        <w:footnoteReference w:id="1263"/>
      </w:r>
      <w:r>
        <w:t xml:space="preserve">.</w:t>
      </w:r>
    </w:p>
    <w:p>
      <w:pPr>
        <w:pStyle w:val="BodyText"/>
      </w:pPr>
      <w:r>
        <w:rPr>
          <w:bCs/>
          <w:b/>
        </w:rPr>
        <w:t xml:space="preserve">Langetermijnrisico’s:</w:t>
      </w:r>
      <w:r>
        <w:t xml:space="preserve"> </w:t>
      </w:r>
      <w:r>
        <w:t xml:space="preserve">systematische langetermijngegevens over sermoreline bij volwassenen zijn er niet. Een casusbeschrijving beschrijft een 62-jarige recreatieve bodybuilder die ongeveer 20 jaar lang groeihormoon en GH-afgiftestimulatoren (waaronder sermoreline met GHRP-6) had gebruikt en door een grote botuitsteeksel aan de halswervelkolom slikklachten kreeg; de auteurs achten een verband mogelijk, maar niet bewezen</w:t>
      </w:r>
      <w:r>
        <w:rPr>
          <w:rStyle w:val="FootnoteReference"/>
        </w:rPr>
        <w:footnoteReference w:id="1264"/>
      </w:r>
      <w:r>
        <w:t xml:space="preserve">. Over de principiële vraag of een blijvende verhoging van IGF-1 het kankerrisico verhoogt: zie de inleiding tot deze groep en deel IV.</w:t>
      </w:r>
    </w:p>
    <w:p>
      <w:pPr>
        <w:pStyle w:val="BodyText"/>
      </w:pPr>
      <w:r>
        <w:rPr>
          <w:bCs/>
          <w:b/>
        </w:rPr>
        <w:t xml:space="preserve">Grijze markt:</w:t>
      </w:r>
      <w:r>
        <w:t xml:space="preserve"> </w:t>
      </w:r>
      <w:r>
        <w:t xml:space="preserve">bij een Europese douaneactie werden onder in beslag genomen injectiepreparaten naast groeihormoon en melanotan II ook sermorelineproducten aangetroffen – zonder etikettering en deels zonder werkzame stof</w:t>
      </w:r>
      <w:r>
        <w:rPr>
          <w:rStyle w:val="FootnoteReference"/>
        </w:rPr>
        <w:footnoteReference w:id="1265"/>
      </w:r>
      <w:r>
        <w:t xml:space="preserve">.</w:t>
      </w:r>
    </w:p>
    <w:bookmarkEnd w:id="1266"/>
    <w:bookmarkStart w:id="1270" w:name="juridische-status-23"/>
    <w:p>
      <w:pPr>
        <w:pStyle w:val="Heading3"/>
      </w:pPr>
      <w:r>
        <w:t xml:space="preserve">Juridische status</w:t>
      </w:r>
    </w:p>
    <w:p>
      <w:pPr>
        <w:pStyle w:val="FirstParagraph"/>
      </w:pPr>
      <w:r>
        <w:rPr>
          <w:iCs/>
          <w:i/>
        </w:rPr>
        <w:t xml:space="preserve">Stand 2026, actuele situatie controleren.</w:t>
      </w:r>
    </w:p>
    <w:p>
      <w:pPr>
        <w:numPr>
          <w:ilvl w:val="0"/>
          <w:numId w:val="1149"/>
        </w:numPr>
        <w:pStyle w:val="Compact"/>
      </w:pPr>
      <w:r>
        <w:rPr>
          <w:bCs/>
          <w:b/>
        </w:rPr>
        <w:t xml:space="preserve">Achtergrond van de Amerikaanse registratie:</w:t>
      </w:r>
      <w:r>
        <w:t xml:space="preserve"> </w:t>
      </w:r>
      <w:r>
        <w:t xml:space="preserve">Geref was in de VS eerst als diagnosticum en vanaf de jaren negentig voor de behandeling van kinderen met groeihormoontekort geregistreerd. De fabrikant stopte de verkoop tegen het einde van de jaren 2000; volgens de openbaar beschikbare gegevens om productie- resp. economische redenen en niet vanwege een nieuw ontdekt veiligheidsprobleem. Dat het diagnosticum rond die tijd wegviel, is gedocumenteerd in een studie</w:t>
      </w:r>
      <w:r>
        <w:rPr>
          <w:rStyle w:val="FootnoteReference"/>
        </w:rPr>
        <w:footnoteReference w:id="1267"/>
      </w:r>
      <w:r>
        <w:t xml:space="preserve">. Een kant-en-klaar geneesmiddel met een geldige registratie bestaat tegenwoordig niet.</w:t>
      </w:r>
    </w:p>
    <w:p>
      <w:pPr>
        <w:numPr>
          <w:ilvl w:val="0"/>
          <w:numId w:val="1149"/>
        </w:numPr>
        <w:pStyle w:val="Compact"/>
      </w:pPr>
      <w:r>
        <w:rPr>
          <w:bCs/>
          <w:b/>
        </w:rPr>
        <w:t xml:space="preserve">VS nu:</w:t>
      </w:r>
      <w:r>
        <w:t xml:space="preserve"> </w:t>
      </w:r>
      <w:r>
        <w:t xml:space="preserve">sermoreline wordt door bereidingsapotheken (compounding) vervaardigd en vooral in anti-agingpraktijken voorgeschreven. Of en onder welke voorwaarden dat is toegestaan, hangt af van de veranderende FDA-regels voor grondstoffen voor bereidingen, die in vakkringen controversieel worden besproken</w:t>
      </w:r>
      <w:r>
        <w:rPr>
          <w:rStyle w:val="FootnoteReference"/>
        </w:rPr>
        <w:footnoteReference w:id="1268"/>
      </w:r>
      <w:r>
        <w:t xml:space="preserve">.</w:t>
      </w:r>
    </w:p>
    <w:p>
      <w:pPr>
        <w:numPr>
          <w:ilvl w:val="0"/>
          <w:numId w:val="1149"/>
        </w:numPr>
        <w:pStyle w:val="Compact"/>
      </w:pPr>
      <w:r>
        <w:rPr>
          <w:bCs/>
          <w:b/>
        </w:rPr>
        <w:t xml:space="preserve">EU, Duitsland, Oostenrijk:</w:t>
      </w:r>
      <w:r>
        <w:t xml:space="preserve"> </w:t>
      </w:r>
      <w:r>
        <w:t xml:space="preserve">geen registratie, geen in de handel zijnd kant-en-klaar geneesmiddel. Levering voor gebruik bij mensen zonder registratie is volgens de respectieve geneesmiddelenwet niet toegestaan; etiketten met</w:t>
      </w:r>
      <w:r>
        <w:t xml:space="preserve"> </w:t>
      </w:r>
      <w:r>
        <w:t xml:space="preserve">‘</w:t>
      </w:r>
      <w:r>
        <w:t xml:space="preserve">alleen voor onderzoeksdoeleinden</w:t>
      </w:r>
      <w:r>
        <w:t xml:space="preserve">’</w:t>
      </w:r>
      <w:r>
        <w:t xml:space="preserve"> </w:t>
      </w:r>
      <w:r>
        <w:t xml:space="preserve">veranderen daar niets aan.</w:t>
      </w:r>
    </w:p>
    <w:p>
      <w:pPr>
        <w:numPr>
          <w:ilvl w:val="0"/>
          <w:numId w:val="1149"/>
        </w:numPr>
        <w:pStyle w:val="Compact"/>
      </w:pPr>
      <w:r>
        <w:rPr>
          <w:bCs/>
          <w:b/>
        </w:rPr>
        <w:t xml:space="preserve">WADA:</w:t>
      </w:r>
      <w:r>
        <w:t xml:space="preserve"> </w:t>
      </w:r>
      <w:r>
        <w:t xml:space="preserve">verboden (S2). Er zijn detectiemethoden voor sermoreline en zijn afbraakproducten in urine ontwikkeld</w:t>
      </w:r>
      <w:r>
        <w:rPr>
          <w:rStyle w:val="FootnoteReference"/>
        </w:rPr>
        <w:footnoteReference w:id="1269"/>
      </w:r>
      <w:r>
        <w:t xml:space="preserve">.</w:t>
      </w:r>
    </w:p>
    <w:bookmarkEnd w:id="1270"/>
    <w:bookmarkStart w:id="1271" w:name="lopende-studies-en-vooruitzichten-23"/>
    <w:p>
      <w:pPr>
        <w:pStyle w:val="Heading3"/>
      </w:pPr>
      <w:r>
        <w:t xml:space="preserve">Lopende studies en vooruitzichten</w:t>
      </w:r>
    </w:p>
    <w:p>
      <w:pPr>
        <w:pStyle w:val="FirstParagraph"/>
      </w:pPr>
      <w:r>
        <w:t xml:space="preserve">Een lopende klinische studie met sermoreline zelf staat in oktober 2026 niet bij ClinicalTrials.gov vermeld; de registervermeldingen onder deze zoekterm betreffen afgeronde GHRH-studies of tesamoreline.</w:t>
      </w:r>
      <w:r>
        <w:t xml:space="preserve"> </w:t>
      </w:r>
      <w:r>
        <w:rPr>
          <w:iCs/>
          <w:i/>
        </w:rPr>
        <w:t xml:space="preserve">Inschatting van de auteur:</w:t>
      </w:r>
      <w:r>
        <w:t xml:space="preserve"> </w:t>
      </w:r>
      <w:r>
        <w:t xml:space="preserve">een terugkeer als geregistreerd geneesmiddel is niet in zicht. De vraag wordt verder gedreven door klinieken en online aanbieders, niet door nieuwe studiegegevens.</w:t>
      </w:r>
    </w:p>
    <w:bookmarkEnd w:id="1271"/>
    <w:bookmarkStart w:id="1272" w:name="conclusie-23"/>
    <w:p>
      <w:pPr>
        <w:pStyle w:val="Heading3"/>
      </w:pPr>
      <w:r>
        <w:t xml:space="preserve">Conclusie</w:t>
      </w:r>
    </w:p>
    <w:p>
      <w:pPr>
        <w:pStyle w:val="FirstParagraph"/>
      </w:pPr>
      <w:r>
        <w:t xml:space="preserve">Sermoreline stimuleert de lichaamseigen afgifte van groeihormoon betrouwbaar en was in de VS geregistreerd voor kinderen met groeihormoontekort, maar werkte daar zwakker dan groeihormoon zelf. De studies bij oudere volwassenen omvatten telkens slechts ongeveer tien tot twintig personen en laten hooguit kleine, wisselende effecten zien. Bewijs voor een nut als</w:t>
      </w:r>
      <w:r>
        <w:t xml:space="preserve"> </w:t>
      </w:r>
      <w:r>
        <w:t xml:space="preserve">‘</w:t>
      </w:r>
      <w:r>
        <w:t xml:space="preserve">anti-agingmiddel</w:t>
      </w:r>
      <w:r>
        <w:t xml:space="preserve">’</w:t>
      </w:r>
      <w:r>
        <w:t xml:space="preserve"> </w:t>
      </w:r>
      <w:r>
        <w:t xml:space="preserve">of voor prestatieverbetering ontbreekt, evenals langetermijngegevens over de veiligheid.</w:t>
      </w:r>
    </w:p>
    <w:bookmarkEnd w:id="1272"/>
    <w:bookmarkEnd w:id="1273"/>
    <w:bookmarkStart w:id="1313" w:name="tesamoreline"/>
    <w:p>
      <w:pPr>
        <w:pStyle w:val="Heading2"/>
      </w:pPr>
      <w:r>
        <w:t xml:space="preserve">Tesamoreline</w:t>
      </w:r>
    </w:p>
    <w:p>
      <w:pPr>
        <w:pStyle w:val="FirstParagraph"/>
      </w:pPr>
      <w:r>
        <w:t xml:space="preserve">Tesamoreline is het enige peptide uit deze groep dat in de Verenigde Staten vandaag als geneesmiddel voor langdurige behandeling is goedgekeurd – zij het voor een zeer specifieke situatie: overmatig buikvet bij mensen met hiv. Juist daarom is het leerzaam. Aan de hand van tesamoreline valt te laten zien wat een verhoging van de lichaamseigen afgifte van groeihormoon in zorgvuldige, placebogecontroleerde studies werkelijk teweegbrengt – en wat niet. Op internet wordt het daarentegen graag als „buikvetpeptide” voor iedereen aangeprezen. Dit hoofdstuk scheidt de aangetoonde toepassing van de verwachtingen.</w:t>
      </w:r>
    </w:p>
    <w:bookmarkStart w:id="1276" w:name="profiel-24"/>
    <w:p>
      <w:pPr>
        <w:pStyle w:val="Heading3"/>
      </w:pPr>
      <w:r>
        <w:t xml:space="preserve">Profiel</w:t>
      </w:r>
    </w:p>
    <w:p>
      <w:pPr>
        <w:numPr>
          <w:ilvl w:val="0"/>
          <w:numId w:val="1150"/>
        </w:numPr>
        <w:pStyle w:val="Compact"/>
      </w:pPr>
      <w:r>
        <w:rPr>
          <w:bCs/>
          <w:b/>
        </w:rPr>
        <w:t xml:space="preserve">Soort en structuur:</w:t>
      </w:r>
      <w:r>
        <w:t xml:space="preserve"> </w:t>
      </w:r>
      <w:r>
        <w:t xml:space="preserve">synthetisch peptide van 44 aminozuren; het komt overeen met het volledige menselijke groeihormoon-releasing hormoon, GHRH(1-44)</w:t>
      </w:r>
      <w:r>
        <w:rPr>
          <w:rStyle w:val="FootnoteReference"/>
        </w:rPr>
        <w:footnoteReference w:id="1274"/>
      </w:r>
      <w:r>
        <w:t xml:space="preserve">, waaraan aan het begin een extra chemische groep is gekoppeld die de snelle afbraak in het bloed vertraagt.</w:t>
      </w:r>
    </w:p>
    <w:p>
      <w:pPr>
        <w:numPr>
          <w:ilvl w:val="0"/>
          <w:numId w:val="1150"/>
        </w:numPr>
        <w:pStyle w:val="Compact"/>
      </w:pPr>
      <w:r>
        <w:rPr>
          <w:bCs/>
          <w:b/>
        </w:rPr>
        <w:t xml:space="preserve">Herkomst:</w:t>
      </w:r>
      <w:r>
        <w:t xml:space="preserve"> </w:t>
      </w:r>
      <w:r>
        <w:t xml:space="preserve">ontwikkeld door het Canadese bedrijf Theratechnologies (ontwikkelingsnaam TH9507).</w:t>
      </w:r>
    </w:p>
    <w:p>
      <w:pPr>
        <w:numPr>
          <w:ilvl w:val="0"/>
          <w:numId w:val="1150"/>
        </w:numPr>
        <w:pStyle w:val="Compact"/>
      </w:pPr>
      <w:r>
        <w:rPr>
          <w:bCs/>
          <w:b/>
        </w:rPr>
        <w:t xml:space="preserve">Werkingsprincipe:</w:t>
      </w:r>
      <w:r>
        <w:t xml:space="preserve"> </w:t>
      </w:r>
      <w:r>
        <w:t xml:space="preserve">bindt net als het lichaamseigen GHRH aan diens receptor in de hypofyse en verhoogt zo de eigen, nog steeds pulsatiele afgifte van groeihormoon (GH); als gevolg daarvan stijgt de signaalstof IGF-1.</w:t>
      </w:r>
    </w:p>
    <w:p>
      <w:pPr>
        <w:numPr>
          <w:ilvl w:val="0"/>
          <w:numId w:val="1150"/>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ja (Egrifta, sinds 2010) voor het verminderen van overtollig buikvet bij volwassenen met hiv en lipodystrofie</w:t>
      </w:r>
      <w:r>
        <w:rPr>
          <w:rStyle w:val="FootnoteReference"/>
        </w:rPr>
        <w:footnoteReference w:id="1275"/>
      </w:r>
      <w:r>
        <w:t xml:space="preserve">.</w:t>
      </w:r>
    </w:p>
    <w:p>
      <w:pPr>
        <w:numPr>
          <w:ilvl w:val="0"/>
          <w:numId w:val="1150"/>
        </w:numPr>
        <w:pStyle w:val="Compact"/>
      </w:pPr>
      <w:r>
        <w:rPr>
          <w:bCs/>
          <w:b/>
        </w:rPr>
        <w:t xml:space="preserve">WADA:</w:t>
      </w:r>
      <w:r>
        <w:t xml:space="preserve"> </w:t>
      </w:r>
      <w:r>
        <w:t xml:space="preserve">verboden, groep S2 (peptidehormonen, groeifactoren, verwante stoffen) – als GHRH-analoog uitdrukkelijk vermeld.</w:t>
      </w:r>
    </w:p>
    <w:p>
      <w:pPr>
        <w:numPr>
          <w:ilvl w:val="0"/>
          <w:numId w:val="1150"/>
        </w:numPr>
        <w:pStyle w:val="Compact"/>
      </w:pPr>
      <w:r>
        <w:rPr>
          <w:bCs/>
          <w:b/>
        </w:rPr>
        <w:t xml:space="preserve">Bewijsniveau: A</w:t>
      </w:r>
      <w:r>
        <w:t xml:space="preserve"> </w:t>
      </w:r>
      <w:r>
        <w:t xml:space="preserve">– twee grote fase 3-studies met samen 806 deelnemers, meerdere andere gerandomiseerde studies, toelating in de VS.</w:t>
      </w:r>
    </w:p>
    <w:bookmarkEnd w:id="1276"/>
    <w:bookmarkStart w:id="1277" w:name="hoe-het-zou-moeten-werken-24"/>
    <w:p>
      <w:pPr>
        <w:pStyle w:val="Heading3"/>
      </w:pPr>
      <w:r>
        <w:t xml:space="preserve">Hoe het zou moeten werken</w:t>
      </w:r>
    </w:p>
    <w:p>
      <w:pPr>
        <w:pStyle w:val="FirstParagraph"/>
      </w:pPr>
      <w:r>
        <w:t xml:space="preserve">Groeihormoon wordt door de hypofyse niet gelijkmatig, maar in stoten afgegeven, vooral ’s nachts. Dat wordt gestuurd door twee tegenspelers uit de tussenhersenen: GHRH geeft gas, somatostatine remt. Groeihormoon zelf breekt vet af – vooral het vet tussen de organen in de buikholte (visceraal vet) – en zet de lever aan tot de aanmaak van IGF-1, dat veel van de opbouwende effecten overbrengt.</w:t>
      </w:r>
    </w:p>
    <w:p>
      <w:pPr>
        <w:pStyle w:val="BodyText"/>
      </w:pPr>
      <w:r>
        <w:t xml:space="preserve">Onder bepaalde hiv-therapieën, vooral de oudere, hoopt zich bij sommige mensen opvallend veel buikvet op, terwijl armen en benen eerder dunner worden. Deze herverdeling van vet heet lipodystrofie. Bij de betrokkenen is de afgifte van groeihormoon vaak verminderd. Het idee achter tesamoreline: in plaats van groeihormoon van buitenaf te spuiten, stimuleert men de eigen hypofyse. Omdat de lichaamseigen terugkoppelingsmechanismen behouden blijven, zouden te hoge spiegels en de bijbehorende bijwerkingen minder vaak voorkomen dan bij rechtstreekse toediening van GH – een aanname die de studies gedeeltelijk, maar niet volledig ondersteunen.</w:t>
      </w:r>
    </w:p>
    <w:bookmarkEnd w:id="1277"/>
    <w:bookmarkStart w:id="1295" w:name="studies-bij-mensen-24"/>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23</w:t>
      </w:r>
      <w:r>
        <w:t xml:space="preserve"> </w:t>
      </w:r>
      <w:r>
        <w:t xml:space="preserve">studies bij mensen in PubMed (</w:t>
      </w:r>
      <w:r>
        <w:rPr>
          <w:rStyle w:val="VerbatimChar"/>
        </w:rPr>
        <w:t xml:space="preserve">humanstudien_alle</w:t>
      </w:r>
      <w:r>
        <w:t xml:space="preserve">) en</w:t>
      </w:r>
      <w:r>
        <w:t xml:space="preserve"> </w:t>
      </w:r>
      <w:r>
        <w:rPr>
          <w:bCs/>
          <w:b/>
        </w:rPr>
        <w:t xml:space="preserve">24</w:t>
      </w:r>
      <w:r>
        <w:t xml:space="preserve"> </w:t>
      </w:r>
      <w:r>
        <w:t xml:space="preserve">registraties bij ClinicalTrials.gov; een daarvan (sponsor „Hudson Biotech”, titeltoevoeging „Mock Study”) is kennelijk een fictieve voorbeeldregistratie en wordt hier niet meegeteld, zodat er</w:t>
      </w:r>
      <w:r>
        <w:t xml:space="preserve"> </w:t>
      </w:r>
      <w:r>
        <w:rPr>
          <w:bCs/>
          <w:b/>
        </w:rPr>
        <w:t xml:space="preserve">23</w:t>
      </w:r>
      <w:r>
        <w:t xml:space="preserve"> </w:t>
      </w:r>
      <w:r>
        <w:t xml:space="preserve">echte geregistreerde studies overblijven. Daarnaast zijn er drie systematische reviews met meta-analyses.</w:t>
      </w:r>
    </w:p>
    <w:bookmarkStart w:id="1283" w:name="de-registratiestudies"/>
    <w:p>
      <w:pPr>
        <w:pStyle w:val="Heading4"/>
      </w:pPr>
      <w:r>
        <w:t xml:space="preserve">De registratiestudies</w:t>
      </w:r>
    </w:p>
    <w:p>
      <w:pPr>
        <w:pStyle w:val="FirstParagraph"/>
      </w:pPr>
      <w:r>
        <w:t xml:space="preserve">De toelating berust op twee vrijwel identiek opgezette fase 3-studies bij mensen met hiv en meer buikvet. In beide kregen de deelnemers in een verhouding van 2:1 dagelijks tesamoreline of een nepmiddel (placebo) onderhuids ingespoten; na 26 weken volgde een verlengingsfase waarin een deel van de tesamorelinegroep verder werd behandeld en een ander deel werd overgezet op placebo.</w:t>
      </w:r>
    </w:p>
    <w:p>
      <w:pPr>
        <w:pStyle w:val="BodyText"/>
      </w:pPr>
      <w:r>
        <w:t xml:space="preserve">In de eerste studie met 412 deelnemers (86% mannen) daalde het viscerale vet, gemeten met computertomografie, onder tesamoreline met 15,2%, onder placebo steeg het met 5,0%. De triglyceriden (bloedvetten) daalden met 50 mg/dl tegenover een stijging met 9 mg/dl. IGF-1 steeg met 81,0%. De bloedsuikerwaarden verschilden niet significant; wel stopten in de tesamorelinegroep meer deelnemers vanwege bijwerkingen</w:t>
      </w:r>
      <w:r>
        <w:rPr>
          <w:rStyle w:val="FootnoteReference"/>
        </w:rPr>
        <w:footnoteReference w:id="1278"/>
      </w:r>
      <w:r>
        <w:t xml:space="preserve">. Over 52 weken bleef de afname van het buikvet bij ononderbroken behandeling ongeveer −18%; na het stoppen keerde het vet terug</w:t>
      </w:r>
      <w:r>
        <w:rPr>
          <w:rStyle w:val="FootnoteReference"/>
        </w:rPr>
        <w:footnoteReference w:id="1279"/>
      </w:r>
      <w:r>
        <w:t xml:space="preserve">.</w:t>
      </w:r>
    </w:p>
    <w:p>
      <w:pPr>
        <w:pStyle w:val="BodyText"/>
      </w:pPr>
      <w:r>
        <w:t xml:space="preserve">De tweede studie met 404 deelnemers bevestigde dat: −10,9% visceraal vet onder tesamoreline tegenover −0,6% onder placebo na zes maanden, geen verandering van het onderhuidse vet aan armen, benen en buik, en een snel verlies van het effect na overschakeling op placebo</w:t>
      </w:r>
      <w:r>
        <w:rPr>
          <w:rStyle w:val="FootnoteReference"/>
        </w:rPr>
        <w:footnoteReference w:id="1280"/>
      </w:r>
      <w:r>
        <w:t xml:space="preserve">.</w:t>
      </w:r>
    </w:p>
    <w:p>
      <w:pPr>
        <w:pStyle w:val="BodyText"/>
      </w:pPr>
      <w:r>
        <w:t xml:space="preserve">De gezamenlijke analyse van beide studies met 806 personen liet na 26 weken een behandeleffect van −15,4% op het viscerale vet zien, verbeteringen van de triglyceriden en van de verhouding tussen totaal- en HDL-cholesterol, en van de tevredenheid over het uiterlijk van de buik. Klinisch relevante verschillen in de bloedsuikerwaarden vonden de auteurs niet</w:t>
      </w:r>
      <w:r>
        <w:rPr>
          <w:rStyle w:val="FootnoteReference"/>
        </w:rPr>
        <w:footnoteReference w:id="1281"/>
      </w:r>
      <w:r>
        <w:t xml:space="preserve">. Niet iedereen heeft er evenveel baat bij: een vervolganalyse definieerde vooraf een afname van het buikvet met ten minste 8% als „respons”. Bij deze responders daalden de triglyceriden duidelijk sterker, en bloedsuiker en HbA1c bleven grotendeels stabiel; bij non-responders stegen nuchtere glucose en HbA1c licht (achteraf uitgevoerde analyse)</w:t>
      </w:r>
      <w:r>
        <w:rPr>
          <w:rStyle w:val="FootnoteReference"/>
        </w:rPr>
        <w:footnoteReference w:id="1282"/>
      </w:r>
      <w:r>
        <w:t xml:space="preserve">.</w:t>
      </w:r>
    </w:p>
    <w:bookmarkEnd w:id="1283"/>
    <w:bookmarkStart w:id="1286" w:name="levervet"/>
    <w:p>
      <w:pPr>
        <w:pStyle w:val="Heading4"/>
      </w:pPr>
      <w:r>
        <w:t xml:space="preserve">Levervet</w:t>
      </w:r>
    </w:p>
    <w:p>
      <w:pPr>
        <w:pStyle w:val="FirstParagraph"/>
      </w:pPr>
      <w:r>
        <w:t xml:space="preserve">Bijzonder interessant is het effect op de leververvetting. In een kleinere studie met 50 personen met hiv daalde naast het buikvet ook het levervet; de nuchtere glucose steeg na twee weken tijdelijk, na zes maanden was er geen significant verschil meer</w:t>
      </w:r>
      <w:r>
        <w:rPr>
          <w:rStyle w:val="FootnoteReference"/>
        </w:rPr>
        <w:footnoteReference w:id="1284"/>
      </w:r>
      <w:r>
        <w:t xml:space="preserve">. Een daaropvolgende gerandomiseerde, dubbelblinde studie onderzocht gericht 61 mensen met hiv en niet-alcoholische leververvetting gedurende twaalf maanden met leverbiopten. Het levervetpercentage daalde absoluut 4,1 procentpunten sterker dan onder placebo, relatief 37%; 35% van de tesamorelinegroep, maar slechts 4% van de placebogroep zat aan het eind onder de grens voor leververvetting van 5%</w:t>
      </w:r>
      <w:r>
        <w:rPr>
          <w:rStyle w:val="FootnoteReference"/>
        </w:rPr>
        <w:footnoteReference w:id="1285"/>
      </w:r>
      <w:r>
        <w:t xml:space="preserve">. Of dat op lange termijn levercirrose of leverkanker voorkomt, is niet onderzocht.</w:t>
      </w:r>
    </w:p>
    <w:bookmarkEnd w:id="1286"/>
    <w:bookmarkStart w:id="1291" w:name="andere-toepassingen"/>
    <w:p>
      <w:pPr>
        <w:pStyle w:val="Heading4"/>
      </w:pPr>
      <w:r>
        <w:t xml:space="preserve">Andere toepassingen</w:t>
      </w:r>
    </w:p>
    <w:p>
      <w:pPr>
        <w:pStyle w:val="FirstParagraph"/>
      </w:pPr>
      <w:r>
        <w:t xml:space="preserve">Buiten hiv zijn er alleen kleinere studies:</w:t>
      </w:r>
    </w:p>
    <w:p>
      <w:pPr>
        <w:numPr>
          <w:ilvl w:val="0"/>
          <w:numId w:val="1151"/>
        </w:numPr>
        <w:pStyle w:val="Compact"/>
      </w:pPr>
      <w:r>
        <w:t xml:space="preserve">Bij 60 mensen met abdominale obesitas en verminderde GH-afgifte (zonder hiv) verlaagde tesamoreline gedurende twaalf maanden het viscerale vet, de triglyceriden, het C-reactief proteïne en de wanddikte van de halsslagader, zonder de bloedsuikerwaarden te verslechteren</w:t>
      </w:r>
      <w:r>
        <w:rPr>
          <w:rStyle w:val="FootnoteReference"/>
        </w:rPr>
        <w:footnoteReference w:id="1287"/>
      </w:r>
      <w:r>
        <w:t xml:space="preserve">.</w:t>
      </w:r>
    </w:p>
    <w:p>
      <w:pPr>
        <w:numPr>
          <w:ilvl w:val="0"/>
          <w:numId w:val="1151"/>
        </w:numPr>
        <w:pStyle w:val="Compact"/>
      </w:pPr>
      <w:r>
        <w:t xml:space="preserve">Bij 53 mensen met diabetes type 2 veranderden gedurende twaalf weken noch de insulinerespons noch het HbA1c ten opzichte van placebo</w:t>
      </w:r>
      <w:r>
        <w:rPr>
          <w:rStyle w:val="FootnoteReference"/>
        </w:rPr>
        <w:footnoteReference w:id="1288"/>
      </w:r>
      <w:r>
        <w:t xml:space="preserve">.</w:t>
      </w:r>
    </w:p>
    <w:p>
      <w:pPr>
        <w:numPr>
          <w:ilvl w:val="0"/>
          <w:numId w:val="1151"/>
        </w:numPr>
        <w:pStyle w:val="Compact"/>
      </w:pPr>
      <w:r>
        <w:t xml:space="preserve">In een studie met 152 oudere volwassenen (55 tot 87 jaar), van wie 66 met een lichte cognitieve stoornis, werd na 20 weken een gunstig effect gezien op de totale beoordeling van het denkvermogen, vooral op de executieve functies. Bijwerkingen – meestal licht – meldde 68% onder tesamoreline tegenover 36% onder placebo</w:t>
      </w:r>
      <w:r>
        <w:rPr>
          <w:rStyle w:val="FootnoteReference"/>
        </w:rPr>
        <w:footnoteReference w:id="1289"/>
      </w:r>
      <w:r>
        <w:t xml:space="preserve">. Een bevestigingsstudie ontbreekt.</w:t>
      </w:r>
    </w:p>
    <w:p>
      <w:pPr>
        <w:numPr>
          <w:ilvl w:val="0"/>
          <w:numId w:val="1151"/>
        </w:numPr>
        <w:pStyle w:val="Compact"/>
      </w:pPr>
      <w:r>
        <w:t xml:space="preserve">Bij 73 mensen met hiv, abdominale obesitas en cognitieve beperkingen liet een open fase 2-studie geen significant verschil in denkvermogen zien ten opzichte van de standaardbehandeling</w:t>
      </w:r>
      <w:r>
        <w:rPr>
          <w:rStyle w:val="FootnoteReference"/>
        </w:rPr>
        <w:footnoteReference w:id="1290"/>
      </w:r>
      <w:r>
        <w:t xml:space="preserve">.</w:t>
      </w:r>
    </w:p>
    <w:bookmarkEnd w:id="1291"/>
    <w:bookmarkStart w:id="1294" w:name="meta-analyses"/>
    <w:p>
      <w:pPr>
        <w:pStyle w:val="Heading4"/>
      </w:pPr>
      <w:r>
        <w:t xml:space="preserve">Meta-analyses</w:t>
      </w:r>
    </w:p>
    <w:p>
      <w:pPr>
        <w:pStyle w:val="FirstParagraph"/>
      </w:pPr>
      <w:r>
        <w:t xml:space="preserve">Twee meta-analyses uit 2026 vatten de gerandomiseerde studies bij hiv-lipodystrofie samen. De ene (vier studies, 909 personen) vond een vermindering van het viscerale vet, van de middelomtrek met 1,61 cm en van het rompvet, en een toename van de vetvrije massa met 1,42 kg; het percentage uitvallers wegens bijwerkingen was neigend hoger (risicoratio 2,25, statistisch net niet significant)</w:t>
      </w:r>
      <w:r>
        <w:rPr>
          <w:rStyle w:val="FootnoteReference"/>
        </w:rPr>
        <w:footnoteReference w:id="1292"/>
      </w:r>
      <w:r>
        <w:t xml:space="preserve">. De andere (vijf studies) bevestigde de afname van het levervet met 4,28 procentpunten en noemde gewrichts- en spierpijn, tintelingen en huidreacties op de injectieplaats als typische bijwerkingen</w:t>
      </w:r>
      <w:r>
        <w:rPr>
          <w:rStyle w:val="FootnoteReference"/>
        </w:rPr>
        <w:footnoteReference w:id="129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(Falutz 2007), PMID 18057338</w:t>
            </w:r>
          </w:p>
        </w:tc>
        <w:tc>
          <w:tcPr/>
          <w:p>
            <w:pPr>
              <w:pStyle w:val="Compact"/>
              <w:jc w:val="left"/>
            </w:pPr>
            <w:r>
              <w:t xml:space="preserve">412 personen met hiv en buikvet, RCT tegen placebo</w:t>
            </w:r>
          </w:p>
        </w:tc>
        <w:tc>
          <w:tcPr/>
          <w:p>
            <w:pPr>
              <w:pStyle w:val="Compact"/>
              <w:jc w:val="left"/>
            </w:pPr>
            <w:r>
              <w:t xml:space="preserve">26 weken</w:t>
            </w:r>
          </w:p>
        </w:tc>
        <w:tc>
          <w:tcPr/>
          <w:p>
            <w:pPr>
              <w:pStyle w:val="Compact"/>
              <w:jc w:val="left"/>
            </w:pPr>
            <w:r>
              <w:t xml:space="preserve">visceraal vet −15,2% vs. +5,0%</w:t>
            </w:r>
          </w:p>
        </w:tc>
      </w:tr>
      <w:tr>
        <w:tc>
          <w:tcPr/>
          <w:p>
            <w:pPr>
              <w:pStyle w:val="Compact"/>
              <w:jc w:val="left"/>
            </w:pPr>
            <w:r>
              <w:t xml:space="preserve">Fase 3, studie 2 (Falutz 2010), PMID 20101189</w:t>
            </w:r>
          </w:p>
        </w:tc>
        <w:tc>
          <w:tcPr/>
          <w:p>
            <w:pPr>
              <w:pStyle w:val="Compact"/>
              <w:jc w:val="left"/>
            </w:pPr>
            <w:r>
              <w:t xml:space="preserve">404 personen met hiv, RCT met verlengingsfase</w:t>
            </w:r>
          </w:p>
        </w:tc>
        <w:tc>
          <w:tcPr/>
          <w:p>
            <w:pPr>
              <w:pStyle w:val="Compact"/>
              <w:jc w:val="left"/>
            </w:pPr>
            <w:r>
              <w:t xml:space="preserve">12 maanden</w:t>
            </w:r>
          </w:p>
        </w:tc>
        <w:tc>
          <w:tcPr/>
          <w:p>
            <w:pPr>
              <w:pStyle w:val="Compact"/>
              <w:jc w:val="left"/>
            </w:pPr>
            <w:r>
              <w:t xml:space="preserve">−10,9% vs. −0,6% na 6 maanden; effect verdwijnt na stoppen</w:t>
            </w:r>
          </w:p>
        </w:tc>
      </w:tr>
      <w:tr>
        <w:tc>
          <w:tcPr/>
          <w:p>
            <w:pPr>
              <w:pStyle w:val="Compact"/>
              <w:jc w:val="left"/>
            </w:pPr>
            <w:r>
              <w:t xml:space="preserve">Gepoolde analyse (Falutz 2010), PMID 20554713</w:t>
            </w:r>
          </w:p>
        </w:tc>
        <w:tc>
          <w:tcPr/>
          <w:p>
            <w:pPr>
              <w:pStyle w:val="Compact"/>
              <w:jc w:val="left"/>
            </w:pPr>
            <w:r>
              <w:t xml:space="preserve">806 personen uit beide fase 3-studies</w:t>
            </w:r>
          </w:p>
        </w:tc>
        <w:tc>
          <w:tcPr/>
          <w:p>
            <w:pPr>
              <w:pStyle w:val="Compact"/>
              <w:jc w:val="left"/>
            </w:pPr>
            <w:r>
              <w:t xml:space="preserve">26–52 weken</w:t>
            </w:r>
          </w:p>
        </w:tc>
        <w:tc>
          <w:tcPr/>
          <w:p>
            <w:pPr>
              <w:pStyle w:val="Compact"/>
              <w:jc w:val="left"/>
            </w:pPr>
            <w:r>
              <w:t xml:space="preserve">behandeleffect −15,4%; bloedsuiker zonder klinisch relevante verandering</w:t>
            </w:r>
          </w:p>
        </w:tc>
      </w:tr>
      <w:tr>
        <w:tc>
          <w:tcPr/>
          <w:p>
            <w:pPr>
              <w:pStyle w:val="Compact"/>
              <w:jc w:val="left"/>
            </w:pPr>
            <w:r>
              <w:t xml:space="preserve">Leververvetting bij hiv (Stanley 2019), PMID 31611038</w:t>
            </w:r>
          </w:p>
        </w:tc>
        <w:tc>
          <w:tcPr/>
          <w:p>
            <w:pPr>
              <w:pStyle w:val="Compact"/>
              <w:jc w:val="left"/>
            </w:pPr>
            <w:r>
              <w:t xml:space="preserve">61 personen met hiv en leververvetting, RCT</w:t>
            </w:r>
          </w:p>
        </w:tc>
        <w:tc>
          <w:tcPr/>
          <w:p>
            <w:pPr>
              <w:pStyle w:val="Compact"/>
              <w:jc w:val="left"/>
            </w:pPr>
            <w:r>
              <w:t xml:space="preserve">12 maanden</w:t>
            </w:r>
          </w:p>
        </w:tc>
        <w:tc>
          <w:tcPr/>
          <w:p>
            <w:pPr>
              <w:pStyle w:val="Compact"/>
              <w:jc w:val="left"/>
            </w:pPr>
            <w:r>
              <w:t xml:space="preserve">levervetpercentage −4,1 procentpunten vs. placebo</w:t>
            </w:r>
          </w:p>
        </w:tc>
      </w:tr>
      <w:tr>
        <w:tc>
          <w:tcPr/>
          <w:p>
            <w:pPr>
              <w:pStyle w:val="Compact"/>
              <w:jc w:val="left"/>
            </w:pPr>
            <w:r>
              <w:t xml:space="preserve">Zonder hiv (Makimura 2012), PMID 23015655</w:t>
            </w:r>
          </w:p>
        </w:tc>
        <w:tc>
          <w:tcPr/>
          <w:p>
            <w:pPr>
              <w:pStyle w:val="Compact"/>
              <w:jc w:val="left"/>
            </w:pPr>
            <w:r>
              <w:t xml:space="preserve">60 volwassenen met abdominale obesitas, RCT</w:t>
            </w:r>
          </w:p>
        </w:tc>
        <w:tc>
          <w:tcPr/>
          <w:p>
            <w:pPr>
              <w:pStyle w:val="Compact"/>
              <w:jc w:val="left"/>
            </w:pPr>
            <w:r>
              <w:t xml:space="preserve">12 maanden</w:t>
            </w:r>
          </w:p>
        </w:tc>
        <w:tc>
          <w:tcPr/>
          <w:p>
            <w:pPr>
              <w:pStyle w:val="Compact"/>
              <w:jc w:val="left"/>
            </w:pPr>
            <w:r>
              <w:t xml:space="preserve">visceraal vet −35 cm² ten opzichte van placebo</w:t>
            </w:r>
          </w:p>
        </w:tc>
      </w:tr>
      <w:tr>
        <w:tc>
          <w:tcPr/>
          <w:p>
            <w:pPr>
              <w:pStyle w:val="Compact"/>
              <w:jc w:val="left"/>
            </w:pPr>
            <w:r>
              <w:t xml:space="preserve">Cognitie op oudere leeftijd (Baker 2012), PMID 22869065</w:t>
            </w:r>
          </w:p>
        </w:tc>
        <w:tc>
          <w:tcPr/>
          <w:p>
            <w:pPr>
              <w:pStyle w:val="Compact"/>
              <w:jc w:val="left"/>
            </w:pPr>
            <w:r>
              <w:t xml:space="preserve">152 ouderen, van wie 66 met lichte cognitieve stoornis, RCT</w:t>
            </w:r>
          </w:p>
        </w:tc>
        <w:tc>
          <w:tcPr/>
          <w:p>
            <w:pPr>
              <w:pStyle w:val="Compact"/>
              <w:jc w:val="left"/>
            </w:pPr>
            <w:r>
              <w:t xml:space="preserve">20 weken</w:t>
            </w:r>
          </w:p>
        </w:tc>
        <w:tc>
          <w:tcPr/>
          <w:p>
            <w:pPr>
              <w:pStyle w:val="Compact"/>
              <w:jc w:val="left"/>
            </w:pPr>
            <w:r>
              <w:t xml:space="preserve">gunstig effect op denkvermogen; meer bijwerkingen</w:t>
            </w:r>
          </w:p>
        </w:tc>
      </w:tr>
      <w:tr>
        <w:tc>
          <w:tcPr/>
          <w:p>
            <w:pPr>
              <w:pStyle w:val="Compact"/>
              <w:jc w:val="left"/>
            </w:pPr>
            <w:r>
              <w:t xml:space="preserve">Meta-analyse (Ditta 2026), PMID 42538058</w:t>
            </w:r>
          </w:p>
        </w:tc>
        <w:tc>
          <w:tcPr/>
          <w:p>
            <w:pPr>
              <w:pStyle w:val="Compact"/>
              <w:jc w:val="left"/>
            </w:pPr>
            <w:r>
              <w:t xml:space="preserve">4 RCT’s, 909 personen met hiv</w:t>
            </w:r>
          </w:p>
        </w:tc>
        <w:tc>
          <w:tcPr/>
          <w:p>
            <w:pPr>
              <w:pStyle w:val="Compact"/>
              <w:jc w:val="left"/>
            </w:pPr>
            <w:r>
              <w:t xml:space="preserve">–</w:t>
            </w:r>
          </w:p>
        </w:tc>
        <w:tc>
          <w:tcPr/>
          <w:p>
            <w:pPr>
              <w:pStyle w:val="Compact"/>
              <w:jc w:val="left"/>
            </w:pPr>
            <w:r>
              <w:t xml:space="preserve">minder visceraal vet, +1,42 kg vetvrije massa</w:t>
            </w:r>
          </w:p>
        </w:tc>
      </w:tr>
    </w:tbl>
    <w:bookmarkEnd w:id="1294"/>
    <w:bookmarkEnd w:id="1295"/>
    <w:bookmarkStart w:id="1299" w:name="dier--en-laboratoriumstudies-24"/>
    <w:p>
      <w:pPr>
        <w:pStyle w:val="Heading3"/>
      </w:pPr>
      <w:r>
        <w:t xml:space="preserve">Dier- en laboratoriumstudies</w:t>
      </w:r>
    </w:p>
    <w:p>
      <w:pPr>
        <w:pStyle w:val="FirstParagraph"/>
      </w:pPr>
      <w:r>
        <w:t xml:space="preserve">Voor tesamoreline zelf is er relatief weinig zelfstandig dieronderzoek; de ontwikkeling bouwde voort op het goed onderzochte lichaamseigen GHRH. Een overzichtsartikel bespreekt of stimulering van de groeihormoon-as het herstel van beschadigde zenuwen zou kunnen bevorderen, en steunt daarbij overwegend op dier- en mechanismestudies</w:t>
      </w:r>
      <w:r>
        <w:rPr>
          <w:rStyle w:val="FootnoteReference"/>
        </w:rPr>
        <w:footnoteReference w:id="1296"/>
      </w:r>
      <w:r>
        <w:t xml:space="preserve">. Een kleine fase 2-studie hierover bij mensen is geregistreerd</w:t>
      </w:r>
      <w:r>
        <w:rPr>
          <w:rStyle w:val="FootnoteReference"/>
        </w:rPr>
        <w:footnoteReference w:id="1297"/>
      </w:r>
      <w:r>
        <w:t xml:space="preserve">.</w:t>
      </w:r>
    </w:p>
    <w:p>
      <w:pPr>
        <w:pStyle w:val="BodyText"/>
      </w:pPr>
      <w:r>
        <w:t xml:space="preserve">Een weefselanalyse van de leverbiopten uit de leververvettingsstudie liet zien dat onder tesamoreline genclusters voor energiewinning in de mitochondriën actiever en genclusters voor ontsteking, weefselombouw en celdeling minder actief waren dan onder placebo</w:t>
      </w:r>
      <w:r>
        <w:rPr>
          <w:rStyle w:val="FootnoteReference"/>
        </w:rPr>
        <w:footnoteReference w:id="1298"/>
      </w:r>
      <w:r>
        <w:t xml:space="preserve">. Dat zijn bevindingen uit weefselmonsters van mensen, maar geen klinische eindpunten.</w:t>
      </w:r>
    </w:p>
    <w:bookmarkEnd w:id="1299"/>
    <w:bookmarkStart w:id="1308" w:name="risicos-en-bijwerkingen-24"/>
    <w:p>
      <w:pPr>
        <w:pStyle w:val="Heading3"/>
      </w:pPr>
      <w:r>
        <w:t xml:space="preserve">Risico’s en bijwerkingen</w:t>
      </w:r>
    </w:p>
    <w:p>
      <w:pPr>
        <w:pStyle w:val="FirstParagraph"/>
      </w:pPr>
      <w:r>
        <w:rPr>
          <w:bCs/>
          <w:b/>
        </w:rPr>
        <w:t xml:space="preserve">Aangetoond in de studies:</w:t>
      </w:r>
    </w:p>
    <w:p>
      <w:pPr>
        <w:numPr>
          <w:ilvl w:val="0"/>
          <w:numId w:val="1152"/>
        </w:numPr>
        <w:pStyle w:val="Compact"/>
      </w:pPr>
      <w:r>
        <w:t xml:space="preserve">Reacties op de injectieplaats (roodheid, jeuk) – in de leververvettingsstudie vaker dan onder placebo, maar niet ernstig</w:t>
      </w:r>
      <w:r>
        <w:rPr>
          <w:rStyle w:val="FootnoteReference"/>
        </w:rPr>
        <w:footnoteReference w:id="1300"/>
      </w:r>
      <w:r>
        <w:t xml:space="preserve">.</w:t>
      </w:r>
    </w:p>
    <w:p>
      <w:pPr>
        <w:numPr>
          <w:ilvl w:val="0"/>
          <w:numId w:val="1152"/>
        </w:numPr>
        <w:pStyle w:val="Compact"/>
      </w:pPr>
      <w:r>
        <w:t xml:space="preserve">Typische groeihormooneffecten zoals gewrichts- en spierpijn en tintelingen</w:t>
      </w:r>
      <w:r>
        <w:rPr>
          <w:rStyle w:val="FootnoteReference"/>
        </w:rPr>
        <w:footnoteReference w:id="1301"/>
      </w:r>
      <w:r>
        <w:t xml:space="preserve">.</w:t>
      </w:r>
    </w:p>
    <w:p>
      <w:pPr>
        <w:numPr>
          <w:ilvl w:val="0"/>
          <w:numId w:val="1152"/>
        </w:numPr>
        <w:pStyle w:val="Compact"/>
      </w:pPr>
      <w:r>
        <w:t xml:space="preserve">Bloedsuiker: in de grote studies gemiddeld geen klinisch relevante verslechtering, maar wel een tijdelijke stijging van de nuchtere glucose in de eerste weken</w:t>
      </w:r>
      <w:r>
        <w:rPr>
          <w:rStyle w:val="FootnoteReference"/>
        </w:rPr>
        <w:footnoteReference w:id="1302"/>
      </w:r>
      <w:r>
        <w:t xml:space="preserve"> </w:t>
      </w:r>
      <w:r>
        <w:t xml:space="preserve">en een lichte stijging bij mensen bij wie het buikvet niet reageerde</w:t>
      </w:r>
      <w:r>
        <w:rPr>
          <w:rStyle w:val="FootnoteReference"/>
        </w:rPr>
        <w:footnoteReference w:id="1303"/>
      </w:r>
      <w:r>
        <w:t xml:space="preserve">. Mensen met diabetes horen medisch gecontroleerd te worden.</w:t>
      </w:r>
    </w:p>
    <w:p>
      <w:pPr>
        <w:numPr>
          <w:ilvl w:val="0"/>
          <w:numId w:val="1152"/>
        </w:numPr>
        <w:pStyle w:val="Compact"/>
      </w:pPr>
      <w:r>
        <w:t xml:space="preserve">Meer stopzettingen van de behandeling wegens bijwerkingen dan onder placebo</w:t>
      </w:r>
      <w:r>
        <w:rPr>
          <w:rStyle w:val="FootnoteReference"/>
        </w:rPr>
        <w:footnoteReference w:id="1304"/>
      </w:r>
      <w:r>
        <w:t xml:space="preserve">.</w:t>
      </w:r>
    </w:p>
    <w:p>
      <w:pPr>
        <w:numPr>
          <w:ilvl w:val="0"/>
          <w:numId w:val="1152"/>
        </w:numPr>
        <w:pStyle w:val="Compact"/>
      </w:pPr>
      <w:r>
        <w:t xml:space="preserve">Het effect is niet blijvend: na het stoppen keert het buikvet terug</w:t>
      </w:r>
      <w:r>
        <w:rPr>
          <w:rStyle w:val="FootnoteReference"/>
        </w:rPr>
        <w:footnoteReference w:id="1305"/>
      </w:r>
      <w:r>
        <w:t xml:space="preserve">.</w:t>
      </w:r>
    </w:p>
    <w:p>
      <w:pPr>
        <w:pStyle w:val="FirstParagraph"/>
      </w:pPr>
      <w:r>
        <w:rPr>
          <w:bCs/>
          <w:b/>
        </w:rPr>
        <w:t xml:space="preserve">Open of theoretisch:</w:t>
      </w:r>
      <w:r>
        <w:t xml:space="preserve"> </w:t>
      </w:r>
      <w:r>
        <w:t xml:space="preserve">tesamoreline verhoogt IGF-1 duidelijk – in de eerste fase 3-studie met 81%. Hoge IGF-1-spiegels gaan in observationele studies gepaard met een iets hoger risico op enkele vormen van kanker (details in de inleiding tot deze groep en in Deel IV). Uit de tesamorelinestudies zelf valt geen verhoogd kankerrisico af te leiden, maar ze waren daarvoor ook te kort. Een langlopende observationele studie van de fabrikant met 391 deelnemers</w:t>
      </w:r>
      <w:r>
        <w:rPr>
          <w:rStyle w:val="FootnoteReference"/>
        </w:rPr>
        <w:footnoteReference w:id="1306"/>
      </w:r>
      <w:r>
        <w:t xml:space="preserve"> </w:t>
      </w:r>
      <w:r>
        <w:t xml:space="preserve">en een studie naar diabetische netvliesaandoening</w:t>
      </w:r>
      <w:r>
        <w:rPr>
          <w:rStyle w:val="FootnoteReference"/>
        </w:rPr>
        <w:footnoteReference w:id="1307"/>
      </w:r>
      <w:r>
        <w:t xml:space="preserve"> </w:t>
      </w:r>
      <w:r>
        <w:t xml:space="preserve">werden voortijdig beëindigd; gepubliceerde resultaten daarvan heb ik in PubMed niet gevonden. Volgens de productinformatie mag tesamoreline bij actieve kanker niet worden gebruikt; de details staan in de productinformatie, en het gebruik hoort in handen van een arts.</w:t>
      </w:r>
    </w:p>
    <w:bookmarkEnd w:id="1308"/>
    <w:bookmarkStart w:id="1310" w:name="juridische-status-24"/>
    <w:p>
      <w:pPr>
        <w:pStyle w:val="Heading3"/>
      </w:pPr>
      <w:r>
        <w:t xml:space="preserve">Juridische status</w:t>
      </w:r>
    </w:p>
    <w:p>
      <w:pPr>
        <w:pStyle w:val="FirstParagraph"/>
      </w:pPr>
      <w:r>
        <w:rPr>
          <w:iCs/>
          <w:i/>
        </w:rPr>
        <w:t xml:space="preserve">Stand 2026, actuele situatie controleren.</w:t>
      </w:r>
    </w:p>
    <w:p>
      <w:pPr>
        <w:numPr>
          <w:ilvl w:val="0"/>
          <w:numId w:val="1153"/>
        </w:numPr>
        <w:pStyle w:val="Compact"/>
      </w:pPr>
      <w:r>
        <w:rPr>
          <w:bCs/>
          <w:b/>
        </w:rPr>
        <w:t xml:space="preserve">EU:</w:t>
      </w:r>
      <w:r>
        <w:t xml:space="preserve"> </w:t>
      </w:r>
      <w:r>
        <w:t xml:space="preserve">niet toegelaten. Tesamoreline is in geen enkele EU-lidstaat als geneesmiddel in de handel.</w:t>
      </w:r>
    </w:p>
    <w:p>
      <w:pPr>
        <w:numPr>
          <w:ilvl w:val="0"/>
          <w:numId w:val="1153"/>
        </w:numPr>
        <w:pStyle w:val="Compact"/>
      </w:pPr>
      <w:r>
        <w:rPr>
          <w:bCs/>
          <w:b/>
        </w:rPr>
        <w:t xml:space="preserve">Duitsland en Oostenrijk:</w:t>
      </w:r>
      <w:r>
        <w:t xml:space="preserve"> </w:t>
      </w:r>
      <w:r>
        <w:t xml:space="preserve">geen toelating. Verkrijging zou hoogstens denkbaar zijn via een door een arts verantwoorde individuele invoer van een in het buitenland toegelaten geneesmiddel; de verstrekking van grijze-marktproducten voor gebruik bij mensen is niet toegestaan.</w:t>
      </w:r>
    </w:p>
    <w:p>
      <w:pPr>
        <w:numPr>
          <w:ilvl w:val="0"/>
          <w:numId w:val="1153"/>
        </w:numPr>
        <w:pStyle w:val="Compact"/>
      </w:pPr>
      <w:r>
        <w:rPr>
          <w:bCs/>
          <w:b/>
        </w:rPr>
        <w:t xml:space="preserve">VS:</w:t>
      </w:r>
      <w:r>
        <w:t xml:space="preserve"> </w:t>
      </w:r>
      <w:r>
        <w:t xml:space="preserve">toegelaten als Egrifta (op recept) uitsluitend voor het verminderen van overtollig buikvet bij hiv-geassocieerde lipodystrofie. Elk ander gebruik – bijvoorbeeld „om af te vallen” of „tegen veroudering” – is off-label.</w:t>
      </w:r>
    </w:p>
    <w:p>
      <w:pPr>
        <w:numPr>
          <w:ilvl w:val="0"/>
          <w:numId w:val="1153"/>
        </w:numPr>
        <w:pStyle w:val="Compact"/>
      </w:pPr>
      <w:r>
        <w:rPr>
          <w:bCs/>
          <w:b/>
        </w:rPr>
        <w:t xml:space="preserve">WADA:</w:t>
      </w:r>
      <w:r>
        <w:t xml:space="preserve"> </w:t>
      </w:r>
      <w:r>
        <w:t xml:space="preserve">verboden (S2), zowel binnen als buiten wedstrijden. Antidopinglaboratoria hebben detectiemethoden ontwikkeld voor tesamoreline en andere GHRH-analogen in urine</w:t>
      </w:r>
      <w:r>
        <w:rPr>
          <w:rStyle w:val="FootnoteReference"/>
        </w:rPr>
        <w:footnoteReference w:id="1309"/>
      </w:r>
      <w:r>
        <w:t xml:space="preserve">.</w:t>
      </w:r>
    </w:p>
    <w:bookmarkEnd w:id="1310"/>
    <w:bookmarkStart w:id="1311" w:name="lopende-studies-en-vooruitzichten-24"/>
    <w:p>
      <w:pPr>
        <w:pStyle w:val="Heading3"/>
      </w:pPr>
      <w:r>
        <w:t xml:space="preserve">Lopende studies en vooruitzichten</w:t>
      </w:r>
    </w:p>
    <w:p>
      <w:pPr>
        <w:pStyle w:val="FirstParagraph"/>
      </w:pPr>
      <w:r>
        <w:t xml:space="preserve">Bij ClinicalTrials.gov staan in oktober 2026 onder meer de volgende open studies geregistreerd: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NCT06554717</w:t>
            </w:r>
          </w:p>
        </w:tc>
        <w:tc>
          <w:tcPr/>
          <w:p>
            <w:pPr>
              <w:pStyle w:val="Compact"/>
              <w:jc w:val="left"/>
            </w:pPr>
            <w:r>
              <w:t xml:space="preserve">fase 2, 100 personen</w:t>
            </w:r>
          </w:p>
        </w:tc>
        <w:tc>
          <w:tcPr/>
          <w:p>
            <w:pPr>
              <w:pStyle w:val="Compact"/>
              <w:jc w:val="left"/>
            </w:pPr>
            <w:r>
              <w:t xml:space="preserve">werving loopt (start 2025)</w:t>
            </w:r>
          </w:p>
        </w:tc>
        <w:tc>
          <w:tcPr/>
          <w:p>
            <w:pPr>
              <w:pStyle w:val="Compact"/>
              <w:jc w:val="left"/>
            </w:pPr>
            <w:r>
              <w:t xml:space="preserve">tesamoreline naast training bij hiv – lichamelijk prestatievermogen</w:t>
            </w:r>
          </w:p>
        </w:tc>
      </w:tr>
      <w:tr>
        <w:tc>
          <w:tcPr/>
          <w:p>
            <w:pPr>
              <w:pStyle w:val="Compact"/>
              <w:jc w:val="left"/>
            </w:pPr>
            <w:r>
              <w:t xml:space="preserve">NCT03150511</w:t>
            </w:r>
          </w:p>
        </w:tc>
        <w:tc>
          <w:tcPr/>
          <w:p>
            <w:pPr>
              <w:pStyle w:val="Compact"/>
              <w:jc w:val="left"/>
            </w:pPr>
            <w:r>
              <w:t xml:space="preserve">fase 2, 36 personen</w:t>
            </w:r>
          </w:p>
        </w:tc>
        <w:tc>
          <w:tcPr/>
          <w:p>
            <w:pPr>
              <w:pStyle w:val="Compact"/>
              <w:jc w:val="left"/>
            </w:pPr>
            <w:r>
              <w:t xml:space="preserve">werving loopt (sinds 2018)</w:t>
            </w:r>
          </w:p>
        </w:tc>
        <w:tc>
          <w:tcPr/>
          <w:p>
            <w:pPr>
              <w:pStyle w:val="Compact"/>
              <w:jc w:val="left"/>
            </w:pPr>
            <w:r>
              <w:t xml:space="preserve">herstel na letsel van perifere zenuwen</w:t>
            </w:r>
          </w:p>
        </w:tc>
      </w:tr>
    </w:tbl>
    <w:p>
      <w:pPr>
        <w:pStyle w:val="BodyText"/>
      </w:pPr>
      <w:r>
        <w:rPr>
          <w:iCs/>
          <w:i/>
        </w:rPr>
        <w:t xml:space="preserve">Vast staat</w:t>
      </w:r>
      <w:r>
        <w:t xml:space="preserve"> </w:t>
      </w:r>
      <w:r>
        <w:t xml:space="preserve">daarmee alleen dat er verder onderzoek wordt gedaan in kleine fase 2-studies.</w:t>
      </w:r>
      <w:r>
        <w:t xml:space="preserve"> </w:t>
      </w:r>
      <w:r>
        <w:rPr>
          <w:iCs/>
          <w:i/>
        </w:rPr>
        <w:t xml:space="preserve">Inschatting van de auteur:</w:t>
      </w:r>
      <w:r>
        <w:t xml:space="preserve"> </w:t>
      </w:r>
      <w:r>
        <w:t xml:space="preserve">leververvetting buiten hiv zou het meest voor de hand liggende nieuwe toepassingsgebied zijn, maar daar concurreren inmiddels andere werkzame stoffen met duidelijk grotere studieprogramma’s. Een toelating in de EU is op afzienbare termijn niet in zicht.</w:t>
      </w:r>
    </w:p>
    <w:bookmarkEnd w:id="1311"/>
    <w:bookmarkStart w:id="1312" w:name="conclusie-24"/>
    <w:p>
      <w:pPr>
        <w:pStyle w:val="Heading3"/>
      </w:pPr>
      <w:r>
        <w:t xml:space="preserve">Conclusie</w:t>
      </w:r>
    </w:p>
    <w:p>
      <w:pPr>
        <w:pStyle w:val="FirstParagraph"/>
      </w:pPr>
      <w:r>
        <w:t xml:space="preserve">Tesamoreline is het best onderzochte peptide van de groeihormoon-as: twee grote fase 3-studies tonen aan dat het bij mensen met hiv het viscerale buikvet met ongeveer 15 tot 18% verlaagt en ook het levervet vermindert. Het effect houdt slechts zo lang aan als de behandeling, en niet iedereen reageert. Voor gezonde mensen, sporters of als „anti-aging”-middel zijn er geen betrouwbare gegevens. De veiligheid op lange termijn, vooral met het oog op het verhoogde IGF-1, is niet definitief opgehelderd.</w:t>
      </w:r>
    </w:p>
    <w:bookmarkEnd w:id="1312"/>
    <w:bookmarkEnd w:id="1313"/>
    <w:bookmarkStart w:id="1338" w:name="cjc-1295"/>
    <w:p>
      <w:pPr>
        <w:pStyle w:val="Heading2"/>
      </w:pPr>
      <w:r>
        <w:t xml:space="preserve">CJC-1295</w:t>
      </w:r>
    </w:p>
    <w:p>
      <w:pPr>
        <w:pStyle w:val="FirstParagraph"/>
      </w:pPr>
      <w:r>
        <w:t xml:space="preserve">Onder de naam CJC-1295 worden op internet twee verschillende stoffen verkocht – en dat is het belangrijkste punt van dit hoofdstuk. Het oorspronkelijke CJC-1295 van het bedrijf ConjuChem is een groeihormoon-releasing hormoon met een chemisch „anker” dat zich in het bloed aan het eiwit albumine hecht en de werking verlengt tot ongeveer een week. Handelaren op de grijze markt bieden daarnaast „CJC-1295 zonder DAC” aan, dat in de vakliteratuur meestal „gemodificeerd GRF (1-29)” heet. Voor het eerste zijn er twee kleine studies bij gezonde mensen, voor het tweede niet één.</w:t>
      </w:r>
    </w:p>
    <w:bookmarkStart w:id="1315" w:name="profiel-25"/>
    <w:p>
      <w:pPr>
        <w:pStyle w:val="Heading3"/>
      </w:pPr>
      <w:r>
        <w:t xml:space="preserve">Profiel</w:t>
      </w:r>
    </w:p>
    <w:p>
      <w:pPr>
        <w:numPr>
          <w:ilvl w:val="0"/>
          <w:numId w:val="1154"/>
        </w:numPr>
        <w:pStyle w:val="Compact"/>
      </w:pPr>
      <w:r>
        <w:rPr>
          <w:bCs/>
          <w:b/>
        </w:rPr>
        <w:t xml:space="preserve">Soort en structuur:</w:t>
      </w:r>
      <w:r>
        <w:t xml:space="preserve"> </w:t>
      </w:r>
      <w:r>
        <w:t xml:space="preserve">synthetisch analoog van het groeihormoon-releasing hormoon, opgebouwd uit de eerste 29 aminozuren daarvan met vier vervangen bouwstenen die de afbraak bemoeilijken.</w:t>
      </w:r>
    </w:p>
    <w:p>
      <w:pPr>
        <w:numPr>
          <w:ilvl w:val="1"/>
          <w:numId w:val="1155"/>
        </w:numPr>
        <w:pStyle w:val="Compact"/>
      </w:pPr>
      <w:r>
        <w:rPr>
          <w:iCs/>
          <w:i/>
        </w:rPr>
        <w:t xml:space="preserve">CJC-1295 met DAC</w:t>
      </w:r>
      <w:r>
        <w:t xml:space="preserve"> </w:t>
      </w:r>
      <w:r>
        <w:t xml:space="preserve">(Drug Affinity Complex): daarnaast een reactief anker aan het eind van de keten, dat zich na de injectie stevig aan albumine bindt</w:t>
      </w:r>
      <w:r>
        <w:rPr>
          <w:rStyle w:val="FootnoteReference"/>
        </w:rPr>
        <w:footnoteReference w:id="1314"/>
      </w:r>
      <w:r>
        <w:t xml:space="preserve">.</w:t>
      </w:r>
    </w:p>
    <w:p>
      <w:pPr>
        <w:numPr>
          <w:ilvl w:val="1"/>
          <w:numId w:val="1155"/>
        </w:numPr>
        <w:pStyle w:val="Compact"/>
      </w:pPr>
      <w:r>
        <w:rPr>
          <w:iCs/>
          <w:i/>
        </w:rPr>
        <w:t xml:space="preserve">CJC-1295 zonder DAC</w:t>
      </w:r>
      <w:r>
        <w:t xml:space="preserve"> </w:t>
      </w:r>
      <w:r>
        <w:t xml:space="preserve">(„Mod GRF 1-29”): dezelfde keten zonder anker; korte werkingsduur.</w:t>
      </w:r>
    </w:p>
    <w:p>
      <w:pPr>
        <w:numPr>
          <w:ilvl w:val="0"/>
          <w:numId w:val="1154"/>
        </w:numPr>
        <w:pStyle w:val="Compact"/>
      </w:pPr>
      <w:r>
        <w:rPr>
          <w:bCs/>
          <w:b/>
        </w:rPr>
        <w:t xml:space="preserve">Herkomst:</w:t>
      </w:r>
      <w:r>
        <w:t xml:space="preserve"> </w:t>
      </w:r>
      <w:r>
        <w:t xml:space="preserve">ontwikkeld door ConjuChem (Canada) in de jaren 2000; de klinische ontwikkeling werd niet voortgezet.</w:t>
      </w:r>
    </w:p>
    <w:p>
      <w:pPr>
        <w:numPr>
          <w:ilvl w:val="0"/>
          <w:numId w:val="1154"/>
        </w:numPr>
        <w:pStyle w:val="Compact"/>
      </w:pPr>
      <w:r>
        <w:rPr>
          <w:bCs/>
          <w:b/>
        </w:rPr>
        <w:t xml:space="preserve">Werkingsprincipe:</w:t>
      </w:r>
      <w:r>
        <w:t xml:space="preserve"> </w:t>
      </w:r>
      <w:r>
        <w:t xml:space="preserve">binding aan de GHRH-receptor van de hypofyse; stijging van groeihormoon en IGF-1.</w:t>
      </w:r>
    </w:p>
    <w:p>
      <w:pPr>
        <w:numPr>
          <w:ilvl w:val="0"/>
          <w:numId w:val="115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4"/>
        </w:numPr>
        <w:pStyle w:val="Compact"/>
      </w:pPr>
      <w:r>
        <w:rPr>
          <w:bCs/>
          <w:b/>
        </w:rPr>
        <w:t xml:space="preserve">WADA:</w:t>
      </w:r>
      <w:r>
        <w:t xml:space="preserve"> </w:t>
      </w:r>
      <w:r>
        <w:t xml:space="preserve">verboden, groep S2 – CJC-1295 wordt als GHRH-analoog uitdrukkelijk genoemd.</w:t>
      </w:r>
    </w:p>
    <w:p>
      <w:pPr>
        <w:numPr>
          <w:ilvl w:val="0"/>
          <w:numId w:val="1154"/>
        </w:numPr>
        <w:pStyle w:val="Compact"/>
      </w:pPr>
      <w:r>
        <w:rPr>
          <w:bCs/>
          <w:b/>
        </w:rPr>
        <w:t xml:space="preserve">Bewijsniveau: C</w:t>
      </w:r>
      <w:r>
        <w:t xml:space="preserve"> </w:t>
      </w:r>
      <w:r>
        <w:t xml:space="preserve">– twee kleine fase 1-studies bij gezonde mensen (met DAC); geen studie naar een klinisch nut; voor de variant zonder DAC geen enkele studie bij mensen.</w:t>
      </w:r>
    </w:p>
    <w:bookmarkEnd w:id="1315"/>
    <w:bookmarkStart w:id="1317" w:name="hoe-het-zou-moeten-werken-25"/>
    <w:p>
      <w:pPr>
        <w:pStyle w:val="Heading3"/>
      </w:pPr>
      <w:r>
        <w:t xml:space="preserve">Hoe het zou moeten werken</w:t>
      </w:r>
    </w:p>
    <w:p>
      <w:pPr>
        <w:pStyle w:val="FirstParagraph"/>
      </w:pPr>
      <w:r>
        <w:t xml:space="preserve">Natuurlijk GHRH wordt in het bloed binnen enkele minuten door het enzym dipeptidylpeptidase-4 en via de nieren verwijderd. Het DAC-anker moest dat probleem oplossen: na de injectie reageert het met een vrije zwavelgroep van albumine. Het peptide „rijdt” dan mee op albumine, dat een levensduur van weken heeft, en wordt langzaam afgegeven. Bij ratten bleef CJC-1295 zo meer dan 72 uur in het bloed aantoonbaar</w:t>
      </w:r>
      <w:r>
        <w:rPr>
          <w:rStyle w:val="FootnoteReference"/>
        </w:rPr>
        <w:footnoteReference w:id="1316"/>
      </w:r>
      <w:r>
        <w:t xml:space="preserve">.</w:t>
      </w:r>
    </w:p>
    <w:p>
      <w:pPr>
        <w:pStyle w:val="BodyText"/>
      </w:pPr>
      <w:r>
        <w:t xml:space="preserve">Daarmee verschilt CJC-1295 met DAC fundamenteel van alle andere GH-vrijmakers: in plaats van korte impulsen veroorzaakt het een continue stimulatie van de hypofyse. Of dat fysiologisch gunstig is, was een van de open vragen tijdens de ontwikkeling. De variant zonder DAC werkt daarentegen ongeveer even kort als sermoreline en wordt op de grijze markt vaak gecombineerd aangeboden met GH-vrijmakers uit de ghrelinegroep (zoals ipamoreline) – een praktijk waarvoor geen studies bestaan.</w:t>
      </w:r>
    </w:p>
    <w:bookmarkEnd w:id="1317"/>
    <w:bookmarkStart w:id="1323" w:name="studies-bij-mensen-2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1</w:t>
      </w:r>
      <w:r>
        <w:t xml:space="preserve"> </w:t>
      </w:r>
      <w:r>
        <w:t xml:space="preserve">registratie bij ClinicalTrials.gov. Een gerichte aanvullende zoekopdracht leverde daarnaast een vervolganalyse van bloedmonsters uit een van beide studies op. Alle publicaties betreffen CJC-1295</w:t>
      </w:r>
      <w:r>
        <w:t xml:space="preserve"> </w:t>
      </w:r>
      <w:r>
        <w:rPr>
          <w:iCs/>
          <w:i/>
        </w:rPr>
        <w:t xml:space="preserve">met</w:t>
      </w:r>
      <w:r>
        <w:t xml:space="preserve"> </w:t>
      </w:r>
      <w:r>
        <w:t xml:space="preserve">DAC.</w:t>
      </w:r>
    </w:p>
    <w:p>
      <w:pPr>
        <w:pStyle w:val="BodyText"/>
      </w:pPr>
      <w:r>
        <w:rPr>
          <w:bCs/>
          <w:b/>
        </w:rPr>
        <w:t xml:space="preserve">Dosisbepaling bij gezonde mensen:</w:t>
      </w:r>
      <w:r>
        <w:t xml:space="preserve"> </w:t>
      </w:r>
      <w:r>
        <w:t xml:space="preserve">In twee gerandomiseerde, placebogecontroleerde, dubbelblinde studies met oplopende doses kregen gezonde volwassenen tussen 21 en 61 jaar één injectie of twee tot drie wekelijkse of tweewekelijkse injecties. Na één enkele injectie steeg groeihormoon gemiddeld tot het 2- tot 10-voudige gedurende zes dagen of langer, IGF-1 tot het 1,5- tot 3-voudige gedurende 9 tot 11 dagen. De halfwaardetijd lag tussen 5,8 en 8,1 dagen. Na meerdere doses bleef IGF-1 tot 28 dagen boven de uitgangswaarde. Ernstige bijwerkingen werden niet gemeld</w:t>
      </w:r>
      <w:r>
        <w:rPr>
          <w:rStyle w:val="FootnoteReference"/>
        </w:rPr>
        <w:footnoteReference w:id="1318"/>
      </w:r>
      <w:r>
        <w:t xml:space="preserve">.</w:t>
      </w:r>
    </w:p>
    <w:p>
      <w:pPr>
        <w:pStyle w:val="BodyText"/>
      </w:pPr>
      <w:r>
        <w:rPr>
          <w:bCs/>
          <w:b/>
        </w:rPr>
        <w:t xml:space="preserve">Pulsatiliteit:</w:t>
      </w:r>
      <w:r>
        <w:t xml:space="preserve"> </w:t>
      </w:r>
      <w:r>
        <w:t xml:space="preserve">Een tweede studie onderzocht bij gezonde mannen tussen 20 en 40 jaar of het natuurlijke stootsgewijze patroon van de GH-afgifte behouden blijft. Een week na de injectie waren frequentie en hoogte van de GH-pieken onveranderd, maar het basisniveau tussen de pieken was 7,5 keer verhoogd; het gemiddelde GH steeg met 46%, IGF-1 met 45%</w:t>
      </w:r>
      <w:r>
        <w:rPr>
          <w:rStyle w:val="FootnoteReference"/>
        </w:rPr>
        <w:footnoteReference w:id="1319"/>
      </w:r>
      <w:r>
        <w:t xml:space="preserve">.</w:t>
      </w:r>
    </w:p>
    <w:p>
      <w:pPr>
        <w:pStyle w:val="BodyText"/>
      </w:pPr>
      <w:r>
        <w:rPr>
          <w:bCs/>
          <w:b/>
        </w:rPr>
        <w:t xml:space="preserve">Bloedeiwitten:</w:t>
      </w:r>
      <w:r>
        <w:t xml:space="preserve"> </w:t>
      </w:r>
      <w:r>
        <w:t xml:space="preserve">Een analyse van serummonsters van 11 jonge mannen vóór en een week na de injectie zocht naar nieuwe markers voor de werking van groeihormoon en vond veranderingen in afzonderlijke bloedeiwitten</w:t>
      </w:r>
      <w:r>
        <w:rPr>
          <w:rStyle w:val="FootnoteReference"/>
        </w:rPr>
        <w:footnoteReference w:id="1320"/>
      </w:r>
      <w:r>
        <w:t xml:space="preserve">. Dat is fundamenteel onderzoek zonder klinische betekenis.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(Teichman 2006), PMID 16352683</w:t>
            </w:r>
          </w:p>
        </w:tc>
        <w:tc>
          <w:tcPr/>
          <w:p>
            <w:pPr>
              <w:pStyle w:val="Compact"/>
              <w:jc w:val="left"/>
            </w:pPr>
            <w:r>
              <w:t xml:space="preserve">gezonde volwassenen 21–61 jaar, twee RCT’s tegen placebo, oplopende doses</w:t>
            </w:r>
          </w:p>
        </w:tc>
        <w:tc>
          <w:tcPr/>
          <w:p>
            <w:pPr>
              <w:pStyle w:val="Compact"/>
              <w:jc w:val="left"/>
            </w:pPr>
            <w:r>
              <w:t xml:space="preserve">28 resp. 49 dagen</w:t>
            </w:r>
          </w:p>
        </w:tc>
        <w:tc>
          <w:tcPr/>
          <w:p>
            <w:pPr>
              <w:pStyle w:val="Compact"/>
              <w:jc w:val="left"/>
            </w:pPr>
            <w:r>
              <w:t xml:space="preserve">GH 2- tot 10-voudig, IGF-1 1,5- tot 3-voudig verhoogd; halfwaardetijd 5,8–8,1 dagen</w:t>
            </w:r>
          </w:p>
        </w:tc>
      </w:tr>
      <w:tr>
        <w:tc>
          <w:tcPr/>
          <w:p>
            <w:pPr>
              <w:pStyle w:val="Compact"/>
              <w:jc w:val="left"/>
            </w:pPr>
            <w:r>
              <w:t xml:space="preserve">GH-pulsatiliteit (Ionescu 2006), PMID 17018654</w:t>
            </w:r>
          </w:p>
        </w:tc>
        <w:tc>
          <w:tcPr/>
          <w:p>
            <w:pPr>
              <w:pStyle w:val="Compact"/>
              <w:jc w:val="left"/>
            </w:pPr>
            <w:r>
              <w:t xml:space="preserve">gezonde mannen 20–40 jaar, voor-navergelijking</w:t>
            </w:r>
          </w:p>
        </w:tc>
        <w:tc>
          <w:tcPr/>
          <w:p>
            <w:pPr>
              <w:pStyle w:val="Compact"/>
              <w:jc w:val="left"/>
            </w:pPr>
            <w:r>
              <w:t xml:space="preserve">1 week na enkele dosis</w:t>
            </w:r>
          </w:p>
        </w:tc>
        <w:tc>
          <w:tcPr/>
          <w:p>
            <w:pPr>
              <w:pStyle w:val="Compact"/>
              <w:jc w:val="left"/>
            </w:pPr>
            <w:r>
              <w:t xml:space="preserve">pieken behouden, basaal GH 7,5-voudig, IGF-1 +45%</w:t>
            </w:r>
          </w:p>
        </w:tc>
      </w:tr>
      <w:tr>
        <w:tc>
          <w:tcPr/>
          <w:p>
            <w:pPr>
              <w:pStyle w:val="Compact"/>
              <w:jc w:val="left"/>
            </w:pPr>
            <w:r>
              <w:t xml:space="preserve">Hiv-buikvet, NCT00267527</w:t>
            </w:r>
          </w:p>
        </w:tc>
        <w:tc>
          <w:tcPr/>
          <w:p>
            <w:pPr>
              <w:pStyle w:val="Compact"/>
              <w:jc w:val="left"/>
            </w:pPr>
            <w:r>
              <w:t xml:space="preserve">gepland 120 personen, fase 2, RCT</w:t>
            </w:r>
          </w:p>
        </w:tc>
        <w:tc>
          <w:tcPr/>
          <w:p>
            <w:pPr>
              <w:pStyle w:val="Compact"/>
              <w:jc w:val="left"/>
            </w:pPr>
            <w:r>
              <w:t xml:space="preserve">gepland 12 weken</w:t>
            </w:r>
          </w:p>
        </w:tc>
        <w:tc>
          <w:tcPr/>
          <w:p>
            <w:pPr>
              <w:pStyle w:val="Compact"/>
              <w:jc w:val="left"/>
            </w:pPr>
            <w:r>
              <w:t xml:space="preserve">in 2006 afgebroken; geen resultaten gepubliceerd</w:t>
            </w:r>
          </w:p>
        </w:tc>
      </w:tr>
    </w:tbl>
    <w:bookmarkStart w:id="1322" w:name="X9226709da95601573bff7126dea8c2d6cc1fb07"/>
    <w:p>
      <w:pPr>
        <w:pStyle w:val="Heading4"/>
      </w:pPr>
      <w:r>
        <w:t xml:space="preserve">De afgebroken fase 2-studie en het gemelde sterfgeval</w:t>
      </w:r>
    </w:p>
    <w:p>
      <w:pPr>
        <w:pStyle w:val="FirstParagraph"/>
      </w:pPr>
      <w:r>
        <w:t xml:space="preserve">ConjuChem startte eind 2005 een gerandomiseerde, placebogecontroleerde fase 2-studie met twee doses CJC-1295 bij mensen met hiv en meer buikvet – dus in hetzelfde toepassingsgebied waarvoor later tesamoreline werd toegelaten</w:t>
      </w:r>
      <w:r>
        <w:rPr>
          <w:rStyle w:val="FootnoteReference"/>
        </w:rPr>
        <w:footnoteReference w:id="1321"/>
      </w:r>
      <w:r>
        <w:t xml:space="preserve">. De registratie vermeldt de status „afgebroken” (laatste update oktober 2006), maar geen reden voor de afbraak en geen resultaten.</w:t>
      </w:r>
    </w:p>
    <w:p>
      <w:pPr>
        <w:pStyle w:val="BodyText"/>
      </w:pPr>
      <w:r>
        <w:t xml:space="preserve">Op online fora en in sommige overzichten wordt beweerd dat de studie werd stopgezet na het overlijden van een deelnemer.</w:t>
      </w:r>
      <w:r>
        <w:t xml:space="preserve"> </w:t>
      </w:r>
      <w:r>
        <w:rPr>
          <w:bCs/>
          <w:b/>
        </w:rPr>
        <w:t xml:space="preserve">Dit sterfgeval is in de voor dit boek gecontroleerde bronnen niet aangetoond:</w:t>
      </w:r>
      <w:r>
        <w:t xml:space="preserve"> </w:t>
      </w:r>
      <w:r>
        <w:t xml:space="preserve">noch de registratie noch een PubMed-publicatie documenteert het. Het valt daarom niet te bevestigen dat het zich heeft voorgedaan, en evenmin te beoordelen of het met de werkzame stof samenhing. Vast staat alleen dat de studie voortijdig eindigde en dat CJC-1295 daarna niet verder werd ontwikkeld.</w:t>
      </w:r>
    </w:p>
    <w:bookmarkEnd w:id="1322"/>
    <w:bookmarkEnd w:id="1323"/>
    <w:bookmarkStart w:id="1326" w:name="dier--en-laboratoriumstudies-25"/>
    <w:p>
      <w:pPr>
        <w:pStyle w:val="Heading3"/>
      </w:pPr>
      <w:r>
        <w:t xml:space="preserve">Dier- en laboratoriumstudies</w:t>
      </w:r>
    </w:p>
    <w:p>
      <w:pPr>
        <w:numPr>
          <w:ilvl w:val="0"/>
          <w:numId w:val="1156"/>
        </w:numPr>
        <w:pStyle w:val="Compact"/>
      </w:pPr>
      <w:r>
        <w:rPr>
          <w:bCs/>
          <w:b/>
        </w:rPr>
        <w:t xml:space="preserve">Ratten:</w:t>
      </w:r>
      <w:r>
        <w:t xml:space="preserve"> </w:t>
      </w:r>
      <w:r>
        <w:t xml:space="preserve">Van drie geteste albumine-ankervarianten maakte CJC-1295 het meeste groeihormoon vrij – over twee uur ongeveer vier keer zoveel als onveranderd GRF(1-29) – en het bleef meer dan 72 uur in het bloed</w:t>
      </w:r>
      <w:r>
        <w:rPr>
          <w:rStyle w:val="FootnoteReference"/>
        </w:rPr>
        <w:footnoteReference w:id="1324"/>
      </w:r>
      <w:r>
        <w:t xml:space="preserve">.</w:t>
      </w:r>
    </w:p>
    <w:p>
      <w:pPr>
        <w:numPr>
          <w:ilvl w:val="0"/>
          <w:numId w:val="1156"/>
        </w:numPr>
        <w:pStyle w:val="Compact"/>
      </w:pPr>
      <w:r>
        <w:rPr>
          <w:bCs/>
          <w:b/>
        </w:rPr>
        <w:t xml:space="preserve">Muizen:</w:t>
      </w:r>
      <w:r>
        <w:t xml:space="preserve"> </w:t>
      </w:r>
      <w:r>
        <w:t xml:space="preserve">Bij muizen zonder eigen GHRH normaliseerde dagelijkse toediening gewicht en lengte; toediening om de 48 of 72 uur was daarvoor niet volledig voldoende. In de hypofyse nam het aantal GH-producerende cellen toe</w:t>
      </w:r>
      <w:r>
        <w:rPr>
          <w:rStyle w:val="FootnoteReference"/>
        </w:rPr>
        <w:footnoteReference w:id="1325"/>
      </w:r>
      <w:r>
        <w:t xml:space="preserve">. Een toename van hypofysecellen is gewenst als een tekort moet worden aangevuld – bij gezonde mensen is de betekenis op lange termijn onbekend.</w:t>
      </w:r>
    </w:p>
    <w:bookmarkEnd w:id="1326"/>
    <w:bookmarkStart w:id="1331" w:name="risicos-en-bijwerkingen-25"/>
    <w:p>
      <w:pPr>
        <w:pStyle w:val="Heading3"/>
      </w:pPr>
      <w:r>
        <w:t xml:space="preserve">Risico’s en bijwerkingen</w:t>
      </w:r>
    </w:p>
    <w:p>
      <w:pPr>
        <w:pStyle w:val="FirstParagraph"/>
      </w:pPr>
      <w:r>
        <w:rPr>
          <w:bCs/>
          <w:b/>
        </w:rPr>
        <w:t xml:space="preserve">Aangetoond in de fase 1-studies:</w:t>
      </w:r>
      <w:r>
        <w:t xml:space="preserve"> </w:t>
      </w:r>
      <w:r>
        <w:t xml:space="preserve">geen ernstige bijwerkingen bij een klein aantal kortdurend behandelde gezonde mensen; de verdraagbaarheid werd als relatief goed beschreven, vooral bij de lagere doses</w:t>
      </w:r>
      <w:r>
        <w:rPr>
          <w:rStyle w:val="FootnoteReference"/>
        </w:rPr>
        <w:footnoteReference w:id="1327"/>
      </w:r>
      <w:r>
        <w:t xml:space="preserve">. Deze gegevensbasis is te klein om zeldzame of langetermijnrisico’s te herkennen.</w:t>
      </w:r>
    </w:p>
    <w:p>
      <w:pPr>
        <w:pStyle w:val="BodyText"/>
      </w:pPr>
      <w:r>
        <w:rPr>
          <w:bCs/>
          <w:b/>
        </w:rPr>
        <w:t xml:space="preserve">Plausibel, maar niet onderzocht:</w:t>
      </w:r>
      <w:r>
        <w:t xml:space="preserve"> </w:t>
      </w:r>
      <w:r>
        <w:t xml:space="preserve">de DAC-variant houdt groeihormoon en IGF-1 dagenlang continu verhoogd. Typische gevolgen van verhoogde GH-spiegels zijn vochtophoping, gewrichtspijn, carpaletunnelklachten en een verslechterde insulinegevoeligheid. Of een blijvend verhoogd IGF-1 op lange termijn het kankerrisico verhoogt, is voor CJC-1295 niet onderzocht; voor de algemene stand van de gegevens zie de inleiding tot deze groep en Deel IV.</w:t>
      </w:r>
    </w:p>
    <w:p>
      <w:pPr>
        <w:pStyle w:val="BodyText"/>
      </w:pPr>
      <w:r>
        <w:rPr>
          <w:bCs/>
          <w:b/>
        </w:rPr>
        <w:t xml:space="preserve">Grijze markt:</w:t>
      </w:r>
      <w:r>
        <w:t xml:space="preserve"> </w:t>
      </w:r>
      <w:r>
        <w:t xml:space="preserve">Al in 2009 analyseerde een Noors laboratorium in opdracht van politie en douane een onbekend preparaat en vond een peptide van 29 aminozuren dat overeenkwam met de als CJC-1295 verkochte sequentie</w:t>
      </w:r>
      <w:r>
        <w:rPr>
          <w:rStyle w:val="FootnoteReference"/>
        </w:rPr>
        <w:footnoteReference w:id="1328"/>
      </w:r>
      <w:r>
        <w:t xml:space="preserve">. Deense douanemonsters bevatten „gemodificeerd GRF 1-29” en ghrelinemimetica met een extra, niet vermeld aminozuur glycine</w:t>
      </w:r>
      <w:r>
        <w:rPr>
          <w:rStyle w:val="FootnoteReference"/>
        </w:rPr>
        <w:footnoteReference w:id="1329"/>
      </w:r>
      <w:r>
        <w:t xml:space="preserve">. Kopers kunnen dus niet weten of ze de variant met of zonder DAC, een gewijzigd molecuul of iets heel anders ontvangen. Een analyse van bodybuildingfora laat zien dat ook vrouwen CJC-1295 gebruiken om af te vallen, voor de huid of voor de slaap, en zich daarbij baseren op ervaringsverhalen in plaats van op studies</w:t>
      </w:r>
      <w:r>
        <w:rPr>
          <w:rStyle w:val="FootnoteReference"/>
        </w:rPr>
        <w:footnoteReference w:id="1330"/>
      </w:r>
      <w:r>
        <w:t xml:space="preserve">.</w:t>
      </w:r>
    </w:p>
    <w:bookmarkEnd w:id="1331"/>
    <w:bookmarkStart w:id="1335" w:name="juridische-status-25"/>
    <w:p>
      <w:pPr>
        <w:pStyle w:val="Heading3"/>
      </w:pPr>
      <w:r>
        <w:t xml:space="preserve">Juridische status</w:t>
      </w:r>
    </w:p>
    <w:p>
      <w:pPr>
        <w:pStyle w:val="FirstParagraph"/>
      </w:pPr>
      <w:r>
        <w:rPr>
          <w:iCs/>
          <w:i/>
        </w:rPr>
        <w:t xml:space="preserve">Stand 2026, actuele situatie controleren.</w:t>
      </w:r>
    </w:p>
    <w:p>
      <w:pPr>
        <w:numPr>
          <w:ilvl w:val="0"/>
          <w:numId w:val="1157"/>
        </w:numPr>
        <w:pStyle w:val="Compact"/>
      </w:pPr>
      <w:r>
        <w:rPr>
          <w:bCs/>
          <w:b/>
        </w:rPr>
        <w:t xml:space="preserve">EU, Duitsland, Oostenrijk:</w:t>
      </w:r>
      <w:r>
        <w:t xml:space="preserve"> </w:t>
      </w:r>
      <w:r>
        <w:t xml:space="preserve">geen toelating. CJC-1295 is een niet-toegelaten geneesmiddel; verstrekking en handel voor gebruik bij mensen zijn volgens de geneesmiddelenwetgeving niet toegestaan, ook als producten als „research peptide” worden aangeduid.</w:t>
      </w:r>
    </w:p>
    <w:p>
      <w:pPr>
        <w:numPr>
          <w:ilvl w:val="0"/>
          <w:numId w:val="1157"/>
        </w:numPr>
        <w:pStyle w:val="Compact"/>
      </w:pPr>
      <w:r>
        <w:rPr>
          <w:bCs/>
          <w:b/>
        </w:rPr>
        <w:t xml:space="preserve">VS:</w:t>
      </w:r>
      <w:r>
        <w:t xml:space="preserve"> </w:t>
      </w:r>
      <w:r>
        <w:t xml:space="preserve">geen toelating. De FDA heeft CJC-1295 – net als meerdere andere peptiden uit dit boek – onder de grondstoffen voor bereidingsapotheken ingedeeld als stof met veiligheidsbezwaren (categorie 2). Deze indelingen zijn sindsdien in het bevoegde adviescomité en in vakkringen controversieel besproken</w:t>
      </w:r>
      <w:r>
        <w:rPr>
          <w:rStyle w:val="FootnoteReference"/>
        </w:rPr>
        <w:footnoteReference w:id="1332"/>
      </w:r>
      <w:r>
        <w:t xml:space="preserve">; wijzigingen zijn mogelijk.</w:t>
      </w:r>
    </w:p>
    <w:p>
      <w:pPr>
        <w:numPr>
          <w:ilvl w:val="0"/>
          <w:numId w:val="1157"/>
        </w:numPr>
        <w:pStyle w:val="Compact"/>
      </w:pPr>
      <w:r>
        <w:rPr>
          <w:bCs/>
          <w:b/>
        </w:rPr>
        <w:t xml:space="preserve">WADA:</w:t>
      </w:r>
      <w:r>
        <w:t xml:space="preserve"> </w:t>
      </w:r>
      <w:r>
        <w:t xml:space="preserve">verboden (S2). Detectiemethoden voor CJC-1295 met en zonder DAC in urine zijn beschreven</w:t>
      </w:r>
      <w:r>
        <w:rPr>
          <w:rStyle w:val="FootnoteReference"/>
        </w:rPr>
        <w:footnoteReference w:id="1333"/>
      </w:r>
      <w:r>
        <w:t xml:space="preserve">; ook in de paardensport wordt ernaar gezocht</w:t>
      </w:r>
      <w:r>
        <w:rPr>
          <w:rStyle w:val="FootnoteReference"/>
        </w:rPr>
        <w:footnoteReference w:id="1334"/>
      </w:r>
      <w:r>
        <w:t xml:space="preserve">.</w:t>
      </w:r>
    </w:p>
    <w:bookmarkEnd w:id="1335"/>
    <w:bookmarkStart w:id="1336" w:name="lopende-studies-en-vooruitzichten-25"/>
    <w:p>
      <w:pPr>
        <w:pStyle w:val="Heading3"/>
      </w:pPr>
      <w:r>
        <w:t xml:space="preserve">Lopende studies en vooruitzichten</w:t>
      </w:r>
    </w:p>
    <w:p>
      <w:pPr>
        <w:pStyle w:val="FirstParagraph"/>
      </w:pPr>
      <w:r>
        <w:t xml:space="preserve">Bij ClinicalTrials.gov is in oktober 2026 naast de in 2006 afgebroken fase 2-studie geen registratie voor CJC-1295 te vinden.</w:t>
      </w:r>
      <w:r>
        <w:t xml:space="preserve"> </w:t>
      </w:r>
      <w:r>
        <w:rPr>
          <w:iCs/>
          <w:i/>
        </w:rPr>
        <w:t xml:space="preserve">Inschatting van de auteur:</w:t>
      </w:r>
      <w:r>
        <w:t xml:space="preserve"> </w:t>
      </w:r>
      <w:r>
        <w:t xml:space="preserve">een verdere klinische ontwikkeling is niet in zicht. Het principe „peptide met albumine-anker voor langere werking” leeft daarentegen voort in andere werkzame stoffen, bijvoorbeeld in langwerkende groeihormoonpreparaten en GLP-1-geneesmiddelen.</w:t>
      </w:r>
    </w:p>
    <w:bookmarkEnd w:id="1336"/>
    <w:bookmarkStart w:id="1337" w:name="conclusie-25"/>
    <w:p>
      <w:pPr>
        <w:pStyle w:val="Heading3"/>
      </w:pPr>
      <w:r>
        <w:t xml:space="preserve">Conclusie</w:t>
      </w:r>
    </w:p>
    <w:p>
      <w:pPr>
        <w:pStyle w:val="FirstParagraph"/>
      </w:pPr>
      <w:r>
        <w:t xml:space="preserve">CJC-1295 met DAC verhoogt bij gezonde mensen groeihormoon en IGF-1 gedurende een tot twee weken na één enkele injectie – meer is bij mensen niet onderzocht. De enige patiëntenstudie werd in 2006 zonder gepubliceerde reden afgebroken; een vaak beweerd sterfgeval is in registratie en vakliteratuur niet gedocumenteerd. Voor de op internet meestal verkochte variant zonder DAC bestaat niet één studie bij mensen, en laboratoriumanalyses tonen aan dat de inhoud van grijze-marktproducten onzeker is.</w:t>
      </w:r>
    </w:p>
    <w:bookmarkEnd w:id="1337"/>
    <w:bookmarkEnd w:id="1338"/>
    <w:bookmarkStart w:id="1361" w:name="ipamoreline"/>
    <w:p>
      <w:pPr>
        <w:pStyle w:val="Heading2"/>
      </w:pPr>
      <w:r>
        <w:t xml:space="preserve">Ipamoreline</w:t>
      </w:r>
    </w:p>
    <w:p>
      <w:pPr>
        <w:pStyle w:val="FirstParagraph"/>
      </w:pPr>
      <w:r>
        <w:t xml:space="preserve">Ipamoreline geldt in fitness- en anti-agingkringen als de „schone” groeihormoonvrijmaker: het zou gericht groeihormoon vrijmaken zonder stresshormonen en eetlust aan te jagen. Deze eigenschap komt uit dierproeven uit de jaren negentig. Bij mensen is ipamoreline daadwerkelijk klinisch getest – maar niet voor spieropbouw of verjonging, wel voor iets heel anders: de darmverlamming na buikoperaties. Daar leverde het geen aantoonbaar voordeel op.</w:t>
      </w:r>
    </w:p>
    <w:bookmarkStart w:id="1340" w:name="profiel-26"/>
    <w:p>
      <w:pPr>
        <w:pStyle w:val="Heading3"/>
      </w:pPr>
      <w:r>
        <w:t xml:space="preserve">Profiel</w:t>
      </w:r>
    </w:p>
    <w:p>
      <w:pPr>
        <w:numPr>
          <w:ilvl w:val="0"/>
          <w:numId w:val="1158"/>
        </w:numPr>
        <w:pStyle w:val="Compact"/>
      </w:pPr>
      <w:r>
        <w:rPr>
          <w:bCs/>
          <w:b/>
        </w:rPr>
        <w:t xml:space="preserve">Soort en structuur:</w:t>
      </w:r>
      <w:r>
        <w:t xml:space="preserve"> </w:t>
      </w:r>
      <w:r>
        <w:t xml:space="preserve">synthetisch pentapeptide (5 aminozuren, deels niet-natuurlijk: Aib-His-D-2-Nal-D-Phe-Lys-NH2)</w:t>
      </w:r>
      <w:r>
        <w:rPr>
          <w:rStyle w:val="FootnoteReference"/>
        </w:rPr>
        <w:footnoteReference w:id="1339"/>
      </w:r>
      <w:r>
        <w:t xml:space="preserve">.</w:t>
      </w:r>
    </w:p>
    <w:p>
      <w:pPr>
        <w:numPr>
          <w:ilvl w:val="0"/>
          <w:numId w:val="1158"/>
        </w:numPr>
        <w:pStyle w:val="Compact"/>
      </w:pPr>
      <w:r>
        <w:rPr>
          <w:bCs/>
          <w:b/>
        </w:rPr>
        <w:t xml:space="preserve">Herkomst:</w:t>
      </w:r>
      <w:r>
        <w:t xml:space="preserve"> </w:t>
      </w:r>
      <w:r>
        <w:t xml:space="preserve">ontwikkeld door Novo Nordisk (Denemarken) uit de familie van de groeihormoonvrijmakende peptiden (GHRP); later door Helsinn verder ontwikkeld voor het maag-darmgebied.</w:t>
      </w:r>
    </w:p>
    <w:p>
      <w:pPr>
        <w:numPr>
          <w:ilvl w:val="0"/>
          <w:numId w:val="1158"/>
        </w:numPr>
        <w:pStyle w:val="Compact"/>
      </w:pPr>
      <w:r>
        <w:rPr>
          <w:bCs/>
          <w:b/>
        </w:rPr>
        <w:t xml:space="preserve">Werkingsprincipe:</w:t>
      </w:r>
      <w:r>
        <w:t xml:space="preserve"> </w:t>
      </w:r>
      <w:r>
        <w:t xml:space="preserve">bindt aan de ghrelinereceptor (GHS-R1a) in hypofyse en tussenhersenen en in het maag-darmkanaal; veroorzaakt een korte stoot groeihormoon en zou de darmbeweging stimuleren.</w:t>
      </w:r>
    </w:p>
    <w:p>
      <w:pPr>
        <w:numPr>
          <w:ilvl w:val="0"/>
          <w:numId w:val="1158"/>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8"/>
        </w:numPr>
        <w:pStyle w:val="Compact"/>
      </w:pPr>
      <w:r>
        <w:rPr>
          <w:bCs/>
          <w:b/>
        </w:rPr>
        <w:t xml:space="preserve">WADA:</w:t>
      </w:r>
      <w:r>
        <w:t xml:space="preserve"> </w:t>
      </w:r>
      <w:r>
        <w:t xml:space="preserve">verboden, groep S2 (groeihormoonsecretagogen; ipamoreline wordt uitdrukkelijk genoemd).</w:t>
      </w:r>
    </w:p>
    <w:p>
      <w:pPr>
        <w:numPr>
          <w:ilvl w:val="0"/>
          <w:numId w:val="1158"/>
        </w:numPr>
        <w:pStyle w:val="Compact"/>
      </w:pPr>
      <w:r>
        <w:rPr>
          <w:bCs/>
          <w:b/>
        </w:rPr>
        <w:t xml:space="preserve">Bewijsniveau: B</w:t>
      </w:r>
      <w:r>
        <w:t xml:space="preserve"> </w:t>
      </w:r>
      <w:r>
        <w:t xml:space="preserve">– één gerandomiseerde fase 2-studie met 117 personen (zonder bewezen werkzaamheid) en een kleine farmacologische studie bij gezonde mensen; een tweede fase 2-studie is afgerond, maar ongepubliceerd.</w:t>
      </w:r>
    </w:p>
    <w:bookmarkEnd w:id="1340"/>
    <w:bookmarkStart w:id="1343" w:name="hoe-het-zou-moeten-werken-26"/>
    <w:p>
      <w:pPr>
        <w:pStyle w:val="Heading3"/>
      </w:pPr>
      <w:r>
        <w:t xml:space="preserve">Hoe het zou moeten werken</w:t>
      </w:r>
    </w:p>
    <w:p>
      <w:pPr>
        <w:pStyle w:val="FirstParagraph"/>
      </w:pPr>
      <w:r>
        <w:t xml:space="preserve">De ghrelinereceptor is naast de GHRH-receptor de tweede grote knop voor de afgifte van groeihormoon. De natuurlijke sleutel ervan is ghreline, een hormoon uit de maag dat in 1999 werd ontdekt</w:t>
      </w:r>
      <w:r>
        <w:rPr>
          <w:rStyle w:val="FootnoteReference"/>
        </w:rPr>
        <w:footnoteReference w:id="1341"/>
      </w:r>
      <w:r>
        <w:t xml:space="preserve">. Ghreline verhoogt niet alleen groeihormoon, maar ook honger, en het stimuleert de bewegingen van maag en darm.</w:t>
      </w:r>
    </w:p>
    <w:p>
      <w:pPr>
        <w:pStyle w:val="BodyText"/>
      </w:pPr>
      <w:r>
        <w:t xml:space="preserve">Oudere synthetische vrijmakers zoals GHRP-6 of GHRP-2 maken naast groeihormoon ook het stresshormoonsysteem (ACTH en cortisol) en prolactine vrij. Ipamoreline werd doelbewust zo ontwikkeld dat dit bijeffect ontbreekt: bij varkens maakte het groeihormoon ongeveer even sterk vrij als GHRP-6, terwijl ACTH en cortisol zelfs bij meer dan 200 keer hogere doses niet sterker stegen dan onder GHRH</w:t>
      </w:r>
      <w:r>
        <w:rPr>
          <w:rStyle w:val="FootnoteReference"/>
        </w:rPr>
        <w:footnoteReference w:id="1342"/>
      </w:r>
      <w:r>
        <w:t xml:space="preserve">. Of deze selectiviteit bij mensen in dezelfde mate geldt, is niet systematisch onderzocht.</w:t>
      </w:r>
    </w:p>
    <w:p>
      <w:pPr>
        <w:pStyle w:val="BodyText"/>
      </w:pPr>
      <w:r>
        <w:t xml:space="preserve">Klinisch was men vooral geïnteresseerd in het effect op de darm: na buikoperaties komt de darmactiviteit vaak dagenlang tot stilstand (postoperatieve ileus), wat de ziekenhuisopname verlengt. Een ghrelinemimeticum dat intraveneus kan worden gegeven, leek een elegante oplossing.</w:t>
      </w:r>
    </w:p>
    <w:bookmarkEnd w:id="1343"/>
    <w:bookmarkStart w:id="1348" w:name="studies-bij-mensen-2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3</w:t>
      </w:r>
      <w:r>
        <w:t xml:space="preserve"> </w:t>
      </w:r>
      <w:r>
        <w:t xml:space="preserve">registraties bij ClinicalTrials.gov. Een van deze registraties</w:t>
      </w:r>
      <w:r>
        <w:rPr>
          <w:rStyle w:val="FootnoteReference"/>
        </w:rPr>
        <w:footnoteReference w:id="1344"/>
      </w:r>
      <w:r>
        <w:t xml:space="preserve"> </w:t>
      </w:r>
      <w:r>
        <w:t xml:space="preserve">betreft een observationele studie naar psychedelica bij veteranen en onderzoekt ipamoreline niet als onderzoeksmiddel; het wordt daar alleen opgesomd als een van meerdere onderdelen van een „fysiologische suppletie” (naast testosteron, visolie en vitamines). Klinisch relevant zijn daarmee twee studies naar postoperatieve ileus.</w:t>
      </w:r>
    </w:p>
    <w:p>
      <w:pPr>
        <w:pStyle w:val="BodyText"/>
      </w:pPr>
      <w:r>
        <w:rPr>
          <w:bCs/>
          <w:b/>
        </w:rPr>
        <w:t xml:space="preserve">Farmacologie bij gezonde mensen:</w:t>
      </w:r>
      <w:r>
        <w:t xml:space="preserve"> </w:t>
      </w:r>
      <w:r>
        <w:t xml:space="preserve">In een studie met oplopende doses kregen per dosisstap telkens acht gezonde mannen een infuus van 15 minuten. Ipamoreline had een korte halfwaardetijd van ongeveer 2 uur en veroorzaakte bij alle doses één GH-piek, die na ongeveer 40 minuten zijn hoogtepunt bereikte en daarna snel daalde</w:t>
      </w:r>
      <w:r>
        <w:rPr>
          <w:rStyle w:val="FootnoteReference"/>
        </w:rPr>
        <w:footnoteReference w:id="1345"/>
      </w:r>
      <w:r>
        <w:t xml:space="preserve">.</w:t>
      </w:r>
    </w:p>
    <w:p>
      <w:pPr>
        <w:pStyle w:val="BodyText"/>
      </w:pPr>
      <w:r>
        <w:rPr>
          <w:bCs/>
          <w:b/>
        </w:rPr>
        <w:t xml:space="preserve">Postoperatieve ileus, eerste fase 2-studie:</w:t>
      </w:r>
      <w:r>
        <w:t xml:space="preserve"> </w:t>
      </w:r>
      <w:r>
        <w:t xml:space="preserve">In een multicentrische, dubbelblinde, placebogecontroleerde studie kregen 117 volwassenen na een dunne- of dikkedarmresectie tot zeven dagen lang tweemaal daags ipamoreline of placebo als infuus. De gemiddelde tijd tot de eerste verdragen vaste maaltijd bedroeg 25,3 uur onder ipamoreline en 32,6 uur onder placebo – een verschil dat statistisch niet significant was (p = 0,15). Ook de overige werkzaamheidsdoelen verschilden niet. Bijwerkingen traden op bij 87,5% onder ipamoreline en 94,8% onder placebo, wat na grote buikoperaties niet ongewoon is</w:t>
      </w:r>
      <w:r>
        <w:rPr>
          <w:rStyle w:val="FootnoteReference"/>
        </w:rPr>
        <w:footnoteReference w:id="1346"/>
      </w:r>
      <w:r>
        <w:t xml:space="preserve">.</w:t>
      </w:r>
    </w:p>
    <w:p>
      <w:pPr>
        <w:pStyle w:val="BodyText"/>
      </w:pPr>
      <w:r>
        <w:rPr>
          <w:bCs/>
          <w:b/>
        </w:rPr>
        <w:t xml:space="preserve">Tweede fase 2-studie:</w:t>
      </w:r>
      <w:r>
        <w:t xml:space="preserve"> </w:t>
      </w:r>
      <w:r>
        <w:t xml:space="preserve">Een grotere vervolgstudie met 320 deelnemers naar het herstel van de maag-darmfunctie werd in 2014 afgerond</w:t>
      </w:r>
      <w:r>
        <w:rPr>
          <w:rStyle w:val="FootnoteReference"/>
        </w:rPr>
        <w:footnoteReference w:id="1347"/>
      </w:r>
      <w:r>
        <w:t xml:space="preserve">. Een publicatie van de resultaten heb ik in PubMed niet gevonden, en de registratie bevat geen resultaten. Daarna werd de ontwikkeling niet voortgezet.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Farmacologie (Gobburu 1999), PMID 10496658</w:t>
            </w:r>
          </w:p>
        </w:tc>
        <w:tc>
          <w:tcPr/>
          <w:p>
            <w:pPr>
              <w:pStyle w:val="Compact"/>
              <w:jc w:val="left"/>
            </w:pPr>
            <w:r>
              <w:t xml:space="preserve">gezonde mannen, 5 dosisstappen van 8 personen</w:t>
            </w:r>
          </w:p>
        </w:tc>
        <w:tc>
          <w:tcPr/>
          <w:p>
            <w:pPr>
              <w:pStyle w:val="Compact"/>
              <w:jc w:val="left"/>
            </w:pPr>
            <w:r>
              <w:t xml:space="preserve">enkel infuus</w:t>
            </w:r>
          </w:p>
        </w:tc>
        <w:tc>
          <w:tcPr/>
          <w:p>
            <w:pPr>
              <w:pStyle w:val="Compact"/>
              <w:jc w:val="left"/>
            </w:pPr>
            <w:r>
              <w:t xml:space="preserve">halfwaardetijd ca. 2 u; één GH-piek per toediening</w:t>
            </w:r>
          </w:p>
        </w:tc>
      </w:tr>
      <w:tr>
        <w:tc>
          <w:tcPr/>
          <w:p>
            <w:pPr>
              <w:pStyle w:val="Compact"/>
              <w:jc w:val="left"/>
            </w:pPr>
            <w:r>
              <w:t xml:space="preserve">Ileusstudie 1 (Beck 2014), PMID 25331030</w:t>
            </w:r>
          </w:p>
        </w:tc>
        <w:tc>
          <w:tcPr/>
          <w:p>
            <w:pPr>
              <w:pStyle w:val="Compact"/>
              <w:jc w:val="left"/>
            </w:pPr>
            <w:r>
              <w:t xml:space="preserve">117 volwassenen na darmresectie, RCT tegen placebo</w:t>
            </w:r>
          </w:p>
        </w:tc>
        <w:tc>
          <w:tcPr/>
          <w:p>
            <w:pPr>
              <w:pStyle w:val="Compact"/>
              <w:jc w:val="left"/>
            </w:pPr>
            <w:r>
              <w:t xml:space="preserve">tot 7 dagen</w:t>
            </w:r>
          </w:p>
        </w:tc>
        <w:tc>
          <w:tcPr/>
          <w:p>
            <w:pPr>
              <w:pStyle w:val="Compact"/>
              <w:jc w:val="left"/>
            </w:pPr>
            <w:r>
              <w:t xml:space="preserve">25,3 vs. 32,6 u tot de eerste maaltijd, niet significant</w:t>
            </w:r>
          </w:p>
        </w:tc>
      </w:tr>
      <w:tr>
        <w:tc>
          <w:tcPr/>
          <w:p>
            <w:pPr>
              <w:pStyle w:val="Compact"/>
              <w:jc w:val="left"/>
            </w:pPr>
            <w:r>
              <w:t xml:space="preserve">Ileusstudie 2, NCT01280344</w:t>
            </w:r>
          </w:p>
        </w:tc>
        <w:tc>
          <w:tcPr/>
          <w:p>
            <w:pPr>
              <w:pStyle w:val="Compact"/>
              <w:jc w:val="left"/>
            </w:pPr>
            <w:r>
              <w:t xml:space="preserve">320 volwassenen, fase 2 tegen placebo</w:t>
            </w:r>
          </w:p>
        </w:tc>
        <w:tc>
          <w:tcPr/>
          <w:p>
            <w:pPr>
              <w:pStyle w:val="Compact"/>
              <w:jc w:val="left"/>
            </w:pPr>
            <w:r>
              <w:t xml:space="preserve">–</w:t>
            </w:r>
          </w:p>
        </w:tc>
        <w:tc>
          <w:tcPr/>
          <w:p>
            <w:pPr>
              <w:pStyle w:val="Compact"/>
              <w:jc w:val="left"/>
            </w:pPr>
            <w:r>
              <w:t xml:space="preserve">afgerond 2014, resultaten niet gepubliceerd</w:t>
            </w:r>
          </w:p>
        </w:tc>
      </w:tr>
    </w:tbl>
    <w:p>
      <w:pPr>
        <w:pStyle w:val="BodyText"/>
      </w:pPr>
      <w:r>
        <w:t xml:space="preserve">Er is</w:t>
      </w:r>
      <w:r>
        <w:t xml:space="preserve"> </w:t>
      </w:r>
      <w:r>
        <w:rPr>
          <w:bCs/>
          <w:b/>
        </w:rPr>
        <w:t xml:space="preserve">geen</w:t>
      </w:r>
      <w:r>
        <w:t xml:space="preserve"> </w:t>
      </w:r>
      <w:r>
        <w:t xml:space="preserve">gepubliceerde studie die ipamoreline bij gezonde volwassenen, sporters of ouderen heeft onderzocht op spiermassa, vetverlies, slaap, huid of prestatievermogen.</w:t>
      </w:r>
    </w:p>
    <w:bookmarkEnd w:id="1348"/>
    <w:bookmarkStart w:id="1352" w:name="dier--en-laboratoriumstudies-26"/>
    <w:p>
      <w:pPr>
        <w:pStyle w:val="Heading3"/>
      </w:pPr>
      <w:r>
        <w:t xml:space="preserve">Dier- en laboratoriumstudies</w:t>
      </w:r>
    </w:p>
    <w:p>
      <w:pPr>
        <w:numPr>
          <w:ilvl w:val="0"/>
          <w:numId w:val="1159"/>
        </w:numPr>
        <w:pStyle w:val="Compact"/>
      </w:pPr>
      <w:r>
        <w:rPr>
          <w:bCs/>
          <w:b/>
        </w:rPr>
        <w:t xml:space="preserve">Darm (ratten):</w:t>
      </w:r>
      <w:r>
        <w:t xml:space="preserve"> </w:t>
      </w:r>
      <w:r>
        <w:t xml:space="preserve">Bij ratten met operatief opgewekte darmverlamming verkortte een enkele dosis ipamoreline de tijd tot de eerste ontlasting; herhaalde toediening verhoogde de hoeveelheid ontlasting, de voedselopname en de gewichtstoename</w:t>
      </w:r>
      <w:r>
        <w:rPr>
          <w:rStyle w:val="FootnoteReference"/>
        </w:rPr>
        <w:footnoteReference w:id="1349"/>
      </w:r>
      <w:r>
        <w:t xml:space="preserve">. Deze resultaten vormden de basis voor de ileusstudies bij mensen – die het effect niet bevestigden.</w:t>
      </w:r>
    </w:p>
    <w:p>
      <w:pPr>
        <w:numPr>
          <w:ilvl w:val="0"/>
          <w:numId w:val="1159"/>
        </w:numPr>
        <w:pStyle w:val="Compact"/>
      </w:pPr>
      <w:r>
        <w:rPr>
          <w:bCs/>
          <w:b/>
        </w:rPr>
        <w:t xml:space="preserve">Botten (ratten):</w:t>
      </w:r>
      <w:r>
        <w:t xml:space="preserve"> </w:t>
      </w:r>
      <w:r>
        <w:t xml:space="preserve">Bij volgroeide vrouwelijke ratten verhoogde ipamoreline gedurende 15 dagen dosisafhankelijk de lengtegroei van de botten en de gewichtstoename, zonder IGF-1 meetbaar te verhogen</w:t>
      </w:r>
      <w:r>
        <w:rPr>
          <w:rStyle w:val="FootnoteReference"/>
        </w:rPr>
        <w:footnoteReference w:id="1350"/>
      </w:r>
      <w:r>
        <w:t xml:space="preserve">.</w:t>
      </w:r>
    </w:p>
    <w:p>
      <w:pPr>
        <w:numPr>
          <w:ilvl w:val="0"/>
          <w:numId w:val="1159"/>
        </w:numPr>
        <w:pStyle w:val="Compact"/>
      </w:pPr>
      <w:r>
        <w:rPr>
          <w:bCs/>
          <w:b/>
        </w:rPr>
        <w:t xml:space="preserve">Selectiviteit (varkens, rattencellen):</w:t>
      </w:r>
      <w:r>
        <w:t xml:space="preserve"> </w:t>
      </w:r>
      <w:r>
        <w:t xml:space="preserve">zie hierboven</w:t>
      </w:r>
      <w:r>
        <w:rPr>
          <w:rStyle w:val="FootnoteReference"/>
        </w:rPr>
        <w:footnoteReference w:id="1351"/>
      </w:r>
      <w:r>
        <w:t xml:space="preserve">.</w:t>
      </w:r>
    </w:p>
    <w:bookmarkEnd w:id="1352"/>
    <w:bookmarkStart w:id="1355" w:name="risicos-en-bijwerkingen-26"/>
    <w:p>
      <w:pPr>
        <w:pStyle w:val="Heading3"/>
      </w:pPr>
      <w:r>
        <w:t xml:space="preserve">Risico’s en bijwerkingen</w:t>
      </w:r>
    </w:p>
    <w:p>
      <w:pPr>
        <w:pStyle w:val="FirstParagraph"/>
      </w:pPr>
      <w:r>
        <w:rPr>
          <w:bCs/>
          <w:b/>
        </w:rPr>
        <w:t xml:space="preserve">Aangetoond:</w:t>
      </w:r>
      <w:r>
        <w:t xml:space="preserve"> </w:t>
      </w:r>
      <w:r>
        <w:t xml:space="preserve">in de ileusstudie werd ipamoreline gedurende maximaal zeven dagen als goed verdraagbaar beschreven, zonder opeenhoping van bijwerkingen ten opzichte van placebo</w:t>
      </w:r>
      <w:r>
        <w:rPr>
          <w:rStyle w:val="FootnoteReference"/>
        </w:rPr>
        <w:footnoteReference w:id="1353"/>
      </w:r>
      <w:r>
        <w:t xml:space="preserve">. Dat betreft een kortdurende toepassing in het ziekenhuis met intraveneuze toediening.</w:t>
      </w:r>
    </w:p>
    <w:p>
      <w:pPr>
        <w:pStyle w:val="BodyText"/>
      </w:pPr>
      <w:r>
        <w:rPr>
          <w:bCs/>
          <w:b/>
        </w:rPr>
        <w:t xml:space="preserve">Onbekend:</w:t>
      </w:r>
      <w:r>
        <w:t xml:space="preserve"> </w:t>
      </w:r>
      <w:r>
        <w:t xml:space="preserve">gegevens over herhaald gebruik gedurende weken of maanden, zoals op internet beschreven, zijn er niet. Theoretisch te verwachten zijn de effecten van verhoogde GH-spiegels (vochtophoping, gewrichtsklachten, verminderde insulinegevoeligheid) en via de ghrelinereceptor een toegenomen eetlust. Voor de vraag naar een kankerrisico door blijvend verhoogd IGF-1 zie de inleiding tot deze groep en Deel IV.</w:t>
      </w:r>
    </w:p>
    <w:p>
      <w:pPr>
        <w:pStyle w:val="BodyText"/>
      </w:pPr>
      <w:r>
        <w:rPr>
          <w:bCs/>
          <w:b/>
        </w:rPr>
        <w:t xml:space="preserve">Grijze markt:</w:t>
      </w:r>
      <w:r>
        <w:t xml:space="preserve"> </w:t>
      </w:r>
      <w:r>
        <w:t xml:space="preserve">laboratoriumanalyses van in beslag genomen producten vonden „Gly-ipamoreline”, dus ipamoreline met een extra, niet vermeld aminozuur aan het begin – vermoedelijk om dopingtests te omzeilen</w:t>
      </w:r>
      <w:r>
        <w:rPr>
          <w:rStyle w:val="FootnoteReference"/>
        </w:rPr>
        <w:footnoteReference w:id="1354"/>
      </w:r>
      <w:r>
        <w:t xml:space="preserve">. Hoe zulke afgeleide moleculen zich in het lichaam gedragen, is onbekend.</w:t>
      </w:r>
    </w:p>
    <w:bookmarkEnd w:id="1355"/>
    <w:bookmarkStart w:id="1358" w:name="juridische-status-26"/>
    <w:p>
      <w:pPr>
        <w:pStyle w:val="Heading3"/>
      </w:pPr>
      <w:r>
        <w:t xml:space="preserve">Juridische status</w:t>
      </w:r>
    </w:p>
    <w:p>
      <w:pPr>
        <w:pStyle w:val="FirstParagraph"/>
      </w:pPr>
      <w:r>
        <w:rPr>
          <w:iCs/>
          <w:i/>
        </w:rPr>
        <w:t xml:space="preserve">Stand 2026, actuele situatie controleren.</w:t>
      </w:r>
    </w:p>
    <w:p>
      <w:pPr>
        <w:numPr>
          <w:ilvl w:val="0"/>
          <w:numId w:val="1160"/>
        </w:numPr>
        <w:pStyle w:val="Compact"/>
      </w:pPr>
      <w:r>
        <w:rPr>
          <w:bCs/>
          <w:b/>
        </w:rPr>
        <w:t xml:space="preserve">EU, Duitsland, Oostenrijk:</w:t>
      </w:r>
      <w:r>
        <w:t xml:space="preserve"> </w:t>
      </w:r>
      <w:r>
        <w:t xml:space="preserve">geen toelating; verstrekking voor gebruik bij mensen niet toegestaan.</w:t>
      </w:r>
    </w:p>
    <w:p>
      <w:pPr>
        <w:numPr>
          <w:ilvl w:val="0"/>
          <w:numId w:val="1160"/>
        </w:numPr>
        <w:pStyle w:val="Compact"/>
      </w:pPr>
      <w:r>
        <w:rPr>
          <w:bCs/>
          <w:b/>
        </w:rPr>
        <w:t xml:space="preserve">VS:</w:t>
      </w:r>
      <w:r>
        <w:t xml:space="preserve"> </w:t>
      </w:r>
      <w:r>
        <w:t xml:space="preserve">geen toelating. De FDA heeft ipamoreline onder de grondstoffen voor bereidingsapotheken ingedeeld als stof met veiligheidsbezwaren (categorie 2); de indeling van peptiden wordt sindsdien controversieel besproken</w:t>
      </w:r>
      <w:r>
        <w:rPr>
          <w:rStyle w:val="FootnoteReference"/>
        </w:rPr>
        <w:footnoteReference w:id="1356"/>
      </w:r>
      <w:r>
        <w:t xml:space="preserve">.</w:t>
      </w:r>
    </w:p>
    <w:p>
      <w:pPr>
        <w:numPr>
          <w:ilvl w:val="0"/>
          <w:numId w:val="1160"/>
        </w:numPr>
        <w:pStyle w:val="Compact"/>
      </w:pPr>
      <w:r>
        <w:rPr>
          <w:bCs/>
          <w:b/>
        </w:rPr>
        <w:t xml:space="preserve">WADA:</w:t>
      </w:r>
      <w:r>
        <w:t xml:space="preserve"> </w:t>
      </w:r>
      <w:r>
        <w:t xml:space="preserve">verboden (S2), zowel binnen als buiten wedstrijden. Ipamoreline en zijn afbraakproducten zijn in urine aantoonbaar, ook na gebruik als neusspray</w:t>
      </w:r>
      <w:r>
        <w:rPr>
          <w:rStyle w:val="FootnoteReference"/>
        </w:rPr>
        <w:footnoteReference w:id="1357"/>
      </w:r>
      <w:r>
        <w:t xml:space="preserve">.</w:t>
      </w:r>
    </w:p>
    <w:bookmarkEnd w:id="1358"/>
    <w:bookmarkStart w:id="1359" w:name="lopende-studies-en-vooruitzichten-26"/>
    <w:p>
      <w:pPr>
        <w:pStyle w:val="Heading3"/>
      </w:pPr>
      <w:r>
        <w:t xml:space="preserve">Lopende studies en vooruitzichten</w:t>
      </w:r>
    </w:p>
    <w:p>
      <w:pPr>
        <w:pStyle w:val="FirstParagraph"/>
      </w:pPr>
      <w:r>
        <w:t xml:space="preserve">Bij ClinicalTrials.gov staat in oktober 2026 geen lopende studie geregistreerd die ipamoreline als onderzoeksmiddel onderzoekt.</w:t>
      </w:r>
      <w:r>
        <w:t xml:space="preserve"> </w:t>
      </w:r>
      <w:r>
        <w:rPr>
          <w:iCs/>
          <w:i/>
        </w:rPr>
        <w:t xml:space="preserve">Inschatting van de auteur:</w:t>
      </w:r>
      <w:r>
        <w:t xml:space="preserve"> </w:t>
      </w:r>
      <w:r>
        <w:t xml:space="preserve">na het negatieve resultaat bij postoperatieve ileus ontbreekt een bedrijf dat de stof verder ontwikkelt. Nieuwe gegevens zijn het eerst te verwachten uit casusbeschrijvingen over gebruik van grijze-marktproducten.</w:t>
      </w:r>
    </w:p>
    <w:bookmarkEnd w:id="1359"/>
    <w:bookmarkStart w:id="1360" w:name="conclusie-26"/>
    <w:p>
      <w:pPr>
        <w:pStyle w:val="Heading3"/>
      </w:pPr>
      <w:r>
        <w:t xml:space="preserve">Conclusie</w:t>
      </w:r>
    </w:p>
    <w:p>
      <w:pPr>
        <w:pStyle w:val="FirstParagraph"/>
      </w:pPr>
      <w:r>
        <w:t xml:space="preserve">Ipamoreline is een doelgericht ontwikkelde ghrelinereceptoragonist die bij dieren groeihormoon vrijmaakt zonder noemenswaardige afgifte van stresshormonen. De enige gepubliceerde werkzaamheidsstudie bij mensen – 117 patiënten na darmoperaties – vond geen significant voordeel; een grotere vervolgstudie bleef ongepubliceerd. Voor de op internet aangeprezen toepassingen (spieropbouw, vetverlies, slaap, anti-aging) bestaan geen studies bij mensen, en grijze-marktproducten bevatten aantoonbaar ook gewijzigde moleculen.</w:t>
      </w:r>
    </w:p>
    <w:bookmarkEnd w:id="1360"/>
    <w:bookmarkEnd w:id="1361"/>
    <w:bookmarkStart w:id="1394" w:name="ghrp-2-pralmoreline"/>
    <w:p>
      <w:pPr>
        <w:pStyle w:val="Heading2"/>
      </w:pPr>
      <w:r>
        <w:t xml:space="preserve">GHRP-2 (pralmoreline)</w:t>
      </w:r>
    </w:p>
    <w:p>
      <w:pPr>
        <w:pStyle w:val="FirstParagraph"/>
      </w:pPr>
      <w:r>
        <w:t xml:space="preserve">GHRP-2 is een klein kunstmatig peptide van zes aminozuren dat de hypofyse krachtiger tot afgifte van groeihormoon aanzet dan vrijwel elke andere bekende prikkel. Die kracht heeft het in Japan tot een toegelaten geneesmiddel gemaakt – niet als therapie, maar als testmiddel: met één injectie valt na te gaan of een volwassene een groeihormoontekort heeft. Op de grijze markt wordt hetzelfde peptide verkocht als „spier- en anti-agingpeptide”. Daarvoor is geen bewijs.</w:t>
      </w:r>
    </w:p>
    <w:bookmarkStart w:id="1364" w:name="profiel-27"/>
    <w:p>
      <w:pPr>
        <w:pStyle w:val="Heading3"/>
      </w:pPr>
      <w:r>
        <w:t xml:space="preserve">Profiel</w:t>
      </w:r>
    </w:p>
    <w:p>
      <w:pPr>
        <w:numPr>
          <w:ilvl w:val="0"/>
          <w:numId w:val="1161"/>
        </w:numPr>
        <w:pStyle w:val="Compact"/>
      </w:pPr>
      <w:r>
        <w:rPr>
          <w:bCs/>
          <w:b/>
        </w:rPr>
        <w:t xml:space="preserve">Soort en structuur:</w:t>
      </w:r>
      <w:r>
        <w:t xml:space="preserve"> </w:t>
      </w:r>
      <w:r>
        <w:t xml:space="preserve">synthetisch hexapeptide (D-Ala-D-2-Nal-Ala-Trp-D-Phe-Lys-NH2) met meerdere niet-natuurlijke aminozuren; ontwikkelingsnamen KP-102 en GPA-748, internationale generieke naam pralmoreline</w:t>
      </w:r>
      <w:r>
        <w:rPr>
          <w:rStyle w:val="FootnoteReference"/>
        </w:rPr>
        <w:footnoteReference w:id="1362"/>
      </w:r>
      <w:r>
        <w:t xml:space="preserve">.</w:t>
      </w:r>
    </w:p>
    <w:p>
      <w:pPr>
        <w:numPr>
          <w:ilvl w:val="0"/>
          <w:numId w:val="1161"/>
        </w:numPr>
        <w:pStyle w:val="Compact"/>
      </w:pPr>
      <w:r>
        <w:rPr>
          <w:bCs/>
          <w:b/>
        </w:rPr>
        <w:t xml:space="preserve">Herkomst:</w:t>
      </w:r>
      <w:r>
        <w:t xml:space="preserve"> </w:t>
      </w:r>
      <w:r>
        <w:t xml:space="preserve">in de jaren negentig ontwikkeld uit de door Cyril Bowers (Tulane University, VS) gegrondveste reeks van GH-vrijmakende peptiden; rechten bij Kaken (Japan)</w:t>
      </w:r>
      <w:r>
        <w:rPr>
          <w:rStyle w:val="FootnoteReference"/>
        </w:rPr>
        <w:footnoteReference w:id="1363"/>
      </w:r>
      <w:r>
        <w:t xml:space="preserve">.</w:t>
      </w:r>
    </w:p>
    <w:p>
      <w:pPr>
        <w:numPr>
          <w:ilvl w:val="0"/>
          <w:numId w:val="1161"/>
        </w:numPr>
        <w:pStyle w:val="Compact"/>
      </w:pPr>
      <w:r>
        <w:rPr>
          <w:bCs/>
          <w:b/>
        </w:rPr>
        <w:t xml:space="preserve">Werkingsprincipe:</w:t>
      </w:r>
      <w:r>
        <w:t xml:space="preserve"> </w:t>
      </w:r>
      <w:r>
        <w:t xml:space="preserve">agonist op de ghrelinereceptor (GHS-R1a) in hypofyse en tussenhersenen; maakt groeihormoon vrij, in mindere mate ook ACTH, cortisol en prolactine; verhoogt de eetlust.</w:t>
      </w:r>
    </w:p>
    <w:p>
      <w:pPr>
        <w:numPr>
          <w:ilvl w:val="0"/>
          <w:numId w:val="1161"/>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r>
        <w:t xml:space="preserve"> </w:t>
      </w:r>
      <w:r>
        <w:rPr>
          <w:bCs/>
          <w:b/>
        </w:rPr>
        <w:t xml:space="preserve">Japan:</w:t>
      </w:r>
      <w:r>
        <w:t xml:space="preserve"> </w:t>
      </w:r>
      <w:r>
        <w:t xml:space="preserve">toegelaten als diagnosticum voor de functie van de hypofyse.</w:t>
      </w:r>
    </w:p>
    <w:p>
      <w:pPr>
        <w:numPr>
          <w:ilvl w:val="0"/>
          <w:numId w:val="1161"/>
        </w:numPr>
        <w:pStyle w:val="Compact"/>
      </w:pPr>
      <w:r>
        <w:rPr>
          <w:bCs/>
          <w:b/>
        </w:rPr>
        <w:t xml:space="preserve">WADA:</w:t>
      </w:r>
      <w:r>
        <w:t xml:space="preserve"> </w:t>
      </w:r>
      <w:r>
        <w:t xml:space="preserve">verboden, groep S2 – GHRP-2 (pralmoreline) wordt als groeihormoonvrijmakend peptide uitdrukkelijk genoemd.</w:t>
      </w:r>
    </w:p>
    <w:p>
      <w:pPr>
        <w:numPr>
          <w:ilvl w:val="0"/>
          <w:numId w:val="1161"/>
        </w:numPr>
        <w:pStyle w:val="Compact"/>
      </w:pPr>
      <w:r>
        <w:rPr>
          <w:bCs/>
          <w:b/>
        </w:rPr>
        <w:t xml:space="preserve">Bewijsniveau: B</w:t>
      </w:r>
      <w:r>
        <w:t xml:space="preserve"> </w:t>
      </w:r>
      <w:r>
        <w:t xml:space="preserve">– talrijke kleine gerandomiseerde studies naar de hormoonfysiologie en een validatiestudie als diagnosticum; geen gerandomiseerde studie naar een therapeutisch nut.</w:t>
      </w:r>
    </w:p>
    <w:bookmarkEnd w:id="1364"/>
    <w:bookmarkStart w:id="1367" w:name="hoe-het-zou-moeten-werken-27"/>
    <w:p>
      <w:pPr>
        <w:pStyle w:val="Heading3"/>
      </w:pPr>
      <w:r>
        <w:t xml:space="preserve">Hoe het zou moeten werken</w:t>
      </w:r>
    </w:p>
    <w:p>
      <w:pPr>
        <w:pStyle w:val="FirstParagraph"/>
      </w:pPr>
      <w:r>
        <w:t xml:space="preserve">GHRP-2 bootst ghreline na, het hongerhormoon uit de maag dat tegelijk de afgifte van groeihormoon stuurt</w:t>
      </w:r>
      <w:r>
        <w:rPr>
          <w:rStyle w:val="FootnoteReference"/>
        </w:rPr>
        <w:footnoteReference w:id="1365"/>
      </w:r>
      <w:r>
        <w:t xml:space="preserve">. Historisch ging het andersom: de synthetische GHRP’s waren er eerst, hun receptor werd gevonden, en pas daarna ontdekte men ghreline als de natuurlijke sleutel ervan.</w:t>
      </w:r>
    </w:p>
    <w:p>
      <w:pPr>
        <w:pStyle w:val="BodyText"/>
      </w:pPr>
      <w:r>
        <w:t xml:space="preserve">GHRP-2 werkt op twee niveaus: rechtstreeks op de hypofyse en indirect via de tussenhersenen, waar het de rem somatostatine afzwakt en het lichaamseigen GHRH ondersteunt. Voor het volle effect is daarom intacte tussenhersenen nodig: bij ratten zonder hypofyse werkte het helemaal niet, bij ratten met een verbroken verbinding tussen tussenhersenen en hypofyse slechts verzwakt</w:t>
      </w:r>
      <w:r>
        <w:rPr>
          <w:rStyle w:val="FootnoteReference"/>
        </w:rPr>
        <w:footnoteReference w:id="1366"/>
      </w:r>
      <w:r>
        <w:t xml:space="preserve">. Geeft men GHRP-2 en GHRH samen, dan is de afgifte duidelijk groter dan de som van de afzonderlijke effecten.</w:t>
      </w:r>
    </w:p>
    <w:bookmarkEnd w:id="1367"/>
    <w:bookmarkStart w:id="1381" w:name="studies-bij-mensen-2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55</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Het grote aantal misleidt: de meeste publicaties (vooral van een onderzoeksgroep van de Mayo Clinic) gebruiken GHRP-2 als hulpmiddel om de regeling van de groeihormoonafgifte bij vrouwen en mannen, onder invloed van geslachtshormonen of op oudere leeftijd te onderzoeken. Ze zeggen niets over een gezondheidsvoordeel.</w:t>
      </w:r>
    </w:p>
    <w:bookmarkStart w:id="1372" w:name="diagnostiek-van-groeihormoontekort"/>
    <w:p>
      <w:pPr>
        <w:pStyle w:val="Heading4"/>
      </w:pPr>
      <w:r>
        <w:t xml:space="preserve">Diagnostiek van groeihormoontekort</w:t>
      </w:r>
    </w:p>
    <w:p>
      <w:pPr>
        <w:pStyle w:val="FirstParagraph"/>
      </w:pPr>
      <w:r>
        <w:t xml:space="preserve">De belangrijkste toepassing is de GHRP-2-test. In een validatiestudie kregen 77 gezonde mensen en 58 patiënten met een vastgesteld ernstig groeihormoontekort een intraveneuze enkele dosis. De GH-piek lag bij de gezonde mensen gemiddeld op 84,6 µg/l, bij de patiënten op 1,36 µg/l. De test was goed herhaalbaar en werd door leeftijd en overgewicht slechts weinig beïnvloed; een grenswaarde van 15 µg/l kwam overeen met de gangbare grenswaarde van de insuline-hypoglykemietest</w:t>
      </w:r>
      <w:r>
        <w:rPr>
          <w:rStyle w:val="FootnoteReference"/>
        </w:rPr>
        <w:footnoteReference w:id="1368"/>
      </w:r>
      <w:r>
        <w:t xml:space="preserve">. In een vergelijking bij 71 mensen met hypofysetumoren bereikte de GHRP-2-test ten opzichte van de insulinetest een sensitiviteit van 81,3% en een specificiteit van 94,5%</w:t>
      </w:r>
      <w:r>
        <w:rPr>
          <w:rStyle w:val="FootnoteReference"/>
        </w:rPr>
        <w:footnoteReference w:id="1369"/>
      </w:r>
      <w:r>
        <w:t xml:space="preserve">.</w:t>
      </w:r>
    </w:p>
    <w:p>
      <w:pPr>
        <w:pStyle w:val="BodyText"/>
      </w:pPr>
      <w:r>
        <w:t xml:space="preserve">Omdat GHRP-2 ook ACTH vrijmaakt, werd onderzocht of de test daarnaast een onderfunctie van de bijnier-as herkent. De resultaten zijn wisselend: in een studie met 47 personen bereikte hij een sensitiviteit van 89,7%</w:t>
      </w:r>
      <w:r>
        <w:rPr>
          <w:rStyle w:val="FootnoteReference"/>
        </w:rPr>
        <w:footnoteReference w:id="1370"/>
      </w:r>
      <w:r>
        <w:t xml:space="preserve">; in een grotere analyse van 254 personen was hij over het geheel genomen niet voldoende betrouwbaar (sensitiviteit 64%, specificiteit 79%), alleen bij mannen zonder hormoonactieve tumor scoorde hij goed</w:t>
      </w:r>
      <w:r>
        <w:rPr>
          <w:rStyle w:val="FootnoteReference"/>
        </w:rPr>
        <w:footnoteReference w:id="1371"/>
      </w:r>
      <w:r>
        <w:t xml:space="preserve">.</w:t>
      </w:r>
    </w:p>
    <w:bookmarkEnd w:id="1372"/>
    <w:bookmarkStart w:id="1377" w:name="behandelpogingen-bij-kinderen"/>
    <w:p>
      <w:pPr>
        <w:pStyle w:val="Heading4"/>
      </w:pPr>
      <w:r>
        <w:t xml:space="preserve">Behandelpogingen bij kinderen</w:t>
      </w:r>
    </w:p>
    <w:p>
      <w:pPr>
        <w:pStyle w:val="FirstParagraph"/>
      </w:pPr>
      <w:r>
        <w:t xml:space="preserve">In de jaren negentig werd GHRP-2 uitgeprobeerd als therapie voor kinderen met een kleine gestalte. Bij zes kinderen met groeihormoontekort steeg de nachtelijke GH-afgifte dosisafhankelijk, IGF-1 echter niet; de groeisnelheid was tijdens de behandeling hoger</w:t>
      </w:r>
      <w:r>
        <w:rPr>
          <w:rStyle w:val="FootnoteReference"/>
        </w:rPr>
        <w:footnoteReference w:id="1373"/>
      </w:r>
      <w:r>
        <w:t xml:space="preserve">. Als neusspray verhoogde GHRP-2 bij 15 kinderen de groeisnelheid van 3,7 naar 6,1 cm per jaar, opnieuw zonder stijging van IGF-1</w:t>
      </w:r>
      <w:r>
        <w:rPr>
          <w:rStyle w:val="FootnoteReference"/>
        </w:rPr>
        <w:footnoteReference w:id="1374"/>
      </w:r>
      <w:r>
        <w:t xml:space="preserve">. Van tien kinderen die GHRP-2 twaalf maanden als tablet kregen, meldden er zeven in de eerste maanden duidelijk meer eetlust</w:t>
      </w:r>
      <w:r>
        <w:rPr>
          <w:rStyle w:val="FootnoteReference"/>
        </w:rPr>
        <w:footnoteReference w:id="1375"/>
      </w:r>
      <w:r>
        <w:t xml:space="preserve">. Een verdere ontwikkeling tot therapie werd in de VS stopgezet</w:t>
      </w:r>
      <w:r>
        <w:rPr>
          <w:rStyle w:val="FootnoteReference"/>
        </w:rPr>
        <w:footnoteReference w:id="1376"/>
      </w:r>
      <w:r>
        <w:t xml:space="preserve">.</w:t>
      </w:r>
    </w:p>
    <w:bookmarkEnd w:id="1377"/>
    <w:bookmarkStart w:id="1380" w:name="eetlust-en-intensive-care"/>
    <w:p>
      <w:pPr>
        <w:pStyle w:val="Heading4"/>
      </w:pPr>
      <w:r>
        <w:t xml:space="preserve">Eetlust en intensive care</w:t>
      </w:r>
    </w:p>
    <w:p>
      <w:pPr>
        <w:pStyle w:val="FirstParagraph"/>
      </w:pPr>
      <w:r>
        <w:t xml:space="preserve">Bij 19 slanke volwassenen en volwassenen met overgewicht verhoogde een infuus met GHRP-2 de vrij gekozen hoeveelheid voedsel dosisafhankelijk met 10,2% resp. 33,5% ten opzichte van placebo</w:t>
      </w:r>
      <w:r>
        <w:rPr>
          <w:rStyle w:val="FootnoteReference"/>
        </w:rPr>
        <w:footnoteReference w:id="1378"/>
      </w:r>
      <w:r>
        <w:t xml:space="preserve">. Bij 14 langdurige intensivecarepatiënten reactiveerde een vijfdaags infuus van GHRP-2 samen met het schildklierstimulerende vrijmakingshormoon TRH de onderdrukte GH- en schildklieras en verschoof het stofwisselingsmarkers in de richting van opbouw</w:t>
      </w:r>
      <w:r>
        <w:rPr>
          <w:rStyle w:val="FootnoteReference"/>
        </w:rPr>
        <w:footnoteReference w:id="1379"/>
      </w:r>
      <w:r>
        <w:t xml:space="preserve">. Of dat de overlevingskansen verandert, werd nooit in een eindpuntstudie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(Chihara 2007), PMID 17609397</w:t>
            </w:r>
          </w:p>
        </w:tc>
        <w:tc>
          <w:tcPr/>
          <w:p>
            <w:pPr>
              <w:pStyle w:val="Compact"/>
              <w:jc w:val="left"/>
            </w:pPr>
            <w:r>
              <w:t xml:space="preserve">77 gezonden, 58 patiënten met GH-tekort, gecontroleerde validatie</w:t>
            </w:r>
          </w:p>
        </w:tc>
        <w:tc>
          <w:tcPr/>
          <w:p>
            <w:pPr>
              <w:pStyle w:val="Compact"/>
              <w:jc w:val="left"/>
            </w:pPr>
            <w:r>
              <w:t xml:space="preserve">enkele test</w:t>
            </w:r>
          </w:p>
        </w:tc>
        <w:tc>
          <w:tcPr/>
          <w:p>
            <w:pPr>
              <w:pStyle w:val="Compact"/>
              <w:jc w:val="left"/>
            </w:pPr>
            <w:r>
              <w:t xml:space="preserve">GH-piek 84,6 vs. 1,36 µg/l; grenswaarde 15 µg/l</w:t>
            </w:r>
          </w:p>
        </w:tc>
      </w:tr>
      <w:tr>
        <w:tc>
          <w:tcPr/>
          <w:p>
            <w:pPr>
              <w:pStyle w:val="Compact"/>
              <w:jc w:val="left"/>
            </w:pPr>
            <w:r>
              <w:t xml:space="preserve">Diagnostiek (Kinoshita 2013), PMID 23079545</w:t>
            </w:r>
          </w:p>
        </w:tc>
        <w:tc>
          <w:tcPr/>
          <w:p>
            <w:pPr>
              <w:pStyle w:val="Compact"/>
              <w:jc w:val="left"/>
            </w:pPr>
            <w:r>
              <w:t xml:space="preserve">71 personen met hypofysetumoren, vergelijking met insulinetest</w:t>
            </w:r>
          </w:p>
        </w:tc>
        <w:tc>
          <w:tcPr/>
          <w:p>
            <w:pPr>
              <w:pStyle w:val="Compact"/>
              <w:jc w:val="left"/>
            </w:pPr>
            <w:r>
              <w:t xml:space="preserve">enkele test</w:t>
            </w:r>
          </w:p>
        </w:tc>
        <w:tc>
          <w:tcPr/>
          <w:p>
            <w:pPr>
              <w:pStyle w:val="Compact"/>
              <w:jc w:val="left"/>
            </w:pPr>
            <w:r>
              <w:t xml:space="preserve">sensitiviteit 81,3%, specificiteit 94,5%</w:t>
            </w:r>
          </w:p>
        </w:tc>
      </w:tr>
      <w:tr>
        <w:tc>
          <w:tcPr/>
          <w:p>
            <w:pPr>
              <w:pStyle w:val="Compact"/>
              <w:jc w:val="left"/>
            </w:pPr>
            <w:r>
              <w:t xml:space="preserve">Kinderen, neusspray (Pihoker 1997), PMID 9390009</w:t>
            </w:r>
          </w:p>
        </w:tc>
        <w:tc>
          <w:tcPr/>
          <w:p>
            <w:pPr>
              <w:pStyle w:val="Compact"/>
              <w:jc w:val="left"/>
            </w:pPr>
            <w:r>
              <w:t xml:space="preserve">15 kinderen met kleine gestalte, zonder controlegroep</w:t>
            </w:r>
          </w:p>
        </w:tc>
        <w:tc>
          <w:tcPr/>
          <w:p>
            <w:pPr>
              <w:pStyle w:val="Compact"/>
              <w:jc w:val="left"/>
            </w:pPr>
            <w:r>
              <w:t xml:space="preserve">6–24 maanden</w:t>
            </w:r>
          </w:p>
        </w:tc>
        <w:tc>
          <w:tcPr/>
          <w:p>
            <w:pPr>
              <w:pStyle w:val="Compact"/>
              <w:jc w:val="left"/>
            </w:pPr>
            <w:r>
              <w:t xml:space="preserve">groei 3,7 → 6,1 cm/jaar</w:t>
            </w:r>
          </w:p>
        </w:tc>
      </w:tr>
      <w:tr>
        <w:tc>
          <w:tcPr/>
          <w:p>
            <w:pPr>
              <w:pStyle w:val="Compact"/>
              <w:jc w:val="left"/>
            </w:pPr>
            <w:r>
              <w:t xml:space="preserve">Eetlust (Laferrère 2006), PMID 16861611</w:t>
            </w:r>
          </w:p>
        </w:tc>
        <w:tc>
          <w:tcPr/>
          <w:p>
            <w:pPr>
              <w:pStyle w:val="Compact"/>
              <w:jc w:val="left"/>
            </w:pPr>
            <w:r>
              <w:t xml:space="preserve">19 volwassenen, RCT met cross-overopzet tegen placebo</w:t>
            </w:r>
          </w:p>
        </w:tc>
        <w:tc>
          <w:tcPr/>
          <w:p>
            <w:pPr>
              <w:pStyle w:val="Compact"/>
              <w:jc w:val="left"/>
            </w:pPr>
            <w:r>
              <w:t xml:space="preserve">3 enkele infusen</w:t>
            </w:r>
          </w:p>
        </w:tc>
        <w:tc>
          <w:tcPr/>
          <w:p>
            <w:pPr>
              <w:pStyle w:val="Compact"/>
              <w:jc w:val="left"/>
            </w:pPr>
            <w:r>
              <w:t xml:space="preserve">hoeveelheid voedsel +10,2% resp. +33,5%</w:t>
            </w:r>
          </w:p>
        </w:tc>
      </w:tr>
      <w:tr>
        <w:tc>
          <w:tcPr/>
          <w:p>
            <w:pPr>
              <w:pStyle w:val="Compact"/>
              <w:jc w:val="left"/>
            </w:pPr>
            <w:r>
              <w:t xml:space="preserve">Intensive care (Van den Berghe 1999), PMID 10199772</w:t>
            </w:r>
          </w:p>
        </w:tc>
        <w:tc>
          <w:tcPr/>
          <w:p>
            <w:pPr>
              <w:pStyle w:val="Compact"/>
              <w:jc w:val="left"/>
            </w:pPr>
            <w:r>
              <w:t xml:space="preserve">14 langdurige intensivecarepatiënten, gerandomiseerde cross-overopzet</w:t>
            </w:r>
          </w:p>
        </w:tc>
        <w:tc>
          <w:tcPr/>
          <w:p>
            <w:pPr>
              <w:pStyle w:val="Compact"/>
              <w:jc w:val="left"/>
            </w:pPr>
            <w:r>
              <w:t xml:space="preserve">5 dagen</w:t>
            </w:r>
          </w:p>
        </w:tc>
        <w:tc>
          <w:tcPr/>
          <w:p>
            <w:pPr>
              <w:pStyle w:val="Compact"/>
              <w:jc w:val="left"/>
            </w:pPr>
            <w:r>
              <w:t xml:space="preserve">GH- en schildklieras gereactiveerd</w:t>
            </w:r>
          </w:p>
        </w:tc>
      </w:tr>
    </w:tbl>
    <w:bookmarkEnd w:id="1380"/>
    <w:bookmarkEnd w:id="1381"/>
    <w:bookmarkStart w:id="1384" w:name="dier--en-laboratoriumstudies-27"/>
    <w:p>
      <w:pPr>
        <w:pStyle w:val="Heading3"/>
      </w:pPr>
      <w:r>
        <w:t xml:space="preserve">Dier- en laboratoriumstudies</w:t>
      </w:r>
    </w:p>
    <w:p>
      <w:pPr>
        <w:pStyle w:val="FirstParagraph"/>
      </w:pPr>
      <w:r>
        <w:t xml:space="preserve">Bij wakkere ratten maakte GHRP-2 meer groeihormoon vrij dan GHRH en het werkte ook bij honden, bij wie GHRH faalde; het verhoogde bij ratten ACTH en corticosteron, maar niet prolactine, en versnelde over drie weken de groei</w:t>
      </w:r>
      <w:r>
        <w:rPr>
          <w:rStyle w:val="FootnoteReference"/>
        </w:rPr>
        <w:footnoteReference w:id="1382"/>
      </w:r>
      <w:r>
        <w:t xml:space="preserve">. Bij varkens was GHRP-2 in een vergelijkende studie bijzonder potent, maar maakte het anders dan ipamoreline ook ACTH en cortisol vrij</w:t>
      </w:r>
      <w:r>
        <w:rPr>
          <w:rStyle w:val="FootnoteReference"/>
        </w:rPr>
        <w:footnoteReference w:id="1383"/>
      </w:r>
      <w:r>
        <w:t xml:space="preserve">.</w:t>
      </w:r>
    </w:p>
    <w:bookmarkEnd w:id="1384"/>
    <w:bookmarkStart w:id="1389" w:name="risicos-en-bijwerkingen-27"/>
    <w:p>
      <w:pPr>
        <w:pStyle w:val="Heading3"/>
      </w:pPr>
      <w:r>
        <w:t xml:space="preserve">Risico’s en bijwerkingen</w:t>
      </w:r>
    </w:p>
    <w:p>
      <w:pPr>
        <w:pStyle w:val="FirstParagraph"/>
      </w:pPr>
      <w:r>
        <w:rPr>
          <w:bCs/>
          <w:b/>
        </w:rPr>
        <w:t xml:space="preserve">Aangetoond:</w:t>
      </w:r>
      <w:r>
        <w:t xml:space="preserve"> </w:t>
      </w:r>
      <w:r>
        <w:t xml:space="preserve">in de studies werd GHRP-2 op korte termijn goed verdragen. Herhaaldelijk beschreven zijn een toegenomen eetlust</w:t>
      </w:r>
      <w:r>
        <w:rPr>
          <w:rStyle w:val="FootnoteReference"/>
        </w:rPr>
        <w:footnoteReference w:id="1385"/>
      </w:r>
      <w:r>
        <w:t xml:space="preserve"> </w:t>
      </w:r>
      <w:r>
        <w:t xml:space="preserve">en de vrijmaking van ACTH en cortisol</w:t>
      </w:r>
      <w:r>
        <w:rPr>
          <w:rStyle w:val="FootnoteReference"/>
        </w:rPr>
        <w:footnoteReference w:id="1386"/>
      </w:r>
      <w:r>
        <w:t xml:space="preserve">. Een overzicht van GH-vrijmakers noemt daarnaast een mogelijke stijging van de bloedsuiker door verminderde insulinegevoeligheid en vraagt om langetermijngegevens over kanker en sterfte</w:t>
      </w:r>
      <w:r>
        <w:rPr>
          <w:rStyle w:val="FootnoteReference"/>
        </w:rPr>
        <w:footnoteReference w:id="1387"/>
      </w:r>
      <w:r>
        <w:t xml:space="preserve">.</w:t>
      </w:r>
    </w:p>
    <w:p>
      <w:pPr>
        <w:pStyle w:val="BodyText"/>
      </w:pPr>
      <w:r>
        <w:rPr>
          <w:bCs/>
          <w:b/>
        </w:rPr>
        <w:t xml:space="preserve">Onbekend:</w:t>
      </w:r>
      <w:r>
        <w:t xml:space="preserve"> </w:t>
      </w:r>
      <w:r>
        <w:t xml:space="preserve">gegevens over gebruik gedurende maanden of jaren bij volwassenen zijn er niet. Voor de vraag of een blijvend verhoogd groeihormoon/IGF-1 het kankerrisico verhoogt, zie de inleiding tot deze groep en Deel IV.</w:t>
      </w:r>
    </w:p>
    <w:p>
      <w:pPr>
        <w:pStyle w:val="BodyText"/>
      </w:pPr>
      <w:r>
        <w:rPr>
          <w:bCs/>
          <w:b/>
        </w:rPr>
        <w:t xml:space="preserve">Grijze markt:</w:t>
      </w:r>
      <w:r>
        <w:t xml:space="preserve"> </w:t>
      </w:r>
      <w:r>
        <w:t xml:space="preserve">in in beslag genomen producten werd „Gly-GHRP-2” gevonden, dus GHRP-2 met een extra aminozuur dat niet was vermeld</w:t>
      </w:r>
      <w:r>
        <w:rPr>
          <w:rStyle w:val="FootnoteReference"/>
        </w:rPr>
        <w:footnoteReference w:id="1388"/>
      </w:r>
      <w:r>
        <w:t xml:space="preserve">.</w:t>
      </w:r>
    </w:p>
    <w:bookmarkEnd w:id="1389"/>
    <w:bookmarkStart w:id="1391" w:name="juridische-status-27"/>
    <w:p>
      <w:pPr>
        <w:pStyle w:val="Heading3"/>
      </w:pPr>
      <w:r>
        <w:t xml:space="preserve">Juridische status</w:t>
      </w:r>
    </w:p>
    <w:p>
      <w:pPr>
        <w:pStyle w:val="FirstParagraph"/>
      </w:pPr>
      <w:r>
        <w:rPr>
          <w:iCs/>
          <w:i/>
        </w:rPr>
        <w:t xml:space="preserve">Stand 2026, actuele situatie controleren.</w:t>
      </w:r>
    </w:p>
    <w:p>
      <w:pPr>
        <w:numPr>
          <w:ilvl w:val="0"/>
          <w:numId w:val="1162"/>
        </w:numPr>
        <w:pStyle w:val="Compact"/>
      </w:pPr>
      <w:r>
        <w:rPr>
          <w:bCs/>
          <w:b/>
        </w:rPr>
        <w:t xml:space="preserve">Japan:</w:t>
      </w:r>
      <w:r>
        <w:t xml:space="preserve"> </w:t>
      </w:r>
      <w:r>
        <w:t xml:space="preserve">toegelaten als diagnosticum; gebruik uitsluitend in het kader van medische functietests.</w:t>
      </w:r>
    </w:p>
    <w:p>
      <w:pPr>
        <w:numPr>
          <w:ilvl w:val="0"/>
          <w:numId w:val="1162"/>
        </w:numPr>
        <w:pStyle w:val="Compact"/>
      </w:pPr>
      <w:r>
        <w:rPr>
          <w:bCs/>
          <w:b/>
        </w:rPr>
        <w:t xml:space="preserve">EU, Duitsland, Oostenrijk:</w:t>
      </w:r>
      <w:r>
        <w:t xml:space="preserve"> </w:t>
      </w:r>
      <w:r>
        <w:t xml:space="preserve">geen toelating; verstrekking voor gebruik bij mensen niet toegestaan.</w:t>
      </w:r>
    </w:p>
    <w:p>
      <w:pPr>
        <w:numPr>
          <w:ilvl w:val="0"/>
          <w:numId w:val="1162"/>
        </w:numPr>
        <w:pStyle w:val="Compact"/>
      </w:pPr>
      <w:r>
        <w:rPr>
          <w:bCs/>
          <w:b/>
        </w:rPr>
        <w:t xml:space="preserve">VS:</w:t>
      </w:r>
      <w:r>
        <w:t xml:space="preserve"> </w:t>
      </w:r>
      <w:r>
        <w:t xml:space="preserve">geen toelating.</w:t>
      </w:r>
    </w:p>
    <w:p>
      <w:pPr>
        <w:numPr>
          <w:ilvl w:val="0"/>
          <w:numId w:val="1162"/>
        </w:numPr>
        <w:pStyle w:val="Compact"/>
      </w:pPr>
      <w:r>
        <w:rPr>
          <w:bCs/>
          <w:b/>
        </w:rPr>
        <w:t xml:space="preserve">WADA:</w:t>
      </w:r>
      <w:r>
        <w:t xml:space="preserve"> </w:t>
      </w:r>
      <w:r>
        <w:t xml:space="preserve">verboden (S2). GHRP-2 en zijn afbraakproducten zijn na toediening als neusspray bij een vrijwilliger tot 47 uur in de urine aantoonbaar</w:t>
      </w:r>
      <w:r>
        <w:rPr>
          <w:rStyle w:val="FootnoteReference"/>
        </w:rPr>
        <w:footnoteReference w:id="1390"/>
      </w:r>
      <w:r>
        <w:t xml:space="preserve">.</w:t>
      </w:r>
    </w:p>
    <w:bookmarkEnd w:id="1391"/>
    <w:bookmarkStart w:id="1392" w:name="lopende-studies-en-vooruitzichten-27"/>
    <w:p>
      <w:pPr>
        <w:pStyle w:val="Heading3"/>
      </w:pPr>
      <w:r>
        <w:t xml:space="preserve">Lopende studies en vooruitzichten</w:t>
      </w:r>
    </w:p>
    <w:p>
      <w:pPr>
        <w:pStyle w:val="FirstParagraph"/>
      </w:pPr>
      <w:r>
        <w:t xml:space="preserve">Bij ClinicalTrials.gov staat in oktober 2026 geen studie met GHRP-2 of pralmoreline geregistreerd.</w:t>
      </w:r>
      <w:r>
        <w:t xml:space="preserve"> </w:t>
      </w:r>
      <w:r>
        <w:rPr>
          <w:iCs/>
          <w:i/>
        </w:rPr>
        <w:t xml:space="preserve">Inschatting van de auteur:</w:t>
      </w:r>
      <w:r>
        <w:t xml:space="preserve"> </w:t>
      </w:r>
      <w:r>
        <w:t xml:space="preserve">GHRP-2 blijft een hulpmiddel voor de diagnostiek in Japan en voor hormoononderzoek. In andere landen concurreert het als testmiddel met het in tabletvorm beschikbare macimoreline.</w:t>
      </w:r>
    </w:p>
    <w:bookmarkEnd w:id="1392"/>
    <w:bookmarkStart w:id="1393" w:name="conclusie-27"/>
    <w:p>
      <w:pPr>
        <w:pStyle w:val="Heading3"/>
      </w:pPr>
      <w:r>
        <w:t xml:space="preserve">Conclusie</w:t>
      </w:r>
    </w:p>
    <w:p>
      <w:pPr>
        <w:pStyle w:val="FirstParagraph"/>
      </w:pPr>
      <w:r>
        <w:t xml:space="preserve">GHRP-2 is een van de sterkste bekende prikkels voor de afgifte van groeihormoon en in Japan gevestigd als diagnosticum voor groeihormoontekort. Behandelpogingen bij kinderen lieten slechts bescheiden effecten zien en werden niet voortgezet. Voor spieropbouw, vetverlies of „anti-aging” bij gezonde mensen zijn er geen studies; aangetoond zijn daarentegen bijeffecten zoals vreetbuien en een activering van de stresshormonen.</w:t>
      </w:r>
    </w:p>
    <w:bookmarkEnd w:id="1393"/>
    <w:bookmarkEnd w:id="1394"/>
    <w:bookmarkStart w:id="1424" w:name="ghrp-6"/>
    <w:p>
      <w:pPr>
        <w:pStyle w:val="Heading2"/>
      </w:pPr>
      <w:r>
        <w:t xml:space="preserve">GHRP-6</w:t>
      </w:r>
    </w:p>
    <w:p>
      <w:pPr>
        <w:pStyle w:val="FirstParagraph"/>
      </w:pPr>
      <w:r>
        <w:t xml:space="preserve">GHRP-6 is de stamvader van alle groeihormoonvrijmakende peptiden. In 1984 beschreef de Amerikaanse endocrinoloog Cyril Bowers een kunstmatig hexapeptide dat gericht groeihormoon vrijmaakt – 15 jaar voordat men de natuurlijke tegenhanger ghreline kende. In het onderzoek werd GHRP-6 het standaardinstrument om de groeihormoon-as te testen. In bodybuildingkringen geldt het daarentegen als goedkope GH-booster met als bijeffect „vreetbuien”. Een geneesmiddel is het nooit geworden.</w:t>
      </w:r>
    </w:p>
    <w:bookmarkStart w:id="1396" w:name="profiel-28"/>
    <w:p>
      <w:pPr>
        <w:pStyle w:val="Heading3"/>
      </w:pPr>
      <w:r>
        <w:t xml:space="preserve">Profiel</w:t>
      </w:r>
    </w:p>
    <w:p>
      <w:pPr>
        <w:numPr>
          <w:ilvl w:val="0"/>
          <w:numId w:val="1163"/>
        </w:numPr>
        <w:pStyle w:val="Compact"/>
      </w:pPr>
      <w:r>
        <w:rPr>
          <w:bCs/>
          <w:b/>
        </w:rPr>
        <w:t xml:space="preserve">Soort en structuur:</w:t>
      </w:r>
      <w:r>
        <w:t xml:space="preserve"> </w:t>
      </w:r>
      <w:r>
        <w:t xml:space="preserve">synthetisch hexapeptide His-D-Trp-Ala-Trp-D-Phe-Lys-NH2 met twee niet-natuurlijke D-aminozuren</w:t>
      </w:r>
      <w:r>
        <w:rPr>
          <w:rStyle w:val="FootnoteReference"/>
        </w:rPr>
        <w:footnoteReference w:id="1395"/>
      </w:r>
      <w:r>
        <w:t xml:space="preserve">.</w:t>
      </w:r>
    </w:p>
    <w:p>
      <w:pPr>
        <w:numPr>
          <w:ilvl w:val="0"/>
          <w:numId w:val="1163"/>
        </w:numPr>
        <w:pStyle w:val="Compact"/>
      </w:pPr>
      <w:r>
        <w:rPr>
          <w:bCs/>
          <w:b/>
        </w:rPr>
        <w:t xml:space="preserve">Herkomst:</w:t>
      </w:r>
      <w:r>
        <w:t xml:space="preserve"> </w:t>
      </w:r>
      <w:r>
        <w:t xml:space="preserve">Tulane University (VS), begin jaren tachtig.</w:t>
      </w:r>
    </w:p>
    <w:p>
      <w:pPr>
        <w:numPr>
          <w:ilvl w:val="0"/>
          <w:numId w:val="1163"/>
        </w:numPr>
        <w:pStyle w:val="Compact"/>
      </w:pPr>
      <w:r>
        <w:rPr>
          <w:bCs/>
          <w:b/>
        </w:rPr>
        <w:t xml:space="preserve">Werkingsprincipe:</w:t>
      </w:r>
      <w:r>
        <w:t xml:space="preserve"> </w:t>
      </w:r>
      <w:r>
        <w:t xml:space="preserve">agonist op de ghrelinereceptor (GHS-R1a) in hypofyse en tussenhersenen; maakt groeihormoon vrij, daarnaast ACTH, cortisol en prolactine; verhoogt de eetlust.</w:t>
      </w:r>
    </w:p>
    <w:p>
      <w:pPr>
        <w:numPr>
          <w:ilvl w:val="0"/>
          <w:numId w:val="1163"/>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Ook elders nergens als geneesmiddel toegelaten (stand 2026).</w:t>
      </w:r>
    </w:p>
    <w:p>
      <w:pPr>
        <w:numPr>
          <w:ilvl w:val="0"/>
          <w:numId w:val="1163"/>
        </w:numPr>
        <w:pStyle w:val="Compact"/>
      </w:pPr>
      <w:r>
        <w:rPr>
          <w:bCs/>
          <w:b/>
        </w:rPr>
        <w:t xml:space="preserve">WADA:</w:t>
      </w:r>
      <w:r>
        <w:t xml:space="preserve"> </w:t>
      </w:r>
      <w:r>
        <w:t xml:space="preserve">verboden, groep S2 – GHRP-6 wordt als groeihormoonvrijmakend peptide uitdrukkelijk genoemd.</w:t>
      </w:r>
    </w:p>
    <w:p>
      <w:pPr>
        <w:numPr>
          <w:ilvl w:val="0"/>
          <w:numId w:val="1163"/>
        </w:numPr>
        <w:pStyle w:val="Compact"/>
      </w:pPr>
      <w:r>
        <w:rPr>
          <w:bCs/>
          <w:b/>
        </w:rPr>
        <w:t xml:space="preserve">Bewijsniveau: C</w:t>
      </w:r>
      <w:r>
        <w:t xml:space="preserve"> </w:t>
      </w:r>
      <w:r>
        <w:t xml:space="preserve">– veel kleine studies naar hormoonfysiologie en diagnostiek met telkens 10 tot 250 personen, maar niet één gecontroleerde studie naar een therapeutisch nut.</w:t>
      </w:r>
    </w:p>
    <w:bookmarkEnd w:id="1396"/>
    <w:bookmarkStart w:id="1399" w:name="hoe-het-zou-moeten-werken-28"/>
    <w:p>
      <w:pPr>
        <w:pStyle w:val="Heading3"/>
      </w:pPr>
      <w:r>
        <w:t xml:space="preserve">Hoe het zou moeten werken</w:t>
      </w:r>
    </w:p>
    <w:p>
      <w:pPr>
        <w:pStyle w:val="FirstParagraph"/>
      </w:pPr>
      <w:r>
        <w:t xml:space="preserve">Bowers en collega’s toonden in 1984 aan dat het hexapeptide bij ratten, apen, lammeren en kalveren binnen enkele minuten groeihormoon vrijmaakt, zonder andere hypofysehormonen zoals LH, FSH of TSH te beïnvloeden; ratten die het herhaaldelijk kregen, kwamen sterker aan in gewicht</w:t>
      </w:r>
      <w:r>
        <w:rPr>
          <w:rStyle w:val="FootnoteReference"/>
        </w:rPr>
        <w:footnoteReference w:id="1397"/>
      </w:r>
      <w:r>
        <w:t xml:space="preserve">. Later bleek dat GHRP-6 op dezelfde receptor werkt als het maaghormoon ghreline</w:t>
      </w:r>
      <w:r>
        <w:rPr>
          <w:rStyle w:val="FootnoteReference"/>
        </w:rPr>
        <w:footnoteReference w:id="1398"/>
      </w:r>
      <w:r>
        <w:t xml:space="preserve">.</w:t>
      </w:r>
    </w:p>
    <w:p>
      <w:pPr>
        <w:pStyle w:val="BodyText"/>
      </w:pPr>
      <w:r>
        <w:t xml:space="preserve">Net als GHRP-2 werkt GHRP-6 het sterkst als het lichaamseigen GHRH uit de tussenhersenen meedoet. Combineert men beide, dan is de afgifte van groeihormoon groter dan de som van de afzonderlijke effecten. Juist die eigenschap maakte GHRP-6 interessant als diagnosticum. Anders dan ipamoreline activeert GHRP-6 ook de stresshormoon-as (ACTH en cortisol).</w:t>
      </w:r>
    </w:p>
    <w:bookmarkEnd w:id="1399"/>
    <w:bookmarkStart w:id="1410" w:name="studies-bij-mensen-2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40</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Bijna alle publicaties gebruiken GHRP-6 als eenmalig toegediend testmiddel om de hormoonregeling te onderzoeken bij aandoeningen zoals het syndroom van Cushing, een te snel werkende schildklier, overgewicht of op oudere leeftijd. Eén studie uit deze lijst werd bij honden uitgevoerd.</w:t>
      </w:r>
    </w:p>
    <w:bookmarkStart w:id="1404" w:name="diagnostiek-van-groeihormoontekort-1"/>
    <w:p>
      <w:pPr>
        <w:pStyle w:val="Heading4"/>
      </w:pPr>
      <w:r>
        <w:t xml:space="preserve">Diagnostiek van groeihormoontekort</w:t>
      </w:r>
    </w:p>
    <w:p>
      <w:pPr>
        <w:pStyle w:val="FirstParagraph"/>
      </w:pPr>
      <w:r>
        <w:t xml:space="preserve">De bekendste studie verscheen in 2000 in het vaktijdschrift Lancet: 125 volwassenen met aandoeningen van de hypofyse en 125 gezonde mensen kregen GHRH plus GHRP-6 als combinatietest. De gemiddelde GH-piek lag bij de gezonde mensen op 59,2 µg/l, bij de patiënten op 4,1 µg/l; een grenswaarde van 15 µg/l onderscheidde beide groepen betrouwbaar. Bijwerkingen traden niet op, en leeftijd, geslacht en lichaamsvet beïnvloedden het resultaat niet</w:t>
      </w:r>
      <w:r>
        <w:rPr>
          <w:rStyle w:val="FootnoteReference"/>
        </w:rPr>
        <w:footnoteReference w:id="1400"/>
      </w:r>
      <w:r>
        <w:t xml:space="preserve">. In een kleinere studie met 20 personen herkende de test alle gevallen van groeihormoontekort correct; als enige bijwerking werd een warmtegevoel (flush) waargenomen</w:t>
      </w:r>
      <w:r>
        <w:rPr>
          <w:rStyle w:val="FootnoteReference"/>
        </w:rPr>
        <w:footnoteReference w:id="1401"/>
      </w:r>
      <w:r>
        <w:t xml:space="preserve">. Bij 21 volwassenen bij wie eerder met conventionele tests een tekort was vastgesteld, reageerde ongeveer 40% op de combinatie toch nog duidelijk</w:t>
      </w:r>
      <w:r>
        <w:rPr>
          <w:rStyle w:val="FootnoteReference"/>
        </w:rPr>
        <w:footnoteReference w:id="1402"/>
      </w:r>
      <w:r>
        <w:t xml:space="preserve"> </w:t>
      </w:r>
      <w:r>
        <w:t xml:space="preserve">– een aanwijzing dat verschillende tests verschillende vragen beantwoorden.</w:t>
      </w:r>
    </w:p>
    <w:p>
      <w:pPr>
        <w:pStyle w:val="BodyText"/>
      </w:pPr>
      <w:r>
        <w:t xml:space="preserve">Als test voor een onderfunctie van de bijnier-as was GHRP-6 daarentegen slechts beperkt bruikbaar: bij 49 patiënten bereikte hij in vergelijking met de insulinetest een sensitiviteit van 71,0% en een specificiteit van 77,8%</w:t>
      </w:r>
      <w:r>
        <w:rPr>
          <w:rStyle w:val="FootnoteReference"/>
        </w:rPr>
        <w:footnoteReference w:id="1403"/>
      </w:r>
      <w:r>
        <w:t xml:space="preserve">.</w:t>
      </w:r>
    </w:p>
    <w:bookmarkEnd w:id="1404"/>
    <w:bookmarkStart w:id="1409" w:name="farmacologie-slaap-leeftijd"/>
    <w:p>
      <w:pPr>
        <w:pStyle w:val="Heading4"/>
      </w:pPr>
      <w:r>
        <w:t xml:space="preserve">Farmacologie, slaap, leeftijd</w:t>
      </w:r>
    </w:p>
    <w:p>
      <w:pPr>
        <w:numPr>
          <w:ilvl w:val="0"/>
          <w:numId w:val="1164"/>
        </w:numPr>
        <w:pStyle w:val="Compact"/>
      </w:pPr>
      <w:r>
        <w:rPr>
          <w:bCs/>
          <w:b/>
        </w:rPr>
        <w:t xml:space="preserve">Farmacokinetiek:</w:t>
      </w:r>
      <w:r>
        <w:t xml:space="preserve"> </w:t>
      </w:r>
      <w:r>
        <w:t xml:space="preserve">Bij negen gezonde mannen bedroeg de eliminatiehalfwaardetijd na intraveneuze toediening gemiddeld 2,5 uur</w:t>
      </w:r>
      <w:r>
        <w:rPr>
          <w:rStyle w:val="FootnoteReference"/>
        </w:rPr>
        <w:footnoteReference w:id="1405"/>
      </w:r>
      <w:r>
        <w:t xml:space="preserve">.</w:t>
      </w:r>
    </w:p>
    <w:p>
      <w:pPr>
        <w:numPr>
          <w:ilvl w:val="0"/>
          <w:numId w:val="1164"/>
        </w:numPr>
        <w:pStyle w:val="Compact"/>
      </w:pPr>
      <w:r>
        <w:rPr>
          <w:bCs/>
          <w:b/>
        </w:rPr>
        <w:t xml:space="preserve">Slaap:</w:t>
      </w:r>
      <w:r>
        <w:t xml:space="preserve"> </w:t>
      </w:r>
      <w:r>
        <w:t xml:space="preserve">Bij gezonde mannen verhoogde GHRP-6 ’s nachts groeihormoon, ACTH en cortisol en verlengde het de lichte slaap (stadium 2), maar niet de diepe slaap</w:t>
      </w:r>
      <w:r>
        <w:rPr>
          <w:rStyle w:val="FootnoteReference"/>
        </w:rPr>
        <w:footnoteReference w:id="1406"/>
      </w:r>
      <w:r>
        <w:t xml:space="preserve">.</w:t>
      </w:r>
    </w:p>
    <w:p>
      <w:pPr>
        <w:numPr>
          <w:ilvl w:val="0"/>
          <w:numId w:val="1164"/>
        </w:numPr>
        <w:pStyle w:val="Compact"/>
      </w:pPr>
      <w:r>
        <w:rPr>
          <w:bCs/>
          <w:b/>
        </w:rPr>
        <w:t xml:space="preserve">Leeftijd:</w:t>
      </w:r>
      <w:r>
        <w:t xml:space="preserve"> </w:t>
      </w:r>
      <w:r>
        <w:t xml:space="preserve">Bij telkens negen jonge en oudere volwassenen reageerde de hypofyse op oudere leeftijd zwakker op GHRH, maar niet op GHRP-6</w:t>
      </w:r>
      <w:r>
        <w:rPr>
          <w:rStyle w:val="FootnoteReference"/>
        </w:rPr>
        <w:footnoteReference w:id="1407"/>
      </w:r>
      <w:r>
        <w:t xml:space="preserve">.</w:t>
      </w:r>
    </w:p>
    <w:p>
      <w:pPr>
        <w:numPr>
          <w:ilvl w:val="0"/>
          <w:numId w:val="1164"/>
        </w:numPr>
        <w:pStyle w:val="Compact"/>
      </w:pPr>
      <w:r>
        <w:rPr>
          <w:bCs/>
          <w:b/>
        </w:rPr>
        <w:t xml:space="preserve">Kinderen:</w:t>
      </w:r>
      <w:r>
        <w:t xml:space="preserve"> </w:t>
      </w:r>
      <w:r>
        <w:t xml:space="preserve">Als tablet veroorzaakte GHRP-6 bij kinderen met een kleine gestalte zonder hormoontekort een GH-stijging die leek op die na een GHRH-injectie</w:t>
      </w:r>
      <w:r>
        <w:rPr>
          <w:rStyle w:val="FootnoteReference"/>
        </w:rPr>
        <w:footnoteReference w:id="1408"/>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(Popovic 2000), PMID 11030292</w:t>
            </w:r>
          </w:p>
        </w:tc>
        <w:tc>
          <w:tcPr/>
          <w:p>
            <w:pPr>
              <w:pStyle w:val="Compact"/>
              <w:jc w:val="left"/>
            </w:pPr>
            <w:r>
              <w:t xml:space="preserve">125 patiënten, 125 gezonden; multicentrische vergelijkende studie</w:t>
            </w:r>
          </w:p>
        </w:tc>
        <w:tc>
          <w:tcPr/>
          <w:p>
            <w:pPr>
              <w:pStyle w:val="Compact"/>
              <w:jc w:val="left"/>
            </w:pPr>
            <w:r>
              <w:t xml:space="preserve">enkele test</w:t>
            </w:r>
          </w:p>
        </w:tc>
        <w:tc>
          <w:tcPr/>
          <w:p>
            <w:pPr>
              <w:pStyle w:val="Compact"/>
              <w:jc w:val="left"/>
            </w:pPr>
            <w:r>
              <w:t xml:space="preserve">GH-piek 59,2 vs. 4,1 µg/l; grenswaarde 15 µg/l</w:t>
            </w:r>
          </w:p>
        </w:tc>
      </w:tr>
      <w:tr>
        <w:tc>
          <w:tcPr/>
          <w:p>
            <w:pPr>
              <w:pStyle w:val="Compact"/>
              <w:jc w:val="left"/>
            </w:pPr>
            <w:r>
              <w:t xml:space="preserve">Diagnostiek (Petersenn 2002), PMID 11980622</w:t>
            </w:r>
          </w:p>
        </w:tc>
        <w:tc>
          <w:tcPr/>
          <w:p>
            <w:pPr>
              <w:pStyle w:val="Compact"/>
              <w:jc w:val="left"/>
            </w:pPr>
            <w:r>
              <w:t xml:space="preserve">20 personen, vergelijking met insulinetest</w:t>
            </w:r>
          </w:p>
        </w:tc>
        <w:tc>
          <w:tcPr/>
          <w:p>
            <w:pPr>
              <w:pStyle w:val="Compact"/>
              <w:jc w:val="left"/>
            </w:pPr>
            <w:r>
              <w:t xml:space="preserve">enkele tests</w:t>
            </w:r>
          </w:p>
        </w:tc>
        <w:tc>
          <w:tcPr/>
          <w:p>
            <w:pPr>
              <w:pStyle w:val="Compact"/>
              <w:jc w:val="left"/>
            </w:pPr>
            <w:r>
              <w:t xml:space="preserve">alle gevallen met GH-tekort herkend</w:t>
            </w:r>
          </w:p>
        </w:tc>
      </w:tr>
      <w:tr>
        <w:tc>
          <w:tcPr/>
          <w:p>
            <w:pPr>
              <w:pStyle w:val="Compact"/>
              <w:jc w:val="left"/>
            </w:pPr>
            <w:r>
              <w:t xml:space="preserve">Bijniertest (Alaioubi 2010), PMID 19946832</w:t>
            </w:r>
          </w:p>
        </w:tc>
        <w:tc>
          <w:tcPr/>
          <w:p>
            <w:pPr>
              <w:pStyle w:val="Compact"/>
              <w:jc w:val="left"/>
            </w:pPr>
            <w:r>
              <w:t xml:space="preserve">49 patiënten, 20 gezonden</w:t>
            </w:r>
          </w:p>
        </w:tc>
        <w:tc>
          <w:tcPr/>
          <w:p>
            <w:pPr>
              <w:pStyle w:val="Compact"/>
              <w:jc w:val="left"/>
            </w:pPr>
            <w:r>
              <w:t xml:space="preserve">enkele test</w:t>
            </w:r>
          </w:p>
        </w:tc>
        <w:tc>
          <w:tcPr/>
          <w:p>
            <w:pPr>
              <w:pStyle w:val="Compact"/>
              <w:jc w:val="left"/>
            </w:pPr>
            <w:r>
              <w:t xml:space="preserve">sensitiviteit 71,0%, specificiteit 77,8%</w:t>
            </w:r>
          </w:p>
        </w:tc>
      </w:tr>
      <w:tr>
        <w:tc>
          <w:tcPr/>
          <w:p>
            <w:pPr>
              <w:pStyle w:val="Compact"/>
              <w:jc w:val="left"/>
            </w:pPr>
            <w:r>
              <w:t xml:space="preserve">Farmacokinetiek (Cabrales 2013), PMID 23099431</w:t>
            </w:r>
          </w:p>
        </w:tc>
        <w:tc>
          <w:tcPr/>
          <w:p>
            <w:pPr>
              <w:pStyle w:val="Compact"/>
              <w:jc w:val="left"/>
            </w:pPr>
            <w:r>
              <w:t xml:space="preserve">9 gezonde mannen, fase 1</w:t>
            </w:r>
          </w:p>
        </w:tc>
        <w:tc>
          <w:tcPr/>
          <w:p>
            <w:pPr>
              <w:pStyle w:val="Compact"/>
              <w:jc w:val="left"/>
            </w:pPr>
            <w:r>
              <w:t xml:space="preserve">enkele doses</w:t>
            </w:r>
          </w:p>
        </w:tc>
        <w:tc>
          <w:tcPr/>
          <w:p>
            <w:pPr>
              <w:pStyle w:val="Compact"/>
              <w:jc w:val="left"/>
            </w:pPr>
            <w:r>
              <w:t xml:space="preserve">halfwaardetijd 2,5 u</w:t>
            </w:r>
          </w:p>
        </w:tc>
      </w:tr>
      <w:tr>
        <w:tc>
          <w:tcPr/>
          <w:p>
            <w:pPr>
              <w:pStyle w:val="Compact"/>
              <w:jc w:val="left"/>
            </w:pPr>
            <w:r>
              <w:t xml:space="preserve">Slaap (Frieboes 1995), PMID 7617137</w:t>
            </w:r>
          </w:p>
        </w:tc>
        <w:tc>
          <w:tcPr/>
          <w:p>
            <w:pPr>
              <w:pStyle w:val="Compact"/>
              <w:jc w:val="left"/>
            </w:pPr>
            <w:r>
              <w:t xml:space="preserve">gezonde mannen, vergelijking met placebo</w:t>
            </w:r>
          </w:p>
        </w:tc>
        <w:tc>
          <w:tcPr/>
          <w:p>
            <w:pPr>
              <w:pStyle w:val="Compact"/>
              <w:jc w:val="left"/>
            </w:pPr>
            <w:r>
              <w:t xml:space="preserve">1 nacht</w:t>
            </w:r>
          </w:p>
        </w:tc>
        <w:tc>
          <w:tcPr/>
          <w:p>
            <w:pPr>
              <w:pStyle w:val="Compact"/>
              <w:jc w:val="left"/>
            </w:pPr>
            <w:r>
              <w:t xml:space="preserve">GH, ACTH, cortisol ↑; diepe slaap onveranderd</w:t>
            </w:r>
          </w:p>
        </w:tc>
      </w:tr>
    </w:tbl>
    <w:bookmarkEnd w:id="1409"/>
    <w:bookmarkEnd w:id="1410"/>
    <w:bookmarkStart w:id="1414" w:name="dier--en-laboratoriumstudies-28"/>
    <w:p>
      <w:pPr>
        <w:pStyle w:val="Heading3"/>
      </w:pPr>
      <w:r>
        <w:t xml:space="preserve">Dier- en laboratoriumstudies</w:t>
      </w:r>
    </w:p>
    <w:p>
      <w:pPr>
        <w:pStyle w:val="FirstParagraph"/>
      </w:pPr>
      <w:r>
        <w:t xml:space="preserve">Een groot deel van het nieuwere onderzoek betreft de bescherming van organen:</w:t>
      </w:r>
    </w:p>
    <w:p>
      <w:pPr>
        <w:numPr>
          <w:ilvl w:val="0"/>
          <w:numId w:val="1165"/>
        </w:numPr>
        <w:pStyle w:val="Compact"/>
      </w:pPr>
      <w:r>
        <w:rPr>
          <w:bCs/>
          <w:b/>
        </w:rPr>
        <w:t xml:space="preserve">Hart (ratten):</w:t>
      </w:r>
      <w:r>
        <w:t xml:space="preserve"> </w:t>
      </w:r>
      <w:r>
        <w:t xml:space="preserve">Bij ratten die het hartbeschadigende kankermiddel doxorubicine kregen, voorkwam gelijktijdige toediening van GHRP-6 de verwijding van de hartkamers en bleef de pompfunctie behouden</w:t>
      </w:r>
      <w:r>
        <w:rPr>
          <w:rStyle w:val="FootnoteReference"/>
        </w:rPr>
        <w:footnoteReference w:id="1411"/>
      </w:r>
      <w:r>
        <w:t xml:space="preserve">.</w:t>
      </w:r>
    </w:p>
    <w:p>
      <w:pPr>
        <w:numPr>
          <w:ilvl w:val="0"/>
          <w:numId w:val="1165"/>
        </w:numPr>
        <w:pStyle w:val="Compact"/>
      </w:pPr>
      <w:r>
        <w:rPr>
          <w:bCs/>
          <w:b/>
        </w:rPr>
        <w:t xml:space="preserve">Multiorgaanfalen (ratten, celkweken):</w:t>
      </w:r>
      <w:r>
        <w:t xml:space="preserve"> </w:t>
      </w:r>
      <w:r>
        <w:t xml:space="preserve">Na tijdelijke onderbreking van de doorbloeding van de lever verminderde GHRP-6 lever- en darmschade; in celkweken versnelde het de migratie van darmcellen</w:t>
      </w:r>
      <w:r>
        <w:rPr>
          <w:rStyle w:val="FootnoteReference"/>
        </w:rPr>
        <w:footnoteReference w:id="1412"/>
      </w:r>
      <w:r>
        <w:t xml:space="preserve">.</w:t>
      </w:r>
    </w:p>
    <w:p>
      <w:pPr>
        <w:numPr>
          <w:ilvl w:val="0"/>
          <w:numId w:val="1165"/>
        </w:numPr>
        <w:pStyle w:val="Compact"/>
      </w:pPr>
      <w:r>
        <w:rPr>
          <w:bCs/>
          <w:b/>
        </w:rPr>
        <w:t xml:space="preserve">Zenuwstelsel (ratten, muizen):</w:t>
      </w:r>
      <w:r>
        <w:t xml:space="preserve"> </w:t>
      </w:r>
      <w:r>
        <w:t xml:space="preserve">In een diermodel van multiple sclerose verbeterde alleen de combinatie van GHRP-6 met de groeifactor EGF het ziekteverloop, niet GHRP-6 alleen</w:t>
      </w:r>
      <w:r>
        <w:rPr>
          <w:rStyle w:val="FootnoteReference"/>
        </w:rPr>
        <w:footnoteReference w:id="1413"/>
      </w:r>
      <w:r>
        <w:t xml:space="preserve">.</w:t>
      </w:r>
    </w:p>
    <w:p>
      <w:pPr>
        <w:pStyle w:val="FirstParagraph"/>
      </w:pPr>
      <w:r>
        <w:t xml:space="preserve">Geen van deze benaderingen heeft tot nu toe geleid tot een gepubliceerde gecontroleerde studie bij mensen.</w:t>
      </w:r>
    </w:p>
    <w:bookmarkEnd w:id="1414"/>
    <w:bookmarkStart w:id="1419" w:name="risicos-en-bijwerkingen-28"/>
    <w:p>
      <w:pPr>
        <w:pStyle w:val="Heading3"/>
      </w:pPr>
      <w:r>
        <w:t xml:space="preserve">Risico’s en bijwerkingen</w:t>
      </w:r>
    </w:p>
    <w:p>
      <w:pPr>
        <w:pStyle w:val="FirstParagraph"/>
      </w:pPr>
      <w:r>
        <w:rPr>
          <w:bCs/>
          <w:b/>
        </w:rPr>
        <w:t xml:space="preserve">Aangetoond in de kortetermijnstudies:</w:t>
      </w:r>
      <w:r>
        <w:t xml:space="preserve"> </w:t>
      </w:r>
      <w:r>
        <w:t xml:space="preserve">warmtegevoel (flush)</w:t>
      </w:r>
      <w:r>
        <w:rPr>
          <w:rStyle w:val="FootnoteReference"/>
        </w:rPr>
        <w:footnoteReference w:id="1415"/>
      </w:r>
      <w:r>
        <w:t xml:space="preserve">; stijging van ACTH, cortisol en prolactine</w:t>
      </w:r>
      <w:r>
        <w:rPr>
          <w:rStyle w:val="FootnoteReference"/>
        </w:rPr>
        <w:footnoteReference w:id="1416"/>
      </w:r>
      <w:r>
        <w:t xml:space="preserve">; honger als bekend ghreline-effect. In de diagnostische studies met enkele doses traden verder geen relevante bijwerkingen op.</w:t>
      </w:r>
    </w:p>
    <w:p>
      <w:pPr>
        <w:pStyle w:val="BodyText"/>
      </w:pPr>
      <w:r>
        <w:rPr>
          <w:bCs/>
          <w:b/>
        </w:rPr>
        <w:t xml:space="preserve">Onbekend:</w:t>
      </w:r>
      <w:r>
        <w:t xml:space="preserve"> </w:t>
      </w:r>
      <w:r>
        <w:t xml:space="preserve">over herhaald gebruik gedurende weken of maanden zijn er geen studies bij mensen. Bij langdurig gebruik zijn de bekende gevolgen van verhoogde groeihormoonspiegels en van herhaalde cortisolstimulatie denkbaar, bijvoorbeeld een verslechterde bloedsuikerregeling. Een casusbeschrijving schildert een bodybuilder die decennialang groeihormoon en vrijmakers gebruikte – waaronder een combinatie van sermoreline en GHRP-6 – en een grote botuitsteeksel aan de halswervelkolom ontwikkelde; een oorzakelijk verband is niet bewezen</w:t>
      </w:r>
      <w:r>
        <w:rPr>
          <w:rStyle w:val="FootnoteReference"/>
        </w:rPr>
        <w:footnoteReference w:id="1417"/>
      </w:r>
      <w:r>
        <w:t xml:space="preserve">. Voor de kankervraag zie de inleiding tot deze groep en Deel IV.</w:t>
      </w:r>
    </w:p>
    <w:p>
      <w:pPr>
        <w:pStyle w:val="BodyText"/>
      </w:pPr>
      <w:r>
        <w:rPr>
          <w:bCs/>
          <w:b/>
        </w:rPr>
        <w:t xml:space="preserve">Grijze markt:</w:t>
      </w:r>
      <w:r>
        <w:t xml:space="preserve"> </w:t>
      </w:r>
      <w:r>
        <w:t xml:space="preserve">in in beslag genomen producten werd „Gly-GHRP-6” aangetoond, een niet vermelde variant met een extra aminozuur</w:t>
      </w:r>
      <w:r>
        <w:rPr>
          <w:rStyle w:val="FootnoteReference"/>
        </w:rPr>
        <w:footnoteReference w:id="1418"/>
      </w:r>
      <w:r>
        <w:t xml:space="preserve">.</w:t>
      </w:r>
    </w:p>
    <w:bookmarkEnd w:id="1419"/>
    <w:bookmarkStart w:id="1421" w:name="juridische-status-28"/>
    <w:p>
      <w:pPr>
        <w:pStyle w:val="Heading3"/>
      </w:pPr>
      <w:r>
        <w:t xml:space="preserve">Juridische status</w:t>
      </w:r>
    </w:p>
    <w:p>
      <w:pPr>
        <w:pStyle w:val="FirstParagraph"/>
      </w:pPr>
      <w:r>
        <w:rPr>
          <w:iCs/>
          <w:i/>
        </w:rPr>
        <w:t xml:space="preserve">Stand 2026, actuele situatie controleren.</w:t>
      </w:r>
    </w:p>
    <w:p>
      <w:pPr>
        <w:numPr>
          <w:ilvl w:val="0"/>
          <w:numId w:val="1166"/>
        </w:numPr>
        <w:pStyle w:val="Compact"/>
      </w:pPr>
      <w:r>
        <w:rPr>
          <w:bCs/>
          <w:b/>
        </w:rPr>
        <w:t xml:space="preserve">EU, Duitsland, Oostenrijk, VS:</w:t>
      </w:r>
      <w:r>
        <w:t xml:space="preserve"> </w:t>
      </w:r>
      <w:r>
        <w:t xml:space="preserve">geen toelating als geneesmiddel; verstrekking voor gebruik bij mensen is niet toegestaan. In onderzoek wordt GHRP-6 gebruikt in het kader van goedgekeurde studies.</w:t>
      </w:r>
    </w:p>
    <w:p>
      <w:pPr>
        <w:numPr>
          <w:ilvl w:val="0"/>
          <w:numId w:val="1166"/>
        </w:numPr>
        <w:pStyle w:val="Compact"/>
      </w:pPr>
      <w:r>
        <w:rPr>
          <w:bCs/>
          <w:b/>
        </w:rPr>
        <w:t xml:space="preserve">WADA:</w:t>
      </w:r>
      <w:r>
        <w:t xml:space="preserve"> </w:t>
      </w:r>
      <w:r>
        <w:t xml:space="preserve">verboden (S2). GHRP-6 wordt grotendeels onveranderd via de urine uitgescheiden en was na toediening als neusspray bij een vrijwilliger 23 uur lang aantoonbaar</w:t>
      </w:r>
      <w:r>
        <w:rPr>
          <w:rStyle w:val="FootnoteReference"/>
        </w:rPr>
        <w:footnoteReference w:id="1420"/>
      </w:r>
      <w:r>
        <w:t xml:space="preserve">.</w:t>
      </w:r>
    </w:p>
    <w:bookmarkEnd w:id="1421"/>
    <w:bookmarkStart w:id="1422" w:name="lopende-studies-en-vooruitzichten-28"/>
    <w:p>
      <w:pPr>
        <w:pStyle w:val="Heading3"/>
      </w:pPr>
      <w:r>
        <w:t xml:space="preserve">Lopende studies en vooruitzichten</w:t>
      </w:r>
    </w:p>
    <w:p>
      <w:pPr>
        <w:pStyle w:val="FirstParagraph"/>
      </w:pPr>
      <w:r>
        <w:t xml:space="preserve">Bij ClinicalTrials.gov staat in oktober 2026 geen studie met GHRP-6 geregistreerd.</w:t>
      </w:r>
      <w:r>
        <w:t xml:space="preserve"> </w:t>
      </w:r>
      <w:r>
        <w:rPr>
          <w:iCs/>
          <w:i/>
        </w:rPr>
        <w:t xml:space="preserve">Inschatting van de auteur:</w:t>
      </w:r>
      <w:r>
        <w:t xml:space="preserve"> </w:t>
      </w:r>
      <w:r>
        <w:t xml:space="preserve">het dieronderzoek naar orgaanbescherming is de enige herkenbare ontwikkelingslijn; of daaruit studies bij mensen voortkomen, is onzeker. Voor de diagnostiek is GHRP-6 grotendeels door andere tests vervangen.</w:t>
      </w:r>
    </w:p>
    <w:bookmarkEnd w:id="1422"/>
    <w:bookmarkStart w:id="1423" w:name="conclusie-28"/>
    <w:p>
      <w:pPr>
        <w:pStyle w:val="Heading3"/>
      </w:pPr>
      <w:r>
        <w:t xml:space="preserve">Conclusie</w:t>
      </w:r>
    </w:p>
    <w:p>
      <w:pPr>
        <w:pStyle w:val="FirstParagraph"/>
      </w:pPr>
      <w:r>
        <w:t xml:space="preserve">GHRP-6 was het eerste kunstmatige peptide dat gericht groeihormoon vrijmaakt, en heeft beslissend bijgedragen aan de ontdekking van het ghrelinesysteem. Bij mensen is het vrijwel alleen onderzocht als eenmalig toegediend testmiddel, onder meer in een grote Lancet-studie naar de diagnose van groeihormoontekort. Een aangetoond therapeutisch nut is er niet, en over herhaald gebruik zoals dat op de grijze markt wordt aangeprezen, ontbreken gegevens volledig.</w:t>
      </w:r>
    </w:p>
    <w:bookmarkEnd w:id="1423"/>
    <w:bookmarkEnd w:id="1424"/>
    <w:bookmarkStart w:id="1457" w:name="hexareline"/>
    <w:p>
      <w:pPr>
        <w:pStyle w:val="Heading2"/>
      </w:pPr>
      <w:r>
        <w:t xml:space="preserve">Hexareline</w:t>
      </w:r>
    </w:p>
    <w:p>
      <w:pPr>
        <w:pStyle w:val="FirstParagraph"/>
      </w:pPr>
      <w:r>
        <w:t xml:space="preserve">Hexareline is een naaste verwant van GHRP-6 – en een van de sterkste kunstmatige groeihormoonvrijmakers die er bestaan. In de jaren negentig werd het vooral in Italië intensief bij mensen onderzocht. Daarbij viel iets onverwachts op: hexareline lijkt rechtstreeks op het hart te werken, los van het groeihormoon. Een toelating volgde toch niet. Een van de redenen lag in een typische zwakte van deze stofklasse: bij langdurig gebruik neemt de werking af.</w:t>
      </w:r>
    </w:p>
    <w:bookmarkStart w:id="1427" w:name="profiel-29"/>
    <w:p>
      <w:pPr>
        <w:pStyle w:val="Heading3"/>
      </w:pPr>
      <w:r>
        <w:t xml:space="preserve">Profiel</w:t>
      </w:r>
    </w:p>
    <w:p>
      <w:pPr>
        <w:numPr>
          <w:ilvl w:val="0"/>
          <w:numId w:val="1167"/>
        </w:numPr>
        <w:pStyle w:val="Compact"/>
      </w:pPr>
      <w:r>
        <w:rPr>
          <w:bCs/>
          <w:b/>
        </w:rPr>
        <w:t xml:space="preserve">Soort en structuur:</w:t>
      </w:r>
      <w:r>
        <w:t xml:space="preserve"> </w:t>
      </w:r>
      <w:r>
        <w:t xml:space="preserve">synthetisch hexapeptide His-D-2-methyl-Trp-Ala-Trp-D-Phe-Lys-NH2; het verschilt van GHRP-6 door een extra methylgroep aan de tweede bouwsteen</w:t>
      </w:r>
      <w:r>
        <w:rPr>
          <w:rStyle w:val="FootnoteReference"/>
        </w:rPr>
        <w:footnoteReference w:id="1425"/>
      </w:r>
      <w:r>
        <w:t xml:space="preserve">.</w:t>
      </w:r>
    </w:p>
    <w:p>
      <w:pPr>
        <w:numPr>
          <w:ilvl w:val="0"/>
          <w:numId w:val="1167"/>
        </w:numPr>
        <w:pStyle w:val="Compact"/>
      </w:pPr>
      <w:r>
        <w:rPr>
          <w:bCs/>
          <w:b/>
        </w:rPr>
        <w:t xml:space="preserve">Herkomst:</w:t>
      </w:r>
      <w:r>
        <w:t xml:space="preserve"> </w:t>
      </w:r>
      <w:r>
        <w:t xml:space="preserve">begin jaren negentig ontwikkeld als variant van GHRP-6; een groot deel van het klinisch onderzoek komt van Italiaanse universitaire centra.</w:t>
      </w:r>
    </w:p>
    <w:p>
      <w:pPr>
        <w:numPr>
          <w:ilvl w:val="0"/>
          <w:numId w:val="1167"/>
        </w:numPr>
        <w:pStyle w:val="Compact"/>
      </w:pPr>
      <w:r>
        <w:rPr>
          <w:bCs/>
          <w:b/>
        </w:rPr>
        <w:t xml:space="preserve">Werkingsprincipe:</w:t>
      </w:r>
      <w:r>
        <w:t xml:space="preserve"> </w:t>
      </w:r>
      <w:r>
        <w:t xml:space="preserve">agonist op de ghrelinereceptor (GHS-R1a); maakt groeihormoon, ACTH, cortisol en prolactine vrij. Daarnaast bindt hexareline aan de receptor CD36 in hartweefsel, via welke GH-onafhankelijke effecten op het hart worden vermoed</w:t>
      </w:r>
      <w:r>
        <w:rPr>
          <w:rStyle w:val="FootnoteReference"/>
        </w:rPr>
        <w:footnoteReference w:id="1426"/>
      </w:r>
      <w:r>
        <w:t xml:space="preserve">.</w:t>
      </w:r>
    </w:p>
    <w:p>
      <w:pPr>
        <w:numPr>
          <w:ilvl w:val="0"/>
          <w:numId w:val="1167"/>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67"/>
        </w:numPr>
        <w:pStyle w:val="Compact"/>
      </w:pPr>
      <w:r>
        <w:rPr>
          <w:bCs/>
          <w:b/>
        </w:rPr>
        <w:t xml:space="preserve">WADA:</w:t>
      </w:r>
      <w:r>
        <w:t xml:space="preserve"> </w:t>
      </w:r>
      <w:r>
        <w:t xml:space="preserve">verboden, groep S2 – hexareline wordt als groeihormoonvrijmakend peptide uitdrukkelijk genoemd.</w:t>
      </w:r>
    </w:p>
    <w:p>
      <w:pPr>
        <w:numPr>
          <w:ilvl w:val="0"/>
          <w:numId w:val="1167"/>
        </w:numPr>
        <w:pStyle w:val="Compact"/>
      </w:pPr>
      <w:r>
        <w:rPr>
          <w:bCs/>
          <w:b/>
        </w:rPr>
        <w:t xml:space="preserve">Bewijsniveau: C</w:t>
      </w:r>
      <w:r>
        <w:t xml:space="preserve"> </w:t>
      </w:r>
      <w:r>
        <w:t xml:space="preserve">– talrijke kleine studies, veel daarvan gerandomiseerd, maar vrijwel uitsluitend met enkele doses en hormonale of circulatiefysiologische meetwaarden; geen studie naar een klinisch eindpunt.</w:t>
      </w:r>
    </w:p>
    <w:bookmarkEnd w:id="1427"/>
    <w:bookmarkStart w:id="1429" w:name="hoe-het-zou-moeten-werken-29"/>
    <w:p>
      <w:pPr>
        <w:pStyle w:val="Heading3"/>
      </w:pPr>
      <w:r>
        <w:t xml:space="preserve">Hoe het zou moeten werken</w:t>
      </w:r>
    </w:p>
    <w:p>
      <w:pPr>
        <w:pStyle w:val="FirstParagraph"/>
      </w:pPr>
      <w:r>
        <w:t xml:space="preserve">Net als GHRP-6 en GHRP-2 bootst hexareline het maaghormoon ghreline na en zet zo de afgifte van groeihormoon in gang. De werking hangt af van een intacte verbinding tussen tussenhersenen en hypofyse: bij kinderen en volwassenen bij wie deze verbinding anatomisch onderbroken was, bleef de GH-respons uit of was die sterk verzwakt, bij een idiopathisch tekort was die daarentegen krachtig</w:t>
      </w:r>
      <w:r>
        <w:rPr>
          <w:rStyle w:val="FootnoteReference"/>
        </w:rPr>
        <w:footnoteReference w:id="1428"/>
      </w:r>
      <w:r>
        <w:t xml:space="preserve">.</w:t>
      </w:r>
    </w:p>
    <w:p>
      <w:pPr>
        <w:pStyle w:val="BodyText"/>
      </w:pPr>
      <w:r>
        <w:t xml:space="preserve">Het tweede, zelfstandige idee betreft het hart. Ghrelinereceptoren en het vangermolecuul CD36 komen ook in de hartspier voor. Hexareline zou daarom de pompkracht van het hart rechtstreeks kunnen verhogen – een mogelijke benadering bij hartfalen, los van het groeihormoon.</w:t>
      </w:r>
    </w:p>
    <w:bookmarkEnd w:id="1429"/>
    <w:bookmarkStart w:id="1443" w:name="studies-bij-mensen-2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58</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De meeste studies dateren uit 1994 tot 2004 en onderzoeken met enkele doses hoe de hormoonrespons afhangt van leeftijd, geslacht, voeding, geneesmiddelen of ziekten. Enkele publicaties op de lijst gaan vooral over ghreline of GHRP-6 en gebruiken hexareline alleen ter vergelijking.</w:t>
      </w:r>
    </w:p>
    <w:bookmarkStart w:id="1433" w:name="hormoonwerking-en-dosis"/>
    <w:p>
      <w:pPr>
        <w:pStyle w:val="Heading4"/>
      </w:pPr>
      <w:r>
        <w:t xml:space="preserve">Hormoonwerking en dosis</w:t>
      </w:r>
    </w:p>
    <w:p>
      <w:pPr>
        <w:pStyle w:val="FirstParagraph"/>
      </w:pPr>
      <w:r>
        <w:t xml:space="preserve">In een dubbelblinde, placebogecontroleerde studie met twaalf gezonde mannen steeg groeihormoon na intraveneuze toediening dosisafhankelijk, met een piek na ongeveer 30 minuten en terugkeer naar de uitgangswaarde binnen vier uur</w:t>
      </w:r>
      <w:r>
        <w:rPr>
          <w:rStyle w:val="FootnoteReference"/>
        </w:rPr>
        <w:footnoteReference w:id="1430"/>
      </w:r>
      <w:r>
        <w:t xml:space="preserve">. Hexareline maakte daarbij ook prolactine en cortisol dosisafhankelijk vrij; gecombineerd met GHRH volstond een lage dosis hexareline voor een massale GH-afgifte zonder stijging van cortisol</w:t>
      </w:r>
      <w:r>
        <w:rPr>
          <w:rStyle w:val="FootnoteReference"/>
        </w:rPr>
        <w:footnoteReference w:id="1431"/>
      </w:r>
      <w:r>
        <w:t xml:space="preserve">. De activering van de stresshormoon-as loopt kennelijk via de tussenhersenen; in een studie met 15 jonge mannen verhoogde hexareline ook kortstondig de eetlust</w:t>
      </w:r>
      <w:r>
        <w:rPr>
          <w:rStyle w:val="FootnoteReference"/>
        </w:rPr>
        <w:footnoteReference w:id="1432"/>
      </w:r>
      <w:r>
        <w:t xml:space="preserve">.</w:t>
      </w:r>
    </w:p>
    <w:bookmarkEnd w:id="1433"/>
    <w:bookmarkStart w:id="1438" w:name="Xea7cb78e311b481b523c53a3633a9ddd98f0596"/>
    <w:p>
      <w:pPr>
        <w:pStyle w:val="Heading4"/>
      </w:pPr>
      <w:r>
        <w:t xml:space="preserve">Langdurige toediening: de werking neemt af</w:t>
      </w:r>
    </w:p>
    <w:p>
      <w:pPr>
        <w:pStyle w:val="FirstParagraph"/>
      </w:pPr>
      <w:r>
        <w:t xml:space="preserve">Beslissend voor een therapie is of de werking bij herhaalde toediening aanhoudt. Bij volwassenen die 16 weken lang tweemaal daags hexareline onderhuids spoten, nam de GH-respons duidelijk af en herstelde die zich pas vier weken na het stoppen. IGF-1, lichaamsvet, spiermassa en botdichtheid veranderden niet significant</w:t>
      </w:r>
      <w:r>
        <w:rPr>
          <w:rStyle w:val="FootnoteReference"/>
        </w:rPr>
        <w:footnoteReference w:id="1434"/>
      </w:r>
      <w:r>
        <w:t xml:space="preserve">. De cortisolrespons verzwakte in dezelfde studie eveneens tijdelijk</w:t>
      </w:r>
      <w:r>
        <w:rPr>
          <w:rStyle w:val="FootnoteReference"/>
        </w:rPr>
        <w:footnoteReference w:id="1435"/>
      </w:r>
      <w:r>
        <w:t xml:space="preserve">.</w:t>
      </w:r>
    </w:p>
    <w:p>
      <w:pPr>
        <w:pStyle w:val="BodyText"/>
      </w:pPr>
      <w:r>
        <w:t xml:space="preserve">Bij kinderen met een kleine gestalte was het beeld iets gunstiger: met een neusspray steeg de groeisnelheid bij acht kinderen van 5,3 naar 8,3 cm per jaar, IGF-1 nam toe</w:t>
      </w:r>
      <w:r>
        <w:rPr>
          <w:rStyle w:val="FootnoteReference"/>
        </w:rPr>
        <w:footnoteReference w:id="1436"/>
      </w:r>
      <w:r>
        <w:t xml:space="preserve">. Een vervolgstudie met zeven kinderen liet zien dat de GH-respons van de hypofyse al na zeven dagen ongeveer gehalveerd was, maar dat de snellere groei toch aanhield</w:t>
      </w:r>
      <w:r>
        <w:rPr>
          <w:rStyle w:val="FootnoteReference"/>
        </w:rPr>
        <w:footnoteReference w:id="1437"/>
      </w:r>
      <w:r>
        <w:t xml:space="preserve">.</w:t>
      </w:r>
    </w:p>
    <w:bookmarkEnd w:id="1438"/>
    <w:bookmarkStart w:id="1442" w:name="effecten-op-het-hart"/>
    <w:p>
      <w:pPr>
        <w:pStyle w:val="Heading4"/>
      </w:pPr>
      <w:r>
        <w:t xml:space="preserve">Effecten op het hart</w:t>
      </w:r>
    </w:p>
    <w:p>
      <w:pPr>
        <w:pStyle w:val="FirstParagraph"/>
      </w:pPr>
      <w:r>
        <w:t xml:space="preserve">Meerdere kleine studies van een Italiaanse onderzoeksgroep onderzochten het hart:</w:t>
      </w:r>
    </w:p>
    <w:p>
      <w:pPr>
        <w:numPr>
          <w:ilvl w:val="0"/>
          <w:numId w:val="1168"/>
        </w:numPr>
        <w:pStyle w:val="Compact"/>
      </w:pPr>
      <w:r>
        <w:t xml:space="preserve">Bij zeven mannen met groeihormoontekort en negen gezonde controlepersonen steeg de linkerventrikelejectiefractie (het aandeel bloed dat de linkerhartkamer per slag uitpompt) na een enkele dosis hexareline in beide groepen, hoewel de patiënten nauwelijks groeihormoon afgaven. De auteurs concluderen tot een GH-onafhankelijk effect</w:t>
      </w:r>
      <w:r>
        <w:rPr>
          <w:rStyle w:val="FootnoteReference"/>
        </w:rPr>
        <w:footnoteReference w:id="1439"/>
      </w:r>
      <w:r>
        <w:t xml:space="preserve">.</w:t>
      </w:r>
    </w:p>
    <w:p>
      <w:pPr>
        <w:numPr>
          <w:ilvl w:val="0"/>
          <w:numId w:val="1168"/>
        </w:numPr>
        <w:pStyle w:val="Compact"/>
      </w:pPr>
      <w:r>
        <w:t xml:space="preserve">Bij patiënten met ernstige verwijde hartspierziekte (gedilateerde cardiomyopathie) bleef dit effect daarentegen uit</w:t>
      </w:r>
      <w:r>
        <w:rPr>
          <w:rStyle w:val="FootnoteReference"/>
        </w:rPr>
        <w:footnoteReference w:id="1440"/>
      </w:r>
      <w:r>
        <w:t xml:space="preserve">.</w:t>
      </w:r>
    </w:p>
    <w:p>
      <w:pPr>
        <w:numPr>
          <w:ilvl w:val="0"/>
          <w:numId w:val="1168"/>
        </w:numPr>
        <w:pStyle w:val="Compact"/>
      </w:pPr>
      <w:r>
        <w:t xml:space="preserve">Bij 24 mannen met coronaire hartziekte tijdens een bypassoperatie verhoogde hexareline de ejectiefractie en het hartminuutvolume tot 90 minuten lang, terwijl GHRH, groeihormoon en placebo geen effect hadden</w:t>
      </w:r>
      <w:r>
        <w:rPr>
          <w:rStyle w:val="FootnoteReference"/>
        </w:rPr>
        <w:footnoteReference w:id="144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(Imbimbo 1994), PMID 7957536</w:t>
            </w:r>
          </w:p>
        </w:tc>
        <w:tc>
          <w:tcPr/>
          <w:p>
            <w:pPr>
              <w:pStyle w:val="Compact"/>
              <w:jc w:val="left"/>
            </w:pPr>
            <w:r>
              <w:t xml:space="preserve">12 gezonde mannen, dubbelblind, placebo, oplopende doses</w:t>
            </w:r>
          </w:p>
        </w:tc>
        <w:tc>
          <w:tcPr/>
          <w:p>
            <w:pPr>
              <w:pStyle w:val="Compact"/>
              <w:jc w:val="left"/>
            </w:pPr>
            <w:r>
              <w:t xml:space="preserve">enkele doses</w:t>
            </w:r>
          </w:p>
        </w:tc>
        <w:tc>
          <w:tcPr/>
          <w:p>
            <w:pPr>
              <w:pStyle w:val="Compact"/>
              <w:jc w:val="left"/>
            </w:pPr>
            <w:r>
              <w:t xml:space="preserve">GH-piek na ca. 30 min, dosisafhankelijk</w:t>
            </w:r>
          </w:p>
        </w:tc>
      </w:tr>
      <w:tr>
        <w:tc>
          <w:tcPr/>
          <w:p>
            <w:pPr>
              <w:pStyle w:val="Compact"/>
              <w:jc w:val="left"/>
            </w:pPr>
            <w:r>
              <w:t xml:space="preserve">Langdurige toediening (Rahim 1998), PMID 9589671</w:t>
            </w:r>
          </w:p>
        </w:tc>
        <w:tc>
          <w:tcPr/>
          <w:p>
            <w:pPr>
              <w:pStyle w:val="Compact"/>
              <w:jc w:val="left"/>
            </w:pPr>
            <w:r>
              <w:t xml:space="preserve">volwassenen, zonder controlegroep</w:t>
            </w:r>
          </w:p>
        </w:tc>
        <w:tc>
          <w:tcPr/>
          <w:p>
            <w:pPr>
              <w:pStyle w:val="Compact"/>
              <w:jc w:val="left"/>
            </w:pPr>
            <w:r>
              <w:t xml:space="preserve">16 weken</w:t>
            </w:r>
          </w:p>
        </w:tc>
        <w:tc>
          <w:tcPr/>
          <w:p>
            <w:pPr>
              <w:pStyle w:val="Compact"/>
              <w:jc w:val="left"/>
            </w:pPr>
            <w:r>
              <w:t xml:space="preserve">GH-respons verzwakt; IGF-1 en lichaamssamenstelling onveranderd</w:t>
            </w:r>
          </w:p>
        </w:tc>
      </w:tr>
      <w:tr>
        <w:tc>
          <w:tcPr/>
          <w:p>
            <w:pPr>
              <w:pStyle w:val="Compact"/>
              <w:jc w:val="left"/>
            </w:pPr>
            <w:r>
              <w:t xml:space="preserve">Kinderen, neusspray (Laron 1995), PMID 8548949</w:t>
            </w:r>
          </w:p>
        </w:tc>
        <w:tc>
          <w:tcPr/>
          <w:p>
            <w:pPr>
              <w:pStyle w:val="Compact"/>
              <w:jc w:val="left"/>
            </w:pPr>
            <w:r>
              <w:t xml:space="preserve">8 kinderen met kleine gestalte, zonder controlegroep</w:t>
            </w:r>
          </w:p>
        </w:tc>
        <w:tc>
          <w:tcPr/>
          <w:p>
            <w:pPr>
              <w:pStyle w:val="Compact"/>
              <w:jc w:val="left"/>
            </w:pPr>
            <w:r>
              <w:t xml:space="preserve">tot 8 maanden</w:t>
            </w:r>
          </w:p>
        </w:tc>
        <w:tc>
          <w:tcPr/>
          <w:p>
            <w:pPr>
              <w:pStyle w:val="Compact"/>
              <w:jc w:val="left"/>
            </w:pPr>
            <w:r>
              <w:t xml:space="preserve">groei 5,3 → 8,3 cm/jaar</w:t>
            </w:r>
          </w:p>
        </w:tc>
      </w:tr>
      <w:tr>
        <w:tc>
          <w:tcPr/>
          <w:p>
            <w:pPr>
              <w:pStyle w:val="Compact"/>
              <w:jc w:val="left"/>
            </w:pPr>
            <w:r>
              <w:t xml:space="preserve">Hart, GH-tekort (Bisi 1999), PMID 10528131</w:t>
            </w:r>
          </w:p>
        </w:tc>
        <w:tc>
          <w:tcPr/>
          <w:p>
            <w:pPr>
              <w:pStyle w:val="Compact"/>
              <w:jc w:val="left"/>
            </w:pPr>
            <w:r>
              <w:t xml:space="preserve">7 mannen met GH-tekort, 9 gezonden</w:t>
            </w:r>
          </w:p>
        </w:tc>
        <w:tc>
          <w:tcPr/>
          <w:p>
            <w:pPr>
              <w:pStyle w:val="Compact"/>
              <w:jc w:val="left"/>
            </w:pPr>
            <w:r>
              <w:t xml:space="preserve">enkele dosis</w:t>
            </w:r>
          </w:p>
        </w:tc>
        <w:tc>
          <w:tcPr/>
          <w:p>
            <w:pPr>
              <w:pStyle w:val="Compact"/>
              <w:jc w:val="left"/>
            </w:pPr>
            <w:r>
              <w:t xml:space="preserve">ejectiefractie 50 → 57% resp. 63 → 70%</w:t>
            </w:r>
          </w:p>
        </w:tc>
      </w:tr>
      <w:tr>
        <w:tc>
          <w:tcPr/>
          <w:p>
            <w:pPr>
              <w:pStyle w:val="Compact"/>
              <w:jc w:val="left"/>
            </w:pPr>
            <w:r>
              <w:t xml:space="preserve">Hart, bypassoperatie (Broglio 2002), PMID 12144941</w:t>
            </w:r>
          </w:p>
        </w:tc>
        <w:tc>
          <w:tcPr/>
          <w:p>
            <w:pPr>
              <w:pStyle w:val="Compact"/>
              <w:jc w:val="left"/>
            </w:pPr>
            <w:r>
              <w:t xml:space="preserve">24 mannen met CHZ, vergelijking met GHRH, GH, placebo</w:t>
            </w:r>
          </w:p>
        </w:tc>
        <w:tc>
          <w:tcPr/>
          <w:p>
            <w:pPr>
              <w:pStyle w:val="Compact"/>
              <w:jc w:val="left"/>
            </w:pPr>
            <w:r>
              <w:t xml:space="preserve">enkele dosis</w:t>
            </w:r>
          </w:p>
        </w:tc>
        <w:tc>
          <w:tcPr/>
          <w:p>
            <w:pPr>
              <w:pStyle w:val="Compact"/>
              <w:jc w:val="left"/>
            </w:pPr>
            <w:r>
              <w:t xml:space="preserve">ejectiefractie en hartminuutvolume ↑</w:t>
            </w:r>
          </w:p>
        </w:tc>
      </w:tr>
    </w:tbl>
    <w:bookmarkEnd w:id="1442"/>
    <w:bookmarkEnd w:id="1443"/>
    <w:bookmarkStart w:id="1447" w:name="dier--en-laboratoriumstudies-29"/>
    <w:p>
      <w:pPr>
        <w:pStyle w:val="Heading3"/>
      </w:pPr>
      <w:r>
        <w:t xml:space="preserve">Dier- en laboratoriumstudies</w:t>
      </w:r>
    </w:p>
    <w:p>
      <w:pPr>
        <w:numPr>
          <w:ilvl w:val="0"/>
          <w:numId w:val="1169"/>
        </w:numPr>
        <w:pStyle w:val="Compact"/>
      </w:pPr>
      <w:r>
        <w:rPr>
          <w:bCs/>
          <w:b/>
        </w:rPr>
        <w:t xml:space="preserve">Hartinfarct (ratten, muizen):</w:t>
      </w:r>
      <w:r>
        <w:t xml:space="preserve"> </w:t>
      </w:r>
      <w:r>
        <w:t xml:space="preserve">Bij ratten vier weken na een kunstmatig opgewekt hartinfarct verbeterde hexareline gedurende twee weken het slagvolume en verlaagde het de vaatweerstand, vergelijkbaar met groeihormoon</w:t>
      </w:r>
      <w:r>
        <w:rPr>
          <w:rStyle w:val="FootnoteReference"/>
        </w:rPr>
        <w:footnoteReference w:id="1444"/>
      </w:r>
      <w:r>
        <w:t xml:space="preserve">. Bij muizen na een hartinfarct bleef de pompfunctie behouden en nam de littekenvorming in de hartspier af</w:t>
      </w:r>
      <w:r>
        <w:rPr>
          <w:rStyle w:val="FootnoteReference"/>
        </w:rPr>
        <w:footnoteReference w:id="1445"/>
      </w:r>
      <w:r>
        <w:t xml:space="preserve">.</w:t>
      </w:r>
    </w:p>
    <w:p>
      <w:pPr>
        <w:numPr>
          <w:ilvl w:val="0"/>
          <w:numId w:val="1169"/>
        </w:numPr>
        <w:pStyle w:val="Compact"/>
      </w:pPr>
      <w:r>
        <w:rPr>
          <w:bCs/>
          <w:b/>
        </w:rPr>
        <w:t xml:space="preserve">Mechanisme:</w:t>
      </w:r>
      <w:r>
        <w:t xml:space="preserve"> </w:t>
      </w:r>
      <w:r>
        <w:t xml:space="preserve">Een overzichtsartikel beschrijft CD36 als specifieke hartreceptor voor hexareline, die de beschermende effecten zou overbrengen</w:t>
      </w:r>
      <w:r>
        <w:rPr>
          <w:rStyle w:val="FootnoteReference"/>
        </w:rPr>
        <w:footnoteReference w:id="1446"/>
      </w:r>
      <w:r>
        <w:t xml:space="preserve">.</w:t>
      </w:r>
    </w:p>
    <w:bookmarkEnd w:id="1447"/>
    <w:bookmarkStart w:id="1452" w:name="risicos-en-bijwerkingen-29"/>
    <w:p>
      <w:pPr>
        <w:pStyle w:val="Heading3"/>
      </w:pPr>
      <w:r>
        <w:t xml:space="preserve">Risico’s en bijwerkingen</w:t>
      </w:r>
    </w:p>
    <w:p>
      <w:pPr>
        <w:pStyle w:val="FirstParagraph"/>
      </w:pPr>
      <w:r>
        <w:rPr>
          <w:bCs/>
          <w:b/>
        </w:rPr>
        <w:t xml:space="preserve">Aangetoond:</w:t>
      </w:r>
      <w:r>
        <w:t xml:space="preserve"> </w:t>
      </w:r>
      <w:r>
        <w:t xml:space="preserve">stijging van cortisol, ACTH en prolactine</w:t>
      </w:r>
      <w:r>
        <w:rPr>
          <w:rStyle w:val="FootnoteReference"/>
        </w:rPr>
        <w:footnoteReference w:id="1448"/>
      </w:r>
      <w:r>
        <w:t xml:space="preserve">; kortstondig verhoogde eetlust</w:t>
      </w:r>
      <w:r>
        <w:rPr>
          <w:rStyle w:val="FootnoteReference"/>
        </w:rPr>
        <w:footnoteReference w:id="1449"/>
      </w:r>
      <w:r>
        <w:t xml:space="preserve">; afnemende werking bij langdurige toediening</w:t>
      </w:r>
      <w:r>
        <w:rPr>
          <w:rStyle w:val="FootnoteReference"/>
        </w:rPr>
        <w:footnoteReference w:id="1450"/>
      </w:r>
      <w:r>
        <w:t xml:space="preserve">. Ernstige bijwerkingen werden in de kleine studies niet gemeld; bij kinderen vonden de auteurs geen ongewenste effecten</w:t>
      </w:r>
      <w:r>
        <w:rPr>
          <w:rStyle w:val="FootnoteReference"/>
        </w:rPr>
        <w:footnoteReference w:id="1451"/>
      </w:r>
      <w:r>
        <w:t xml:space="preserve">.</w:t>
      </w:r>
    </w:p>
    <w:p>
      <w:pPr>
        <w:pStyle w:val="BodyText"/>
      </w:pPr>
      <w:r>
        <w:rPr>
          <w:bCs/>
          <w:b/>
        </w:rPr>
        <w:t xml:space="preserve">Onbekend:</w:t>
      </w:r>
      <w:r>
        <w:t xml:space="preserve"> </w:t>
      </w:r>
      <w:r>
        <w:t xml:space="preserve">langetermijngegevens over de veiligheid, vooral voor het hart, ontbreken. Dat een stof de pompkracht acuut verhoogt, zegt niets over de vraag of hij bij hartfalen op lange termijn nuttig of schadelijk is – dat zou alleen in eigen langetermijnstudies met klinische eindpunten te beantwoorden zijn, en die bestaan niet. Voor de vraag naar een kankerrisico bij blijvend verhoogd groeihormoon zie de inleiding tot deze groep en Deel IV.</w:t>
      </w:r>
    </w:p>
    <w:bookmarkEnd w:id="1452"/>
    <w:bookmarkStart w:id="1454" w:name="juridische-status-29"/>
    <w:p>
      <w:pPr>
        <w:pStyle w:val="Heading3"/>
      </w:pPr>
      <w:r>
        <w:t xml:space="preserve">Juridische status</w:t>
      </w:r>
    </w:p>
    <w:p>
      <w:pPr>
        <w:pStyle w:val="FirstParagraph"/>
      </w:pPr>
      <w:r>
        <w:rPr>
          <w:iCs/>
          <w:i/>
        </w:rPr>
        <w:t xml:space="preserve">Stand 2026, actuele situatie controleren.</w:t>
      </w:r>
    </w:p>
    <w:p>
      <w:pPr>
        <w:numPr>
          <w:ilvl w:val="0"/>
          <w:numId w:val="1170"/>
        </w:numPr>
        <w:pStyle w:val="Compact"/>
      </w:pPr>
      <w:r>
        <w:rPr>
          <w:bCs/>
          <w:b/>
        </w:rPr>
        <w:t xml:space="preserve">EU, Duitsland, Oostenrijk, VS:</w:t>
      </w:r>
      <w:r>
        <w:t xml:space="preserve"> </w:t>
      </w:r>
      <w:r>
        <w:t xml:space="preserve">geen toelating als geneesmiddel; verstrekking voor gebruik bij mensen is niet toegestaan.</w:t>
      </w:r>
    </w:p>
    <w:p>
      <w:pPr>
        <w:numPr>
          <w:ilvl w:val="0"/>
          <w:numId w:val="1170"/>
        </w:numPr>
        <w:pStyle w:val="Compact"/>
      </w:pPr>
      <w:r>
        <w:rPr>
          <w:bCs/>
          <w:b/>
        </w:rPr>
        <w:t xml:space="preserve">WADA:</w:t>
      </w:r>
      <w:r>
        <w:t xml:space="preserve"> </w:t>
      </w:r>
      <w:r>
        <w:t xml:space="preserve">verboden (S2). Hexareline wordt in het lichaam sterk afgebroken; afbraakproducten blijven na het verdwijnen van de uitgangsstof in de urine aantoonbaar</w:t>
      </w:r>
      <w:r>
        <w:rPr>
          <w:rStyle w:val="FootnoteReference"/>
        </w:rPr>
        <w:footnoteReference w:id="1453"/>
      </w:r>
      <w:r>
        <w:t xml:space="preserve">.</w:t>
      </w:r>
    </w:p>
    <w:bookmarkEnd w:id="1454"/>
    <w:bookmarkStart w:id="1455" w:name="lopende-studies-en-vooruitzichten-29"/>
    <w:p>
      <w:pPr>
        <w:pStyle w:val="Heading3"/>
      </w:pPr>
      <w:r>
        <w:t xml:space="preserve">Lopende studies en vooruitzichten</w:t>
      </w:r>
    </w:p>
    <w:p>
      <w:pPr>
        <w:pStyle w:val="FirstParagraph"/>
      </w:pPr>
      <w:r>
        <w:t xml:space="preserve">Bij ClinicalTrials.gov staat in oktober 2026 geen studie met hexareline geregistreerd.</w:t>
      </w:r>
      <w:r>
        <w:t xml:space="preserve"> </w:t>
      </w:r>
      <w:r>
        <w:rPr>
          <w:iCs/>
          <w:i/>
        </w:rPr>
        <w:t xml:space="preserve">Inschatting van de auteur:</w:t>
      </w:r>
      <w:r>
        <w:t xml:space="preserve"> </w:t>
      </w:r>
      <w:r>
        <w:t xml:space="preserve">het hartonderzoek gaat door, maar alleen in diermodellen. Een klinische ontwikkeling zou een bedrijf vereisen dat de rechten bezit en studies financiert – zo’n bedrijf is momenteel niet in zicht.</w:t>
      </w:r>
    </w:p>
    <w:bookmarkEnd w:id="1455"/>
    <w:bookmarkStart w:id="1456" w:name="conclusie-29"/>
    <w:p>
      <w:pPr>
        <w:pStyle w:val="Heading3"/>
      </w:pPr>
      <w:r>
        <w:t xml:space="preserve">Conclusie</w:t>
      </w:r>
    </w:p>
    <w:p>
      <w:pPr>
        <w:pStyle w:val="FirstParagraph"/>
      </w:pPr>
      <w:r>
        <w:t xml:space="preserve">Hexareline maakt bij mensen krachtig groeihormoon vrij, maar ook stresshormonen en prolactine, en bij langdurige toediening neemt de werking duidelijk af; IGF-1 en lichaamssamenstelling veranderden in een studie van 16 weken niet. Interessant zijn kleine studies waarin een enkele dosis de pompkracht van het hart verhoogde, kennelijk los van het groeihormoon. Of daaruit ooit een nut voor mensen met hartaandoeningen voortkomt, is volledig onzeker; voor spieropbouw of verjonging is er geen bewijs.</w:t>
      </w:r>
    </w:p>
    <w:bookmarkEnd w:id="1456"/>
    <w:bookmarkEnd w:id="1457"/>
    <w:bookmarkStart w:id="1489" w:name="macimoreline"/>
    <w:p>
      <w:pPr>
        <w:pStyle w:val="Heading2"/>
      </w:pPr>
      <w:r>
        <w:t xml:space="preserve">Macimoreline</w:t>
      </w:r>
    </w:p>
    <w:p>
      <w:pPr>
        <w:pStyle w:val="FirstParagraph"/>
      </w:pPr>
      <w:r>
        <w:t xml:space="preserve">Macimoreline is het meest nuchtere lid van deze groep – en juist daarom een goed tegenvoorbeeld voor de grijze-marktpeptiden. Het wordt niet voor behandeling gebruikt, maar als test: iemand drinkt een oplossing met macimoreline, daarna wordt meerdere keren bloed afgenomen. Stijgt het groeihormoon nauwelijks, dan wijst dat op een groeihormoontekort. Daarvoor is macimoreline in de VS en de EU toegelaten. Het is een voorbeeld van hoe een ghrelinemimeticum met zorgvuldige vergelijkende studies een echt geneesmiddel kan worden.</w:t>
      </w:r>
    </w:p>
    <w:bookmarkStart w:id="1459" w:name="profiel-30"/>
    <w:p>
      <w:pPr>
        <w:pStyle w:val="Heading3"/>
      </w:pPr>
      <w:r>
        <w:t xml:space="preserve">Profiel</w:t>
      </w:r>
    </w:p>
    <w:p>
      <w:pPr>
        <w:numPr>
          <w:ilvl w:val="0"/>
          <w:numId w:val="1171"/>
        </w:numPr>
        <w:pStyle w:val="Compact"/>
      </w:pPr>
      <w:r>
        <w:rPr>
          <w:bCs/>
          <w:b/>
        </w:rPr>
        <w:t xml:space="preserve">Soort en structuur:</w:t>
      </w:r>
      <w:r>
        <w:t xml:space="preserve"> </w:t>
      </w:r>
      <w:r>
        <w:t xml:space="preserve">klein peptideachtig molecuul (peptidomimeticum) dat na inslikken werkzaam is</w:t>
      </w:r>
      <w:r>
        <w:rPr>
          <w:rStyle w:val="FootnoteReference"/>
        </w:rPr>
        <w:footnoteReference w:id="1458"/>
      </w:r>
      <w:r>
        <w:t xml:space="preserve">. Eerdere aanduidingen: EP01572, ARD-07, AEZS-130.</w:t>
      </w:r>
    </w:p>
    <w:p>
      <w:pPr>
        <w:numPr>
          <w:ilvl w:val="0"/>
          <w:numId w:val="1171"/>
        </w:numPr>
        <w:pStyle w:val="Compact"/>
      </w:pPr>
      <w:r>
        <w:rPr>
          <w:bCs/>
          <w:b/>
        </w:rPr>
        <w:t xml:space="preserve">Herkomst:</w:t>
      </w:r>
      <w:r>
        <w:t xml:space="preserve"> </w:t>
      </w:r>
      <w:r>
        <w:t xml:space="preserve">ontwikkeld uit het onderzoek naar oraal werkzame groeihormoonvrijmakers; toegelaten op aanvraag van Aeterna Zentaris.</w:t>
      </w:r>
    </w:p>
    <w:p>
      <w:pPr>
        <w:numPr>
          <w:ilvl w:val="0"/>
          <w:numId w:val="1171"/>
        </w:numPr>
        <w:pStyle w:val="Compact"/>
      </w:pPr>
      <w:r>
        <w:rPr>
          <w:bCs/>
          <w:b/>
        </w:rPr>
        <w:t xml:space="preserve">Werkingsprincipe:</w:t>
      </w:r>
      <w:r>
        <w:t xml:space="preserve"> </w:t>
      </w:r>
      <w:r>
        <w:t xml:space="preserve">agonist op de ghrelinereceptor (GHS-R1a); veroorzaakt eenmalig een afgifte van groeihormoon waarvan de hoogte het prestatievermogen van de hypofyse weerspiegelt.</w:t>
      </w:r>
    </w:p>
    <w:p>
      <w:pPr>
        <w:numPr>
          <w:ilvl w:val="0"/>
          <w:numId w:val="1171"/>
        </w:numPr>
        <w:pStyle w:val="Compact"/>
      </w:pPr>
      <w:r>
        <w:rPr>
          <w:bCs/>
          <w:b/>
        </w:rPr>
        <w:t xml:space="preserve">Registratie VS:</w:t>
      </w:r>
      <w:r>
        <w:t xml:space="preserve"> </w:t>
      </w:r>
      <w:r>
        <w:t xml:space="preserve">ja (Macrilen, sinds 2017) voor de diagnose van groeihormoontekort bij volwassenen.</w:t>
      </w:r>
      <w:r>
        <w:t xml:space="preserve"> </w:t>
      </w:r>
      <w:r>
        <w:rPr>
          <w:bCs/>
          <w:b/>
        </w:rPr>
        <w:t xml:space="preserve">Registratie EU:</w:t>
      </w:r>
      <w:r>
        <w:t xml:space="preserve"> </w:t>
      </w:r>
      <w:r>
        <w:t xml:space="preserve">ja (centraal toegelaten in 2019) voor dezelfde indicatie. Voor de actuele beschikbaarheid in afzonderlijke landen zie hieronder.</w:t>
      </w:r>
    </w:p>
    <w:p>
      <w:pPr>
        <w:numPr>
          <w:ilvl w:val="0"/>
          <w:numId w:val="1171"/>
        </w:numPr>
        <w:pStyle w:val="Compact"/>
      </w:pPr>
      <w:r>
        <w:rPr>
          <w:bCs/>
          <w:b/>
        </w:rPr>
        <w:t xml:space="preserve">WADA:</w:t>
      </w:r>
      <w:r>
        <w:t xml:space="preserve"> </w:t>
      </w:r>
      <w:r>
        <w:t xml:space="preserve">verboden, groep S2 (groeihormoonsecretagogen; macimoreline wordt uitdrukkelijk genoemd).</w:t>
      </w:r>
    </w:p>
    <w:p>
      <w:pPr>
        <w:numPr>
          <w:ilvl w:val="0"/>
          <w:numId w:val="1171"/>
        </w:numPr>
        <w:pStyle w:val="Compact"/>
      </w:pPr>
      <w:r>
        <w:rPr>
          <w:bCs/>
          <w:b/>
        </w:rPr>
        <w:t xml:space="preserve">Bewijsniveau: A</w:t>
      </w:r>
      <w:r>
        <w:t xml:space="preserve"> </w:t>
      </w:r>
      <w:r>
        <w:t xml:space="preserve">– twee fase 3-studies naar de diagnostische nauwkeurigheid, toelating in de VS en de EU. Beperking: het gaat om een diagnosticum, niet om een therapie.</w:t>
      </w:r>
    </w:p>
    <w:bookmarkEnd w:id="1459"/>
    <w:bookmarkStart w:id="1460" w:name="hoe-het-zou-moeten-werken-30"/>
    <w:p>
      <w:pPr>
        <w:pStyle w:val="Heading3"/>
      </w:pPr>
      <w:r>
        <w:t xml:space="preserve">Hoe het zou moeten werken</w:t>
      </w:r>
    </w:p>
    <w:p>
      <w:pPr>
        <w:pStyle w:val="FirstParagraph"/>
      </w:pPr>
      <w:r>
        <w:t xml:space="preserve">De diagnose van een groeihormoontekort bij volwassenen is lastig. Eén bloedwaarde volstaat niet, omdat groeihormoon in stoten wordt afgegeven. Er is een stimulatietest nodig: de hypofyse wordt gericht geprikkeld, en men meet hoeveel groeihormoon zij vrijmaakt.</w:t>
      </w:r>
    </w:p>
    <w:p>
      <w:pPr>
        <w:pStyle w:val="BodyText"/>
      </w:pPr>
      <w:r>
        <w:t xml:space="preserve">De referentietest is de insuline-hypoglykemietest (insulinetolerantietest, ITT). Daarbij wordt de bloedsuiker met insuline opzettelijk sterk verlaagd – dat is onaangenaam, vereist medisch toezicht en is bij hartziekten of epileptische aanvallen niet toegestaan. Macimoreline biedt een alternatief: het activeert de ghrelinereceptor, die rechtstreeks de afgifte van groeihormoon in gang zet, zonder de bloedsuiker te verlagen. Omdat het wordt ingeslikt, is ook geen infuus nodig.</w:t>
      </w:r>
    </w:p>
    <w:bookmarkEnd w:id="1460"/>
    <w:bookmarkStart w:id="1474" w:name="studies-bij-mensen-3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w:t>
      </w:r>
      <w:r>
        <w:t xml:space="preserve"> </w:t>
      </w:r>
      <w:r>
        <w:t xml:space="preserve">studies bij mensen in PubMed (</w:t>
      </w:r>
      <w:r>
        <w:rPr>
          <w:rStyle w:val="VerbatimChar"/>
        </w:rPr>
        <w:t xml:space="preserve">humanstudien_alle</w:t>
      </w:r>
      <w:r>
        <w:t xml:space="preserve">) en</w:t>
      </w:r>
      <w:r>
        <w:t xml:space="preserve"> </w:t>
      </w:r>
      <w:r>
        <w:rPr>
          <w:bCs/>
          <w:b/>
        </w:rPr>
        <w:t xml:space="preserve">6</w:t>
      </w:r>
      <w:r>
        <w:t xml:space="preserve"> </w:t>
      </w:r>
      <w:r>
        <w:t xml:space="preserve">registraties bij ClinicalTrials.gov. Een gerichte aanvullende zoekopdracht leverde meer studies op, waaronder de eerste fase 3-studie, een studie bij kinderen, meerdere studies bij gezonde mensen en een analyse uit de praktijk.</w:t>
      </w:r>
    </w:p>
    <w:bookmarkStart w:id="1463" w:name="vroege-farmacologie"/>
    <w:p>
      <w:pPr>
        <w:pStyle w:val="Heading4"/>
      </w:pPr>
      <w:r>
        <w:t xml:space="preserve">Vroege farmacologie</w:t>
      </w:r>
    </w:p>
    <w:p>
      <w:pPr>
        <w:pStyle w:val="FirstParagraph"/>
      </w:pPr>
      <w:r>
        <w:t xml:space="preserve">Al in 2007 toonde een studie met 36 gezonde mannen aan dat de stof (toen EP01572) na inslikken snel en dosisafhankelijk in het bloed terechtkomt en krachtig groeihormoon vrijmaakt</w:t>
      </w:r>
      <w:r>
        <w:rPr>
          <w:rStyle w:val="FootnoteReference"/>
        </w:rPr>
        <w:footnoteReference w:id="1461"/>
      </w:r>
      <w:r>
        <w:t xml:space="preserve">. In een gerandomiseerde fase 1-studie met 28 gezonde mensen lag de halfwaardetijd op 3,5 uur voor de twee lagere doses; de GH-piek trad op na 45 tot 60 minuten. ACTH, cortisol en prolactine stegen tijdelijk</w:t>
      </w:r>
      <w:r>
        <w:rPr>
          <w:rStyle w:val="FootnoteReference"/>
        </w:rPr>
        <w:footnoteReference w:id="1462"/>
      </w:r>
      <w:r>
        <w:t xml:space="preserve">.</w:t>
      </w:r>
    </w:p>
    <w:bookmarkEnd w:id="1463"/>
    <w:bookmarkStart w:id="1467" w:name="de-registratiestudies-1"/>
    <w:p>
      <w:pPr>
        <w:pStyle w:val="Heading4"/>
      </w:pPr>
      <w:r>
        <w:t xml:space="preserve">De registratiestudies</w:t>
      </w:r>
    </w:p>
    <w:p>
      <w:pPr>
        <w:pStyle w:val="FirstParagraph"/>
      </w:pPr>
      <w:r>
        <w:rPr>
          <w:bCs/>
          <w:b/>
        </w:rPr>
        <w:t xml:space="preserve">Eerste fase 3-studie:</w:t>
      </w:r>
      <w:r>
        <w:t xml:space="preserve"> </w:t>
      </w:r>
      <w:r>
        <w:t xml:space="preserve">In een open multicentrische studie werd macimoreline vergeleken met de toen gangbare combinatietest van arginine en GHRH. Geanalyseerd werden 50 volwassenen met groeihormoontekort en 48 gezonde mensen. De GH-piek lag bij de patiënten gemiddeld op 2,36 ng/ml, bij de gezonde mensen op 17,71 ng/ml. Met een grenswaarde van 2,7 ng/ml bereikte de test een sensitiviteit van 82% en een specificiteit van 92%. Als enige ernstige, aan het middel gerelateerde bijwerking werd een symptoomloze verlenging van de QT-tijd op het ecg gemeld. Tijdens de studie werd het GHRH-preparaat (sermoreline) in de VS van de markt gehaald, zodat een deel van de deelnemers alleen met macimoreline werd getest</w:t>
      </w:r>
      <w:r>
        <w:rPr>
          <w:rStyle w:val="FootnoteReference"/>
        </w:rPr>
        <w:footnoteReference w:id="1464"/>
      </w:r>
      <w:r>
        <w:t xml:space="preserve">.</w:t>
      </w:r>
    </w:p>
    <w:p>
      <w:pPr>
        <w:pStyle w:val="BodyText"/>
      </w:pPr>
      <w:r>
        <w:rPr>
          <w:bCs/>
          <w:b/>
        </w:rPr>
        <w:t xml:space="preserve">Tweede fase 3-studie (registratiegrondslag):</w:t>
      </w:r>
      <w:r>
        <w:t xml:space="preserve"> </w:t>
      </w:r>
      <w:r>
        <w:t xml:space="preserve">In een gerandomiseerde cross-overstudie kregen volwassenen met een hoge, middelmatige en lage waarschijnlijkheid van groeihormoontekort, en gezonde vergelijkingspersonen, zowel de macimorelinetest als de insulinetest. 99% van de macimorelinetests, maar slechts 82% van de insulinetests was evalueerbaar. Met de grenswaarden 2,8 ng/ml (macimoreline) en 5,1 ng/ml (ITT) bedroegen de sensitiviteit 87% en de specificiteit 96%; bij herhaling was het resultaat in 97% gelijk. Ernstige bijwerkingen door macimoreline traden niet op. Een uniforme grenswaarde van 5,1 ng/ml voor beide tests leverde in een achteraf uitgevoerde analyse 92% sensitiviteit bij 96% specificiteit op</w:t>
      </w:r>
      <w:r>
        <w:rPr>
          <w:rStyle w:val="FootnoteReference"/>
        </w:rPr>
        <w:footnoteReference w:id="1465"/>
      </w:r>
      <w:r>
        <w:t xml:space="preserve">. Verdere analyses toonden aan dat leeftijd, lichaamsgewicht en geslacht de nauwkeurigheid van de test niet wezenlijk beïnvloedden</w:t>
      </w:r>
      <w:r>
        <w:rPr>
          <w:rStyle w:val="FootnoteReference"/>
        </w:rPr>
        <w:footnoteReference w:id="1466"/>
      </w:r>
      <w:r>
        <w:t xml:space="preserve">.</w:t>
      </w:r>
    </w:p>
    <w:bookmarkEnd w:id="1467"/>
    <w:bookmarkStart w:id="1469" w:name="ervaringen-uit-de-praktijk"/>
    <w:p>
      <w:pPr>
        <w:pStyle w:val="Heading4"/>
      </w:pPr>
      <w:r>
        <w:t xml:space="preserve">Ervaringen uit de praktijk</w:t>
      </w:r>
    </w:p>
    <w:p>
      <w:pPr>
        <w:pStyle w:val="FirstParagraph"/>
      </w:pPr>
      <w:r>
        <w:t xml:space="preserve">Een retrospectieve analyse van 37 patiënten van een kliniek vond dat met de in de VS toegelaten grenswaarde van 2,8 ng/ml 40,5%, met 5,1 ng/ml daarentegen 54,0% als groeihormoontekort werd ingedeeld. De afwijkende indelingen betroffen vooral personen met ernstig overgewicht en een lage voorafkans</w:t>
      </w:r>
      <w:r>
        <w:rPr>
          <w:rStyle w:val="FootnoteReference"/>
        </w:rPr>
        <w:footnoteReference w:id="1468"/>
      </w:r>
      <w:r>
        <w:t xml:space="preserve">. Dat laat zien: de grenswaarde is niet triviaal, en bij ernstig overgewicht is voorzichtigheid bij de interpretatie geboden.</w:t>
      </w:r>
    </w:p>
    <w:bookmarkEnd w:id="1469"/>
    <w:bookmarkStart w:id="1473" w:name="kinderen-en-andere-toepassingen"/>
    <w:p>
      <w:pPr>
        <w:pStyle w:val="Heading4"/>
      </w:pPr>
      <w:r>
        <w:t xml:space="preserve">Kinderen en andere toepassingen</w:t>
      </w:r>
    </w:p>
    <w:p>
      <w:pPr>
        <w:numPr>
          <w:ilvl w:val="0"/>
          <w:numId w:val="1172"/>
        </w:numPr>
        <w:pStyle w:val="Compact"/>
      </w:pPr>
      <w:r>
        <w:rPr>
          <w:bCs/>
          <w:b/>
        </w:rPr>
        <w:t xml:space="preserve">Kinderen:</w:t>
      </w:r>
      <w:r>
        <w:t xml:space="preserve"> </w:t>
      </w:r>
      <w:r>
        <w:t xml:space="preserve">Een open dosisbepalingsstudie met 24 kinderen en jongeren met een vermoeden van groeihormoontekort vond geen aan macimoreline toe te schrijven bijwerkingen</w:t>
      </w:r>
      <w:r>
        <w:rPr>
          <w:rStyle w:val="FootnoteReference"/>
        </w:rPr>
        <w:footnoteReference w:id="1470"/>
      </w:r>
      <w:r>
        <w:t xml:space="preserve">. De daaropvolgende fase 3-studie DETECT met 101 kinderen</w:t>
      </w:r>
      <w:r>
        <w:rPr>
          <w:rStyle w:val="FootnoteReference"/>
        </w:rPr>
        <w:footnoteReference w:id="1471"/>
      </w:r>
      <w:r>
        <w:t xml:space="preserve"> </w:t>
      </w:r>
      <w:r>
        <w:t xml:space="preserve">werd in juni 2024 afgerond; resultaten zijn niet in het register opgenomen, en een publicatie heb ik in PubMed niet gevonden.</w:t>
      </w:r>
    </w:p>
    <w:p>
      <w:pPr>
        <w:numPr>
          <w:ilvl w:val="0"/>
          <w:numId w:val="1172"/>
        </w:numPr>
        <w:pStyle w:val="Compact"/>
      </w:pPr>
      <w:r>
        <w:rPr>
          <w:bCs/>
          <w:b/>
        </w:rPr>
        <w:t xml:space="preserve">Tumorcachexie:</w:t>
      </w:r>
      <w:r>
        <w:t xml:space="preserve"> </w:t>
      </w:r>
      <w:r>
        <w:t xml:space="preserve">In een pilotstudie met 15 kankerpatiënten met ziekelijk gewichtsverlies werd macimoreline gedurende een week goed verdragen; gewicht en kwaliteit van leven verbeterden in getallen, maar zonder significant verschil met placebo</w:t>
      </w:r>
      <w:r>
        <w:rPr>
          <w:rStyle w:val="FootnoteReference"/>
        </w:rPr>
        <w:footnoteReference w:id="14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(Garcia 2013), PMID 23559086</w:t>
            </w:r>
          </w:p>
        </w:tc>
        <w:tc>
          <w:tcPr/>
          <w:p>
            <w:pPr>
              <w:pStyle w:val="Compact"/>
              <w:jc w:val="left"/>
            </w:pPr>
            <w:r>
              <w:t xml:space="preserve">50 volwassenen met GH-tekort, 48 gezonden; vergelijking met arginine+GHRH</w:t>
            </w:r>
          </w:p>
        </w:tc>
        <w:tc>
          <w:tcPr/>
          <w:p>
            <w:pPr>
              <w:pStyle w:val="Compact"/>
              <w:jc w:val="left"/>
            </w:pPr>
            <w:r>
              <w:t xml:space="preserve">enkele test</w:t>
            </w:r>
          </w:p>
        </w:tc>
        <w:tc>
          <w:tcPr/>
          <w:p>
            <w:pPr>
              <w:pStyle w:val="Compact"/>
              <w:jc w:val="left"/>
            </w:pPr>
            <w:r>
              <w:t xml:space="preserve">sensitiviteit 82%, specificiteit 92%</w:t>
            </w:r>
          </w:p>
        </w:tc>
      </w:tr>
      <w:tr>
        <w:tc>
          <w:tcPr/>
          <w:p>
            <w:pPr>
              <w:pStyle w:val="Compact"/>
              <w:jc w:val="left"/>
            </w:pPr>
            <w:r>
              <w:t xml:space="preserve">Fase 3, studie 2 (Garcia 2018), PMID 29860473</w:t>
            </w:r>
          </w:p>
        </w:tc>
        <w:tc>
          <w:tcPr/>
          <w:p>
            <w:pPr>
              <w:pStyle w:val="Compact"/>
              <w:jc w:val="left"/>
            </w:pPr>
            <w:r>
              <w:t xml:space="preserve">volwassenen met verschillende voorafkans en gezonden; gerandomiseerde cross-overstudie tegen ITT</w:t>
            </w:r>
          </w:p>
        </w:tc>
        <w:tc>
          <w:tcPr/>
          <w:p>
            <w:pPr>
              <w:pStyle w:val="Compact"/>
              <w:jc w:val="left"/>
            </w:pPr>
            <w:r>
              <w:t xml:space="preserve">enkele tests</w:t>
            </w:r>
          </w:p>
        </w:tc>
        <w:tc>
          <w:tcPr/>
          <w:p>
            <w:pPr>
              <w:pStyle w:val="Compact"/>
              <w:jc w:val="left"/>
            </w:pPr>
            <w:r>
              <w:t xml:space="preserve">sensitiviteit 87%, specificiteit 96%; herhaalbaarheid 97%</w:t>
            </w:r>
          </w:p>
        </w:tc>
      </w:tr>
      <w:tr>
        <w:tc>
          <w:tcPr/>
          <w:p>
            <w:pPr>
              <w:pStyle w:val="Compact"/>
              <w:jc w:val="left"/>
            </w:pPr>
            <w:r>
              <w:t xml:space="preserve">QT-studie (Lissy 2021), PMID 32961034</w:t>
            </w:r>
          </w:p>
        </w:tc>
        <w:tc>
          <w:tcPr/>
          <w:p>
            <w:pPr>
              <w:pStyle w:val="Compact"/>
              <w:jc w:val="left"/>
            </w:pPr>
            <w:r>
              <w:t xml:space="preserve">60 gezonden, gerandomiseerd, placebo en moxifloxacine</w:t>
            </w:r>
          </w:p>
        </w:tc>
        <w:tc>
          <w:tcPr/>
          <w:p>
            <w:pPr>
              <w:pStyle w:val="Compact"/>
              <w:jc w:val="left"/>
            </w:pPr>
            <w:r>
              <w:t xml:space="preserve">enkele doses</w:t>
            </w:r>
          </w:p>
        </w:tc>
        <w:tc>
          <w:tcPr/>
          <w:p>
            <w:pPr>
              <w:pStyle w:val="Compact"/>
              <w:jc w:val="left"/>
            </w:pPr>
            <w:r>
              <w:t xml:space="preserve">QT-verlenging tot 9,61 ms bij te hoge dosis</w:t>
            </w:r>
          </w:p>
        </w:tc>
      </w:tr>
      <w:tr>
        <w:tc>
          <w:tcPr/>
          <w:p>
            <w:pPr>
              <w:pStyle w:val="Compact"/>
              <w:jc w:val="left"/>
            </w:pPr>
            <w:r>
              <w:t xml:space="preserve">Praktijkgegevens (Yadav 2026), PMID 41793495</w:t>
            </w:r>
          </w:p>
        </w:tc>
        <w:tc>
          <w:tcPr/>
          <w:p>
            <w:pPr>
              <w:pStyle w:val="Compact"/>
              <w:jc w:val="left"/>
            </w:pPr>
            <w:r>
              <w:t xml:space="preserve">37 personen, retrospectief</w:t>
            </w:r>
          </w:p>
        </w:tc>
        <w:tc>
          <w:tcPr/>
          <w:p>
            <w:pPr>
              <w:pStyle w:val="Compact"/>
              <w:jc w:val="left"/>
            </w:pPr>
            <w:r>
              <w:t xml:space="preserve">enkele test</w:t>
            </w:r>
          </w:p>
        </w:tc>
        <w:tc>
          <w:tcPr/>
          <w:p>
            <w:pPr>
              <w:pStyle w:val="Compact"/>
              <w:jc w:val="left"/>
            </w:pPr>
            <w:r>
              <w:t xml:space="preserve">grenswaarde beïnvloedt diagnose, vooral bij obesitas</w:t>
            </w:r>
          </w:p>
        </w:tc>
      </w:tr>
      <w:tr>
        <w:tc>
          <w:tcPr/>
          <w:p>
            <w:pPr>
              <w:pStyle w:val="Compact"/>
              <w:jc w:val="left"/>
            </w:pPr>
            <w:r>
              <w:t xml:space="preserve">Cachexie (Herodes 2023), PMID 36860137</w:t>
            </w:r>
          </w:p>
        </w:tc>
        <w:tc>
          <w:tcPr/>
          <w:p>
            <w:pPr>
              <w:pStyle w:val="Compact"/>
              <w:jc w:val="left"/>
            </w:pPr>
            <w:r>
              <w:t xml:space="preserve">15 kankerpatiënten, RCT-pilotstudie</w:t>
            </w:r>
          </w:p>
        </w:tc>
        <w:tc>
          <w:tcPr/>
          <w:p>
            <w:pPr>
              <w:pStyle w:val="Compact"/>
              <w:jc w:val="left"/>
            </w:pPr>
            <w:r>
              <w:t xml:space="preserve">1 week</w:t>
            </w:r>
          </w:p>
        </w:tc>
        <w:tc>
          <w:tcPr/>
          <w:p>
            <w:pPr>
              <w:pStyle w:val="Compact"/>
              <w:jc w:val="left"/>
            </w:pPr>
            <w:r>
              <w:t xml:space="preserve">goed verdragen, geen significant effect</w:t>
            </w:r>
          </w:p>
        </w:tc>
      </w:tr>
    </w:tbl>
    <w:bookmarkEnd w:id="1473"/>
    <w:bookmarkEnd w:id="1474"/>
    <w:bookmarkStart w:id="1477" w:name="dier--en-laboratoriumstudies-30"/>
    <w:p>
      <w:pPr>
        <w:pStyle w:val="Heading3"/>
      </w:pPr>
      <w:r>
        <w:t xml:space="preserve">Dier- en laboratoriumstudies</w:t>
      </w:r>
    </w:p>
    <w:p>
      <w:pPr>
        <w:pStyle w:val="FirstParagraph"/>
      </w:pPr>
      <w:r>
        <w:t xml:space="preserve">Bij muizen met moeilijk behandelbare epilepsie verminderde macimoreline tijdens de tweewekelijkse behandeling het aantal en de duur van de aanvallen, maar veranderde het ziekteverloop niet</w:t>
      </w:r>
      <w:r>
        <w:rPr>
          <w:rStyle w:val="FootnoteReference"/>
        </w:rPr>
        <w:footnoteReference w:id="1475"/>
      </w:r>
      <w:r>
        <w:t xml:space="preserve">. Structuuronderzoek laat zien hoe macimoreline in de ghrelinereceptor bindt</w:t>
      </w:r>
      <w:r>
        <w:rPr>
          <w:rStyle w:val="FootnoteReference"/>
        </w:rPr>
        <w:footnoteReference w:id="1476"/>
      </w:r>
      <w:r>
        <w:t xml:space="preserve">. Voor de toegelaten toepassing zijn deze publicaties niet relevant.</w:t>
      </w:r>
    </w:p>
    <w:bookmarkEnd w:id="1477"/>
    <w:bookmarkStart w:id="1482" w:name="risicos-en-bijwerkingen-30"/>
    <w:p>
      <w:pPr>
        <w:pStyle w:val="Heading3"/>
      </w:pPr>
      <w:r>
        <w:t xml:space="preserve">Risico’s en bijwerkingen</w:t>
      </w:r>
    </w:p>
    <w:p>
      <w:pPr>
        <w:pStyle w:val="FirstParagraph"/>
      </w:pPr>
      <w:r>
        <w:rPr>
          <w:bCs/>
          <w:b/>
        </w:rPr>
        <w:t xml:space="preserve">Aangetoond:</w:t>
      </w:r>
      <w:r>
        <w:t xml:space="preserve"> </w:t>
      </w:r>
      <w:r>
        <w:t xml:space="preserve">macimoreline wordt slechts eenmaal per test ingenomen; de bijwerkingen zijn dienovereenkomstig beperkt. In de registratiestudie traden geen ernstige bijwerkingen door macimoreline op</w:t>
      </w:r>
      <w:r>
        <w:rPr>
          <w:rStyle w:val="FootnoteReference"/>
        </w:rPr>
        <w:footnoteReference w:id="1478"/>
      </w:r>
      <w:r>
        <w:t xml:space="preserve">. ACTH, cortisol en prolactine stijgen tijdelijk</w:t>
      </w:r>
      <w:r>
        <w:rPr>
          <w:rStyle w:val="FootnoteReference"/>
        </w:rPr>
        <w:footnoteReference w:id="1479"/>
      </w:r>
      <w:r>
        <w:t xml:space="preserve">.</w:t>
      </w:r>
    </w:p>
    <w:p>
      <w:pPr>
        <w:pStyle w:val="BodyText"/>
      </w:pPr>
      <w:r>
        <w:rPr>
          <w:bCs/>
          <w:b/>
        </w:rPr>
        <w:t xml:space="preserve">QT-verlenging:</w:t>
      </w:r>
      <w:r>
        <w:t xml:space="preserve"> </w:t>
      </w:r>
      <w:r>
        <w:t xml:space="preserve">in een grondige ecg-studie met 60 gezonde mensen verlengde een bewust te hoge (supratherapeutische) enkele dosis de QT-tijd – een maat voor het herstel van de elektrische prikkeling van het hart – gemiddeld met maximaal 9,61 milliseconden; de bovengrens van het betrouwbaarheidsinterval overschreed de regulatoire drempel van 10 milliseconden</w:t>
      </w:r>
      <w:r>
        <w:rPr>
          <w:rStyle w:val="FootnoteReference"/>
        </w:rPr>
        <w:footnoteReference w:id="1480"/>
      </w:r>
      <w:r>
        <w:t xml:space="preserve">. Daarom is voorzichtigheid geboden bij mensen die andere QT-verlengende geneesmiddelen gebruiken. Details over contra-indicaties en interacties staan in de productinformatie; de test wordt door een arts uitgevoerd.</w:t>
      </w:r>
    </w:p>
    <w:p>
      <w:pPr>
        <w:pStyle w:val="BodyText"/>
      </w:pPr>
      <w:r>
        <w:rPr>
          <w:bCs/>
          <w:b/>
        </w:rPr>
        <w:t xml:space="preserve">Verkeerde diagnoses:</w:t>
      </w:r>
      <w:r>
        <w:t xml:space="preserve"> </w:t>
      </w:r>
      <w:r>
        <w:t xml:space="preserve">zoals elke stimulatietest kan ook de macimorelinetest fout-positieve en fout-negatieve resultaten geven, vooral bij ernstig overgewicht</w:t>
      </w:r>
      <w:r>
        <w:rPr>
          <w:rStyle w:val="FootnoteReference"/>
        </w:rPr>
        <w:footnoteReference w:id="1481"/>
      </w:r>
      <w:r>
        <w:t xml:space="preserve">.</w:t>
      </w:r>
    </w:p>
    <w:p>
      <w:pPr>
        <w:pStyle w:val="BodyText"/>
      </w:pPr>
      <w:r>
        <w:t xml:space="preserve">Een kankerrisico is bij eenmalige toediening niet te verwachten; de discussie over blijvend verhoogd IGF-1 (zie de inleiding tot deze groep) betreft macimoreline daarom niet.</w:t>
      </w:r>
    </w:p>
    <w:bookmarkEnd w:id="1482"/>
    <w:bookmarkStart w:id="1484" w:name="juridische-status-30"/>
    <w:p>
      <w:pPr>
        <w:pStyle w:val="Heading3"/>
      </w:pPr>
      <w:r>
        <w:t xml:space="preserve">Juridische status</w:t>
      </w:r>
    </w:p>
    <w:p>
      <w:pPr>
        <w:pStyle w:val="FirstParagraph"/>
      </w:pPr>
      <w:r>
        <w:rPr>
          <w:iCs/>
          <w:i/>
        </w:rPr>
        <w:t xml:space="preserve">Stand 2026, actuele situatie controleren.</w:t>
      </w:r>
    </w:p>
    <w:p>
      <w:pPr>
        <w:numPr>
          <w:ilvl w:val="0"/>
          <w:numId w:val="1173"/>
        </w:numPr>
        <w:pStyle w:val="Compact"/>
      </w:pPr>
      <w:r>
        <w:rPr>
          <w:bCs/>
          <w:b/>
        </w:rPr>
        <w:t xml:space="preserve">EU:</w:t>
      </w:r>
      <w:r>
        <w:t xml:space="preserve"> </w:t>
      </w:r>
      <w:r>
        <w:t xml:space="preserve">centraal toegelaten voor de diagnose van groeihormoontekort bij volwassenen. Of het preparaat in Duitsland en Oostenrijk daadwerkelijk in de handel is, hangt af van de distributiebeslissingen van de vergunninghouder en moet actueel worden gecontroleerd.</w:t>
      </w:r>
    </w:p>
    <w:p>
      <w:pPr>
        <w:numPr>
          <w:ilvl w:val="0"/>
          <w:numId w:val="1173"/>
        </w:numPr>
        <w:pStyle w:val="Compact"/>
      </w:pPr>
      <w:r>
        <w:rPr>
          <w:bCs/>
          <w:b/>
        </w:rPr>
        <w:t xml:space="preserve">VS:</w:t>
      </w:r>
      <w:r>
        <w:t xml:space="preserve"> </w:t>
      </w:r>
      <w:r>
        <w:t xml:space="preserve">toegelaten (Macrilen) voor dezelfde indicatie; de distributierechten zijn de afgelopen jaren van eigenaar gewisseld.</w:t>
      </w:r>
    </w:p>
    <w:p>
      <w:pPr>
        <w:numPr>
          <w:ilvl w:val="0"/>
          <w:numId w:val="1173"/>
        </w:numPr>
        <w:pStyle w:val="Compact"/>
      </w:pPr>
      <w:r>
        <w:rPr>
          <w:bCs/>
          <w:b/>
        </w:rPr>
        <w:t xml:space="preserve">Gebruik:</w:t>
      </w:r>
      <w:r>
        <w:t xml:space="preserve"> </w:t>
      </w:r>
      <w:r>
        <w:t xml:space="preserve">uitsluitend als door een arts uitgevoerde functietest volgens de productinformatie; geen therapeutische toelating.</w:t>
      </w:r>
    </w:p>
    <w:p>
      <w:pPr>
        <w:numPr>
          <w:ilvl w:val="0"/>
          <w:numId w:val="1173"/>
        </w:numPr>
        <w:pStyle w:val="Compact"/>
      </w:pPr>
      <w:r>
        <w:rPr>
          <w:bCs/>
          <w:b/>
        </w:rPr>
        <w:t xml:space="preserve">WADA:</w:t>
      </w:r>
      <w:r>
        <w:t xml:space="preserve"> </w:t>
      </w:r>
      <w:r>
        <w:t xml:space="preserve">verboden (S2). Voor dopingcontroles zijn afbraakproducten van macimoreline en verwante ghrelinemimetica gekarakteriseerd</w:t>
      </w:r>
      <w:r>
        <w:rPr>
          <w:rStyle w:val="FootnoteReference"/>
        </w:rPr>
        <w:footnoteReference w:id="1483"/>
      </w:r>
      <w:r>
        <w:t xml:space="preserve">.</w:t>
      </w:r>
    </w:p>
    <w:bookmarkEnd w:id="1484"/>
    <w:bookmarkStart w:id="1487" w:name="lopende-studies-en-vooruitzichten-30"/>
    <w:p>
      <w:pPr>
        <w:pStyle w:val="Heading3"/>
      </w:pPr>
      <w:r>
        <w:t xml:space="preserve">Lopende studies en vooruitzichten</w:t>
      </w:r>
    </w:p>
    <w:p>
      <w:pPr>
        <w:pStyle w:val="FirstParagraph"/>
      </w:pPr>
      <w:r>
        <w:rPr>
          <w:iCs/>
          <w:i/>
        </w:rPr>
        <w:t xml:space="preserve">Vast staat:</w:t>
      </w:r>
      <w:r>
        <w:t xml:space="preserve"> </w:t>
      </w:r>
      <w:r>
        <w:t xml:space="preserve">de kinderstudie DETECT</w:t>
      </w:r>
      <w:r>
        <w:rPr>
          <w:rStyle w:val="FootnoteReference"/>
        </w:rPr>
        <w:footnoteReference w:id="1485"/>
      </w:r>
      <w:r>
        <w:t xml:space="preserve"> </w:t>
      </w:r>
      <w:r>
        <w:t xml:space="preserve">is afgerond; de resultaten worden nog verwacht. Een andere studie onderzocht hoe macimoreline het hormoon copeptine beïnvloedt</w:t>
      </w:r>
      <w:r>
        <w:rPr>
          <w:rStyle w:val="FootnoteReference"/>
        </w:rPr>
        <w:footnoteReference w:id="1486"/>
      </w:r>
      <w:r>
        <w:t xml:space="preserve">.</w:t>
      </w:r>
      <w:r>
        <w:t xml:space="preserve"> </w:t>
      </w:r>
      <w:r>
        <w:rPr>
          <w:iCs/>
          <w:i/>
        </w:rPr>
        <w:t xml:space="preserve">Inschatting van de auteur:</w:t>
      </w:r>
      <w:r>
        <w:t xml:space="preserve"> </w:t>
      </w:r>
      <w:r>
        <w:t xml:space="preserve">een uitbreiding van de toelating naar kinderen zou de logische volgende stap zijn, maar hangt af van het resultaat van de DETECT-studie. Een therapeutische toepassing, bijvoorbeeld bij cachexie, is op grond van de huidige gegevens niet in zicht.</w:t>
      </w:r>
    </w:p>
    <w:bookmarkEnd w:id="1487"/>
    <w:bookmarkStart w:id="1488" w:name="conclusie-30"/>
    <w:p>
      <w:pPr>
        <w:pStyle w:val="Heading3"/>
      </w:pPr>
      <w:r>
        <w:t xml:space="preserve">Conclusie</w:t>
      </w:r>
    </w:p>
    <w:p>
      <w:pPr>
        <w:pStyle w:val="FirstParagraph"/>
      </w:pPr>
      <w:r>
        <w:t xml:space="preserve">Macimoreline is een in de VS en de EU toegelaten diagnosticum: een eenmaal gedronken test herkent een groeihormoontekort bij volwassenen ongeveer even betrouwbaar als de belastende insulinetest, met 87% sensitiviteit en 96% specificiteit in de registratiestudie. De belangrijkste bekende bijwerking is een geringe verlenging van de QT-tijd bij een te hoge dosis. Voor behandeling, spieropbouw of „anti-aging” is macimoreline noch bedoeld noch onderzocht.</w:t>
      </w:r>
    </w:p>
    <w:bookmarkEnd w:id="1488"/>
    <w:bookmarkEnd w:id="1489"/>
    <w:bookmarkStart w:id="1529" w:name="mecasermine-igf-1"/>
    <w:p>
      <w:pPr>
        <w:pStyle w:val="Heading2"/>
      </w:pPr>
      <w:r>
        <w:t xml:space="preserve">Mecasermine (IGF-1)</w:t>
      </w:r>
    </w:p>
    <w:p>
      <w:pPr>
        <w:pStyle w:val="FirstParagraph"/>
      </w:pPr>
      <w:r>
        <w:t xml:space="preserve">Mecasermine is met gentechnologie geproduceerd menselijk IGF-1 – dus de signaalstof via welke groeihormoon een groot deel van zijn werking uitoefent. Als geneesmiddel (Increlex) is het toegelaten voor een zeer zeldzame groep kinderen: kinderen van wie het lichaam weliswaar genoeg groeihormoon aanmaakt, maar er niet op reageert en daardoor nauwelijks IGF-1 produceert. Mecasermine is daarmee een zeldzaam voorbeeld van een toegelaten peptide uit deze groep – en tegelijk de werkzame stof waarbij de vraag naar hypoglykemie en kankerrisico door IGF-1 het duidelijkst speelt.</w:t>
      </w:r>
    </w:p>
    <w:bookmarkStart w:id="1490" w:name="profiel-31"/>
    <w:p>
      <w:pPr>
        <w:pStyle w:val="Heading3"/>
      </w:pPr>
      <w:r>
        <w:t xml:space="preserve">Profiel</w:t>
      </w:r>
    </w:p>
    <w:p>
      <w:pPr>
        <w:numPr>
          <w:ilvl w:val="0"/>
          <w:numId w:val="1174"/>
        </w:numPr>
        <w:pStyle w:val="Compact"/>
      </w:pPr>
      <w:r>
        <w:rPr>
          <w:bCs/>
          <w:b/>
        </w:rPr>
        <w:t xml:space="preserve">Soort en structuur:</w:t>
      </w:r>
      <w:r>
        <w:t xml:space="preserve"> </w:t>
      </w:r>
      <w:r>
        <w:t xml:space="preserve">recombinant (met gentechnologie in bacteriën geproduceerd) menselijk IGF-1 van 70 aminozuren, identiek aan het lichaamseigen hormoon.</w:t>
      </w:r>
    </w:p>
    <w:p>
      <w:pPr>
        <w:numPr>
          <w:ilvl w:val="0"/>
          <w:numId w:val="1174"/>
        </w:numPr>
        <w:pStyle w:val="Compact"/>
      </w:pPr>
      <w:r>
        <w:rPr>
          <w:bCs/>
          <w:b/>
        </w:rPr>
        <w:t xml:space="preserve">Herkomst:</w:t>
      </w:r>
      <w:r>
        <w:t xml:space="preserve"> </w:t>
      </w:r>
      <w:r>
        <w:t xml:space="preserve">IGF-1 werd in de jaren zeventig beschreven als „somatomedine”; mecasermine werd ontwikkeld door Tercica en op de markt gebracht door Ipsen, inmiddels door een andere vergunninghouder.</w:t>
      </w:r>
    </w:p>
    <w:p>
      <w:pPr>
        <w:numPr>
          <w:ilvl w:val="0"/>
          <w:numId w:val="1174"/>
        </w:numPr>
        <w:pStyle w:val="Compact"/>
      </w:pPr>
      <w:r>
        <w:rPr>
          <w:bCs/>
          <w:b/>
        </w:rPr>
        <w:t xml:space="preserve">Werkingsprincipe:</w:t>
      </w:r>
      <w:r>
        <w:t xml:space="preserve"> </w:t>
      </w:r>
      <w:r>
        <w:t xml:space="preserve">bindt aan de IGF-1-receptor en vervangt het ontbrekende IGF-1 rechtstreeks; werkt groeibevorderend, opbouwend en – in hogere dosis – bloedsuikerverlagend, vergelijkbaar met insuline.</w:t>
      </w:r>
    </w:p>
    <w:p>
      <w:pPr>
        <w:numPr>
          <w:ilvl w:val="0"/>
          <w:numId w:val="1174"/>
        </w:numPr>
        <w:pStyle w:val="Compact"/>
      </w:pPr>
      <w:r>
        <w:rPr>
          <w:bCs/>
          <w:b/>
        </w:rPr>
        <w:t xml:space="preserve">Registratie EU:</w:t>
      </w:r>
      <w:r>
        <w:t xml:space="preserve"> </w:t>
      </w:r>
      <w:r>
        <w:t xml:space="preserve">ja (Increlex) voor de langdurige behandeling van groeistoornissen bij kinderen en jongeren met ernstig primair IGF-1-tekort.</w:t>
      </w:r>
      <w:r>
        <w:t xml:space="preserve"> </w:t>
      </w:r>
      <w:r>
        <w:rPr>
          <w:bCs/>
          <w:b/>
        </w:rPr>
        <w:t xml:space="preserve">Registratie VS:</w:t>
      </w:r>
      <w:r>
        <w:t xml:space="preserve"> </w:t>
      </w:r>
      <w:r>
        <w:t xml:space="preserve">ja (Increlex), zelfde indicatie.</w:t>
      </w:r>
    </w:p>
    <w:p>
      <w:pPr>
        <w:numPr>
          <w:ilvl w:val="0"/>
          <w:numId w:val="1174"/>
        </w:numPr>
        <w:pStyle w:val="Compact"/>
      </w:pPr>
      <w:r>
        <w:rPr>
          <w:bCs/>
          <w:b/>
        </w:rPr>
        <w:t xml:space="preserve">WADA:</w:t>
      </w:r>
      <w:r>
        <w:t xml:space="preserve"> </w:t>
      </w:r>
      <w:r>
        <w:t xml:space="preserve">verboden, groep S2 (IGF-1 en zijn analogen als groeifactoren).</w:t>
      </w:r>
    </w:p>
    <w:p>
      <w:pPr>
        <w:numPr>
          <w:ilvl w:val="0"/>
          <w:numId w:val="1174"/>
        </w:numPr>
        <w:pStyle w:val="Compact"/>
      </w:pPr>
      <w:r>
        <w:rPr>
          <w:bCs/>
          <w:b/>
        </w:rPr>
        <w:t xml:space="preserve">Bewijsniveau: A</w:t>
      </w:r>
      <w:r>
        <w:t xml:space="preserve"> </w:t>
      </w:r>
      <w:r>
        <w:t xml:space="preserve">– toegelaten in de EU en de VS. Beperking: vanwege de zeldzaamheid van de aandoening berust de toelating op open langetermijnstudies en registers, niet op grote gerandomiseerde studies. Gerandomiseerde studies bestaan voor andere toepassingen, bijvoorbeeld ALS (negatief).</w:t>
      </w:r>
    </w:p>
    <w:bookmarkEnd w:id="1490"/>
    <w:bookmarkStart w:id="1492" w:name="hoe-het-zou-moeten-werken-31"/>
    <w:p>
      <w:pPr>
        <w:pStyle w:val="Heading3"/>
      </w:pPr>
      <w:r>
        <w:t xml:space="preserve">Hoe het zou moeten werken</w:t>
      </w:r>
    </w:p>
    <w:p>
      <w:pPr>
        <w:pStyle w:val="FirstParagraph"/>
      </w:pPr>
      <w:r>
        <w:t xml:space="preserve">Groeihormoon uit de hypofyse werkt vooral op de lever, die daarop IGF-1 aanmaakt. IGF-1 laat vervolgens botten in de lengte groeien en bevordert de opbouw van spier- en ander weefsel. Bij sommige kinderen is deze keten onderbroken: hun groeihormoonreceptor werkt door een genetische verandering niet, of de signaaloverdracht is verstoord. Het klassieke voorbeeld is het syndroom van Laron. Deze kinderen hebben veel groeihormoon, maar nauwelijks IGF-1, en groeihormooninjecties helpen hen niet. Zonder behandeling bereiken ze als volwassene vaak maar 120 tot 130 cm</w:t>
      </w:r>
      <w:r>
        <w:rPr>
          <w:rStyle w:val="FootnoteReference"/>
        </w:rPr>
        <w:footnoteReference w:id="1491"/>
      </w:r>
      <w:r>
        <w:t xml:space="preserve">.</w:t>
      </w:r>
    </w:p>
    <w:p>
      <w:pPr>
        <w:pStyle w:val="BodyText"/>
      </w:pPr>
      <w:r>
        <w:t xml:space="preserve">Mecasermine slaat de defecte stap over en levert IGF-1 rechtstreeks. Omdat IGF-1 op insuline lijkt, kan het de bloedsuiker verlagen – de belangrijkste bijwerking.</w:t>
      </w:r>
    </w:p>
    <w:bookmarkEnd w:id="1492"/>
    <w:bookmarkStart w:id="1508" w:name="studies-bij-mensen-3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21</w:t>
      </w:r>
      <w:r>
        <w:t xml:space="preserve"> </w:t>
      </w:r>
      <w:r>
        <w:t xml:space="preserve">studies bij mensen in PubMed (</w:t>
      </w:r>
      <w:r>
        <w:rPr>
          <w:rStyle w:val="VerbatimChar"/>
        </w:rPr>
        <w:t xml:space="preserve">humanstudien_alle</w:t>
      </w:r>
      <w:r>
        <w:t xml:space="preserve">) en</w:t>
      </w:r>
      <w:r>
        <w:t xml:space="preserve"> </w:t>
      </w:r>
      <w:r>
        <w:rPr>
          <w:bCs/>
          <w:b/>
        </w:rPr>
        <w:t xml:space="preserve">37</w:t>
      </w:r>
      <w:r>
        <w:t xml:space="preserve"> </w:t>
      </w:r>
      <w:r>
        <w:t xml:space="preserve">registraties bij ClinicalTrials.gov; enkele van deze registraties betreffen andere onderwerpen en komen alleen door de zoekterm naar voren. Daarnaast zijn er drie systematische reviews. Een gerichte aanvullende zoekopdracht leverde de belangrijke langetermijnstudies en registeranalyses voor de toegelaten indicatie op.</w:t>
      </w:r>
    </w:p>
    <w:bookmarkStart w:id="1498" w:name="X174841f3ab71b5e629d52fa59d7b31361616996"/>
    <w:p>
      <w:pPr>
        <w:pStyle w:val="Heading4"/>
      </w:pPr>
      <w:r>
        <w:t xml:space="preserve">Ernstig primair IGF-1-tekort bij kinderen</w:t>
      </w:r>
    </w:p>
    <w:p>
      <w:pPr>
        <w:pStyle w:val="FirstParagraph"/>
      </w:pPr>
      <w:r>
        <w:t xml:space="preserve">De basis voor de toelating is een tot twaalf jaar lopende, overwegend open studie met 76 kinderen met IGF-1-tekort door groeihormoonresistentie. De groeisnelheid steeg van gemiddeld 2,8 cm per jaar vóór de behandeling naar 8,0 cm in het eerste behandeljaar; in de jaren daarna daalde ze, maar bleef tot acht jaar boven de uitgangswaarde. De meest voorkomende bijwerking was hypoglykemie (bij 49% van de kinderen, al was die ook vóór het begin van de therapie al waargenomen), gevolgd door veranderingen van het vetweefsel op de injectieplaats (32%) en vergroting van amandelen en neuspoliepen (22%)</w:t>
      </w:r>
      <w:r>
        <w:rPr>
          <w:rStyle w:val="FootnoteReference"/>
        </w:rPr>
        <w:footnoteReference w:id="1493"/>
      </w:r>
      <w:r>
        <w:t xml:space="preserve">.</w:t>
      </w:r>
    </w:p>
    <w:p>
      <w:pPr>
        <w:pStyle w:val="BodyText"/>
      </w:pPr>
      <w:r>
        <w:t xml:space="preserve">Sinds 2008 verzamelt een Europees, inmiddels wereldwijd register gegevens uit de praktijk</w:t>
      </w:r>
      <w:r>
        <w:rPr>
          <w:rStyle w:val="FootnoteReference"/>
        </w:rPr>
        <w:footnoteReference w:id="1494"/>
      </w:r>
      <w:r>
        <w:t xml:space="preserve">. Bij 138 eerder onbehandelde kinderen vóór de puberteit verbeterde de lichaamslengte in het eerste jaar; kinderen met het syndroom van Laron reageerden iets beter, bij de overige gold 56% als responder. 65,3% van de kinderen had ten minste één ongewenst effect, het vaakst hypoglykemie</w:t>
      </w:r>
      <w:r>
        <w:rPr>
          <w:rStyle w:val="FootnoteReference"/>
        </w:rPr>
        <w:footnoteReference w:id="1495"/>
      </w:r>
      <w:r>
        <w:t xml:space="preserve">. 102 kinderen en jongeren die hun bijna definitieve lichaamslengte al hadden bereikt, wonnen gemiddeld 0,9 standaarddeviaties aan lengte, bij een start van de behandeling vóór de puberteit 1,4. Bijna de helft van deze vroeg behandelde kinderen bereikte een lengte binnen het normale bereik, bij het syndroom van Laron slechts 10,5%</w:t>
      </w:r>
      <w:r>
        <w:rPr>
          <w:rStyle w:val="FootnoteReference"/>
        </w:rPr>
        <w:footnoteReference w:id="1496"/>
      </w:r>
      <w:r>
        <w:t xml:space="preserve">. Ernstige hypoglykemieën waren met 0,01 voorvallen per patiënt per behandeljaar zeldzaam; vooral kinderen met het syndroom van Laron of eerdere hypoglykemieën liepen risico</w:t>
      </w:r>
      <w:r>
        <w:rPr>
          <w:rStyle w:val="FootnoteReference"/>
        </w:rPr>
        <w:footnoteReference w:id="1497"/>
      </w:r>
      <w:r>
        <w:t xml:space="preserve">.</w:t>
      </w:r>
    </w:p>
    <w:bookmarkEnd w:id="1498"/>
    <w:bookmarkStart w:id="1507" w:name="andere-toepassingen-1"/>
    <w:p>
      <w:pPr>
        <w:pStyle w:val="Heading4"/>
      </w:pPr>
      <w:r>
        <w:t xml:space="preserve">Andere toepassingen</w:t>
      </w:r>
    </w:p>
    <w:p>
      <w:pPr>
        <w:numPr>
          <w:ilvl w:val="0"/>
          <w:numId w:val="1175"/>
        </w:numPr>
        <w:pStyle w:val="Compact"/>
      </w:pPr>
      <w:r>
        <w:rPr>
          <w:bCs/>
          <w:b/>
        </w:rPr>
        <w:t xml:space="preserve">ALS:</w:t>
      </w:r>
      <w:r>
        <w:t xml:space="preserve"> </w:t>
      </w:r>
      <w:r>
        <w:t xml:space="preserve">In een fase 3-studie met 330 mensen met amyotrofische laterale sclerose leverde IGF-1 over twee jaar geen verschil op met placebo – noch in spierkracht noch in overleving zonder tracheotomie</w:t>
      </w:r>
      <w:r>
        <w:rPr>
          <w:rStyle w:val="FootnoteReference"/>
        </w:rPr>
        <w:footnoteReference w:id="1499"/>
      </w:r>
      <w:r>
        <w:t xml:space="preserve">.</w:t>
      </w:r>
    </w:p>
    <w:p>
      <w:pPr>
        <w:numPr>
          <w:ilvl w:val="0"/>
          <w:numId w:val="1175"/>
        </w:numPr>
        <w:pStyle w:val="Compact"/>
      </w:pPr>
      <w:r>
        <w:rPr>
          <w:bCs/>
          <w:b/>
        </w:rPr>
        <w:t xml:space="preserve">Duchenne-spierdystrofie:</w:t>
      </w:r>
      <w:r>
        <w:t xml:space="preserve"> </w:t>
      </w:r>
      <w:r>
        <w:t xml:space="preserve">Bij 17 behandelde jongens tegenover 21 controles groeiden de jongens gedurende zes maanden sneller (6,5 vs. 3,3 cm per jaar), maar de loopafstand in de 6-minutentest veranderde niet</w:t>
      </w:r>
      <w:r>
        <w:rPr>
          <w:rStyle w:val="FootnoteReference"/>
        </w:rPr>
        <w:footnoteReference w:id="1500"/>
      </w:r>
      <w:r>
        <w:t xml:space="preserve">.</w:t>
      </w:r>
    </w:p>
    <w:p>
      <w:pPr>
        <w:numPr>
          <w:ilvl w:val="0"/>
          <w:numId w:val="1175"/>
        </w:numPr>
        <w:pStyle w:val="Compact"/>
      </w:pPr>
      <w:r>
        <w:rPr>
          <w:bCs/>
          <w:b/>
        </w:rPr>
        <w:t xml:space="preserve">Syndroom van Rett:</w:t>
      </w:r>
      <w:r>
        <w:t xml:space="preserve"> </w:t>
      </w:r>
      <w:r>
        <w:t xml:space="preserve">Een systematische review beschrijft aanwijzingen voor behouden sociale en cognitieve vaardigheden, maar wisselende resultaten, en vraagt om grotere studies</w:t>
      </w:r>
      <w:r>
        <w:rPr>
          <w:rStyle w:val="FootnoteReference"/>
        </w:rPr>
        <w:footnoteReference w:id="1501"/>
      </w:r>
      <w:r>
        <w:t xml:space="preserve">.</w:t>
      </w:r>
    </w:p>
    <w:p>
      <w:pPr>
        <w:numPr>
          <w:ilvl w:val="0"/>
          <w:numId w:val="1175"/>
        </w:numPr>
        <w:pStyle w:val="Compact"/>
      </w:pPr>
      <w:r>
        <w:rPr>
          <w:bCs/>
          <w:b/>
        </w:rPr>
        <w:t xml:space="preserve">Te vroeg geboren baby’s:</w:t>
      </w:r>
      <w:r>
        <w:t xml:space="preserve"> </w:t>
      </w:r>
      <w:r>
        <w:t xml:space="preserve">IGF-1 samen met zijn bindingseiwit IGFBP-3 voorkwam bij 121 extreem te vroeg geboren baby’s de netvliesaandoening van prematuren niet, maar verminderde ernstige bronchopulmonale dysplasie (21,3% vs. 44,9%). Fatale ernstige voorvallen traden op bij 19,7% van de behandelde kinderen en 11,7% van de controlekinderen</w:t>
      </w:r>
      <w:r>
        <w:rPr>
          <w:rStyle w:val="FootnoteReference"/>
        </w:rPr>
        <w:footnoteReference w:id="1502"/>
      </w:r>
      <w:r>
        <w:t xml:space="preserve">. Een vervolgstudie naar de longontwikkeling loopt</w:t>
      </w:r>
      <w:r>
        <w:rPr>
          <w:rStyle w:val="FootnoteReference"/>
        </w:rPr>
        <w:footnoteReference w:id="1503"/>
      </w:r>
      <w:r>
        <w:t xml:space="preserve">.</w:t>
      </w:r>
    </w:p>
    <w:p>
      <w:pPr>
        <w:numPr>
          <w:ilvl w:val="0"/>
          <w:numId w:val="1175"/>
        </w:numPr>
        <w:pStyle w:val="Compact"/>
      </w:pPr>
      <w:r>
        <w:rPr>
          <w:bCs/>
          <w:b/>
        </w:rPr>
        <w:t xml:space="preserve">Anorexia:</w:t>
      </w:r>
      <w:r>
        <w:t xml:space="preserve"> </w:t>
      </w:r>
      <w:r>
        <w:t xml:space="preserve">Bij 90 vrouwen met anorexia nervosa verhoogde een zesmaandelijkse behandeling met IGF-1, gevolgd door een botmiddel, de botdichtheid van de wervelkolom sterker dan placebo</w:t>
      </w:r>
      <w:r>
        <w:rPr>
          <w:rStyle w:val="FootnoteReference"/>
        </w:rPr>
        <w:footnoteReference w:id="1504"/>
      </w:r>
      <w:r>
        <w:t xml:space="preserve">.</w:t>
      </w:r>
    </w:p>
    <w:p>
      <w:pPr>
        <w:numPr>
          <w:ilvl w:val="0"/>
          <w:numId w:val="1175"/>
        </w:numPr>
        <w:pStyle w:val="Compact"/>
      </w:pPr>
      <w:r>
        <w:rPr>
          <w:bCs/>
          <w:b/>
        </w:rPr>
        <w:t xml:space="preserve">Volwassenen met het syndroom van Laron:</w:t>
      </w:r>
      <w:r>
        <w:t xml:space="preserve"> </w:t>
      </w:r>
      <w:r>
        <w:t xml:space="preserve">Bij tien volwassenen nam onder acht weken IGF-1 het vetpercentage af en de vetvrije massa toe</w:t>
      </w:r>
      <w:r>
        <w:rPr>
          <w:rStyle w:val="FootnoteReference"/>
        </w:rPr>
        <w:footnoteReference w:id="1505"/>
      </w:r>
      <w:r>
        <w:t xml:space="preserve">.</w:t>
      </w:r>
    </w:p>
    <w:p>
      <w:pPr>
        <w:numPr>
          <w:ilvl w:val="0"/>
          <w:numId w:val="1175"/>
        </w:numPr>
        <w:pStyle w:val="Compact"/>
      </w:pPr>
      <w:r>
        <w:rPr>
          <w:bCs/>
          <w:b/>
        </w:rPr>
        <w:t xml:space="preserve">Sporters:</w:t>
      </w:r>
      <w:r>
        <w:t xml:space="preserve"> </w:t>
      </w:r>
      <w:r>
        <w:t xml:space="preserve">In een gerandomiseerde, dubbelblinde studie met 56 recreatiesporters gedurende 28 dagen veranderden onder IGF-1/IGFBP-3 bloedvetten en insulinewaarden</w:t>
      </w:r>
      <w:r>
        <w:rPr>
          <w:rStyle w:val="FootnoteReference"/>
        </w:rPr>
        <w:footnoteReference w:id="1506"/>
      </w:r>
      <w:r>
        <w:t xml:space="preserve">. Prestatiegegevens levert deze studie niet.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Langetermijnstudie (Chernausek 2007), PMID 17192294</w:t>
            </w:r>
          </w:p>
        </w:tc>
        <w:tc>
          <w:tcPr/>
          <w:p>
            <w:pPr>
              <w:pStyle w:val="Compact"/>
              <w:jc w:val="left"/>
            </w:pPr>
            <w:r>
              <w:t xml:space="preserve">76 kinderen met GH-resistentie, overwegend open</w:t>
            </w:r>
          </w:p>
        </w:tc>
        <w:tc>
          <w:tcPr/>
          <w:p>
            <w:pPr>
              <w:pStyle w:val="Compact"/>
              <w:jc w:val="left"/>
            </w:pPr>
            <w:r>
              <w:t xml:space="preserve">tot 12 jaar</w:t>
            </w:r>
          </w:p>
        </w:tc>
        <w:tc>
          <w:tcPr/>
          <w:p>
            <w:pPr>
              <w:pStyle w:val="Compact"/>
              <w:jc w:val="left"/>
            </w:pPr>
            <w:r>
              <w:t xml:space="preserve">groei 2,8 → 8,0 cm/jaar in het 1e jaar; hypoglykemie bij 49%</w:t>
            </w:r>
          </w:p>
        </w:tc>
      </w:tr>
      <w:tr>
        <w:tc>
          <w:tcPr/>
          <w:p>
            <w:pPr>
              <w:pStyle w:val="Compact"/>
              <w:jc w:val="left"/>
            </w:pPr>
            <w:r>
              <w:t xml:space="preserve">Register (Bang 2021), PMID 33434161</w:t>
            </w:r>
          </w:p>
        </w:tc>
        <w:tc>
          <w:tcPr/>
          <w:p>
            <w:pPr>
              <w:pStyle w:val="Compact"/>
              <w:jc w:val="left"/>
            </w:pPr>
            <w:r>
              <w:t xml:space="preserve">242 kinderen, van wie 138 onbehandeld vóór de puberteit; observationeel</w:t>
            </w:r>
          </w:p>
        </w:tc>
        <w:tc>
          <w:tcPr/>
          <w:p>
            <w:pPr>
              <w:pStyle w:val="Compact"/>
              <w:jc w:val="left"/>
            </w:pPr>
            <w:r>
              <w:t xml:space="preserve">tot 5 jaar</w:t>
            </w:r>
          </w:p>
        </w:tc>
        <w:tc>
          <w:tcPr/>
          <w:p>
            <w:pPr>
              <w:pStyle w:val="Compact"/>
              <w:jc w:val="left"/>
            </w:pPr>
            <w:r>
              <w:t xml:space="preserve">lengtetoename; 65,3% met bijwerkingen</w:t>
            </w:r>
          </w:p>
        </w:tc>
      </w:tr>
      <w:tr>
        <w:tc>
          <w:tcPr/>
          <w:p>
            <w:pPr>
              <w:pStyle w:val="Compact"/>
              <w:jc w:val="left"/>
            </w:pPr>
            <w:r>
              <w:t xml:space="preserve">Register eindlengte (Ramon-Krauel 2026), PMID 40626687</w:t>
            </w:r>
          </w:p>
        </w:tc>
        <w:tc>
          <w:tcPr/>
          <w:p>
            <w:pPr>
              <w:pStyle w:val="Compact"/>
              <w:jc w:val="left"/>
            </w:pPr>
            <w:r>
              <w:t xml:space="preserve">102 jongeren met bijna bereikte eindlengte</w:t>
            </w:r>
          </w:p>
        </w:tc>
        <w:tc>
          <w:tcPr/>
          <w:p>
            <w:pPr>
              <w:pStyle w:val="Compact"/>
              <w:jc w:val="left"/>
            </w:pPr>
            <w:r>
              <w:t xml:space="preserve">mediaan 3,9 jaar</w:t>
            </w:r>
          </w:p>
        </w:tc>
        <w:tc>
          <w:tcPr/>
          <w:p>
            <w:pPr>
              <w:pStyle w:val="Compact"/>
              <w:jc w:val="left"/>
            </w:pPr>
            <w:r>
              <w:t xml:space="preserve">+0,9 SD (vroeg behandeld +1,4 SD)</w:t>
            </w:r>
          </w:p>
        </w:tc>
      </w:tr>
      <w:tr>
        <w:tc>
          <w:tcPr/>
          <w:p>
            <w:pPr>
              <w:pStyle w:val="Compact"/>
              <w:jc w:val="left"/>
            </w:pPr>
            <w:r>
              <w:t xml:space="preserve">ALS (Sorenson 2008), PMID 19029516</w:t>
            </w:r>
          </w:p>
        </w:tc>
        <w:tc>
          <w:tcPr/>
          <w:p>
            <w:pPr>
              <w:pStyle w:val="Compact"/>
              <w:jc w:val="left"/>
            </w:pPr>
            <w:r>
              <w:t xml:space="preserve">330 personen met ALS, RCT tegen placebo</w:t>
            </w:r>
          </w:p>
        </w:tc>
        <w:tc>
          <w:tcPr/>
          <w:p>
            <w:pPr>
              <w:pStyle w:val="Compact"/>
              <w:jc w:val="left"/>
            </w:pPr>
            <w:r>
              <w:t xml:space="preserve">2 jaar</w:t>
            </w:r>
          </w:p>
        </w:tc>
        <w:tc>
          <w:tcPr/>
          <w:p>
            <w:pPr>
              <w:pStyle w:val="Compact"/>
              <w:jc w:val="left"/>
            </w:pPr>
            <w:r>
              <w:t xml:space="preserve">geen nut</w:t>
            </w:r>
          </w:p>
        </w:tc>
      </w:tr>
      <w:tr>
        <w:tc>
          <w:tcPr/>
          <w:p>
            <w:pPr>
              <w:pStyle w:val="Compact"/>
              <w:jc w:val="left"/>
            </w:pPr>
            <w:r>
              <w:t xml:space="preserve">Te vroeg geboren baby’s (Ley 2019), PMID 30471715</w:t>
            </w:r>
          </w:p>
        </w:tc>
        <w:tc>
          <w:tcPr/>
          <w:p>
            <w:pPr>
              <w:pStyle w:val="Compact"/>
              <w:jc w:val="left"/>
            </w:pPr>
            <w:r>
              <w:t xml:space="preserve">121 extreem te vroeg geboren baby’s, RCT tegen standaardbehandeling</w:t>
            </w:r>
          </w:p>
        </w:tc>
        <w:tc>
          <w:tcPr/>
          <w:p>
            <w:pPr>
              <w:pStyle w:val="Compact"/>
              <w:jc w:val="left"/>
            </w:pPr>
            <w:r>
              <w:t xml:space="preserve">tot week 40</w:t>
            </w:r>
          </w:p>
        </w:tc>
        <w:tc>
          <w:tcPr/>
          <w:p>
            <w:pPr>
              <w:pStyle w:val="Compact"/>
              <w:jc w:val="left"/>
            </w:pPr>
            <w:r>
              <w:t xml:space="preserve">geen effect op netvlies; minder ernstige BPD</w:t>
            </w:r>
          </w:p>
        </w:tc>
      </w:tr>
    </w:tbl>
    <w:bookmarkEnd w:id="1507"/>
    <w:bookmarkEnd w:id="1508"/>
    <w:bookmarkStart w:id="1511" w:name="dier--en-laboratoriumstudies-31"/>
    <w:p>
      <w:pPr>
        <w:pStyle w:val="Heading3"/>
      </w:pPr>
      <w:r>
        <w:t xml:space="preserve">Dier- en laboratoriumstudies</w:t>
      </w:r>
    </w:p>
    <w:p>
      <w:pPr>
        <w:pStyle w:val="FirstParagraph"/>
      </w:pPr>
      <w:r>
        <w:t xml:space="preserve">De effecten van IGF-1 op groei, spieren en stofwisseling zijn in dier- en celstudies zeer uitgebreid onderzocht en vormen de basis van de therapie. Belangrijk voor de veiligheidsvraag zijn celexperimenten met bloedserum van mensen met het syndroom van Laron: cellen die met dit IGF-1-arme serum werden behandeld en vervolgens aan oxidatieve stress werden blootgesteld, hadden minder DNA-breuken, en beschadigde cellen stierven vaker af</w:t>
      </w:r>
      <w:r>
        <w:rPr>
          <w:rStyle w:val="FootnoteReference"/>
        </w:rPr>
        <w:footnoteReference w:id="1509"/>
      </w:r>
      <w:r>
        <w:t xml:space="preserve">. Voegde men IGF-1 aan het serum toe, dan verdwenen deze verschillen</w:t>
      </w:r>
      <w:r>
        <w:rPr>
          <w:rStyle w:val="FootnoteReference"/>
        </w:rPr>
        <w:footnoteReference w:id="1510"/>
      </w:r>
      <w:r>
        <w:t xml:space="preserve">. IGF-1 houdt dus ook beschadigde cellen eerder in leven – een mogelijk mechanisme voor een kankerrisico.</w:t>
      </w:r>
    </w:p>
    <w:bookmarkEnd w:id="1511"/>
    <w:bookmarkStart w:id="1522" w:name="risicos-en-bijwerkingen-31"/>
    <w:p>
      <w:pPr>
        <w:pStyle w:val="Heading3"/>
      </w:pPr>
      <w:r>
        <w:t xml:space="preserve">Risico’s en bijwerkingen</w:t>
      </w:r>
    </w:p>
    <w:p>
      <w:pPr>
        <w:pStyle w:val="FirstParagraph"/>
      </w:pPr>
      <w:r>
        <w:rPr>
          <w:bCs/>
          <w:b/>
        </w:rPr>
        <w:t xml:space="preserve">Aangetoond:</w:t>
      </w:r>
    </w:p>
    <w:p>
      <w:pPr>
        <w:numPr>
          <w:ilvl w:val="0"/>
          <w:numId w:val="1176"/>
        </w:numPr>
        <w:pStyle w:val="Compact"/>
      </w:pPr>
      <w:r>
        <w:rPr>
          <w:bCs/>
          <w:b/>
        </w:rPr>
        <w:t xml:space="preserve">Hypoglykemie (te lage bloedsuiker)</w:t>
      </w:r>
      <w:r>
        <w:t xml:space="preserve"> </w:t>
      </w:r>
      <w:r>
        <w:t xml:space="preserve">– de meest voorkomende en belangrijkste bijwerking, vooral bij jonge kinderen, bij het syndroom van Laron en na eerdere hypoglykemieën</w:t>
      </w:r>
      <w:r>
        <w:rPr>
          <w:rStyle w:val="FootnoteReference"/>
        </w:rPr>
        <w:footnoteReference w:id="1512"/>
      </w:r>
      <w:r>
        <w:t xml:space="preserve">. De productinformatie schrijft daarom een nauw tijdsverband met maaltijden voor; de details staan daarin zelf.</w:t>
      </w:r>
    </w:p>
    <w:p>
      <w:pPr>
        <w:numPr>
          <w:ilvl w:val="0"/>
          <w:numId w:val="1176"/>
        </w:numPr>
        <w:pStyle w:val="Compact"/>
      </w:pPr>
      <w:r>
        <w:rPr>
          <w:bCs/>
          <w:b/>
        </w:rPr>
        <w:t xml:space="preserve">Vergroting van amandelen en neuspoliepen</w:t>
      </w:r>
      <w:r>
        <w:t xml:space="preserve"> </w:t>
      </w:r>
      <w:r>
        <w:t xml:space="preserve">(22%) en veranderingen van het vetweefsel op de injectieplaats (32%)</w:t>
      </w:r>
      <w:r>
        <w:rPr>
          <w:rStyle w:val="FootnoteReference"/>
        </w:rPr>
        <w:footnoteReference w:id="1513"/>
      </w:r>
      <w:r>
        <w:t xml:space="preserve">.</w:t>
      </w:r>
    </w:p>
    <w:p>
      <w:pPr>
        <w:numPr>
          <w:ilvl w:val="0"/>
          <w:numId w:val="1176"/>
        </w:numPr>
        <w:pStyle w:val="Compact"/>
      </w:pPr>
      <w:r>
        <w:t xml:space="preserve">In de studie bij te vroeg geboren baby’s traden onder IGF-1/IGFBP-3 in aantallen meer fatale ernstige voorvallen op dan onder standaardbehandeling</w:t>
      </w:r>
      <w:r>
        <w:rPr>
          <w:rStyle w:val="FootnoteReference"/>
        </w:rPr>
        <w:footnoteReference w:id="1514"/>
      </w:r>
      <w:r>
        <w:t xml:space="preserve">; de studie was niet opgezet om dit verschil te beoordelen.</w:t>
      </w:r>
    </w:p>
    <w:p>
      <w:pPr>
        <w:pStyle w:val="FirstParagraph"/>
      </w:pPr>
      <w:r>
        <w:rPr>
          <w:bCs/>
          <w:b/>
        </w:rPr>
        <w:t xml:space="preserve">Kankerrisico – wat aangetoond is en wat niet:</w:t>
      </w:r>
    </w:p>
    <w:p>
      <w:pPr>
        <w:pStyle w:val="BodyText"/>
      </w:pPr>
      <w:r>
        <w:t xml:space="preserve">IGF-1 is een groei- en overlevingssignaal voor cellen. De zorg dat meer IGF-1 het kankerrisico verhoogt, is daarom biologisch plausibel en wordt door meerdere soorten bevindingen ondersteund:</w:t>
      </w:r>
    </w:p>
    <w:p>
      <w:pPr>
        <w:numPr>
          <w:ilvl w:val="0"/>
          <w:numId w:val="1177"/>
        </w:numPr>
        <w:pStyle w:val="Compact"/>
      </w:pPr>
      <w:r>
        <w:rPr>
          <w:iCs/>
          <w:i/>
        </w:rPr>
        <w:t xml:space="preserve">Observationele studies:</w:t>
      </w:r>
      <w:r>
        <w:t xml:space="preserve"> </w:t>
      </w:r>
      <w:r>
        <w:t xml:space="preserve">mensen met hogere IGF-1-spiegels in het bloed krijgen iets vaker prostaatkanker en borstkanker vóór de menopauze</w:t>
      </w:r>
      <w:r>
        <w:rPr>
          <w:rStyle w:val="FootnoteReference"/>
        </w:rPr>
        <w:footnoteReference w:id="1515"/>
      </w:r>
      <w:r>
        <w:t xml:space="preserve">. In de UK Biobank ging elke verhoging met 5 nmol/l gepaard met een 11% hoger risico op borstkanker</w:t>
      </w:r>
      <w:r>
        <w:rPr>
          <w:rStyle w:val="FootnoteReference"/>
        </w:rPr>
        <w:footnoteReference w:id="1516"/>
      </w:r>
      <w:r>
        <w:t xml:space="preserve">; vergelijkbare verbanden worden gezien voor darmkanker</w:t>
      </w:r>
      <w:r>
        <w:rPr>
          <w:rStyle w:val="FootnoteReference"/>
        </w:rPr>
        <w:footnoteReference w:id="1517"/>
      </w:r>
      <w:r>
        <w:t xml:space="preserve"> </w:t>
      </w:r>
      <w:r>
        <w:t xml:space="preserve">en prostaatkanker</w:t>
      </w:r>
      <w:r>
        <w:rPr>
          <w:rStyle w:val="FootnoteReference"/>
        </w:rPr>
        <w:footnoteReference w:id="1518"/>
      </w:r>
      <w:r>
        <w:t xml:space="preserve">.</w:t>
      </w:r>
    </w:p>
    <w:p>
      <w:pPr>
        <w:numPr>
          <w:ilvl w:val="0"/>
          <w:numId w:val="1177"/>
        </w:numPr>
        <w:pStyle w:val="Compact"/>
      </w:pPr>
      <w:r>
        <w:rPr>
          <w:iCs/>
          <w:i/>
        </w:rPr>
        <w:t xml:space="preserve">Genetische analyses (mendeliaanse randomisatie):</w:t>
      </w:r>
      <w:r>
        <w:t xml:space="preserve"> </w:t>
      </w:r>
      <w:r>
        <w:t xml:space="preserve">ook mensen met genetisch bepaalde hogere IGF-1-spiegels krijgen iets vaker borst- en darmkanker – een aanwijzing dat het verband oorzakelijk zou kunnen zijn</w:t>
      </w:r>
      <w:r>
        <w:rPr>
          <w:rStyle w:val="FootnoteReference"/>
        </w:rPr>
        <w:footnoteReference w:id="1519"/>
      </w:r>
      <w:r>
        <w:t xml:space="preserve">.</w:t>
      </w:r>
    </w:p>
    <w:p>
      <w:pPr>
        <w:numPr>
          <w:ilvl w:val="0"/>
          <w:numId w:val="1177"/>
        </w:numPr>
        <w:pStyle w:val="Compact"/>
      </w:pPr>
      <w:r>
        <w:rPr>
          <w:iCs/>
          <w:i/>
        </w:rPr>
        <w:t xml:space="preserve">Het tegenbeeld:</w:t>
      </w:r>
      <w:r>
        <w:t xml:space="preserve"> </w:t>
      </w:r>
      <w:r>
        <w:t xml:space="preserve">in een Ecuadoraanse groep met het syndroom van Laron, dus met levenslang IGF-1-tekort, trad gedurende 22 jaar observatie slechts één enkele, niet-fatale kanker op, tegenover 17% bij niet-aangedane familieleden</w:t>
      </w:r>
      <w:r>
        <w:rPr>
          <w:rStyle w:val="FootnoteReference"/>
        </w:rPr>
        <w:footnoteReference w:id="1520"/>
      </w:r>
      <w:r>
        <w:t xml:space="preserve">.</w:t>
      </w:r>
    </w:p>
    <w:p>
      <w:pPr>
        <w:pStyle w:val="FirstParagraph"/>
      </w:pPr>
      <w:r>
        <w:t xml:space="preserve">Belangrijk is de orde van grootte: de gemeten risicoverhogingen bij van nature hoger IGF-1 zijn matig (afhankelijk van de vergelijking en de kankersoort meestal tussen ongeveer 5 en 65% relatief). Bij de kinderen voor wie mecasermine is toegelaten, wordt een ontbrekend hormoon vervangen, niet een normale spiegel verhoogd. Toch zijn na de markintroductie gevallen van goedaardige en kwaadaardige nieuwvormingen bij behandelde kinderen gemeld; de productinformatie in de EU en de VS werd daarop met overeenkomstige waarschuwingen aangevuld, en bij actieve of vermoede kanker mag mecasermine niet worden gebruikt (stand 2026, details zie actuele productinformatie). Of er een oorzakelijk verband bestaat, valt uit afzonderlijke meldingen niet op te helderen; het langetermijnregister</w:t>
      </w:r>
      <w:r>
        <w:rPr>
          <w:rStyle w:val="FootnoteReference"/>
        </w:rPr>
        <w:footnoteReference w:id="1521"/>
      </w:r>
      <w:r>
        <w:t xml:space="preserve"> </w:t>
      </w:r>
      <w:r>
        <w:t xml:space="preserve">moet daarover gegevens leveren.</w:t>
      </w:r>
    </w:p>
    <w:p>
      <w:pPr>
        <w:pStyle w:val="BodyText"/>
      </w:pPr>
      <w:r>
        <w:t xml:space="preserve">Voor volwassenen die IGF-1 zonder tekort gebruiken voor prestatieverbetering of „verjonging”, moeten deze overwegingen duidelijk serieuzer worden genomen: hier zou een normale spiegel blijvend worden verhoogd – precies de situatie die in de observationele studies met een hoger risico gepaard gaat. Uitvoerig wordt het onderwerp in Deel IV behandeld.</w:t>
      </w:r>
    </w:p>
    <w:bookmarkEnd w:id="1522"/>
    <w:bookmarkStart w:id="1525" w:name="juridische-status-31"/>
    <w:p>
      <w:pPr>
        <w:pStyle w:val="Heading3"/>
      </w:pPr>
      <w:r>
        <w:t xml:space="preserve">Juridische status</w:t>
      </w:r>
    </w:p>
    <w:p>
      <w:pPr>
        <w:pStyle w:val="FirstParagraph"/>
      </w:pPr>
      <w:r>
        <w:rPr>
          <w:iCs/>
          <w:i/>
        </w:rPr>
        <w:t xml:space="preserve">Stand 2026, actuele situatie controleren.</w:t>
      </w:r>
    </w:p>
    <w:p>
      <w:pPr>
        <w:numPr>
          <w:ilvl w:val="0"/>
          <w:numId w:val="1178"/>
        </w:numPr>
        <w:pStyle w:val="Compact"/>
      </w:pPr>
      <w:r>
        <w:rPr>
          <w:bCs/>
          <w:b/>
        </w:rPr>
        <w:t xml:space="preserve">EU, Duitsland, Oostenrijk:</w:t>
      </w:r>
      <w:r>
        <w:t xml:space="preserve"> </w:t>
      </w:r>
      <w:r>
        <w:t xml:space="preserve">toegelaten (Increlex) uitsluitend voor kinderen en jongeren met ernstig primair IGF-1-tekort; op recept, behandeling door artsen met ervaring in kinderendocrinologie volgens de productinformatie. De EU-toelating is gekoppeld aan de gegevensverzameling in het langetermijnregister</w:t>
      </w:r>
      <w:r>
        <w:rPr>
          <w:rStyle w:val="FootnoteReference"/>
        </w:rPr>
        <w:footnoteReference w:id="1523"/>
      </w:r>
      <w:r>
        <w:t xml:space="preserve">.</w:t>
      </w:r>
    </w:p>
    <w:p>
      <w:pPr>
        <w:numPr>
          <w:ilvl w:val="0"/>
          <w:numId w:val="1178"/>
        </w:numPr>
        <w:pStyle w:val="Compact"/>
      </w:pPr>
      <w:r>
        <w:rPr>
          <w:bCs/>
          <w:b/>
        </w:rPr>
        <w:t xml:space="preserve">VS:</w:t>
      </w:r>
      <w:r>
        <w:t xml:space="preserve"> </w:t>
      </w:r>
      <w:r>
        <w:t xml:space="preserve">toegelaten (Increlex) voor dezelfde indicatie.</w:t>
      </w:r>
    </w:p>
    <w:p>
      <w:pPr>
        <w:numPr>
          <w:ilvl w:val="0"/>
          <w:numId w:val="1178"/>
        </w:numPr>
        <w:pStyle w:val="Compact"/>
      </w:pPr>
      <w:r>
        <w:rPr>
          <w:bCs/>
          <w:b/>
        </w:rPr>
        <w:t xml:space="preserve">Andere toepassingen</w:t>
      </w:r>
      <w:r>
        <w:t xml:space="preserve"> </w:t>
      </w:r>
      <w:r>
        <w:t xml:space="preserve">(volwassenen, sport, anti-aging) zijn niet toegelaten.</w:t>
      </w:r>
    </w:p>
    <w:p>
      <w:pPr>
        <w:numPr>
          <w:ilvl w:val="0"/>
          <w:numId w:val="1178"/>
        </w:numPr>
        <w:pStyle w:val="Compact"/>
      </w:pPr>
      <w:r>
        <w:rPr>
          <w:bCs/>
          <w:b/>
        </w:rPr>
        <w:t xml:space="preserve">WADA:</w:t>
      </w:r>
      <w:r>
        <w:t xml:space="preserve"> </w:t>
      </w:r>
      <w:r>
        <w:t xml:space="preserve">verboden (S2). Voor de opsporing van IGF-1-misbruik worden markermethoden ontwikkeld, vergelijkbaar met de groeihormoontest</w:t>
      </w:r>
      <w:r>
        <w:rPr>
          <w:rStyle w:val="FootnoteReference"/>
        </w:rPr>
        <w:footnoteReference w:id="1524"/>
      </w:r>
      <w:r>
        <w:t xml:space="preserve">.</w:t>
      </w:r>
    </w:p>
    <w:bookmarkEnd w:id="1525"/>
    <w:bookmarkStart w:id="1527" w:name="lopende-studies-en-vooruitzichten-31"/>
    <w:p>
      <w:pPr>
        <w:pStyle w:val="Heading3"/>
      </w:pPr>
      <w:r>
        <w:t xml:space="preserve">Lopende studies en vooruitzichten</w:t>
      </w:r>
    </w:p>
    <w:p>
      <w:pPr>
        <w:pStyle w:val="FirstParagraph"/>
      </w:pPr>
      <w:r>
        <w:rPr>
          <w:iCs/>
          <w:i/>
        </w:rPr>
        <w:t xml:space="preserve">Vast staat:</w:t>
      </w:r>
      <w:r>
        <w:t xml:space="preserve"> </w:t>
      </w:r>
      <w:r>
        <w:t xml:space="preserve">het wereldwijde Increlex-register</w:t>
      </w:r>
      <w:r>
        <w:rPr>
          <w:rStyle w:val="FootnoteReference"/>
        </w:rPr>
        <w:footnoteReference w:id="1526"/>
      </w:r>
      <w:r>
        <w:t xml:space="preserve"> </w:t>
      </w:r>
      <w:r>
        <w:t xml:space="preserve">loopt volgens de registratie tot eind 2027. Een fase 2-studie met IGF-1/IGFBP-3 ter preventie van bronchopulmonale dysplasie bij extreem te vroeg geboren baby’s (NCT03253263, 295 kinderen) is actief, maar werft niet meer.</w:t>
      </w:r>
      <w:r>
        <w:t xml:space="preserve"> </w:t>
      </w:r>
      <w:r>
        <w:rPr>
          <w:iCs/>
          <w:i/>
        </w:rPr>
        <w:t xml:space="preserve">Inschatting van de auteur:</w:t>
      </w:r>
      <w:r>
        <w:t xml:space="preserve"> </w:t>
      </w:r>
      <w:r>
        <w:t xml:space="preserve">nieuwe toelatingen voor volwassenen zijn niet in zicht; de betekenis van mecasermine zal beperkt blijven tot zeldzame groeistoornissen en eventueel de neonatologie.</w:t>
      </w:r>
    </w:p>
    <w:bookmarkEnd w:id="1527"/>
    <w:bookmarkStart w:id="1528" w:name="conclusie-31"/>
    <w:p>
      <w:pPr>
        <w:pStyle w:val="Heading3"/>
      </w:pPr>
      <w:r>
        <w:t xml:space="preserve">Conclusie</w:t>
      </w:r>
    </w:p>
    <w:p>
      <w:pPr>
        <w:pStyle w:val="FirstParagraph"/>
      </w:pPr>
      <w:r>
        <w:t xml:space="preserve">Mecasermine vervangt het ontbrekende IGF-1 bij kinderen met ernstig primair IGF-1-tekort en verbetert hun groei duidelijk, vooral bij een vroege start van de behandeling. De meest voorkomende bijwerking is hypoglykemie; na meldingen van nieuwvormingen zijn de waarschuwingen aangescherpt. Bij andere toepassingen, zoals ALS, leverde IGF-1 geen nut op. Voor gezonde mensen is gebruik noch onderbouwd noch verantwoord, omdat blijvend verhoogd IGF-1 in grote observationele en genetische studies gepaard gaat met een iets hoger kankerrisico.</w:t>
      </w:r>
    </w:p>
    <w:bookmarkEnd w:id="1528"/>
    <w:bookmarkEnd w:id="1529"/>
    <w:bookmarkStart w:id="1559" w:name="igf-1-lr3"/>
    <w:p>
      <w:pPr>
        <w:pStyle w:val="Heading2"/>
      </w:pPr>
      <w:r>
        <w:t xml:space="preserve">IGF-1 LR3</w:t>
      </w:r>
    </w:p>
    <w:p>
      <w:pPr>
        <w:pStyle w:val="FirstParagraph"/>
      </w:pPr>
      <w:r>
        <w:t xml:space="preserve">IGF-1 LR3 (voluit „Long-R3-IGF-I”) is geen geneesmiddel, maar een laboratoriumreagens. Het werd ontwikkeld om celkweken in de biotechnologie beter te laten groeien, en wordt gebruikt in dierproeven. Dat het op internet in flesjes voor injectie wordt verkocht, is een schoolvoorbeeld van de „research peptide”-markt: een stof die nooit voor mensen bedoeld was, nooit bij mensen is getest en waarvan de eigenschappen precies de risico’s versterken die bij het natuurlijke IGF-1 zorgen baren.</w:t>
      </w:r>
    </w:p>
    <w:bookmarkStart w:id="1531" w:name="profiel-32"/>
    <w:p>
      <w:pPr>
        <w:pStyle w:val="Heading3"/>
      </w:pPr>
      <w:r>
        <w:t xml:space="preserve">Profiel</w:t>
      </w:r>
    </w:p>
    <w:p>
      <w:pPr>
        <w:numPr>
          <w:ilvl w:val="0"/>
          <w:numId w:val="1179"/>
        </w:numPr>
        <w:pStyle w:val="Compact"/>
      </w:pPr>
      <w:r>
        <w:rPr>
          <w:bCs/>
          <w:b/>
        </w:rPr>
        <w:t xml:space="preserve">Soort en structuur:</w:t>
      </w:r>
      <w:r>
        <w:t xml:space="preserve"> </w:t>
      </w:r>
      <w:r>
        <w:t xml:space="preserve">gewijzigd menselijk IGF-1: op positie 3 staat het aminozuur arginine („R3”), en aan het begin is een extra aminozuurketen toegevoegd („Long”). Beide verminderen de binding aan de IGF-bindingseiwitten sterk</w:t>
      </w:r>
      <w:r>
        <w:rPr>
          <w:rStyle w:val="FootnoteReference"/>
        </w:rPr>
        <w:footnoteReference w:id="1530"/>
      </w:r>
      <w:r>
        <w:t xml:space="preserve">.</w:t>
      </w:r>
    </w:p>
    <w:p>
      <w:pPr>
        <w:numPr>
          <w:ilvl w:val="0"/>
          <w:numId w:val="1179"/>
        </w:numPr>
        <w:pStyle w:val="Compact"/>
      </w:pPr>
      <w:r>
        <w:rPr>
          <w:bCs/>
          <w:b/>
        </w:rPr>
        <w:t xml:space="preserve">Herkomst:</w:t>
      </w:r>
      <w:r>
        <w:t xml:space="preserve"> </w:t>
      </w:r>
      <w:r>
        <w:t xml:space="preserve">begin jaren negentig beschreven als onderzoeksinstrument; tegenwoordig commercieel verkrijgbaar als toevoeging aan voedingsmedia voor celkweek.</w:t>
      </w:r>
    </w:p>
    <w:p>
      <w:pPr>
        <w:numPr>
          <w:ilvl w:val="0"/>
          <w:numId w:val="1179"/>
        </w:numPr>
        <w:pStyle w:val="Compact"/>
      </w:pPr>
      <w:r>
        <w:rPr>
          <w:bCs/>
          <w:b/>
        </w:rPr>
        <w:t xml:space="preserve">Werkingsprincipe:</w:t>
      </w:r>
      <w:r>
        <w:t xml:space="preserve"> </w:t>
      </w:r>
      <w:r>
        <w:t xml:space="preserve">bindt net als IGF-1 aan de IGF-1-receptor; omdat het nauwelijks door bindingseiwitten wordt weggevangen, is het in het bloed overwegend vrij en daarmee direct werkzaam aanwezig.</w:t>
      </w:r>
    </w:p>
    <w:p>
      <w:pPr>
        <w:numPr>
          <w:ilvl w:val="0"/>
          <w:numId w:val="1179"/>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Nergens als geneesmiddel toegelaten of ooit aangevraagd.</w:t>
      </w:r>
    </w:p>
    <w:p>
      <w:pPr>
        <w:numPr>
          <w:ilvl w:val="0"/>
          <w:numId w:val="1179"/>
        </w:numPr>
        <w:pStyle w:val="Compact"/>
      </w:pPr>
      <w:r>
        <w:rPr>
          <w:bCs/>
          <w:b/>
        </w:rPr>
        <w:t xml:space="preserve">WADA:</w:t>
      </w:r>
      <w:r>
        <w:t xml:space="preserve"> </w:t>
      </w:r>
      <w:r>
        <w:t xml:space="preserve">verboden, groep S2 (IGF-1-analogen als groeifactoren).</w:t>
      </w:r>
    </w:p>
    <w:p>
      <w:pPr>
        <w:numPr>
          <w:ilvl w:val="0"/>
          <w:numId w:val="1179"/>
        </w:numPr>
        <w:pStyle w:val="Compact"/>
      </w:pPr>
      <w:r>
        <w:rPr>
          <w:bCs/>
          <w:b/>
        </w:rPr>
        <w:t xml:space="preserve">Bewijsniveau: D</w:t>
      </w:r>
      <w:r>
        <w:t xml:space="preserve"> </w:t>
      </w:r>
      <w:r>
        <w:t xml:space="preserve">– niet één studie bij mensen; alleen dier- en laboratoriumstudies.</w:t>
      </w:r>
    </w:p>
    <w:bookmarkEnd w:id="1531"/>
    <w:bookmarkStart w:id="1535" w:name="hoe-het-zou-moeten-werken-32"/>
    <w:p>
      <w:pPr>
        <w:pStyle w:val="Heading3"/>
      </w:pPr>
      <w:r>
        <w:t xml:space="preserve">Hoe het zou moeten werken</w:t>
      </w:r>
    </w:p>
    <w:p>
      <w:pPr>
        <w:pStyle w:val="FirstParagraph"/>
      </w:pPr>
      <w:r>
        <w:t xml:space="preserve">In het bloed is bijna al het IGF-1 gekoppeld aan bindingseiwitten, vooral aan IGFBP-3. Deze eiwitten werken als een buffer: ze verlengen de levensduur van IGF-1, maar houden het ook weg van de cellen en dempen zo de werking ervan. In celexperimenten remde IGFBP-3 de activering van de IGF-1-receptor door IGF-1 en ook door Long-R3-IGF-I, doordat het de signaalstoffen wegvangt</w:t>
      </w:r>
      <w:r>
        <w:rPr>
          <w:rStyle w:val="FootnoteReference"/>
        </w:rPr>
        <w:footnoteReference w:id="1532"/>
      </w:r>
      <w:r>
        <w:t xml:space="preserve">.</w:t>
      </w:r>
    </w:p>
    <w:p>
      <w:pPr>
        <w:pStyle w:val="BodyText"/>
      </w:pPr>
      <w:r>
        <w:t xml:space="preserve">LR3 werd zo veranderd dat het grotendeels aan deze buffer ontsnapt. Bij ratten was het in het bloed overwegend als vrij peptide aanwezig en werd het – bij niet-drachtige dieren – ongeveer tien keer sneller uit het bloed verwijderd dan IGF-1 – het verdwijnt dus snel naar de weefsels</w:t>
      </w:r>
      <w:r>
        <w:rPr>
          <w:rStyle w:val="FootnoteReference"/>
        </w:rPr>
        <w:footnoteReference w:id="1533"/>
      </w:r>
      <w:r>
        <w:t xml:space="preserve">. Bij diabetische ratten was het 2,5 tot 3 keer zo werkzaam als IGF-1 bij het herstellen van de groei</w:t>
      </w:r>
      <w:r>
        <w:rPr>
          <w:rStyle w:val="FootnoteReference"/>
        </w:rPr>
        <w:footnoteReference w:id="1534"/>
      </w:r>
      <w:r>
        <w:t xml:space="preserve">. Op de grijze markt wordt daaruit de verwachting afgeleid dat LR3 bij mensen sterker spieren opbouwt dan natuurlijk IGF-1. Bewijs daarvoor is er niet.</w:t>
      </w:r>
    </w:p>
    <w:bookmarkEnd w:id="1535"/>
    <w:bookmarkStart w:id="1539" w:name="studies-bij-mensen-3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geen</w:t>
      </w:r>
      <w:r>
        <w:t xml:space="preserve"> </w:t>
      </w:r>
      <w:r>
        <w:t xml:space="preserve">studie bij mensen in PubMed (</w:t>
      </w:r>
      <w:r>
        <w:rPr>
          <w:rStyle w:val="VerbatimChar"/>
        </w:rPr>
        <w:t xml:space="preserve">humanstudien_alle</w:t>
      </w:r>
      <w:r>
        <w:t xml:space="preserve">: 0) en</w:t>
      </w:r>
      <w:r>
        <w:t xml:space="preserve"> </w:t>
      </w:r>
      <w:r>
        <w:rPr>
          <w:bCs/>
          <w:b/>
        </w:rPr>
        <w:t xml:space="preserve">geen</w:t>
      </w:r>
      <w:r>
        <w:t xml:space="preserve"> </w:t>
      </w:r>
      <w:r>
        <w:t xml:space="preserve">registratie bij ClinicalTrials.gov. Ook een gerichte aanvullende zoekopdracht naar pilotstudies, casusbeschrijvingen van vergiftigingen of bijwerkingen leverde geen publicatie op waarin mensen IGF-1 LR3 hebben gekregen.</w:t>
      </w:r>
    </w:p>
    <w:p>
      <w:pPr>
        <w:pStyle w:val="BodyText"/>
      </w:pPr>
      <w:r>
        <w:t xml:space="preserve">Gevonden werden alleen:</w:t>
      </w:r>
    </w:p>
    <w:p>
      <w:pPr>
        <w:numPr>
          <w:ilvl w:val="0"/>
          <w:numId w:val="1180"/>
        </w:numPr>
        <w:pStyle w:val="Compact"/>
      </w:pPr>
      <w:r>
        <w:rPr>
          <w:bCs/>
          <w:b/>
        </w:rPr>
        <w:t xml:space="preserve">Analyses van grijze-marktproducten:</w:t>
      </w:r>
      <w:r>
        <w:t xml:space="preserve"> </w:t>
      </w:r>
      <w:r>
        <w:t xml:space="preserve">Een dopinglaboratorium vond in een injectieflacon van de zwarte markt Long-R3-IGF-I met een zogeheten His-tag – een aanhangsel van zes histidinebouwstenen dat bij de productie van laboratoriumeiwitten voor zuivering wordt gebruikt. De auteurs vermoeden dat het een bijproduct uit biochemisch onderzoek betrof, niet een voor injectie geproduceerd preparaat; de werking van deze variant bij mensen is volledig onbekend</w:t>
      </w:r>
      <w:r>
        <w:rPr>
          <w:rStyle w:val="FootnoteReference"/>
        </w:rPr>
        <w:footnoteReference w:id="1536"/>
      </w:r>
      <w:r>
        <w:t xml:space="preserve">. Een andere onderzoeksgroep vond in zwartemarktproducten talrijke aanwijzingen voor inferieure, geoxideerde peptidevormen</w:t>
      </w:r>
      <w:r>
        <w:rPr>
          <w:rStyle w:val="FootnoteReference"/>
        </w:rPr>
        <w:footnoteReference w:id="1537"/>
      </w:r>
      <w:r>
        <w:t xml:space="preserve">.</w:t>
      </w:r>
    </w:p>
    <w:p>
      <w:pPr>
        <w:numPr>
          <w:ilvl w:val="0"/>
          <w:numId w:val="1180"/>
        </w:numPr>
        <w:pStyle w:val="Compact"/>
      </w:pPr>
      <w:r>
        <w:rPr>
          <w:bCs/>
          <w:b/>
        </w:rPr>
        <w:t xml:space="preserve">Overzichten over doping:</w:t>
      </w:r>
      <w:r>
        <w:t xml:space="preserve"> </w:t>
      </w:r>
      <w:r>
        <w:t xml:space="preserve">IGF-1 en zijn analogen worden op internet aangeprezen en zijn al jaren op de zwarte markt verkrijgbaar</w:t>
      </w:r>
      <w:r>
        <w:rPr>
          <w:rStyle w:val="FootnoteReference"/>
        </w:rPr>
        <w:footnoteReference w:id="1538"/>
      </w:r>
      <w:r>
        <w:t xml:space="preserve">.</w:t>
      </w:r>
    </w:p>
    <w:bookmarkEnd w:id="1539"/>
    <w:bookmarkStart w:id="1547" w:name="dier--en-laboratoriumstudies-32"/>
    <w:p>
      <w:pPr>
        <w:pStyle w:val="Heading3"/>
      </w:pPr>
      <w:r>
        <w:t xml:space="preserve">Dier- en laboratoriumstudies</w:t>
      </w:r>
    </w:p>
    <w:p>
      <w:pPr>
        <w:pStyle w:val="FirstParagraph"/>
      </w:pPr>
      <w:r>
        <w:t xml:space="preserve">Bijna al het onderzoek naar LR3 komt uit de landbouwhuisdier- en ontwikkelingsbiologie:</w:t>
      </w:r>
    </w:p>
    <w:p>
      <w:pPr>
        <w:numPr>
          <w:ilvl w:val="0"/>
          <w:numId w:val="1181"/>
        </w:numPr>
        <w:pStyle w:val="Compact"/>
      </w:pPr>
      <w:r>
        <w:rPr>
          <w:bCs/>
          <w:b/>
        </w:rPr>
        <w:t xml:space="preserve">Ratten:</w:t>
      </w:r>
      <w:r>
        <w:t xml:space="preserve"> </w:t>
      </w:r>
      <w:r>
        <w:t xml:space="preserve">snelle verdeling naar de weefsels, overwegend als vrij peptide</w:t>
      </w:r>
      <w:r>
        <w:rPr>
          <w:rStyle w:val="FootnoteReference"/>
        </w:rPr>
        <w:footnoteReference w:id="1540"/>
      </w:r>
      <w:r>
        <w:t xml:space="preserve">; sterker groei-effect dan IGF-1 bij diabetische ratten, zonder de suikeruitscheiding in de urine te verlagen</w:t>
      </w:r>
      <w:r>
        <w:rPr>
          <w:rStyle w:val="FootnoteReference"/>
        </w:rPr>
        <w:footnoteReference w:id="1541"/>
      </w:r>
      <w:r>
        <w:t xml:space="preserve">.</w:t>
      </w:r>
    </w:p>
    <w:p>
      <w:pPr>
        <w:numPr>
          <w:ilvl w:val="0"/>
          <w:numId w:val="1181"/>
        </w:numPr>
        <w:pStyle w:val="Compact"/>
      </w:pPr>
      <w:r>
        <w:rPr>
          <w:bCs/>
          <w:b/>
        </w:rPr>
        <w:t xml:space="preserve">Varkens:</w:t>
      </w:r>
      <w:r>
        <w:t xml:space="preserve"> </w:t>
      </w:r>
      <w:r>
        <w:t xml:space="preserve">Een infuus van vier dagen</w:t>
      </w:r>
      <w:r>
        <w:t xml:space="preserve"> </w:t>
      </w:r>
      <w:r>
        <w:rPr>
          <w:bCs/>
          <w:b/>
        </w:rPr>
        <w:t xml:space="preserve">verminderde</w:t>
      </w:r>
      <w:r>
        <w:t xml:space="preserve"> </w:t>
      </w:r>
      <w:r>
        <w:t xml:space="preserve">bij mestvarkens de gewichtstoename en de voeropname en onderdrukte de lichaamseigen spiegels van groeihormoon, IGF-1, IGFBP-3 en insuline</w:t>
      </w:r>
      <w:r>
        <w:rPr>
          <w:rStyle w:val="FootnoteReference"/>
        </w:rPr>
        <w:footnoteReference w:id="1542"/>
      </w:r>
      <w:r>
        <w:t xml:space="preserve">.</w:t>
      </w:r>
    </w:p>
    <w:p>
      <w:pPr>
        <w:numPr>
          <w:ilvl w:val="0"/>
          <w:numId w:val="1181"/>
        </w:numPr>
        <w:pStyle w:val="Compact"/>
      </w:pPr>
      <w:r>
        <w:rPr>
          <w:bCs/>
          <w:b/>
        </w:rPr>
        <w:t xml:space="preserve">Cavia’s:</w:t>
      </w:r>
      <w:r>
        <w:t xml:space="preserve"> </w:t>
      </w:r>
      <w:r>
        <w:t xml:space="preserve">Organen zoals darm, nieren, milt en bijnieren werden zwaarder, maar de lichaamsgroei als geheel nam niet toe</w:t>
      </w:r>
      <w:r>
        <w:rPr>
          <w:rStyle w:val="FootnoteReference"/>
        </w:rPr>
        <w:footnoteReference w:id="1543"/>
      </w:r>
      <w:r>
        <w:t xml:space="preserve">.</w:t>
      </w:r>
    </w:p>
    <w:p>
      <w:pPr>
        <w:numPr>
          <w:ilvl w:val="0"/>
          <w:numId w:val="1181"/>
        </w:numPr>
        <w:pStyle w:val="Compact"/>
      </w:pPr>
      <w:r>
        <w:rPr>
          <w:bCs/>
          <w:b/>
        </w:rPr>
        <w:t xml:space="preserve">Schapenfoetussen:</w:t>
      </w:r>
      <w:r>
        <w:t xml:space="preserve"> </w:t>
      </w:r>
      <w:r>
        <w:t xml:space="preserve">Bij normaal groeiende foetussen verlaagde LR3 de insulineafgifte; een kort infuus verminderde de insulinespiegels bij glucosebelasting met 66%</w:t>
      </w:r>
      <w:r>
        <w:rPr>
          <w:rStyle w:val="FootnoteReference"/>
        </w:rPr>
        <w:footnoteReference w:id="1544"/>
      </w:r>
      <w:r>
        <w:t xml:space="preserve">. Bij groeivertraagde foetussen verbeterde een behandeling van een week de groei niet</w:t>
      </w:r>
      <w:r>
        <w:rPr>
          <w:rStyle w:val="FootnoteReference"/>
        </w:rPr>
        <w:footnoteReference w:id="1545"/>
      </w:r>
      <w:r>
        <w:t xml:space="preserve">.</w:t>
      </w:r>
    </w:p>
    <w:p>
      <w:pPr>
        <w:numPr>
          <w:ilvl w:val="0"/>
          <w:numId w:val="1181"/>
        </w:numPr>
        <w:pStyle w:val="Compact"/>
      </w:pPr>
      <w:r>
        <w:rPr>
          <w:bCs/>
          <w:b/>
        </w:rPr>
        <w:t xml:space="preserve">Muizen:</w:t>
      </w:r>
      <w:r>
        <w:t xml:space="preserve"> </w:t>
      </w:r>
      <w:r>
        <w:t xml:space="preserve">In een alzheimermodel veranderde LR3 als neusspray de amyloïdafzettingen, maar voorkwam het geheugenverlies niet</w:t>
      </w:r>
      <w:r>
        <w:rPr>
          <w:rStyle w:val="FootnoteReference"/>
        </w:rPr>
        <w:footnoteReference w:id="1546"/>
      </w:r>
      <w:r>
        <w:t xml:space="preserve">.</w:t>
      </w:r>
    </w:p>
    <w:p>
      <w:pPr>
        <w:pStyle w:val="FirstParagraph"/>
      </w:pPr>
      <w:r>
        <w:t xml:space="preserve">De dierdata zijn tegenstrijdig: afhankelijk van de diersoort werkte LR3 groeibevorderend, werkingsloos of zelfs groeiremmend. Een vertaling naar de mens is niet mogelijk.</w:t>
      </w:r>
    </w:p>
    <w:bookmarkEnd w:id="1547"/>
    <w:bookmarkStart w:id="1554" w:name="risicos-en-bijwerkingen-32"/>
    <w:p>
      <w:pPr>
        <w:pStyle w:val="Heading3"/>
      </w:pPr>
      <w:r>
        <w:t xml:space="preserve">Risico’s en bijwerkingen</w:t>
      </w:r>
    </w:p>
    <w:p>
      <w:pPr>
        <w:pStyle w:val="FirstParagraph"/>
      </w:pPr>
      <w:r>
        <w:t xml:space="preserve">Omdat er geen studies bij mensen zijn, kunnen de risico’s alleen worden afgeleid uit de biologie en uit ervaringen met het natuurlijke IGF-1 (mecasermine). Deze afleidingen zijn</w:t>
      </w:r>
      <w:r>
        <w:t xml:space="preserve"> </w:t>
      </w:r>
      <w:r>
        <w:rPr>
          <w:bCs/>
          <w:b/>
        </w:rPr>
        <w:t xml:space="preserve">theoretisch</w:t>
      </w:r>
      <w:r>
        <w:t xml:space="preserve">, maar goed onderbouwd:</w:t>
      </w:r>
    </w:p>
    <w:p>
      <w:pPr>
        <w:numPr>
          <w:ilvl w:val="0"/>
          <w:numId w:val="1182"/>
        </w:numPr>
        <w:pStyle w:val="Compact"/>
      </w:pPr>
      <w:r>
        <w:rPr>
          <w:bCs/>
          <w:b/>
        </w:rPr>
        <w:t xml:space="preserve">Hypoglykemie (te lage bloedsuiker):</w:t>
      </w:r>
      <w:r>
        <w:t xml:space="preserve"> </w:t>
      </w:r>
      <w:r>
        <w:t xml:space="preserve">IGF-1 werkt in hogere dosis vergelijkbaar met insuline. Bij het toegelaten mecasermine is hypoglykemie de meest voorkomende bijwerking, hoewel daar de buffer van de bindingseiwitten grotendeels behouden blijft</w:t>
      </w:r>
      <w:r>
        <w:rPr>
          <w:rStyle w:val="FootnoteReference"/>
        </w:rPr>
        <w:footnoteReference w:id="1548"/>
      </w:r>
      <w:r>
        <w:t xml:space="preserve">. Een analoog dat gericht aan deze buffer ontsnapt, zou sterker en minder voorspelbaar kunnen werken. Bij mensen is dat niet gemeten. In de dierproeven daalden deels de insulinespiegels</w:t>
      </w:r>
      <w:r>
        <w:rPr>
          <w:rStyle w:val="FootnoteReference"/>
        </w:rPr>
        <w:footnoteReference w:id="1549"/>
      </w:r>
      <w:r>
        <w:t xml:space="preserve">, wat de regeling van de bloedsuiker bijkomend zou kunnen veranderen.</w:t>
      </w:r>
    </w:p>
    <w:p>
      <w:pPr>
        <w:numPr>
          <w:ilvl w:val="0"/>
          <w:numId w:val="1182"/>
        </w:numPr>
        <w:pStyle w:val="Compact"/>
      </w:pPr>
      <w:r>
        <w:rPr>
          <w:bCs/>
          <w:b/>
        </w:rPr>
        <w:t xml:space="preserve">Groei van organen en weefsel:</w:t>
      </w:r>
      <w:r>
        <w:t xml:space="preserve"> </w:t>
      </w:r>
      <w:r>
        <w:t xml:space="preserve">Bij cavia’s werden inwendige organen groter</w:t>
      </w:r>
      <w:r>
        <w:rPr>
          <w:rStyle w:val="FootnoteReference"/>
        </w:rPr>
        <w:footnoteReference w:id="1550"/>
      </w:r>
      <w:r>
        <w:t xml:space="preserve">. Bij mensen is onduidelijk of iets vergelijkbaars gebeurt.</w:t>
      </w:r>
    </w:p>
    <w:p>
      <w:pPr>
        <w:numPr>
          <w:ilvl w:val="0"/>
          <w:numId w:val="1182"/>
        </w:numPr>
        <w:pStyle w:val="Compact"/>
      </w:pPr>
      <w:r>
        <w:rPr>
          <w:bCs/>
          <w:b/>
        </w:rPr>
        <w:t xml:space="preserve">Kankertheorie:</w:t>
      </w:r>
      <w:r>
        <w:t xml:space="preserve"> </w:t>
      </w:r>
      <w:r>
        <w:t xml:space="preserve">IGF-1 bevordert celdeling en celoverleving. Hogere IGF-1-spiegels gaan in grote observationele en genetische studies gepaard met een iets hoger risico op borst- en prostaatkanker</w:t>
      </w:r>
      <w:r>
        <w:rPr>
          <w:rStyle w:val="FootnoteReference"/>
        </w:rPr>
        <w:footnoteReference w:id="1551"/>
      </w:r>
      <w:r>
        <w:t xml:space="preserve">, en mensen met aangeboren IGF-1-tekort krijgen opvallend zelden kanker</w:t>
      </w:r>
      <w:r>
        <w:rPr>
          <w:rStyle w:val="FootnoteReference"/>
        </w:rPr>
        <w:footnoteReference w:id="1552"/>
      </w:r>
      <w:r>
        <w:t xml:space="preserve">. Een analoog dat sterker en ongebufferd op de IGF-1-receptor werkt, versterkt precies deze signaalroute. Of dat bij mensen het kankerrisico meetbaar verhoogt, is niet onderzocht – en zal bij gebrek aan studies ook niet worden onderzocht. De zorg berust op plausibiliteit, niet op casusbeschrijvingen.</w:t>
      </w:r>
    </w:p>
    <w:p>
      <w:pPr>
        <w:numPr>
          <w:ilvl w:val="0"/>
          <w:numId w:val="1182"/>
        </w:numPr>
        <w:pStyle w:val="Compact"/>
      </w:pPr>
      <w:r>
        <w:rPr>
          <w:bCs/>
          <w:b/>
        </w:rPr>
        <w:t xml:space="preserve">Productkwaliteit:</w:t>
      </w:r>
      <w:r>
        <w:t xml:space="preserve"> </w:t>
      </w:r>
      <w:r>
        <w:t xml:space="preserve">De gevonden zwartemarktpreparaten bevatten laboratoriumvarianten met een zuiveringsaanhangsel en geoxideerde peptiden</w:t>
      </w:r>
      <w:r>
        <w:rPr>
          <w:rStyle w:val="FootnoteReference"/>
        </w:rPr>
        <w:footnoteReference w:id="1553"/>
      </w:r>
      <w:r>
        <w:t xml:space="preserve">. Daar komen de algemene risico’s van niet-steriele injecties bij. Reagentia voor celkweek vallen niet onder geneesmiddelencontrole.</w:t>
      </w:r>
    </w:p>
    <w:bookmarkEnd w:id="1554"/>
    <w:bookmarkStart w:id="1556" w:name="juridische-status-32"/>
    <w:p>
      <w:pPr>
        <w:pStyle w:val="Heading3"/>
      </w:pPr>
      <w:r>
        <w:t xml:space="preserve">Juridische status</w:t>
      </w:r>
    </w:p>
    <w:p>
      <w:pPr>
        <w:pStyle w:val="FirstParagraph"/>
      </w:pPr>
      <w:r>
        <w:rPr>
          <w:iCs/>
          <w:i/>
        </w:rPr>
        <w:t xml:space="preserve">Stand 2026, actuele situatie controleren.</w:t>
      </w:r>
    </w:p>
    <w:p>
      <w:pPr>
        <w:numPr>
          <w:ilvl w:val="0"/>
          <w:numId w:val="1183"/>
        </w:numPr>
        <w:pStyle w:val="Compact"/>
      </w:pPr>
      <w:r>
        <w:rPr>
          <w:bCs/>
          <w:b/>
        </w:rPr>
        <w:t xml:space="preserve">EU, Duitsland, Oostenrijk:</w:t>
      </w:r>
      <w:r>
        <w:t xml:space="preserve"> </w:t>
      </w:r>
      <w:r>
        <w:t xml:space="preserve">geen geneesmiddel, geen toelating, ook niet aangevraagd. Als laboratoriumreagens mag het voor onderzoek worden verkocht; verstrekking voor gebruik bij mensen is volgens de geneesmiddelenwetgeving niet toegestaan.</w:t>
      </w:r>
    </w:p>
    <w:p>
      <w:pPr>
        <w:numPr>
          <w:ilvl w:val="0"/>
          <w:numId w:val="1183"/>
        </w:numPr>
        <w:pStyle w:val="Compact"/>
      </w:pPr>
      <w:r>
        <w:rPr>
          <w:bCs/>
          <w:b/>
        </w:rPr>
        <w:t xml:space="preserve">VS:</w:t>
      </w:r>
      <w:r>
        <w:t xml:space="preserve"> </w:t>
      </w:r>
      <w:r>
        <w:t xml:space="preserve">geen toelating; verkoop alleen als onderzoekschemicalie.</w:t>
      </w:r>
    </w:p>
    <w:p>
      <w:pPr>
        <w:numPr>
          <w:ilvl w:val="0"/>
          <w:numId w:val="1183"/>
        </w:numPr>
        <w:pStyle w:val="Compact"/>
      </w:pPr>
      <w:r>
        <w:rPr>
          <w:bCs/>
          <w:b/>
        </w:rPr>
        <w:t xml:space="preserve">WADA:</w:t>
      </w:r>
      <w:r>
        <w:t xml:space="preserve"> </w:t>
      </w:r>
      <w:r>
        <w:t xml:space="preserve">verboden (S2). Er is een detectiemethode voor LR3 en verwante IGF-1-analogen in bloed ontwikkeld; bij ratten verdween onveranderd LR3 al na ongeveer 4 uur, afbraakproducten waren tot 16 uur aantoonbaar</w:t>
      </w:r>
      <w:r>
        <w:rPr>
          <w:rStyle w:val="FootnoteReference"/>
        </w:rPr>
        <w:footnoteReference w:id="1555"/>
      </w:r>
      <w:r>
        <w:t xml:space="preserve">.</w:t>
      </w:r>
    </w:p>
    <w:bookmarkEnd w:id="1556"/>
    <w:bookmarkStart w:id="1557" w:name="lopende-studies-en-vooruitzichten-32"/>
    <w:p>
      <w:pPr>
        <w:pStyle w:val="Heading3"/>
      </w:pPr>
      <w:r>
        <w:t xml:space="preserve">Lopende studies en vooruitzichten</w:t>
      </w:r>
    </w:p>
    <w:p>
      <w:pPr>
        <w:pStyle w:val="FirstParagraph"/>
      </w:pPr>
      <w:r>
        <w:t xml:space="preserve">Bij ClinicalTrials.gov staat in oktober 2026 geen studie met IGF-1 LR3 geregistreerd.</w:t>
      </w:r>
      <w:r>
        <w:t xml:space="preserve"> </w:t>
      </w:r>
      <w:r>
        <w:rPr>
          <w:iCs/>
          <w:i/>
        </w:rPr>
        <w:t xml:space="preserve">Inschatting van de auteur:</w:t>
      </w:r>
      <w:r>
        <w:t xml:space="preserve"> </w:t>
      </w:r>
      <w:r>
        <w:t xml:space="preserve">een ontwikkeling tot geneesmiddel is niet te verwachten. LR3 blijft een hulpmiddel voor celkweek en dieronderzoek.</w:t>
      </w:r>
    </w:p>
    <w:bookmarkEnd w:id="1557"/>
    <w:bookmarkStart w:id="1558" w:name="conclusie-32"/>
    <w:p>
      <w:pPr>
        <w:pStyle w:val="Heading3"/>
      </w:pPr>
      <w:r>
        <w:t xml:space="preserve">Conclusie</w:t>
      </w:r>
    </w:p>
    <w:p>
      <w:pPr>
        <w:pStyle w:val="FirstParagraph"/>
      </w:pPr>
      <w:r>
        <w:t xml:space="preserve">IGF-1 LR3 is een laboratoriumreagens dat nooit bij mensen is onderzocht. In dierproeven werkte het afhankelijk van de soort groeibevorderend, werkingsloos of zelfs groeiremmend. Zijn bijzondere eigenschap – de ontbrekende binding aan de bufferende bindingseiwitten – doet een hoger risico op hypoglykemie en een versterkte groeisignalering verwachten. Zwartemarktproducten bevatten aantoonbaar laboratoriumvarianten die nooit voor injectie bedoeld waren.</w:t>
      </w:r>
    </w:p>
    <w:bookmarkEnd w:id="1558"/>
    <w:bookmarkEnd w:id="1559"/>
    <w:bookmarkStart w:id="1601" w:name="ibutamoren-mk-677"/>
    <w:p>
      <w:pPr>
        <w:pStyle w:val="Heading2"/>
      </w:pPr>
      <w:r>
        <w:t xml:space="preserve">Ibutamoren (MK-677)</w:t>
      </w:r>
    </w:p>
    <w:p>
      <w:pPr>
        <w:pStyle w:val="FirstParagraph"/>
      </w:pPr>
      <w:r>
        <w:rPr>
          <w:iCs/>
          <w:i/>
        </w:rPr>
        <w:t xml:space="preserve">Vergelijkingshoofdstuk:</w:t>
      </w:r>
      <w:r>
        <w:t xml:space="preserve"> </w:t>
      </w:r>
      <w:r>
        <w:t xml:space="preserve">ibutamoren is geen peptide. Het is een klein, synthetisch molecuul dat als tablet of vloeistof wordt ingeslikt – en juist daarom staat het in dit boek: ter vergelijking. Het werkt op dezelfde receptor als ipamoreline, GHRP-2 of hexareline, namelijk de ghrelinereceptor, en verhoogt groeihormoon en IGF-1 gedurende maanden. Ibutamoren werd in de jaren negentig en 2000 door het farmaceutische bedrijf Merck in meerdere grotere gerandomiseerde studies onderzocht. Deze studies laten vrij precies zien wat een langdurige stimulatie van de groeihormoon-as bij ouderen oplevert – en waar de risico’s liggen. Op de grijze markt wordt ibutamoren tegenwoordig meestal verkocht als „SARM-achtig supplement”.</w:t>
      </w:r>
    </w:p>
    <w:bookmarkStart w:id="1561" w:name="profiel-33"/>
    <w:p>
      <w:pPr>
        <w:pStyle w:val="Heading3"/>
      </w:pPr>
      <w:r>
        <w:t xml:space="preserve">Profiel</w:t>
      </w:r>
    </w:p>
    <w:p>
      <w:pPr>
        <w:numPr>
          <w:ilvl w:val="0"/>
          <w:numId w:val="1184"/>
        </w:numPr>
        <w:pStyle w:val="Compact"/>
      </w:pPr>
      <w:r>
        <w:rPr>
          <w:bCs/>
          <w:b/>
        </w:rPr>
        <w:t xml:space="preserve">Soort en structuur:</w:t>
      </w:r>
      <w:r>
        <w:t xml:space="preserve"> </w:t>
      </w:r>
      <w:r>
        <w:t xml:space="preserve">klein synthetisch molecuul, geen peptide („non-peptide agonist”; Liu 2021, PMID 34737341); oraal werkzaam. Ontwikkelingsnamen MK-677 resp. MK-0677, tegenwoordig als LUM-201 in ontwikkeling</w:t>
      </w:r>
      <w:r>
        <w:rPr>
          <w:rStyle w:val="FootnoteReference"/>
        </w:rPr>
        <w:footnoteReference w:id="1560"/>
      </w:r>
      <w:r>
        <w:t xml:space="preserve">.</w:t>
      </w:r>
    </w:p>
    <w:p>
      <w:pPr>
        <w:numPr>
          <w:ilvl w:val="0"/>
          <w:numId w:val="1184"/>
        </w:numPr>
        <w:pStyle w:val="Compact"/>
      </w:pPr>
      <w:r>
        <w:rPr>
          <w:bCs/>
          <w:b/>
        </w:rPr>
        <w:t xml:space="preserve">Herkomst:</w:t>
      </w:r>
      <w:r>
        <w:t xml:space="preserve"> </w:t>
      </w:r>
      <w:r>
        <w:t xml:space="preserve">ontwikkeld door Merck (VS) in de jaren negentig als „peptidemimeticum” van de groeihormoonvrijmakende peptiden.</w:t>
      </w:r>
    </w:p>
    <w:p>
      <w:pPr>
        <w:numPr>
          <w:ilvl w:val="0"/>
          <w:numId w:val="1184"/>
        </w:numPr>
        <w:pStyle w:val="Compact"/>
      </w:pPr>
      <w:r>
        <w:rPr>
          <w:bCs/>
          <w:b/>
        </w:rPr>
        <w:t xml:space="preserve">Werkingsprincipe:</w:t>
      </w:r>
      <w:r>
        <w:t xml:space="preserve"> </w:t>
      </w:r>
      <w:r>
        <w:t xml:space="preserve">agonist op de ghrelinereceptor (GHS-R1a); versterkt de bestaande GH-pieken en verhoogt IGF-1 blijvend; verhoogt de eetlust.</w:t>
      </w:r>
    </w:p>
    <w:p>
      <w:pPr>
        <w:numPr>
          <w:ilvl w:val="0"/>
          <w:numId w:val="118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84"/>
        </w:numPr>
        <w:pStyle w:val="Compact"/>
      </w:pPr>
      <w:r>
        <w:rPr>
          <w:bCs/>
          <w:b/>
        </w:rPr>
        <w:t xml:space="preserve">WADA:</w:t>
      </w:r>
      <w:r>
        <w:t xml:space="preserve"> </w:t>
      </w:r>
      <w:r>
        <w:t xml:space="preserve">verboden, groep S2 (groeihormoonsecretagogen; ibutamoren wordt uitdrukkelijk genoemd).</w:t>
      </w:r>
    </w:p>
    <w:p>
      <w:pPr>
        <w:numPr>
          <w:ilvl w:val="0"/>
          <w:numId w:val="1184"/>
        </w:numPr>
        <w:pStyle w:val="Compact"/>
      </w:pPr>
      <w:r>
        <w:rPr>
          <w:bCs/>
          <w:b/>
        </w:rPr>
        <w:t xml:space="preserve">Bewijsniveau: B</w:t>
      </w:r>
      <w:r>
        <w:t xml:space="preserve"> </w:t>
      </w:r>
      <w:r>
        <w:t xml:space="preserve">– meerdere gerandomiseerde, placebogecontroleerde studies met maximaal 563 deelnemers, maar geen toelating en geen studie met een positief klinisch hoofdresultaat.</w:t>
      </w:r>
    </w:p>
    <w:bookmarkEnd w:id="1561"/>
    <w:bookmarkStart w:id="1563" w:name="hoe-het-zou-moeten-werken-33"/>
    <w:p>
      <w:pPr>
        <w:pStyle w:val="Heading3"/>
      </w:pPr>
      <w:r>
        <w:t xml:space="preserve">Hoe het zou moeten werken</w:t>
      </w:r>
    </w:p>
    <w:p>
      <w:pPr>
        <w:pStyle w:val="FirstParagraph"/>
      </w:pPr>
      <w:r>
        <w:t xml:space="preserve">Ibutamoren bootst ghreline na. Anders dan de peptiden uit de groep wordt het in de maag niet afgebroken en werkt het lang genoeg om met inname eenmaal per dag de afgifte van groeihormoon de klok rond te versterken. Bij gezonde ouderen verdubbelde het in een studie de gemiddelde 24-uursconcentratie van groeihormoon bij benadering; het aantal GH-pieken bleef gelijk, hun hoogte steeg. IGF-1 bereikte na vier weken waarden zoals bij jonge volwassenen</w:t>
      </w:r>
      <w:r>
        <w:rPr>
          <w:rStyle w:val="FootnoteReference"/>
        </w:rPr>
        <w:footnoteReference w:id="1562"/>
      </w:r>
      <w:r>
        <w:t xml:space="preserve">.</w:t>
      </w:r>
    </w:p>
    <w:p>
      <w:pPr>
        <w:pStyle w:val="BodyText"/>
      </w:pPr>
      <w:r>
        <w:t xml:space="preserve">De hoop van Merck was daarmee de als „somatopauze” aangeduide afname van de groeihormoon-as op oudere leeftijd te compenseren: spierverlies (sarcopenie), kwetsbaarheid, botverlies en langzaam herstel na verwondingen.</w:t>
      </w:r>
    </w:p>
    <w:bookmarkEnd w:id="1563"/>
    <w:bookmarkStart w:id="1578" w:name="studies-bij-mensen-3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19</w:t>
      </w:r>
      <w:r>
        <w:t xml:space="preserve"> </w:t>
      </w:r>
      <w:r>
        <w:t xml:space="preserve">studies bij mensen in PubMed (</w:t>
      </w:r>
      <w:r>
        <w:rPr>
          <w:rStyle w:val="VerbatimChar"/>
        </w:rPr>
        <w:t xml:space="preserve">humanstudien_alle</w:t>
      </w:r>
      <w:r>
        <w:t xml:space="preserve">) en</w:t>
      </w:r>
      <w:r>
        <w:t xml:space="preserve"> </w:t>
      </w:r>
      <w:r>
        <w:rPr>
          <w:bCs/>
          <w:b/>
        </w:rPr>
        <w:t xml:space="preserve">8</w:t>
      </w:r>
      <w:r>
        <w:t xml:space="preserve"> </w:t>
      </w:r>
      <w:r>
        <w:t xml:space="preserve">registraties bij ClinicalTrials.gov.</w:t>
      </w:r>
    </w:p>
    <w:bookmarkStart w:id="1565" w:name="gezonde-oudere-volwassenen"/>
    <w:p>
      <w:pPr>
        <w:pStyle w:val="Heading4"/>
      </w:pPr>
      <w:r>
        <w:t xml:space="preserve">Gezonde oudere volwassenen</w:t>
      </w:r>
    </w:p>
    <w:p>
      <w:pPr>
        <w:pStyle w:val="FirstParagraph"/>
      </w:pPr>
      <w:r>
        <w:t xml:space="preserve">De belangrijkste studie liep twee jaar: 65 gezonde vrouwen en mannen tussen 60 en 81 jaar kregen dagelijks ibutamoren of placebo. Groeihormoon en IGF-1 stegen tot waarden van jonge volwassenen. De vetvrije massa nam onder ibutamoren met 1,1 kg toe, onder placebo met 0,5 kg af. Het buikvet veranderde niet, het lichaamsgewicht steeg met 2,7 kg (placebo: 0,8 kg), en het vet aan armen en benen nam sterker toe. De toename van de vetvrije massa leidde</w:t>
      </w:r>
      <w:r>
        <w:t xml:space="preserve"> </w:t>
      </w:r>
      <w:r>
        <w:rPr>
          <w:bCs/>
          <w:b/>
        </w:rPr>
        <w:t xml:space="preserve">niet</w:t>
      </w:r>
      <w:r>
        <w:t xml:space="preserve"> </w:t>
      </w:r>
      <w:r>
        <w:t xml:space="preserve">tot meer kracht of betere functie; de auteurs erkennen dat de studie daarvoor te klein was. De nuchtere glucose steeg gemiddeld met 0,3 mmol/l (5 mg/dl), de insulinegevoeligheid nam af. De meest voorkomende bijwerkingen waren een aanvankelijk toegenomen eetlust, lichte vochtophoping in de benen en spierpijn</w:t>
      </w:r>
      <w:r>
        <w:rPr>
          <w:rStyle w:val="FootnoteReference"/>
        </w:rPr>
        <w:footnoteReference w:id="1564"/>
      </w:r>
      <w:r>
        <w:t xml:space="preserve">.</w:t>
      </w:r>
    </w:p>
    <w:bookmarkEnd w:id="1565"/>
    <w:bookmarkStart w:id="1568" w:name="heupfractuur"/>
    <w:p>
      <w:pPr>
        <w:pStyle w:val="Heading4"/>
      </w:pPr>
      <w:r>
        <w:t xml:space="preserve">Heupfractuur</w:t>
      </w:r>
    </w:p>
    <w:p>
      <w:pPr>
        <w:pStyle w:val="FirstParagraph"/>
      </w:pPr>
      <w:r>
        <w:t xml:space="preserve">Twee studies onderzochten of ibutamoren ouderen na een heupfractuur helpt weer op de been te komen:</w:t>
      </w:r>
    </w:p>
    <w:p>
      <w:pPr>
        <w:numPr>
          <w:ilvl w:val="0"/>
          <w:numId w:val="1185"/>
        </w:numPr>
        <w:pStyle w:val="Compact"/>
      </w:pPr>
      <w:r>
        <w:t xml:space="preserve">In de eerste studie met 161 patiënten uit 13 centra steeg IGF-1 met 84% (placebo: 17%). Bij de functietests waren er deels gunstige tendensen, maar geen statistisch significante verschillen</w:t>
      </w:r>
      <w:r>
        <w:rPr>
          <w:rStyle w:val="FootnoteReference"/>
        </w:rPr>
        <w:footnoteReference w:id="1566"/>
      </w:r>
      <w:r>
        <w:t xml:space="preserve">.</w:t>
      </w:r>
    </w:p>
    <w:p>
      <w:pPr>
        <w:numPr>
          <w:ilvl w:val="0"/>
          <w:numId w:val="1185"/>
        </w:numPr>
        <w:pStyle w:val="Compact"/>
      </w:pPr>
      <w:r>
        <w:t xml:space="preserve">De tweede studie met 123 patiënten werd</w:t>
      </w:r>
      <w:r>
        <w:t xml:space="preserve"> </w:t>
      </w:r>
      <w:r>
        <w:rPr>
          <w:bCs/>
          <w:b/>
        </w:rPr>
        <w:t xml:space="preserve">voortijdig afgebroken, omdat bij een beperkt aantal behandelden hartfalen optrad</w:t>
      </w:r>
      <w:r>
        <w:t xml:space="preserve">. De loopsnelheid was licht verbeterd, de meeste andere functiematen niet; de auteurs beoordeelden het veiligheidsprofiel in deze patiëntengroep als ongunstig</w:t>
      </w:r>
      <w:r>
        <w:rPr>
          <w:rStyle w:val="FootnoteReference"/>
        </w:rPr>
        <w:footnoteReference w:id="1567"/>
      </w:r>
      <w:r>
        <w:t xml:space="preserve">.</w:t>
      </w:r>
    </w:p>
    <w:p>
      <w:pPr>
        <w:pStyle w:val="FirstParagraph"/>
      </w:pPr>
      <w:r>
        <w:t xml:space="preserve">Een andere Merck-registratie over sarcopenie na heupfractuur (NCT00128115, 83 personen) staat als afgebroken vermeld, zonder vermelding van redenen of resultaten.</w:t>
      </w:r>
    </w:p>
    <w:bookmarkEnd w:id="1568"/>
    <w:bookmarkStart w:id="1570" w:name="ziekte-van-alzheimer"/>
    <w:p>
      <w:pPr>
        <w:pStyle w:val="Heading4"/>
      </w:pPr>
      <w:r>
        <w:t xml:space="preserve">Ziekte van Alzheimer</w:t>
      </w:r>
    </w:p>
    <w:p>
      <w:pPr>
        <w:pStyle w:val="FirstParagraph"/>
      </w:pPr>
      <w:r>
        <w:t xml:space="preserve">In een grote studie kregen 563 mensen met lichte tot matige alzheimerdementie een jaar lang ibutamoren of placebo. IGF-1 steeg met 60,1% na zes weken en met 72,9% na twaalf maanden. Op geen van de vier schalen voor denkvermogen, dagelijks functioneren en totaalindruk verschilde het verloop van placebo</w:t>
      </w:r>
      <w:r>
        <w:rPr>
          <w:rStyle w:val="FootnoteReference"/>
        </w:rPr>
        <w:footnoteReference w:id="1569"/>
      </w:r>
      <w:r>
        <w:t xml:space="preserve">.</w:t>
      </w:r>
    </w:p>
    <w:bookmarkEnd w:id="1570"/>
    <w:bookmarkStart w:id="1577" w:name="andere-studies"/>
    <w:p>
      <w:pPr>
        <w:pStyle w:val="Heading4"/>
      </w:pPr>
      <w:r>
        <w:t xml:space="preserve">Andere studies</w:t>
      </w:r>
    </w:p>
    <w:p>
      <w:pPr>
        <w:numPr>
          <w:ilvl w:val="0"/>
          <w:numId w:val="1186"/>
        </w:numPr>
        <w:pStyle w:val="Compact"/>
      </w:pPr>
      <w:r>
        <w:rPr>
          <w:bCs/>
          <w:b/>
        </w:rPr>
        <w:t xml:space="preserve">Mannen met overgewicht:</w:t>
      </w:r>
      <w:r>
        <w:t xml:space="preserve"> </w:t>
      </w:r>
      <w:r>
        <w:t xml:space="preserve">Bij 24 mannen steeg gedurende acht weken de vetvrije massa, totaal vet en buikvet veranderden niet; in de glucosetolerantietest verslechterde de bloedsuikerregeling</w:t>
      </w:r>
      <w:r>
        <w:rPr>
          <w:rStyle w:val="FootnoteReference"/>
        </w:rPr>
        <w:footnoteReference w:id="1571"/>
      </w:r>
      <w:r>
        <w:t xml:space="preserve">.</w:t>
      </w:r>
    </w:p>
    <w:p>
      <w:pPr>
        <w:numPr>
          <w:ilvl w:val="0"/>
          <w:numId w:val="1186"/>
        </w:numPr>
        <w:pStyle w:val="Compact"/>
      </w:pPr>
      <w:r>
        <w:rPr>
          <w:bCs/>
          <w:b/>
        </w:rPr>
        <w:t xml:space="preserve">Osteoporose:</w:t>
      </w:r>
      <w:r>
        <w:t xml:space="preserve"> </w:t>
      </w:r>
      <w:r>
        <w:t xml:space="preserve">Bij 292 vrouwen na de menopauze verhoogde ibutamoren samen met het botmiddel alendroninezuur de botdichtheid alleen aan de dijbeenhals sterker dan alendroninezuur alleen, niet aan de wervelkolom of de heup als geheel</w:t>
      </w:r>
      <w:r>
        <w:rPr>
          <w:rStyle w:val="FootnoteReference"/>
        </w:rPr>
        <w:footnoteReference w:id="1572"/>
      </w:r>
      <w:r>
        <w:t xml:space="preserve">.</w:t>
      </w:r>
    </w:p>
    <w:p>
      <w:pPr>
        <w:numPr>
          <w:ilvl w:val="0"/>
          <w:numId w:val="1186"/>
        </w:numPr>
        <w:pStyle w:val="Compact"/>
      </w:pPr>
      <w:r>
        <w:rPr>
          <w:bCs/>
          <w:b/>
        </w:rPr>
        <w:t xml:space="preserve">Slaap:</w:t>
      </w:r>
      <w:r>
        <w:t xml:space="preserve"> </w:t>
      </w:r>
      <w:r>
        <w:t xml:space="preserve">In kleine studies met acht jonge en zes oudere personen werden de diepe slaap resp. de REM-slaap langer</w:t>
      </w:r>
      <w:r>
        <w:rPr>
          <w:rStyle w:val="FootnoteReference"/>
        </w:rPr>
        <w:footnoteReference w:id="1573"/>
      </w:r>
      <w:r>
        <w:t xml:space="preserve">.</w:t>
      </w:r>
    </w:p>
    <w:p>
      <w:pPr>
        <w:numPr>
          <w:ilvl w:val="0"/>
          <w:numId w:val="1186"/>
        </w:numPr>
        <w:pStyle w:val="Compact"/>
      </w:pPr>
      <w:r>
        <w:rPr>
          <w:bCs/>
          <w:b/>
        </w:rPr>
        <w:t xml:space="preserve">Dialyse:</w:t>
      </w:r>
      <w:r>
        <w:t xml:space="preserve"> </w:t>
      </w:r>
      <w:r>
        <w:t xml:space="preserve">Bij 22 dialysepatiënten steeg IGF-1 ten opzichte van placebo 65% sterker, zonder ernstige bijwerkingen</w:t>
      </w:r>
      <w:r>
        <w:rPr>
          <w:rStyle w:val="FootnoteReference"/>
        </w:rPr>
        <w:footnoteReference w:id="1574"/>
      </w:r>
      <w:r>
        <w:t xml:space="preserve">.</w:t>
      </w:r>
    </w:p>
    <w:p>
      <w:pPr>
        <w:numPr>
          <w:ilvl w:val="0"/>
          <w:numId w:val="1186"/>
        </w:numPr>
        <w:pStyle w:val="Compact"/>
      </w:pPr>
      <w:r>
        <w:rPr>
          <w:bCs/>
          <w:b/>
        </w:rPr>
        <w:t xml:space="preserve">Kinderen met groeihormoontekort:</w:t>
      </w:r>
      <w:r>
        <w:t xml:space="preserve"> </w:t>
      </w:r>
      <w:r>
        <w:t xml:space="preserve">Al in 2001 verhoogde ibutamoren bij 18 kinderen groeihormoon en IGF-1</w:t>
      </w:r>
      <w:r>
        <w:rPr>
          <w:rStyle w:val="FootnoteReference"/>
        </w:rPr>
        <w:footnoteReference w:id="1575"/>
      </w:r>
      <w:r>
        <w:t xml:space="preserve">. Onder de naam LUM-201 veroorzaakte het in een studie met 68 kinderen hogere GH-responsen dan de gangbare stimulatietests</w:t>
      </w:r>
      <w:r>
        <w:rPr>
          <w:rStyle w:val="FootnoteReference"/>
        </w:rPr>
        <w:footnoteReference w:id="157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Gezonde ouderen (Nass 2008), PMID 18981485</w:t>
            </w:r>
          </w:p>
        </w:tc>
        <w:tc>
          <w:tcPr/>
          <w:p>
            <w:pPr>
              <w:pStyle w:val="Compact"/>
              <w:jc w:val="left"/>
            </w:pPr>
            <w:r>
              <w:t xml:space="preserve">65 personen 60–81 jaar, RCT tegen placebo</w:t>
            </w:r>
          </w:p>
        </w:tc>
        <w:tc>
          <w:tcPr/>
          <w:p>
            <w:pPr>
              <w:pStyle w:val="Compact"/>
              <w:jc w:val="left"/>
            </w:pPr>
            <w:r>
              <w:t xml:space="preserve">2 jaar</w:t>
            </w:r>
          </w:p>
        </w:tc>
        <w:tc>
          <w:tcPr/>
          <w:p>
            <w:pPr>
              <w:pStyle w:val="Compact"/>
              <w:jc w:val="left"/>
            </w:pPr>
            <w:r>
              <w:t xml:space="preserve">vetvrije massa +1,1 vs. −0,5 kg; kracht en functie onveranderd; nuchtere glucose ↑</w:t>
            </w:r>
          </w:p>
        </w:tc>
      </w:tr>
      <w:tr>
        <w:tc>
          <w:tcPr/>
          <w:p>
            <w:pPr>
              <w:pStyle w:val="Compact"/>
              <w:jc w:val="left"/>
            </w:pPr>
            <w:r>
              <w:t xml:space="preserve">Heupfractuur 1 (Bach 2004), PMID 15066065</w:t>
            </w:r>
          </w:p>
        </w:tc>
        <w:tc>
          <w:tcPr/>
          <w:p>
            <w:pPr>
              <w:pStyle w:val="Compact"/>
              <w:jc w:val="left"/>
            </w:pPr>
            <w:r>
              <w:t xml:space="preserve">161 ouderen na heupfractuur, RCT</w:t>
            </w:r>
          </w:p>
        </w:tc>
        <w:tc>
          <w:tcPr/>
          <w:p>
            <w:pPr>
              <w:pStyle w:val="Compact"/>
              <w:jc w:val="left"/>
            </w:pPr>
            <w:r>
              <w:t xml:space="preserve">6 maanden</w:t>
            </w:r>
          </w:p>
        </w:tc>
        <w:tc>
          <w:tcPr/>
          <w:p>
            <w:pPr>
              <w:pStyle w:val="Compact"/>
              <w:jc w:val="left"/>
            </w:pPr>
            <w:r>
              <w:t xml:space="preserve">IGF-1 +84%; functie niet significant beter</w:t>
            </w:r>
          </w:p>
        </w:tc>
      </w:tr>
      <w:tr>
        <w:tc>
          <w:tcPr/>
          <w:p>
            <w:pPr>
              <w:pStyle w:val="Compact"/>
              <w:jc w:val="left"/>
            </w:pPr>
            <w:r>
              <w:t xml:space="preserve">Heupfractuur 2 (Adunsky 2011), PMID 21067829</w:t>
            </w:r>
          </w:p>
        </w:tc>
        <w:tc>
          <w:tcPr/>
          <w:p>
            <w:pPr>
              <w:pStyle w:val="Compact"/>
              <w:jc w:val="left"/>
            </w:pPr>
            <w:r>
              <w:t xml:space="preserve">123 ouderen na heupfractuur, RCT</w:t>
            </w:r>
          </w:p>
        </w:tc>
        <w:tc>
          <w:tcPr/>
          <w:p>
            <w:pPr>
              <w:pStyle w:val="Compact"/>
              <w:jc w:val="left"/>
            </w:pPr>
            <w:r>
              <w:t xml:space="preserve">gepland 24 weken</w:t>
            </w:r>
          </w:p>
        </w:tc>
        <w:tc>
          <w:tcPr/>
          <w:p>
            <w:pPr>
              <w:pStyle w:val="Compact"/>
              <w:jc w:val="left"/>
            </w:pPr>
            <w:r>
              <w:t xml:space="preserve">afgebroken wegens signaal van hartfalen</w:t>
            </w:r>
          </w:p>
        </w:tc>
      </w:tr>
      <w:tr>
        <w:tc>
          <w:tcPr/>
          <w:p>
            <w:pPr>
              <w:pStyle w:val="Compact"/>
              <w:jc w:val="left"/>
            </w:pPr>
            <w:r>
              <w:t xml:space="preserve">Alzheimer (Sevigny 2008), PMID 19015485</w:t>
            </w:r>
          </w:p>
        </w:tc>
        <w:tc>
          <w:tcPr/>
          <w:p>
            <w:pPr>
              <w:pStyle w:val="Compact"/>
              <w:jc w:val="left"/>
            </w:pPr>
            <w:r>
              <w:t xml:space="preserve">563 personen met alzheimer, RCT</w:t>
            </w:r>
          </w:p>
        </w:tc>
        <w:tc>
          <w:tcPr/>
          <w:p>
            <w:pPr>
              <w:pStyle w:val="Compact"/>
              <w:jc w:val="left"/>
            </w:pPr>
            <w:r>
              <w:t xml:space="preserve">12 maanden</w:t>
            </w:r>
          </w:p>
        </w:tc>
        <w:tc>
          <w:tcPr/>
          <w:p>
            <w:pPr>
              <w:pStyle w:val="Compact"/>
              <w:jc w:val="left"/>
            </w:pPr>
            <w:r>
              <w:t xml:space="preserve">IGF-1 +72,9%; geen effect op ziekteverloop</w:t>
            </w:r>
          </w:p>
        </w:tc>
      </w:tr>
      <w:tr>
        <w:tc>
          <w:tcPr/>
          <w:p>
            <w:pPr>
              <w:pStyle w:val="Compact"/>
              <w:jc w:val="left"/>
            </w:pPr>
            <w:r>
              <w:t xml:space="preserve">Osteoporose (Murphy 2001), PMID 11238495</w:t>
            </w:r>
          </w:p>
        </w:tc>
        <w:tc>
          <w:tcPr/>
          <w:p>
            <w:pPr>
              <w:pStyle w:val="Compact"/>
              <w:jc w:val="left"/>
            </w:pPr>
            <w:r>
              <w:t xml:space="preserve">292 vrouwen, RCT met alendroninezuur</w:t>
            </w:r>
          </w:p>
        </w:tc>
        <w:tc>
          <w:tcPr/>
          <w:p>
            <w:pPr>
              <w:pStyle w:val="Compact"/>
              <w:jc w:val="left"/>
            </w:pPr>
            <w:r>
              <w:t xml:space="preserve">12–18 maanden</w:t>
            </w:r>
          </w:p>
        </w:tc>
        <w:tc>
          <w:tcPr/>
          <w:p>
            <w:pPr>
              <w:pStyle w:val="Compact"/>
              <w:jc w:val="left"/>
            </w:pPr>
            <w:r>
              <w:t xml:space="preserve">alleen botdichtheid dijbeenhals iets hoger</w:t>
            </w:r>
          </w:p>
        </w:tc>
      </w:tr>
    </w:tbl>
    <w:bookmarkEnd w:id="1577"/>
    <w:bookmarkEnd w:id="1578"/>
    <w:bookmarkStart w:id="1581" w:name="dier--en-laboratoriumstudies-33"/>
    <w:p>
      <w:pPr>
        <w:pStyle w:val="Heading3"/>
      </w:pPr>
      <w:r>
        <w:t xml:space="preserve">Dier- en laboratoriumstudies</w:t>
      </w:r>
    </w:p>
    <w:p>
      <w:pPr>
        <w:pStyle w:val="FirstParagraph"/>
      </w:pPr>
      <w:r>
        <w:t xml:space="preserve">Bij muizen met een alzheimermodel verminderde ibutamoren amyloïdafzettingen en het verlies van zenuwcellen in de hersenen</w:t>
      </w:r>
      <w:r>
        <w:rPr>
          <w:rStyle w:val="FootnoteReference"/>
        </w:rPr>
        <w:footnoteReference w:id="1579"/>
      </w:r>
      <w:r>
        <w:t xml:space="preserve"> </w:t>
      </w:r>
      <w:r>
        <w:t xml:space="preserve">– een bevinding die zich in de grote alzheimerstudie bij mensen niet vertaalde in een klinisch nut. De structuur van de ghrelinereceptor met gebonden ibutamoren werd in 2021 opgehelderd</w:t>
      </w:r>
      <w:r>
        <w:rPr>
          <w:rStyle w:val="FootnoteReference"/>
        </w:rPr>
        <w:footnoteReference w:id="1580"/>
      </w:r>
      <w:r>
        <w:t xml:space="preserve">.</w:t>
      </w:r>
    </w:p>
    <w:bookmarkEnd w:id="1581"/>
    <w:bookmarkStart w:id="1592" w:name="risicos-en-bijwerkingen-33"/>
    <w:p>
      <w:pPr>
        <w:pStyle w:val="Heading3"/>
      </w:pPr>
      <w:r>
        <w:t xml:space="preserve">Risico’s en bijwerkingen</w:t>
      </w:r>
    </w:p>
    <w:p>
      <w:pPr>
        <w:pStyle w:val="FirstParagraph"/>
      </w:pPr>
      <w:r>
        <w:rPr>
          <w:bCs/>
          <w:b/>
        </w:rPr>
        <w:t xml:space="preserve">Aangetoond in gerandomiseerde studies:</w:t>
      </w:r>
    </w:p>
    <w:p>
      <w:pPr>
        <w:numPr>
          <w:ilvl w:val="0"/>
          <w:numId w:val="1187"/>
        </w:numPr>
        <w:pStyle w:val="Compact"/>
      </w:pPr>
      <w:r>
        <w:rPr>
          <w:bCs/>
          <w:b/>
        </w:rPr>
        <w:t xml:space="preserve">Signaal van hartfalen:</w:t>
      </w:r>
      <w:r>
        <w:t xml:space="preserve"> </w:t>
      </w:r>
      <w:r>
        <w:t xml:space="preserve">afbraak van een studie bij ouderen na een heupfractuur wegens gevallen van hartfalen</w:t>
      </w:r>
      <w:r>
        <w:rPr>
          <w:rStyle w:val="FootnoteReference"/>
        </w:rPr>
        <w:footnoteReference w:id="1582"/>
      </w:r>
      <w:r>
        <w:t xml:space="preserve">. Hoeveel gevallen het waren, vermeldt de samenvatting niet. Vochtophoping hoort bij de bekende effecten van verhoogde groeihormoonspiegels en belast een al beschadigd hart.</w:t>
      </w:r>
    </w:p>
    <w:p>
      <w:pPr>
        <w:numPr>
          <w:ilvl w:val="0"/>
          <w:numId w:val="1187"/>
        </w:numPr>
        <w:pStyle w:val="Compact"/>
      </w:pPr>
      <w:r>
        <w:rPr>
          <w:bCs/>
          <w:b/>
        </w:rPr>
        <w:t xml:space="preserve">Bloedsuiker:</w:t>
      </w:r>
      <w:r>
        <w:t xml:space="preserve"> </w:t>
      </w:r>
      <w:r>
        <w:t xml:space="preserve">stijging van de nuchtere glucose en verminderde insulinegevoeligheid</w:t>
      </w:r>
      <w:r>
        <w:rPr>
          <w:rStyle w:val="FootnoteReference"/>
        </w:rPr>
        <w:footnoteReference w:id="1583"/>
      </w:r>
      <w:r>
        <w:t xml:space="preserve">; verslechterde glucosetolerantie bij mannen met overgewicht</w:t>
      </w:r>
      <w:r>
        <w:rPr>
          <w:rStyle w:val="FootnoteReference"/>
        </w:rPr>
        <w:footnoteReference w:id="1584"/>
      </w:r>
      <w:r>
        <w:t xml:space="preserve">.</w:t>
      </w:r>
    </w:p>
    <w:p>
      <w:pPr>
        <w:numPr>
          <w:ilvl w:val="0"/>
          <w:numId w:val="1187"/>
        </w:numPr>
        <w:pStyle w:val="Compact"/>
      </w:pPr>
      <w:r>
        <w:rPr>
          <w:bCs/>
          <w:b/>
        </w:rPr>
        <w:t xml:space="preserve">Gewichtstoename en eetlust:</w:t>
      </w:r>
      <w:r>
        <w:t xml:space="preserve"> </w:t>
      </w:r>
      <w:r>
        <w:t xml:space="preserve">meer lichaamsgewicht, meer vet aan armen en benen, toegenomen honger</w:t>
      </w:r>
      <w:r>
        <w:rPr>
          <w:rStyle w:val="FootnoteReference"/>
        </w:rPr>
        <w:footnoteReference w:id="1585"/>
      </w:r>
      <w:r>
        <w:t xml:space="preserve">.</w:t>
      </w:r>
    </w:p>
    <w:p>
      <w:pPr>
        <w:numPr>
          <w:ilvl w:val="0"/>
          <w:numId w:val="1187"/>
        </w:numPr>
        <w:pStyle w:val="Compact"/>
      </w:pPr>
      <w:r>
        <w:rPr>
          <w:bCs/>
          <w:b/>
        </w:rPr>
        <w:t xml:space="preserve">Vochtophoping en spierpijn</w:t>
      </w:r>
      <w:r>
        <w:rPr>
          <w:rStyle w:val="FootnoteReference"/>
        </w:rPr>
        <w:footnoteReference w:id="1586"/>
      </w:r>
      <w:r>
        <w:t xml:space="preserve">.</w:t>
      </w:r>
    </w:p>
    <w:p>
      <w:pPr>
        <w:pStyle w:val="FirstParagraph"/>
      </w:pPr>
      <w:r>
        <w:rPr>
          <w:bCs/>
          <w:b/>
        </w:rPr>
        <w:t xml:space="preserve">Casusbeschrijvingen uit gebruik van grijze-marktproducten:</w:t>
      </w:r>
      <w:r>
        <w:t xml:space="preserve"> </w:t>
      </w:r>
      <w:r>
        <w:t xml:space="preserve">Een man van begin dertig ontwikkelde na twee maanden inname van MK-677 verhoogde leverwaarden, die na het stoppen normaliseerden</w:t>
      </w:r>
      <w:r>
        <w:rPr>
          <w:rStyle w:val="FootnoteReference"/>
        </w:rPr>
        <w:footnoteReference w:id="1587"/>
      </w:r>
      <w:r>
        <w:t xml:space="preserve">. Een 40-jarige ontwikkelde borstgroei en een testosterontekort; zijn fitnesssupplementen bevatten naast MK-677 ook een SARM, cardarine en niet vermelde hormonen</w:t>
      </w:r>
      <w:r>
        <w:rPr>
          <w:rStyle w:val="FootnoteReference"/>
        </w:rPr>
        <w:footnoteReference w:id="1588"/>
      </w:r>
      <w:r>
        <w:t xml:space="preserve">.</w:t>
      </w:r>
    </w:p>
    <w:p>
      <w:pPr>
        <w:pStyle w:val="BodyText"/>
      </w:pPr>
      <w:r>
        <w:rPr>
          <w:bCs/>
          <w:b/>
        </w:rPr>
        <w:t xml:space="preserve">Kanker:</w:t>
      </w:r>
      <w:r>
        <w:t xml:space="preserve"> </w:t>
      </w:r>
      <w:r>
        <w:t xml:space="preserve">ibutamoren verhoogt IGF-1 gedurende maanden tot jaren tot het niveau van jonge volwassenen. In de studies werd geen kankersignaal gemeld, maar daarvoor waren ze noch groot noch lang genoeg. Een overzicht van GH-vrijmakers vraagt uitdrukkelijk om langetermijngegevens over kanker en sterfte</w:t>
      </w:r>
      <w:r>
        <w:rPr>
          <w:rStyle w:val="FootnoteReference"/>
        </w:rPr>
        <w:footnoteReference w:id="1589"/>
      </w:r>
      <w:r>
        <w:t xml:space="preserve">. Voor de algemene stand van de gegevens zie de inleiding tot deze groep en Deel IV.</w:t>
      </w:r>
    </w:p>
    <w:p>
      <w:pPr>
        <w:pStyle w:val="BodyText"/>
      </w:pPr>
      <w:r>
        <w:rPr>
          <w:bCs/>
          <w:b/>
        </w:rPr>
        <w:t xml:space="preserve">Kwaliteit op de grijze markt:</w:t>
      </w:r>
      <w:r>
        <w:t xml:space="preserve"> </w:t>
      </w:r>
      <w:r>
        <w:t xml:space="preserve">In een Amerikaanse analyse van 44 producten die op internet als SARM’s werden verkocht, bevatte 39% in plaats daarvan of daarnaast andere niet-toegelaten stoffen, waaronder ibutamoren; slechts 41% bevatte de aangegeven hoeveelheid van de werkzame stof</w:t>
      </w:r>
      <w:r>
        <w:rPr>
          <w:rStyle w:val="FootnoteReference"/>
        </w:rPr>
        <w:footnoteReference w:id="1590"/>
      </w:r>
      <w:r>
        <w:t xml:space="preserve">. Een Europese markttoezichtsstudie met 324 monsters uit 13 landen vond ibutamoren als meest voorkomende werkzame stof onder de onderzochte spieropbouwpreparaten; 24% van de producten werd gepresenteerd als voedingssupplement</w:t>
      </w:r>
      <w:r>
        <w:rPr>
          <w:rStyle w:val="FootnoteReference"/>
        </w:rPr>
        <w:footnoteReference w:id="1591"/>
      </w:r>
      <w:r>
        <w:t xml:space="preserve">.</w:t>
      </w:r>
    </w:p>
    <w:bookmarkEnd w:id="1592"/>
    <w:bookmarkStart w:id="1594" w:name="juridische-status-33"/>
    <w:p>
      <w:pPr>
        <w:pStyle w:val="Heading3"/>
      </w:pPr>
      <w:r>
        <w:t xml:space="preserve">Juridische status</w:t>
      </w:r>
    </w:p>
    <w:p>
      <w:pPr>
        <w:pStyle w:val="FirstParagraph"/>
      </w:pPr>
      <w:r>
        <w:rPr>
          <w:iCs/>
          <w:i/>
        </w:rPr>
        <w:t xml:space="preserve">Stand 2026, actuele situatie controleren.</w:t>
      </w:r>
    </w:p>
    <w:p>
      <w:pPr>
        <w:numPr>
          <w:ilvl w:val="0"/>
          <w:numId w:val="1188"/>
        </w:numPr>
        <w:pStyle w:val="Compact"/>
      </w:pPr>
      <w:r>
        <w:rPr>
          <w:bCs/>
          <w:b/>
        </w:rPr>
        <w:t xml:space="preserve">EU, Duitsland, Oostenrijk:</w:t>
      </w:r>
      <w:r>
        <w:t xml:space="preserve"> </w:t>
      </w:r>
      <w:r>
        <w:t xml:space="preserve">geen toelating. Ibutamoren is een niet-toegelaten geneesmiddel; als voedingssupplement mag het niet in de handel worden gebracht. Wie het aanbiedt voor gebruik bij mensen, overtreedt de geneesmiddelenwetgeving.</w:t>
      </w:r>
    </w:p>
    <w:p>
      <w:pPr>
        <w:numPr>
          <w:ilvl w:val="0"/>
          <w:numId w:val="1188"/>
        </w:numPr>
        <w:pStyle w:val="Compact"/>
      </w:pPr>
      <w:r>
        <w:rPr>
          <w:bCs/>
          <w:b/>
        </w:rPr>
        <w:t xml:space="preserve">VS:</w:t>
      </w:r>
      <w:r>
        <w:t xml:space="preserve"> </w:t>
      </w:r>
      <w:r>
        <w:t xml:space="preserve">geen toelating; wordt desondanks verkocht als „research chemical” of in supplementen.</w:t>
      </w:r>
    </w:p>
    <w:p>
      <w:pPr>
        <w:numPr>
          <w:ilvl w:val="0"/>
          <w:numId w:val="1188"/>
        </w:numPr>
        <w:pStyle w:val="Compact"/>
      </w:pPr>
      <w:r>
        <w:rPr>
          <w:bCs/>
          <w:b/>
        </w:rPr>
        <w:t xml:space="preserve">WADA:</w:t>
      </w:r>
      <w:r>
        <w:t xml:space="preserve"> </w:t>
      </w:r>
      <w:r>
        <w:t xml:space="preserve">verboden (S2). Ook in de paardensport wordt het gecontroleerd, bijvoorbeeld via haaranalyses</w:t>
      </w:r>
      <w:r>
        <w:rPr>
          <w:rStyle w:val="FootnoteReference"/>
        </w:rPr>
        <w:footnoteReference w:id="1593"/>
      </w:r>
      <w:r>
        <w:t xml:space="preserve">.</w:t>
      </w:r>
    </w:p>
    <w:bookmarkEnd w:id="1594"/>
    <w:bookmarkStart w:id="1599" w:name="lopende-studies-en-vooruitzichten-33"/>
    <w:p>
      <w:pPr>
        <w:pStyle w:val="Heading3"/>
      </w:pPr>
      <w:r>
        <w:t xml:space="preserve">Lopende studies en vooruitzichten</w:t>
      </w:r>
    </w:p>
    <w:p>
      <w:pPr>
        <w:pStyle w:val="FirstParagraph"/>
      </w:pPr>
      <w:r>
        <w:rPr>
          <w:iCs/>
          <w:i/>
        </w:rPr>
        <w:t xml:space="preserve">Vast staat:</w:t>
      </w:r>
      <w:r>
        <w:t xml:space="preserve"> </w:t>
      </w:r>
      <w:r>
        <w:t xml:space="preserve">onder de naam LUM-201 wordt ibutamoren als tablet ontwikkeld voor kinderen met groeihormoontekort. Een fase 2-studie met 104 kinderen</w:t>
      </w:r>
      <w:r>
        <w:rPr>
          <w:rStyle w:val="FootnoteReference"/>
        </w:rPr>
        <w:footnoteReference w:id="1595"/>
      </w:r>
      <w:r>
        <w:t xml:space="preserve"> </w:t>
      </w:r>
      <w:r>
        <w:t xml:space="preserve">is afgerond; een fase 3-studie met gepland 150 kinderen werft sinds 2026</w:t>
      </w:r>
      <w:r>
        <w:rPr>
          <w:rStyle w:val="FootnoteReference"/>
        </w:rPr>
        <w:footnoteReference w:id="1596"/>
      </w:r>
      <w:r>
        <w:t xml:space="preserve">, een langetermijnveiligheidsstudie is gepland</w:t>
      </w:r>
      <w:r>
        <w:rPr>
          <w:rStyle w:val="FootnoteReference"/>
        </w:rPr>
        <w:footnoteReference w:id="1597"/>
      </w:r>
      <w:r>
        <w:t xml:space="preserve">. Een andere fase 2-studie moet vanaf 2027 LUM-201 naast semaglutide onderzoeken bij ouderen met obesitas, om spierverlies tijdens het afvallen te beperken</w:t>
      </w:r>
      <w:r>
        <w:rPr>
          <w:rStyle w:val="FootnoteReference"/>
        </w:rPr>
        <w:footnoteReference w:id="1598"/>
      </w:r>
      <w:r>
        <w:t xml:space="preserve">.</w:t>
      </w:r>
    </w:p>
    <w:p>
      <w:pPr>
        <w:pStyle w:val="BodyText"/>
      </w:pPr>
      <w:r>
        <w:rPr>
          <w:iCs/>
          <w:i/>
        </w:rPr>
        <w:t xml:space="preserve">Inschatting van de auteur:</w:t>
      </w:r>
      <w:r>
        <w:t xml:space="preserve"> </w:t>
      </w:r>
      <w:r>
        <w:t xml:space="preserve">een toelating voor kinderen is op zijn vroegst denkbaar na afronding van de fase 3-studie, dus niet vóór het eind van de jaren 2020. Een toelating voor oudere volwassenen is na het signaal van hartfalen en het uitblijven van functieverbeteringen niet in zicht.</w:t>
      </w:r>
    </w:p>
    <w:bookmarkEnd w:id="1599"/>
    <w:bookmarkStart w:id="1600" w:name="conclusie-33"/>
    <w:p>
      <w:pPr>
        <w:pStyle w:val="Heading3"/>
      </w:pPr>
      <w:r>
        <w:t xml:space="preserve">Conclusie</w:t>
      </w:r>
    </w:p>
    <w:p>
      <w:pPr>
        <w:pStyle w:val="FirstParagraph"/>
      </w:pPr>
      <w:r>
        <w:t xml:space="preserve">Ibutamoren is het grondigst onderzochte oraal werkzame middel dat de groeihormoon-as langdurig stimuleert. De studies tonen het basispatroon van de hele groep: IGF-1 en vetvrije massa stijgen, maar kracht, functie en ziekteverloop – bij veroudering, heupfractuur en alzheimer – verbeterden niet. Wel stegen bloedsuiker en gewicht, en een studie bij ouderen werd wegens hartfalen afgebroken. Grijze-marktproducten met „MK-677” zijn vaak verkeerd gedeclareerd.</w:t>
      </w:r>
    </w:p>
    <w:bookmarkEnd w:id="1600"/>
    <w:bookmarkEnd w:id="1601"/>
    <w:bookmarkEnd w:id="1602"/>
    <w:bookmarkStart w:id="1957" w:name="deel-ii-d-hersenen-slaap-en-levensduur"/>
    <w:p>
      <w:pPr>
        <w:pStyle w:val="Heading1"/>
      </w:pPr>
      <w:r>
        <w:t xml:space="preserve">Deel II · D – Hersenen, slaap en levensduur</w:t>
      </w:r>
    </w:p>
    <w:p>
      <w:pPr>
        <w:pStyle w:val="FirstParagraph"/>
      </w:pPr>
      <w:r>
        <w:t xml:space="preserve">Nauwelijks een groep peptiden wordt op internet zo veelbelovend aangeprezen als deze: middelen voor meer concentratie en geheugen („nootropica”), voor diepere slaap, voor langere telomeren en „jongere mitochondriën”. Wat de twaalf werkzame stoffen in dit deel gemeen hebben, is dat ze zich richten op de hersenen, de celveroudering of de energiestofwisseling – en dat de kloof tussen belofte en bewijs hier bijzonder groot is.</w:t>
      </w:r>
    </w:p>
    <w:bookmarkStart w:id="1603" w:name="wat-deze-peptiden-verbindt"/>
    <w:p>
      <w:pPr>
        <w:pStyle w:val="Heading3"/>
      </w:pPr>
      <w:r>
        <w:t xml:space="preserve">Wat deze peptiden verbindt</w:t>
      </w:r>
    </w:p>
    <w:p>
      <w:pPr>
        <w:pStyle w:val="FirstParagraph"/>
      </w:pPr>
      <w:r>
        <w:t xml:space="preserve">De groep laat zich grofweg in drie families indelen:</w:t>
      </w:r>
    </w:p>
    <w:p>
      <w:pPr>
        <w:numPr>
          <w:ilvl w:val="0"/>
          <w:numId w:val="1189"/>
        </w:numPr>
        <w:pStyle w:val="Compact"/>
      </w:pPr>
      <w:r>
        <w:rPr>
          <w:bCs/>
          <w:b/>
        </w:rPr>
        <w:t xml:space="preserve">Russische neuropeptiden en „bioregulatoren”:</w:t>
      </w:r>
      <w:r>
        <w:t xml:space="preserve"> </w:t>
      </w:r>
      <w:r>
        <w:t xml:space="preserve">Semax, Selank, DSIP, epitalon en pinealon komen uit het Sovjet- en Russische onderzoek. Cerebrolysin, een peptidemengsel uit varkenshersenen, komt uit Oostenrijk, maar wordt vooral in Oost-Europa en Azië gebruikt.</w:t>
      </w:r>
    </w:p>
    <w:p>
      <w:pPr>
        <w:numPr>
          <w:ilvl w:val="0"/>
          <w:numId w:val="1189"/>
        </w:numPr>
        <w:pStyle w:val="Compact"/>
      </w:pPr>
      <w:r>
        <w:rPr>
          <w:bCs/>
          <w:b/>
        </w:rPr>
        <w:t xml:space="preserve">Mitochondriale peptiden:</w:t>
      </w:r>
      <w:r>
        <w:t xml:space="preserve"> </w:t>
      </w:r>
      <w:r>
        <w:t xml:space="preserve">MOTS-c en humanine zijn lichaamseigen signaalstoffen die in het erfelijk materiaal van de mitochondriën zijn gecodeerd. SS-31 (elamipretide) is een kunstmatig peptide dat gericht aan het mitochondriënmembraan bindt.</w:t>
      </w:r>
    </w:p>
    <w:p>
      <w:pPr>
        <w:numPr>
          <w:ilvl w:val="0"/>
          <w:numId w:val="1189"/>
        </w:numPr>
        <w:pStyle w:val="Compact"/>
      </w:pPr>
      <w:r>
        <w:rPr>
          <w:bCs/>
          <w:b/>
        </w:rPr>
        <w:t xml:space="preserve">Experimentele „anti-aging”-moleculen:</w:t>
      </w:r>
      <w:r>
        <w:t xml:space="preserve"> </w:t>
      </w:r>
      <w:r>
        <w:t xml:space="preserve">Dihexa (een afgeleide van angiotensine IV) en FOXO4-DRI (een senolyticum dat verouderde cellen zou opruimen) zijn nooit bij mensen onderzocht. Glutathion ten slotte is een lichaamseigen tripeptide dat als voedingssupplement en infuus wordt verkocht.</w:t>
      </w:r>
    </w:p>
    <w:bookmarkEnd w:id="1603"/>
    <w:bookmarkStart w:id="1604" w:name="de-nootropica--en-longevityscene"/>
    <w:p>
      <w:pPr>
        <w:pStyle w:val="Heading3"/>
      </w:pPr>
      <w:r>
        <w:t xml:space="preserve">De nootropica- en longevityscene</w:t>
      </w:r>
    </w:p>
    <w:p>
      <w:pPr>
        <w:pStyle w:val="FirstParagraph"/>
      </w:pPr>
      <w:r>
        <w:t xml:space="preserve">Wie op internet naar deze stoffen zoekt, belandt al snel op fora, bij influencers en in „longevityklinieken”. Typerend zijn drie denkfouten die je in de volgende hoofdstukken steeds weer zult tegenkomen:</w:t>
      </w:r>
    </w:p>
    <w:p>
      <w:pPr>
        <w:numPr>
          <w:ilvl w:val="0"/>
          <w:numId w:val="1190"/>
        </w:numPr>
        <w:pStyle w:val="Compact"/>
      </w:pPr>
      <w:r>
        <w:rPr>
          <w:bCs/>
          <w:b/>
        </w:rPr>
        <w:t xml:space="preserve">Van dier naar mens:</w:t>
      </w:r>
      <w:r>
        <w:t xml:space="preserve"> </w:t>
      </w:r>
      <w:r>
        <w:t xml:space="preserve">Dat een peptide bij muizen het geheugen of de levensduur verbetert, zegt weinig over de vraag of het bij mensen werkt. In het onderzoek naar beroerte en alzheimer zijn honderden bij dieren succesvolle werkzame stoffen bij mensen mislukt.</w:t>
      </w:r>
    </w:p>
    <w:p>
      <w:pPr>
        <w:numPr>
          <w:ilvl w:val="0"/>
          <w:numId w:val="1190"/>
        </w:numPr>
        <w:pStyle w:val="Compact"/>
      </w:pPr>
      <w:r>
        <w:rPr>
          <w:bCs/>
          <w:b/>
        </w:rPr>
        <w:t xml:space="preserve">Van spiegel naar spuit:</w:t>
      </w:r>
      <w:r>
        <w:t xml:space="preserve"> </w:t>
      </w:r>
      <w:r>
        <w:t xml:space="preserve">Dat mensen met lage MOTS-c- of humaninespiegels vaker ziek zijn, bewijst niet dat toediening gezond maakt.</w:t>
      </w:r>
    </w:p>
    <w:p>
      <w:pPr>
        <w:numPr>
          <w:ilvl w:val="0"/>
          <w:numId w:val="1190"/>
        </w:numPr>
        <w:pStyle w:val="Compact"/>
      </w:pPr>
      <w:r>
        <w:rPr>
          <w:bCs/>
          <w:b/>
        </w:rPr>
        <w:t xml:space="preserve">Van mechanisme naar nut:</w:t>
      </w:r>
      <w:r>
        <w:t xml:space="preserve"> </w:t>
      </w:r>
      <w:r>
        <w:t xml:space="preserve">Een sluitend mechanisme – „beschermt de mitochondriën”, „verlengt telomeren” – is geen werkzaamheid. SS-31 is daarvan het beste voorbeeld: het werd in meerdere grote studies onderzocht en haalde bij hartinfarct, hartfalen en mitochondriale myopathie de primaire doelen niet.</w:t>
      </w:r>
    </w:p>
    <w:p>
      <w:pPr>
        <w:pStyle w:val="FirstParagraph"/>
      </w:pPr>
      <w:r>
        <w:t xml:space="preserve">Daarbij komt dat bijna al deze stoffen op de grijze markt als „research peptides” worden verkocht – zonder kwaliteitscontrole (zie Deel I en Deel IV).</w:t>
      </w:r>
    </w:p>
    <w:bookmarkEnd w:id="1604"/>
    <w:bookmarkStart w:id="1605" w:name="Xf55a8f5e27a82243beba41a29841039e04720f5"/>
    <w:p>
      <w:pPr>
        <w:pStyle w:val="Heading3"/>
      </w:pPr>
      <w:r>
        <w:t xml:space="preserve">Russisch peptideonderzoek en de publicaties daarover</w:t>
      </w:r>
    </w:p>
    <w:p>
      <w:pPr>
        <w:pStyle w:val="FirstParagraph"/>
      </w:pPr>
      <w:r>
        <w:t xml:space="preserve">Een groot deel van de literatuur over Semax, Selank, DSIP, epitalon en pinealon komt van een paar instituten in Moskou en Sint-Petersburg. Dat is geen reden om het onderzoek zonder meer af te wijzen – maar wel een reden voor voorzichtigheid:</w:t>
      </w:r>
    </w:p>
    <w:p>
      <w:pPr>
        <w:numPr>
          <w:ilvl w:val="0"/>
          <w:numId w:val="1191"/>
        </w:numPr>
        <w:pStyle w:val="Compact"/>
      </w:pPr>
      <w:r>
        <w:rPr>
          <w:bCs/>
          <w:b/>
        </w:rPr>
        <w:t xml:space="preserve">Toelating zonder internationale normen:</w:t>
      </w:r>
      <w:r>
        <w:t xml:space="preserve"> </w:t>
      </w:r>
      <w:r>
        <w:t xml:space="preserve">Sommige peptiden zijn in Rusland als geneesmiddel geregistreerd zonder dat grote, geblindeerde, vooraf geregistreerde studies zijn gepubliceerd zoals de EU of de VS die eisen.</w:t>
      </w:r>
    </w:p>
    <w:p>
      <w:pPr>
        <w:numPr>
          <w:ilvl w:val="0"/>
          <w:numId w:val="1191"/>
        </w:numPr>
        <w:pStyle w:val="Compact"/>
      </w:pPr>
      <w:r>
        <w:rPr>
          <w:bCs/>
          <w:b/>
        </w:rPr>
        <w:t xml:space="preserve">Kleine, ongecontroleerde studies:</w:t>
      </w:r>
      <w:r>
        <w:t xml:space="preserve"> </w:t>
      </w:r>
      <w:r>
        <w:t xml:space="preserve">Veel klinische publicaties hebben geen placebogroep, geen gerandomiseerde toewijzing of noemen in de samenvatting geen getallen.</w:t>
      </w:r>
    </w:p>
    <w:p>
      <w:pPr>
        <w:numPr>
          <w:ilvl w:val="0"/>
          <w:numId w:val="1191"/>
        </w:numPr>
        <w:pStyle w:val="Compact"/>
      </w:pPr>
      <w:r>
        <w:rPr>
          <w:bCs/>
          <w:b/>
        </w:rPr>
        <w:t xml:space="preserve">Taal en toegang:</w:t>
      </w:r>
      <w:r>
        <w:t xml:space="preserve"> </w:t>
      </w:r>
      <w:r>
        <w:t xml:space="preserve">Veel publicaties verschijnen alleen in het Russisch, vaak in tijdschriften waarin de auteursgroepen zelf veel publiceren.</w:t>
      </w:r>
    </w:p>
    <w:p>
      <w:pPr>
        <w:numPr>
          <w:ilvl w:val="0"/>
          <w:numId w:val="1191"/>
        </w:numPr>
        <w:pStyle w:val="Compact"/>
      </w:pPr>
      <w:r>
        <w:rPr>
          <w:bCs/>
          <w:b/>
        </w:rPr>
        <w:t xml:space="preserve">Ontbrekende herhaling:</w:t>
      </w:r>
      <w:r>
        <w:t xml:space="preserve"> </w:t>
      </w:r>
      <w:r>
        <w:t xml:space="preserve">Onafhankelijke groepen buiten Rusland hebben de resultaten zelden gecontroleerd – en als ze dat deden, dan vaak met ontnuchterend resultaat, zoals bij DSIP.</w:t>
      </w:r>
    </w:p>
    <w:p>
      <w:pPr>
        <w:numPr>
          <w:ilvl w:val="0"/>
          <w:numId w:val="1191"/>
        </w:numPr>
        <w:pStyle w:val="Compact"/>
      </w:pPr>
      <w:r>
        <w:rPr>
          <w:bCs/>
          <w:b/>
        </w:rPr>
        <w:t xml:space="preserve">Geen registraties:</w:t>
      </w:r>
      <w:r>
        <w:t xml:space="preserve"> </w:t>
      </w:r>
      <w:r>
        <w:t xml:space="preserve">Voor Semax, Selank, DSIP en pinealon is op ClinicalTrials.gov niet één studie te vinden.</w:t>
      </w:r>
    </w:p>
    <w:bookmarkEnd w:id="1605"/>
    <w:bookmarkStart w:id="1606" w:name="overzicht-2"/>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Toelating</w:t>
            </w:r>
          </w:p>
        </w:tc>
        <w:tc>
          <w:tcPr/>
          <w:p>
            <w:pPr>
              <w:pStyle w:val="Compact"/>
              <w:jc w:val="left"/>
            </w:pPr>
            <w:r>
              <w:t xml:space="preserve">Kort</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ACTH-fragment; kleine beroertestudies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angstremmer; geen placebostudies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nationaal, o.a. Oostenrijk</w:t>
            </w:r>
          </w:p>
        </w:tc>
        <w:tc>
          <w:tcPr/>
          <w:p>
            <w:pPr>
              <w:pStyle w:val="Compact"/>
              <w:jc w:val="left"/>
            </w:pPr>
            <w:r>
              <w:t xml:space="preserve">veel RCT’s, Cochrane terughoudend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w:t>
            </w:r>
          </w:p>
        </w:tc>
        <w:tc>
          <w:tcPr/>
          <w:p>
            <w:pPr>
              <w:pStyle w:val="Compact"/>
              <w:jc w:val="left"/>
            </w:pPr>
            <w:r>
              <w:t xml:space="preserve">alleen dierdata; kankervraag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w:t>
            </w:r>
          </w:p>
        </w:tc>
        <w:tc>
          <w:tcPr/>
          <w:p>
            <w:pPr>
              <w:pStyle w:val="Compact"/>
              <w:jc w:val="left"/>
            </w:pPr>
            <w:r>
              <w:t xml:space="preserve">„slaappeptide” zonder bevestigd nut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telomeerbelofte alleen in het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kleine Russische observaties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w:t>
            </w:r>
          </w:p>
        </w:tc>
        <w:tc>
          <w:tcPr/>
          <w:p>
            <w:pPr>
              <w:pStyle w:val="Compact"/>
              <w:jc w:val="left"/>
            </w:pPr>
            <w:r>
              <w:t xml:space="preserve">muizen ja, mensen alleen spiegels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w:t>
            </w:r>
          </w:p>
        </w:tc>
        <w:tc>
          <w:tcPr/>
          <w:p>
            <w:pPr>
              <w:pStyle w:val="Compact"/>
              <w:jc w:val="left"/>
            </w:pPr>
            <w:r>
              <w:t xml:space="preserve">biomarker; bij dieren tumorbevorderend</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VS (syndroom van Barth)</w:t>
            </w:r>
          </w:p>
        </w:tc>
        <w:tc>
          <w:tcPr/>
          <w:p>
            <w:pPr>
              <w:pStyle w:val="Compact"/>
              <w:jc w:val="left"/>
            </w:pPr>
            <w:r>
              <w:t xml:space="preserve">grote studies meestal negatief</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w:t>
            </w:r>
          </w:p>
        </w:tc>
        <w:tc>
          <w:tcPr/>
          <w:p>
            <w:pPr>
              <w:pStyle w:val="Compact"/>
              <w:jc w:val="left"/>
            </w:pPr>
            <w:r>
              <w:t xml:space="preserve">senolyticum, alleen dierdata</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w:t>
            </w:r>
          </w:p>
        </w:tc>
        <w:tc>
          <w:tcPr/>
          <w:p>
            <w:pPr>
              <w:pStyle w:val="Compact"/>
              <w:jc w:val="left"/>
            </w:pPr>
            <w:r>
              <w:t xml:space="preserve">infusen voor huidbleking riskant</w:t>
            </w:r>
          </w:p>
        </w:tc>
      </w:tr>
    </w:tbl>
    <w:bookmarkEnd w:id="1606"/>
    <w:bookmarkStart w:id="1607" w:name="leeswijzer-3"/>
    <w:p>
      <w:pPr>
        <w:pStyle w:val="Heading3"/>
      </w:pPr>
      <w:r>
        <w:t xml:space="preserve">Leeswijzer</w:t>
      </w:r>
    </w:p>
    <w:p>
      <w:pPr>
        <w:pStyle w:val="FirstParagraph"/>
      </w:pPr>
      <w:r>
        <w:t xml:space="preserve">De hoofdstukken volgen de uniforme opbouw van dit boek. Let in elk hoofdstuk vooral op de paragraaf „Studies bij mensen” en daarin op de omvang van het onderzoek: bij negen van de twaalf peptiden is er ofwel geen studie waarin mensen de werkzame stof kregen, ofwel alleen zeer kleine, methodologisch zwakke onderzoeken. De juridische status en de FDA-status zijn in 2026 meermaals veranderd; de gegevens geven de stand van oktober 2026 weer en moeten actueel worden gecontroleerd.</w:t>
      </w:r>
    </w:p>
    <w:bookmarkEnd w:id="1607"/>
    <w:bookmarkStart w:id="1636" w:name="semax"/>
    <w:p>
      <w:pPr>
        <w:pStyle w:val="Heading2"/>
      </w:pPr>
      <w:r>
        <w:t xml:space="preserve">Semax</w:t>
      </w:r>
    </w:p>
    <w:bookmarkStart w:id="1608" w:name="profiel-34"/>
    <w:p>
      <w:pPr>
        <w:pStyle w:val="Heading3"/>
      </w:pPr>
      <w:r>
        <w:t xml:space="preserve">Profiel</w:t>
      </w:r>
    </w:p>
    <w:p>
      <w:pPr>
        <w:numPr>
          <w:ilvl w:val="0"/>
          <w:numId w:val="1192"/>
        </w:numPr>
        <w:pStyle w:val="Compact"/>
      </w:pPr>
      <w:r>
        <w:rPr>
          <w:bCs/>
          <w:b/>
        </w:rPr>
        <w:t xml:space="preserve">Soort en structuur:</w:t>
      </w:r>
      <w:r>
        <w:t xml:space="preserve"> </w:t>
      </w:r>
      <w:r>
        <w:t xml:space="preserve">synthetisch heptapeptide (zeven aminozuren: Met-Glu-His-Phe-Pro-Gly-Pro). De eerste vier bouwstenen komen overeen met een fragment van het stresshormoon ACTH (adrenocorticotroop hormoon, gedeelte 4–7); daaraan is het tripeptide Pro-Gly-Pro gekoppeld, dat de afbraak moet vertragen.</w:t>
      </w:r>
    </w:p>
    <w:p>
      <w:pPr>
        <w:numPr>
          <w:ilvl w:val="0"/>
          <w:numId w:val="1192"/>
        </w:numPr>
        <w:pStyle w:val="Compact"/>
      </w:pPr>
      <w:r>
        <w:rPr>
          <w:bCs/>
          <w:b/>
        </w:rPr>
        <w:t xml:space="preserve">Herkomst:</w:t>
      </w:r>
      <w:r>
        <w:t xml:space="preserve"> </w:t>
      </w:r>
      <w:r>
        <w:t xml:space="preserve">ontwikkeld vanaf de jaren tachtig aan het Instituut voor Moleculaire Genetica van de Russische Academie van Wetenschappen in Moskou.</w:t>
      </w:r>
    </w:p>
    <w:p>
      <w:pPr>
        <w:numPr>
          <w:ilvl w:val="0"/>
          <w:numId w:val="1192"/>
        </w:numPr>
        <w:pStyle w:val="Compact"/>
      </w:pPr>
      <w:r>
        <w:rPr>
          <w:bCs/>
          <w:b/>
        </w:rPr>
        <w:t xml:space="preserve">Werkingsprincipe:</w:t>
      </w:r>
      <w:r>
        <w:t xml:space="preserve"> </w:t>
      </w:r>
      <w:r>
        <w:t xml:space="preserve">zou de aanmaak van zenuwgroeifactoren (vooral BDNF) stimuleren en zenuwcellen bij zuurstoftekort beschermen; anders dan ACTH zet het de bijnier niet aan tot afgifte van cortisol. Het wordt toegediend als neusdruppels.</w:t>
      </w:r>
    </w:p>
    <w:p>
      <w:pPr>
        <w:numPr>
          <w:ilvl w:val="0"/>
          <w:numId w:val="1192"/>
        </w:numPr>
        <w:pStyle w:val="Compact"/>
      </w:pPr>
      <w:r>
        <w:rPr>
          <w:bCs/>
          <w:b/>
        </w:rPr>
        <w:t xml:space="preserve">Registratie EU:</w:t>
      </w:r>
      <w:r>
        <w:t xml:space="preserve"> </w:t>
      </w:r>
      <w:r>
        <w:t xml:space="preserve">nee.</w:t>
      </w:r>
    </w:p>
    <w:p>
      <w:pPr>
        <w:numPr>
          <w:ilvl w:val="0"/>
          <w:numId w:val="1192"/>
        </w:numPr>
        <w:pStyle w:val="Compact"/>
      </w:pPr>
      <w:r>
        <w:rPr>
          <w:bCs/>
          <w:b/>
        </w:rPr>
        <w:t xml:space="preserve">Registratie VS:</w:t>
      </w:r>
      <w:r>
        <w:t xml:space="preserve"> </w:t>
      </w:r>
      <w:r>
        <w:t xml:space="preserve">nee. Semax stond vanaf 2023 op de FDA-lijst van stoffen met mogelijke veiligheidsrisico’s voor apotheekbereidingen („categorie 2”), werd in april 2026 daarvan geschrapt en in juli 2026 door het adviescomité PCAC nipt aanbevolen voor opname in de lijst van toegestane grondstoffen voor bereidingen. Een toelating als geneesmiddel is dat niet.</w:t>
      </w:r>
    </w:p>
    <w:p>
      <w:pPr>
        <w:numPr>
          <w:ilvl w:val="0"/>
          <w:numId w:val="1192"/>
        </w:numPr>
        <w:pStyle w:val="Compact"/>
      </w:pPr>
      <w:r>
        <w:rPr>
          <w:bCs/>
          <w:b/>
        </w:rPr>
        <w:t xml:space="preserve">Rusland en enkele buurlanden:</w:t>
      </w:r>
      <w:r>
        <w:t xml:space="preserve"> </w:t>
      </w:r>
      <w:r>
        <w:t xml:space="preserve">als geneesmiddel geregistreerd (neusdruppels; 0,1%-oplossing als nootropicum, 1%-oplossing voor beroerte).</w:t>
      </w:r>
    </w:p>
    <w:p>
      <w:pPr>
        <w:numPr>
          <w:ilvl w:val="0"/>
          <w:numId w:val="1192"/>
        </w:numPr>
        <w:pStyle w:val="Compact"/>
      </w:pPr>
      <w:r>
        <w:rPr>
          <w:bCs/>
          <w:b/>
        </w:rPr>
        <w:t xml:space="preserve">WADA:</w:t>
      </w:r>
      <w:r>
        <w:t xml:space="preserve"> </w:t>
      </w:r>
      <w:r>
        <w:t xml:space="preserve">niet bij naam vermeld. Omdat Semax in Rusland is toegelaten, valt het niet eenduidig onder de verzamelcategorie S0 voor niet-toegelaten stoffen.</w:t>
      </w:r>
    </w:p>
    <w:p>
      <w:pPr>
        <w:numPr>
          <w:ilvl w:val="0"/>
          <w:numId w:val="1192"/>
        </w:numPr>
        <w:pStyle w:val="Compact"/>
      </w:pPr>
      <w:r>
        <w:rPr>
          <w:bCs/>
          <w:b/>
        </w:rPr>
        <w:t xml:space="preserve">Bewijsniveau:</w:t>
      </w:r>
      <w:r>
        <w:t xml:space="preserve"> </w:t>
      </w:r>
      <w:r>
        <w:rPr>
          <w:bCs/>
          <w:b/>
        </w:rPr>
        <w:t xml:space="preserve">C</w:t>
      </w:r>
      <w:r>
        <w:t xml:space="preserve"> </w:t>
      </w:r>
      <w:r>
        <w:t xml:space="preserve">– enkele kleine, overwegend niet-gerandomiseerde studies uit Russische centra.</w:t>
      </w:r>
    </w:p>
    <w:bookmarkEnd w:id="1608"/>
    <w:bookmarkStart w:id="1611" w:name="hoe-het-zou-moeten-werken-34"/>
    <w:p>
      <w:pPr>
        <w:pStyle w:val="Heading3"/>
      </w:pPr>
      <w:r>
        <w:t xml:space="preserve">Hoe het zou moeten werken</w:t>
      </w:r>
    </w:p>
    <w:p>
      <w:pPr>
        <w:pStyle w:val="FirstParagraph"/>
      </w:pPr>
      <w:r>
        <w:t xml:space="preserve">ACTH is een hormoon van de hypofyse dat de bijnier aanzet tot de aanmaak van cortisol. Al in de jaren zeventig viel op dat korte fragmenten van dit hormoon – zonder het effect op de bijnier – bij dieren aandacht en leren beïnvloeden. Zulke fragmenten worden in het lichaam echter binnen enkele minuten afgebroken. De ontwikkelaars van Semax verlengden daarom het fragment ACTH(4–7) met de sequentie Pro-Gly-Pro, die stabieler is tegen eiwitsplitsende enzymen.</w:t>
      </w:r>
    </w:p>
    <w:p>
      <w:pPr>
        <w:pStyle w:val="BodyText"/>
      </w:pPr>
      <w:r>
        <w:t xml:space="preserve">Voor het werkingsmechanisme steunen de ontwikkelaars vooral op dierdata:</w:t>
      </w:r>
    </w:p>
    <w:p>
      <w:pPr>
        <w:numPr>
          <w:ilvl w:val="0"/>
          <w:numId w:val="1193"/>
        </w:numPr>
        <w:pStyle w:val="Compact"/>
      </w:pPr>
      <w:r>
        <w:rPr>
          <w:bCs/>
          <w:b/>
        </w:rPr>
        <w:t xml:space="preserve">Zenuwgroeifactoren:</w:t>
      </w:r>
      <w:r>
        <w:t xml:space="preserve"> </w:t>
      </w:r>
      <w:r>
        <w:t xml:space="preserve">Bij ratten werden specifieke bindingsplaatsen voor gelabeld Semax gevonden in de basale voorhersenen; na toediening in de neus steeg daar binnen drie uur het gehalte aan BDNF (brain-derived neurotrophic factor), een eiwit dat het aanpassingsvermogen van zenuwverbindingen bevordert. In de kleine hersenen was dat niet het geval</w:t>
      </w:r>
      <w:r>
        <w:rPr>
          <w:rStyle w:val="FootnoteReference"/>
        </w:rPr>
        <w:footnoteReference w:id="1609"/>
      </w:r>
      <w:r>
        <w:t xml:space="preserve">.</w:t>
      </w:r>
    </w:p>
    <w:p>
      <w:pPr>
        <w:numPr>
          <w:ilvl w:val="0"/>
          <w:numId w:val="1193"/>
        </w:numPr>
        <w:pStyle w:val="Compact"/>
      </w:pPr>
      <w:r>
        <w:rPr>
          <w:bCs/>
          <w:b/>
        </w:rPr>
        <w:t xml:space="preserve">Genactiviteit na beroerte:</w:t>
      </w:r>
      <w:r>
        <w:t xml:space="preserve"> </w:t>
      </w:r>
      <w:r>
        <w:t xml:space="preserve">In een beroertemodel bij ratten veranderde Semax de activiteit van talrijke genen, vooral die van het immuunsysteem en van de vorming van bloedvaten</w:t>
      </w:r>
      <w:r>
        <w:rPr>
          <w:rStyle w:val="FootnoteReference"/>
        </w:rPr>
        <w:footnoteReference w:id="1610"/>
      </w:r>
      <w:r>
        <w:t xml:space="preserve">.</w:t>
      </w:r>
    </w:p>
    <w:p>
      <w:pPr>
        <w:pStyle w:val="FirstParagraph"/>
      </w:pPr>
      <w:r>
        <w:t xml:space="preserve">Een eigen receptor voor Semax is niet geïdentificeerd. Of de bij ratten gemeten BDNF-stijgingen bij mensen in vergelijkbare vorm optreden en of ze voor een nut volstaan, is onzeker.</w:t>
      </w:r>
    </w:p>
    <w:bookmarkEnd w:id="1611"/>
    <w:bookmarkStart w:id="1623" w:name="studies-bij-mensen-3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 4 als studie bij mensen geclassificeerde publicaties op; in totaal vermeldt PubMed ongeveer 210 publicaties met „Semax” in titel of samenvatting, overwegend dier- en laboratoriumstudies. Op ClinicalTrials.gov is niet één studie geregistreerd. Bij een gerichte aanvullende zoekopdracht werden enkele andere kleine klinische publicaties gevonden. Vrijwel alle komen van Russische instellingen, veel uit de kring van de ontwikkelaars, en zijn alleen in het Russisch met een Engelse samenvatting verschenen.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Gusev 1997, PMID 11517472</w:t>
            </w:r>
          </w:p>
        </w:tc>
        <w:tc>
          <w:tcPr/>
          <w:p>
            <w:pPr>
              <w:pStyle w:val="Compact"/>
              <w:jc w:val="left"/>
            </w:pPr>
            <w:r>
              <w:t xml:space="preserve">30 personen met acute ischemische beroerte, vergelijking met 80 personen onder standaardtherapie, niet gerandomiseerd</w:t>
            </w:r>
          </w:p>
        </w:tc>
        <w:tc>
          <w:tcPr/>
          <w:p>
            <w:pPr>
              <w:pStyle w:val="Compact"/>
              <w:jc w:val="left"/>
            </w:pPr>
            <w:r>
              <w:t xml:space="preserve">5–10 dagen behandeling</w:t>
            </w:r>
          </w:p>
        </w:tc>
        <w:tc>
          <w:tcPr/>
          <w:p>
            <w:pPr>
              <w:pStyle w:val="Compact"/>
              <w:jc w:val="left"/>
            </w:pPr>
            <w:r>
              <w:t xml:space="preserve">„zekere invloed” op de snelheid van herstel van neurologische uitval, geen effectgrootten in de samenvatting</w:t>
            </w:r>
          </w:p>
        </w:tc>
      </w:tr>
      <w:tr>
        <w:tc>
          <w:tcPr/>
          <w:p>
            <w:pPr>
              <w:pStyle w:val="Compact"/>
              <w:jc w:val="left"/>
            </w:pPr>
            <w:r>
              <w:t xml:space="preserve">Gusev 2005, PMID 15792140</w:t>
            </w:r>
          </w:p>
        </w:tc>
        <w:tc>
          <w:tcPr/>
          <w:p>
            <w:pPr>
              <w:pStyle w:val="Compact"/>
              <w:jc w:val="left"/>
            </w:pPr>
            <w:r>
              <w:t xml:space="preserve">187 personen met chronische doorbloedingsstoornis van de hersenen</w:t>
            </w:r>
          </w:p>
        </w:tc>
        <w:tc>
          <w:tcPr/>
          <w:p>
            <w:pPr>
              <w:pStyle w:val="Compact"/>
              <w:jc w:val="left"/>
            </w:pPr>
            <w:r>
              <w:t xml:space="preserve">niet vermeld</w:t>
            </w:r>
          </w:p>
        </w:tc>
        <w:tc>
          <w:tcPr/>
          <w:p>
            <w:pPr>
              <w:pStyle w:val="Compact"/>
              <w:jc w:val="left"/>
            </w:pPr>
            <w:r>
              <w:t xml:space="preserve">volgens de auteurs klinische verbetering en minder beroertes; opzet en getallen niet in de samenvatting</w:t>
            </w:r>
          </w:p>
        </w:tc>
      </w:tr>
      <w:tr>
        <w:tc>
          <w:tcPr/>
          <w:p>
            <w:pPr>
              <w:pStyle w:val="Compact"/>
              <w:jc w:val="left"/>
            </w:pPr>
            <w:r>
              <w:t xml:space="preserve">Gusev 2018, PMID 29798983</w:t>
            </w:r>
          </w:p>
        </w:tc>
        <w:tc>
          <w:tcPr/>
          <w:p>
            <w:pPr>
              <w:pStyle w:val="Compact"/>
              <w:jc w:val="left"/>
            </w:pPr>
            <w:r>
              <w:t xml:space="preserve">110 personen na een beroerte, vroege of late revalidatie, telkens met of zonder Semax</w:t>
            </w:r>
          </w:p>
        </w:tc>
        <w:tc>
          <w:tcPr/>
          <w:p>
            <w:pPr>
              <w:pStyle w:val="Compact"/>
              <w:jc w:val="left"/>
            </w:pPr>
            <w:r>
              <w:t xml:space="preserve">ongeveer 5 maanden</w:t>
            </w:r>
          </w:p>
        </w:tc>
        <w:tc>
          <w:tcPr/>
          <w:p>
            <w:pPr>
              <w:pStyle w:val="Compact"/>
              <w:jc w:val="left"/>
            </w:pPr>
            <w:r>
              <w:t xml:space="preserve">hogere BDNF-spiegel in het bloed, snellere verbetering op de Barthel-index</w:t>
            </w:r>
          </w:p>
        </w:tc>
      </w:tr>
      <w:tr>
        <w:tc>
          <w:tcPr/>
          <w:p>
            <w:pPr>
              <w:pStyle w:val="Compact"/>
              <w:jc w:val="left"/>
            </w:pPr>
            <w:r>
              <w:t xml:space="preserve">Serdiuk 2007, PMID 18379501</w:t>
            </w:r>
          </w:p>
        </w:tc>
        <w:tc>
          <w:tcPr/>
          <w:p>
            <w:pPr>
              <w:pStyle w:val="Compact"/>
              <w:jc w:val="left"/>
            </w:pPr>
            <w:r>
              <w:t xml:space="preserve">27 personen met motorneuronziekte (bijv. ALS), open</w:t>
            </w:r>
          </w:p>
        </w:tc>
        <w:tc>
          <w:tcPr/>
          <w:p>
            <w:pPr>
              <w:pStyle w:val="Compact"/>
              <w:jc w:val="left"/>
            </w:pPr>
            <w:r>
              <w:t xml:space="preserve">48 dagen</w:t>
            </w:r>
          </w:p>
        </w:tc>
        <w:tc>
          <w:tcPr/>
          <w:p>
            <w:pPr>
              <w:pStyle w:val="Compact"/>
              <w:jc w:val="left"/>
            </w:pPr>
            <w:r>
              <w:t xml:space="preserve">geen invloed op ziekteverloop en spierbevindingen; betere scores voor kwaliteit van leven</w:t>
            </w:r>
          </w:p>
        </w:tc>
      </w:tr>
      <w:tr>
        <w:tc>
          <w:tcPr/>
          <w:p>
            <w:pPr>
              <w:pStyle w:val="Compact"/>
              <w:jc w:val="left"/>
            </w:pPr>
            <w:r>
              <w:t xml:space="preserve">Polunin 2000, PMID 10741256</w:t>
            </w:r>
          </w:p>
        </w:tc>
        <w:tc>
          <w:tcPr/>
          <w:p>
            <w:pPr>
              <w:pStyle w:val="Compact"/>
              <w:jc w:val="left"/>
            </w:pPr>
            <w:r>
              <w:t xml:space="preserve">personen met aandoeningen van de oogzenuw, drie groepen incl. controle</w:t>
            </w:r>
          </w:p>
        </w:tc>
        <w:tc>
          <w:tcPr/>
          <w:p>
            <w:pPr>
              <w:pStyle w:val="Compact"/>
              <w:jc w:val="left"/>
            </w:pPr>
            <w:r>
              <w:t xml:space="preserve">niet vermeld</w:t>
            </w:r>
          </w:p>
        </w:tc>
        <w:tc>
          <w:tcPr/>
          <w:p>
            <w:pPr>
              <w:pStyle w:val="Compact"/>
              <w:jc w:val="left"/>
            </w:pPr>
            <w:r>
              <w:t xml:space="preserve">volgens de auteurs betere gezichtsscherpte en gezichtsveld; geen getallen in de samenvatting</w:t>
            </w:r>
          </w:p>
        </w:tc>
      </w:tr>
      <w:tr>
        <w:tc>
          <w:tcPr/>
          <w:p>
            <w:pPr>
              <w:pStyle w:val="Compact"/>
              <w:jc w:val="left"/>
            </w:pPr>
            <w:r>
              <w:t xml:space="preserve">Lebedeva 2018, PMID 30225715</w:t>
            </w:r>
          </w:p>
        </w:tc>
        <w:tc>
          <w:tcPr/>
          <w:p>
            <w:pPr>
              <w:pStyle w:val="Compact"/>
              <w:jc w:val="left"/>
            </w:pPr>
            <w:r>
              <w:t xml:space="preserve">24 gezonden, Semax (14) of placebo (10)</w:t>
            </w:r>
          </w:p>
        </w:tc>
        <w:tc>
          <w:tcPr/>
          <w:p>
            <w:pPr>
              <w:pStyle w:val="Compact"/>
              <w:jc w:val="left"/>
            </w:pPr>
            <w:r>
              <w:t xml:space="preserve">eenmalige toediening, meting na 20 minuten</w:t>
            </w:r>
          </w:p>
        </w:tc>
        <w:tc>
          <w:tcPr/>
          <w:p>
            <w:pPr>
              <w:pStyle w:val="Compact"/>
              <w:jc w:val="left"/>
            </w:pPr>
            <w:r>
              <w:t xml:space="preserve">veranderde activiteit van rustnetwerken op functionele MRI</w:t>
            </w:r>
          </w:p>
        </w:tc>
      </w:tr>
    </w:tbl>
    <w:bookmarkStart w:id="1615" w:name="beroerte"/>
    <w:p>
      <w:pPr>
        <w:pStyle w:val="Heading4"/>
      </w:pPr>
      <w:r>
        <w:t xml:space="preserve">Beroerte</w:t>
      </w:r>
    </w:p>
    <w:p>
      <w:pPr>
        <w:pStyle w:val="FirstParagraph"/>
      </w:pPr>
      <w:r>
        <w:t xml:space="preserve">De beroerte is het belangrijkste toepassingsgebied waarvoor Semax in Rusland is geregistreerd. De basis daarvoor is dun. In de eerste klinische studie kregen 30 personen met een acute beroerte Semax naast de standaardbehandeling; als vergelijking dienden 80 personen die alleen de standaardbehandeling kregen. De groepen werden niet door loting ingedeeld. De auteurs melden een „zekere invloed” op het herstel van de uitvalsverschijnselen, vooral van de verlammingen</w:t>
      </w:r>
      <w:r>
        <w:rPr>
          <w:rStyle w:val="FootnoteReference"/>
        </w:rPr>
        <w:footnoteReference w:id="1612"/>
      </w:r>
      <w:r>
        <w:t xml:space="preserve">. Een vervolgpublicatie van dezelfde groep onderzocht ontstekingssignaalstoffen in het bloed en was uitdrukkelijk een retrospectieve analyse</w:t>
      </w:r>
      <w:r>
        <w:rPr>
          <w:rStyle w:val="FootnoteReference"/>
        </w:rPr>
        <w:footnoteReference w:id="1613"/>
      </w:r>
      <w:r>
        <w:t xml:space="preserve">.</w:t>
      </w:r>
    </w:p>
    <w:p>
      <w:pPr>
        <w:pStyle w:val="BodyText"/>
      </w:pPr>
      <w:r>
        <w:t xml:space="preserve">De tot nu toe grootste studie met 110 personen na een beroerte vergeleek vroege en late revalidatie, telkens met of zonder Semax. Onder Semax steeg de BDNF-spiegel in het bloedplasma en bleef deze tijdens de observatie verhoogd; de Barthel-index, een maat voor zelfstandigheid in het dagelijks leven, verbeterde sneller</w:t>
      </w:r>
      <w:r>
        <w:rPr>
          <w:rStyle w:val="FootnoteReference"/>
        </w:rPr>
        <w:footnoteReference w:id="1614"/>
      </w:r>
      <w:r>
        <w:t xml:space="preserve">. De samenvatting vermeldt noch een gerandomiseerde toewijzing noch blindering, en de verschillen tussen de groepen worden niet als effectgrootte weergegeven. Als bewijs van nut volstaat dat niet.</w:t>
      </w:r>
    </w:p>
    <w:p>
      <w:pPr>
        <w:pStyle w:val="BodyText"/>
      </w:pPr>
      <w:r>
        <w:t xml:space="preserve">Ter vergelijking: van andere werkzame stoffen die „zenuwcellen zouden beschermen”, zijn bij beroerte in grote, geblindeerde internationale studies tot nu toe bijna alle mislukt. Zo’n studie bestaat voor Semax niet.</w:t>
      </w:r>
    </w:p>
    <w:bookmarkEnd w:id="1615"/>
    <w:bookmarkStart w:id="1620" w:name="andere-toepassingen-2"/>
    <w:p>
      <w:pPr>
        <w:pStyle w:val="Heading4"/>
      </w:pPr>
      <w:r>
        <w:t xml:space="preserve">Andere toepassingen</w:t>
      </w:r>
    </w:p>
    <w:p>
      <w:pPr>
        <w:numPr>
          <w:ilvl w:val="0"/>
          <w:numId w:val="1194"/>
        </w:numPr>
        <w:pStyle w:val="Compact"/>
      </w:pPr>
      <w:r>
        <w:rPr>
          <w:bCs/>
          <w:b/>
        </w:rPr>
        <w:t xml:space="preserve">Motorneuronziekten:</w:t>
      </w:r>
      <w:r>
        <w:t xml:space="preserve"> </w:t>
      </w:r>
      <w:r>
        <w:t xml:space="preserve">In een open studie met 27 personen veranderde Semax noch het verloop van de zenuwschade in het elektromyogram noch de klinische beoordelingsschalen. De scores voor kwaliteit van leven verbeterden, vooral stemming en motivatie, het sterkst op de tiende dag</w:t>
      </w:r>
      <w:r>
        <w:rPr>
          <w:rStyle w:val="FootnoteReference"/>
        </w:rPr>
        <w:footnoteReference w:id="1616"/>
      </w:r>
      <w:r>
        <w:t xml:space="preserve">. Zonder placebogroep valt een verwachtingseffect niet uit te sluiten.</w:t>
      </w:r>
    </w:p>
    <w:p>
      <w:pPr>
        <w:numPr>
          <w:ilvl w:val="0"/>
          <w:numId w:val="1194"/>
        </w:numPr>
        <w:pStyle w:val="Compact"/>
      </w:pPr>
      <w:r>
        <w:rPr>
          <w:bCs/>
          <w:b/>
        </w:rPr>
        <w:t xml:space="preserve">Aandoeningen van de oogzenuw:</w:t>
      </w:r>
      <w:r>
        <w:t xml:space="preserve"> </w:t>
      </w:r>
      <w:r>
        <w:t xml:space="preserve">Een gecontroleerde studie meldt betere visuele functies bij aanvullende behandeling met Semax, zonder getallen in de samenvatting</w:t>
      </w:r>
      <w:r>
        <w:rPr>
          <w:rStyle w:val="FootnoteReference"/>
        </w:rPr>
        <w:footnoteReference w:id="1617"/>
      </w:r>
      <w:r>
        <w:t xml:space="preserve">.</w:t>
      </w:r>
    </w:p>
    <w:p>
      <w:pPr>
        <w:numPr>
          <w:ilvl w:val="0"/>
          <w:numId w:val="1194"/>
        </w:numPr>
        <w:pStyle w:val="Compact"/>
      </w:pPr>
      <w:r>
        <w:rPr>
          <w:bCs/>
          <w:b/>
        </w:rPr>
        <w:t xml:space="preserve">Gevolgen van zuurstoftekort:</w:t>
      </w:r>
      <w:r>
        <w:t xml:space="preserve"> </w:t>
      </w:r>
      <w:r>
        <w:t xml:space="preserve">Bij 73 personen met hersenschade na zuurstoftekort beschrijven de auteurs een effect bij geheugenstoornissen. Bij sommigen traden na de toediening op het eeg episodes van aanvalsachtige activiteit op; de auteurs raden daarom aan de eerste toediening onder eeg-controle te geven</w:t>
      </w:r>
      <w:r>
        <w:rPr>
          <w:rStyle w:val="FootnoteReference"/>
        </w:rPr>
        <w:footnoteReference w:id="1618"/>
      </w:r>
      <w:r>
        <w:t xml:space="preserve">.</w:t>
      </w:r>
    </w:p>
    <w:p>
      <w:pPr>
        <w:numPr>
          <w:ilvl w:val="0"/>
          <w:numId w:val="1194"/>
        </w:numPr>
        <w:pStyle w:val="Compact"/>
      </w:pPr>
      <w:r>
        <w:rPr>
          <w:bCs/>
          <w:b/>
        </w:rPr>
        <w:t xml:space="preserve">Maagzweer:</w:t>
      </w:r>
      <w:r>
        <w:t xml:space="preserve"> </w:t>
      </w:r>
      <w:r>
        <w:t xml:space="preserve">In een publicatie over therapieresistente maagzweren genazen na 14 dagen 89,5% van de zweren onder Semax naast de standaardtherapie, tegenover 30,8% in de controlegroep</w:t>
      </w:r>
      <w:r>
        <w:rPr>
          <w:rStyle w:val="FootnoteReference"/>
        </w:rPr>
        <w:footnoteReference w:id="1619"/>
      </w:r>
      <w:r>
        <w:t xml:space="preserve">. Groepsgrootte en toewijzing vermeldt de samenvatting niet; de auteurs vragen zelf om verdere studies.</w:t>
      </w:r>
    </w:p>
    <w:bookmarkEnd w:id="1620"/>
    <w:bookmarkStart w:id="1622" w:name="gezonde-mensen-en-nootropicum"/>
    <w:p>
      <w:pPr>
        <w:pStyle w:val="Heading4"/>
      </w:pPr>
      <w:r>
        <w:t xml:space="preserve">Gezonde mensen en „nootropicum”</w:t>
      </w:r>
    </w:p>
    <w:p>
      <w:pPr>
        <w:pStyle w:val="FirstParagraph"/>
      </w:pPr>
      <w:r>
        <w:t xml:space="preserve">Op internet wordt Semax vooral aangeboden als middel om concentratie en geheugen bij gezonde mensen te verbeteren. Betrouwbare studies daarover ontbreken. Een overzichtsartikel van de ontwikkelaars uit de jaren negentig meldt dat Semax geheugen en aandacht van gezonde mannen „onder extreme omstandigheden” verbetert, maar noemt in de samenvatting geen studiegegevens</w:t>
      </w:r>
      <w:r>
        <w:rPr>
          <w:rStyle w:val="FootnoteReference"/>
        </w:rPr>
        <w:footnoteReference w:id="1621"/>
      </w:r>
      <w:r>
        <w:t xml:space="preserve">. Twee kleine beeldvormingsstudies bij gezonde mensen toonden na een eenmalige toediening veranderde activiteitspatronen op functionele MRI (Lebedeva 2018, PMID 30225715; Panikratova 2020, PMID 32342318, 52 gezonden met Semax, Selank of placebo). Veranderde hersenactiviteit in de scanner is echter geen bewijs van betere prestaties in het dagelijks leven.</w:t>
      </w:r>
    </w:p>
    <w:bookmarkEnd w:id="1622"/>
    <w:bookmarkEnd w:id="1623"/>
    <w:bookmarkStart w:id="1628" w:name="dier--en-laboratoriumstudies-34"/>
    <w:p>
      <w:pPr>
        <w:pStyle w:val="Heading3"/>
      </w:pPr>
      <w:r>
        <w:t xml:space="preserve">Dier- en laboratoriumstudies</w:t>
      </w:r>
    </w:p>
    <w:p>
      <w:pPr>
        <w:pStyle w:val="FirstParagraph"/>
      </w:pPr>
      <w:r>
        <w:t xml:space="preserve">De preklinische literatuur is omvangrijk en komt eveneens overwegend uit Moskou:</w:t>
      </w:r>
    </w:p>
    <w:p>
      <w:pPr>
        <w:numPr>
          <w:ilvl w:val="0"/>
          <w:numId w:val="1195"/>
        </w:numPr>
        <w:pStyle w:val="Compact"/>
      </w:pPr>
      <w:r>
        <w:t xml:space="preserve">Bij ratten met een kunstmatig opgewekte beroerte veranderde Semax de activiteit van genen van het immuun- en vaatstelsel</w:t>
      </w:r>
      <w:r>
        <w:rPr>
          <w:rStyle w:val="FootnoteReference"/>
        </w:rPr>
        <w:footnoteReference w:id="1624"/>
      </w:r>
      <w:r>
        <w:t xml:space="preserve">.</w:t>
      </w:r>
    </w:p>
    <w:p>
      <w:pPr>
        <w:numPr>
          <w:ilvl w:val="0"/>
          <w:numId w:val="1195"/>
        </w:numPr>
        <w:pStyle w:val="Compact"/>
      </w:pPr>
      <w:r>
        <w:t xml:space="preserve">Bij ratten bij wie het dopaminesysteem met het zenuwgif MPTP was beschadigd, verminderde Semax bewegings- en angststoornissen</w:t>
      </w:r>
      <w:r>
        <w:rPr>
          <w:rStyle w:val="FootnoteReference"/>
        </w:rPr>
        <w:footnoteReference w:id="1625"/>
      </w:r>
      <w:r>
        <w:t xml:space="preserve">.</w:t>
      </w:r>
    </w:p>
    <w:p>
      <w:pPr>
        <w:numPr>
          <w:ilvl w:val="0"/>
          <w:numId w:val="1195"/>
        </w:numPr>
        <w:pStyle w:val="Compact"/>
      </w:pPr>
      <w:r>
        <w:t xml:space="preserve">Bij genetisch gemodificeerde muizen met alzheimerachtige afzettingen verbeterden Semax en een afgeleide stof het gedrag in geheugentests en verminderden ze het aantal amyloïdafzettingen</w:t>
      </w:r>
      <w:r>
        <w:rPr>
          <w:rStyle w:val="FootnoteReference"/>
        </w:rPr>
        <w:footnoteReference w:id="1626"/>
      </w:r>
      <w:r>
        <w:t xml:space="preserve">.</w:t>
      </w:r>
    </w:p>
    <w:p>
      <w:pPr>
        <w:numPr>
          <w:ilvl w:val="0"/>
          <w:numId w:val="1195"/>
        </w:numPr>
        <w:pStyle w:val="Compact"/>
      </w:pPr>
      <w:r>
        <w:t xml:space="preserve">In laboratoriumexperimenten bindt Semax koperionen, wat de vorming van schadelijke zuurstofradicalen door amyloïd-kopercomplexen dempte</w:t>
      </w:r>
      <w:r>
        <w:rPr>
          <w:rStyle w:val="FootnoteReference"/>
        </w:rPr>
        <w:footnoteReference w:id="1627"/>
      </w:r>
      <w:r>
        <w:t xml:space="preserve">.</w:t>
      </w:r>
    </w:p>
    <w:p>
      <w:pPr>
        <w:pStyle w:val="FirstParagraph"/>
      </w:pPr>
      <w:r>
        <w:t xml:space="preserve">Deze resultaten zijn dier- en laboratoriumbevindingen. Veel werkzame stoffen die in zulke modellen beschermden, faalden later bij mensen.</w:t>
      </w:r>
    </w:p>
    <w:bookmarkEnd w:id="1628"/>
    <w:bookmarkStart w:id="1632" w:name="risicos-en-bijwerkingen-34"/>
    <w:p>
      <w:pPr>
        <w:pStyle w:val="Heading3"/>
      </w:pPr>
      <w:r>
        <w:t xml:space="preserve">Risico’s en bijwerkingen</w:t>
      </w:r>
    </w:p>
    <w:p>
      <w:pPr>
        <w:pStyle w:val="FirstParagraph"/>
      </w:pPr>
      <w:r>
        <w:rPr>
          <w:bCs/>
          <w:b/>
        </w:rPr>
        <w:t xml:space="preserve">Aangetoond:</w:t>
      </w:r>
      <w:r>
        <w:t xml:space="preserve"> </w:t>
      </w:r>
      <w:r>
        <w:t xml:space="preserve">systematisch verzamelde veiligheidsgegevens uit grotere studies zijn er niet. De Russische publicaties beschrijven Semax als goed verdraagbaar, deels uitdrukkelijk ook bij ouderen</w:t>
      </w:r>
      <w:r>
        <w:rPr>
          <w:rStyle w:val="FootnoteReference"/>
        </w:rPr>
        <w:footnoteReference w:id="1629"/>
      </w:r>
      <w:r>
        <w:t xml:space="preserve">. Een serieus te nemen signaal is de waarneming van aanvalsachtige eeg-veranderingen na toediening bij enkele personen met vooraf beschadigde hersenen</w:t>
      </w:r>
      <w:r>
        <w:rPr>
          <w:rStyle w:val="FootnoteReference"/>
        </w:rPr>
        <w:footnoteReference w:id="1630"/>
      </w:r>
      <w:r>
        <w:t xml:space="preserve">.</w:t>
      </w:r>
    </w:p>
    <w:p>
      <w:pPr>
        <w:pStyle w:val="BodyText"/>
      </w:pPr>
      <w:r>
        <w:rPr>
          <w:bCs/>
          <w:b/>
        </w:rPr>
        <w:t xml:space="preserve">Theoretisch:</w:t>
      </w:r>
      <w:r>
        <w:t xml:space="preserve"> </w:t>
      </w:r>
      <w:r>
        <w:t xml:space="preserve">Semax zou groeifactoren en immuungenen beïnvloeden; de langetermijngevolgen van zulke ingrepen zijn niet onderzocht. Voor zwangerschap, borstvoeding, kinderen, epilepsie en psychische aandoeningen ontbreken gegevens.</w:t>
      </w:r>
    </w:p>
    <w:p>
      <w:pPr>
        <w:pStyle w:val="BodyText"/>
      </w:pPr>
      <w:r>
        <w:rPr>
          <w:bCs/>
          <w:b/>
        </w:rPr>
        <w:t xml:space="preserve">Grijze markt:</w:t>
      </w:r>
      <w:r>
        <w:t xml:space="preserve"> </w:t>
      </w:r>
      <w:r>
        <w:t xml:space="preserve">buiten Rusland wordt Semax meestal verkocht als „research peptide” of als zelfgemengde neusoplossing. Gehalte, zuiverheid en steriliteit van zulke producten zijn ongecontroleerd. Een laboratorium voor geneesmiddelencontrole identificeerde Semax en Selank in 2017 en 2018 in in beslag genomen, onbekende preparaten en stelde bij online onderzoek vast dat zulke „nootropische peptiden” vrij worden aangeboden als poeder voor injectie of als neusspray</w:t>
      </w:r>
      <w:r>
        <w:rPr>
          <w:rStyle w:val="FootnoteReference"/>
        </w:rPr>
        <w:footnoteReference w:id="1631"/>
      </w:r>
      <w:r>
        <w:t xml:space="preserve">. Meer daarover in Deel I en Deel IV.</w:t>
      </w:r>
    </w:p>
    <w:bookmarkEnd w:id="1632"/>
    <w:bookmarkStart w:id="1633" w:name="juridische-status-34"/>
    <w:p>
      <w:pPr>
        <w:pStyle w:val="Heading3"/>
      </w:pPr>
      <w:r>
        <w:t xml:space="preserve">Juridische status</w:t>
      </w:r>
    </w:p>
    <w:p>
      <w:pPr>
        <w:numPr>
          <w:ilvl w:val="0"/>
          <w:numId w:val="1196"/>
        </w:numPr>
        <w:pStyle w:val="Compact"/>
      </w:pPr>
      <w:r>
        <w:rPr>
          <w:bCs/>
          <w:b/>
        </w:rPr>
        <w:t xml:space="preserve">EU / Oostenrijk / Duitsland:</w:t>
      </w:r>
      <w:r>
        <w:t xml:space="preserve"> </w:t>
      </w:r>
      <w:r>
        <w:t xml:space="preserve">Semax is niet toegelaten. Als stof met een beoogd effect op lichaamsfuncties geldt het als geneesmiddel; verkoop en reclame zonder toelating zijn niet toegestaan. Invoer uit Rusland als geneesmiddel valt onder de regels voor individuele invoer.</w:t>
      </w:r>
    </w:p>
    <w:p>
      <w:pPr>
        <w:numPr>
          <w:ilvl w:val="0"/>
          <w:numId w:val="1196"/>
        </w:numPr>
        <w:pStyle w:val="Compact"/>
      </w:pPr>
      <w:r>
        <w:rPr>
          <w:bCs/>
          <w:b/>
        </w:rPr>
        <w:t xml:space="preserve">VS:</w:t>
      </w:r>
      <w:r>
        <w:t xml:space="preserve"> </w:t>
      </w:r>
      <w:r>
        <w:t xml:space="preserve">niet toegelaten. De FDA schrapte Semax in april 2026 van haar „categorie 2”-lijst; het adviescomité PCAC stemde in juli 2026 met 8 tegen 5 stemmen voor opname van Semax in de lijst van stoffen die apotheken voor bereidingen mogen gebruiken. De deskundigen van de FDA hadden dat afgeraden; de beslissing van de instantie was bij het afsluiten van de redactie nog niet genomen (stand oktober 2026, actuele situatie controleren).</w:t>
      </w:r>
    </w:p>
    <w:p>
      <w:pPr>
        <w:numPr>
          <w:ilvl w:val="0"/>
          <w:numId w:val="1196"/>
        </w:numPr>
        <w:pStyle w:val="Compact"/>
      </w:pPr>
      <w:r>
        <w:rPr>
          <w:bCs/>
          <w:b/>
        </w:rPr>
        <w:t xml:space="preserve">Rusland:</w:t>
      </w:r>
      <w:r>
        <w:t xml:space="preserve"> </w:t>
      </w:r>
      <w:r>
        <w:t xml:space="preserve">als geneesmiddel geregistreerd en in apotheken verkrijgbaar.</w:t>
      </w:r>
    </w:p>
    <w:p>
      <w:pPr>
        <w:numPr>
          <w:ilvl w:val="0"/>
          <w:numId w:val="1196"/>
        </w:numPr>
        <w:pStyle w:val="Compact"/>
      </w:pPr>
      <w:r>
        <w:rPr>
          <w:bCs/>
          <w:b/>
        </w:rPr>
        <w:t xml:space="preserve">Sport:</w:t>
      </w:r>
      <w:r>
        <w:t xml:space="preserve"> </w:t>
      </w:r>
      <w:r>
        <w:t xml:space="preserve">niet bij naam op de WADA-lijst (stand 2026, actuele situatie controleren).</w:t>
      </w:r>
    </w:p>
    <w:bookmarkEnd w:id="1633"/>
    <w:bookmarkStart w:id="1634" w:name="lopende-studies-en-vooruitzichten-34"/>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Semax geregistreerd (zoekopdracht oktober 2026). Het onderzoek in Rusland concentreert zich nog steeds op diermodellen, bijvoorbeeld naar genactiviteit na beroerte en naar alzheimermodellen.</w:t>
      </w:r>
    </w:p>
    <w:p>
      <w:pPr>
        <w:pStyle w:val="BodyText"/>
      </w:pPr>
      <w:r>
        <w:rPr>
          <w:bCs/>
          <w:b/>
        </w:rPr>
        <w:t xml:space="preserve">Inschatting:</w:t>
      </w:r>
      <w:r>
        <w:t xml:space="preserve"> </w:t>
      </w:r>
      <w:r>
        <w:t xml:space="preserve">zonder een voldoende grote, geblindeerde, internationaal geregistreerde studie zal Semax buiten Rusland nauwelijks een toelating bereiken. De discussie in de VS draait om apotheekbereidingen, niet om een bewijs van werkzaamheid.</w:t>
      </w:r>
    </w:p>
    <w:bookmarkEnd w:id="1634"/>
    <w:bookmarkStart w:id="1635" w:name="conclusie-34"/>
    <w:p>
      <w:pPr>
        <w:pStyle w:val="Heading3"/>
      </w:pPr>
      <w:r>
        <w:t xml:space="preserve">Conclusie</w:t>
      </w:r>
    </w:p>
    <w:p>
      <w:pPr>
        <w:pStyle w:val="FirstParagraph"/>
      </w:pPr>
      <w:r>
        <w:t xml:space="preserve">Semax is een in Rusland al decennia gebruikt peptide op basis van een ACTH-fragment, dat bij ratten zenuwgroeifactoren verhoogde. De studies bij mensen zijn klein, meestal niet gerandomiseerd en komen vrijwel uitsluitend uit de kring van de ontwikkelaars; bij beroerte melden ze sneller herstel en hogere BDNF-spiegels, zonder effectgrootten op internationaal niveau. Voor prestatieverbetering bij gezonde mensen zijn er geen zeggingskrachtige gegevens. De gegevens volstaan niet om een nut of de veiligheid op lange termijn te beoordelen.</w:t>
      </w:r>
    </w:p>
    <w:bookmarkEnd w:id="1635"/>
    <w:bookmarkEnd w:id="1636"/>
    <w:bookmarkStart w:id="1659" w:name="selank"/>
    <w:p>
      <w:pPr>
        <w:pStyle w:val="Heading2"/>
      </w:pPr>
      <w:r>
        <w:t xml:space="preserve">Selank</w:t>
      </w:r>
    </w:p>
    <w:bookmarkStart w:id="1637" w:name="profiel-35"/>
    <w:p>
      <w:pPr>
        <w:pStyle w:val="Heading3"/>
      </w:pPr>
      <w:r>
        <w:t xml:space="preserve">Profiel</w:t>
      </w:r>
    </w:p>
    <w:p>
      <w:pPr>
        <w:numPr>
          <w:ilvl w:val="0"/>
          <w:numId w:val="1197"/>
        </w:numPr>
        <w:pStyle w:val="Compact"/>
      </w:pPr>
      <w:r>
        <w:rPr>
          <w:bCs/>
          <w:b/>
        </w:rPr>
        <w:t xml:space="preserve">Soort en structuur:</w:t>
      </w:r>
      <w:r>
        <w:t xml:space="preserve"> </w:t>
      </w:r>
      <w:r>
        <w:t xml:space="preserve">synthetisch heptapeptide (Thr-Lys-Pro-Arg-Pro-Gly-Pro). De eerste vier aminozuren komen overeen met tuftsine, een lichaamseigen peptide dat van een antilichaamfragment wordt afgesplitst en immuuncellen stimuleert; daaraan is – net als bij Semax – de stabiliserende sequentie Pro-Gly-Pro gekoppeld.</w:t>
      </w:r>
    </w:p>
    <w:p>
      <w:pPr>
        <w:numPr>
          <w:ilvl w:val="0"/>
          <w:numId w:val="1197"/>
        </w:numPr>
        <w:pStyle w:val="Compact"/>
      </w:pPr>
      <w:r>
        <w:rPr>
          <w:bCs/>
          <w:b/>
        </w:rPr>
        <w:t xml:space="preserve">Herkomst:</w:t>
      </w:r>
      <w:r>
        <w:t xml:space="preserve"> </w:t>
      </w:r>
      <w:r>
        <w:t xml:space="preserve">ontwikkeld in Moskou aan het Instituut voor Moleculaire Genetica en het Zakusov-Instituut voor Farmacologie.</w:t>
      </w:r>
    </w:p>
    <w:p>
      <w:pPr>
        <w:numPr>
          <w:ilvl w:val="0"/>
          <w:numId w:val="1197"/>
        </w:numPr>
        <w:pStyle w:val="Compact"/>
      </w:pPr>
      <w:r>
        <w:rPr>
          <w:bCs/>
          <w:b/>
        </w:rPr>
        <w:t xml:space="preserve">Werkingsprincipe:</w:t>
      </w:r>
      <w:r>
        <w:t xml:space="preserve"> </w:t>
      </w:r>
      <w:r>
        <w:t xml:space="preserve">zou angstremmend werken zonder, zoals benzodiazepinen, slaperig of afhankelijk te maken. Besproken worden een remming van de afbraak van lichaamseigen enkefalinen (pijn- en stressdempende signaalstoffen), invloeden op het GABA-systeem en op immuunsignaalstoffen. Het wordt toegediend als neusdruppels.</w:t>
      </w:r>
    </w:p>
    <w:p>
      <w:pPr>
        <w:numPr>
          <w:ilvl w:val="0"/>
          <w:numId w:val="1197"/>
        </w:numPr>
        <w:pStyle w:val="Compact"/>
      </w:pPr>
      <w:r>
        <w:rPr>
          <w:bCs/>
          <w:b/>
        </w:rPr>
        <w:t xml:space="preserve">Registratie EU:</w:t>
      </w:r>
      <w:r>
        <w:t xml:space="preserve"> </w:t>
      </w:r>
      <w:r>
        <w:t xml:space="preserve">nee.</w:t>
      </w:r>
    </w:p>
    <w:p>
      <w:pPr>
        <w:numPr>
          <w:ilvl w:val="0"/>
          <w:numId w:val="1197"/>
        </w:numPr>
        <w:pStyle w:val="Compact"/>
      </w:pPr>
      <w:r>
        <w:rPr>
          <w:bCs/>
          <w:b/>
        </w:rPr>
        <w:t xml:space="preserve">Registratie VS:</w:t>
      </w:r>
      <w:r>
        <w:t xml:space="preserve"> </w:t>
      </w:r>
      <w:r>
        <w:t xml:space="preserve">nee. Selank stond in 2023 op de FDA-lijst „categorie 2” voor apotheekbereidingen; de actuele status is niet eenduidig gedocumenteerd (stand oktober 2026, actuele situatie controleren).</w:t>
      </w:r>
    </w:p>
    <w:p>
      <w:pPr>
        <w:numPr>
          <w:ilvl w:val="0"/>
          <w:numId w:val="1197"/>
        </w:numPr>
        <w:pStyle w:val="Compact"/>
      </w:pPr>
      <w:r>
        <w:rPr>
          <w:bCs/>
          <w:b/>
        </w:rPr>
        <w:t xml:space="preserve">Rusland:</w:t>
      </w:r>
      <w:r>
        <w:t xml:space="preserve"> </w:t>
      </w:r>
      <w:r>
        <w:t xml:space="preserve">als geneesmiddel (angstremmer) geregistreerd.</w:t>
      </w:r>
    </w:p>
    <w:p>
      <w:pPr>
        <w:numPr>
          <w:ilvl w:val="0"/>
          <w:numId w:val="1197"/>
        </w:numPr>
        <w:pStyle w:val="Compact"/>
      </w:pPr>
      <w:r>
        <w:rPr>
          <w:bCs/>
          <w:b/>
        </w:rPr>
        <w:t xml:space="preserve">WADA:</w:t>
      </w:r>
      <w:r>
        <w:t xml:space="preserve"> </w:t>
      </w:r>
      <w:r>
        <w:t xml:space="preserve">niet bij naam vermeld.</w:t>
      </w:r>
    </w:p>
    <w:p>
      <w:pPr>
        <w:numPr>
          <w:ilvl w:val="0"/>
          <w:numId w:val="1197"/>
        </w:numPr>
        <w:pStyle w:val="Compact"/>
      </w:pPr>
      <w:r>
        <w:rPr>
          <w:bCs/>
          <w:b/>
        </w:rPr>
        <w:t xml:space="preserve">Bewijsniveau:</w:t>
      </w:r>
      <w:r>
        <w:t xml:space="preserve"> </w:t>
      </w:r>
      <w:r>
        <w:rPr>
          <w:bCs/>
          <w:b/>
        </w:rPr>
        <w:t xml:space="preserve">C</w:t>
      </w:r>
      <w:r>
        <w:t xml:space="preserve"> </w:t>
      </w:r>
      <w:r>
        <w:t xml:space="preserve">– drie kleine vergelijkende studies uit Rusland, zonder placebocontrole en zonder registratie.</w:t>
      </w:r>
    </w:p>
    <w:bookmarkEnd w:id="1637"/>
    <w:bookmarkStart w:id="1641" w:name="hoe-het-zou-moeten-werken-35"/>
    <w:p>
      <w:pPr>
        <w:pStyle w:val="Heading3"/>
      </w:pPr>
      <w:r>
        <w:t xml:space="preserve">Hoe het zou moeten werken</w:t>
      </w:r>
    </w:p>
    <w:p>
      <w:pPr>
        <w:pStyle w:val="FirstParagraph"/>
      </w:pPr>
      <w:r>
        <w:t xml:space="preserve">Tuftsine is een kort peptide dat vreetcellen van het immuunsysteem activeert. In dierproeven bleek dat afgeleiden ervan ook het gedrag beïnvloeden. Selank is zo’n afgeleide, die door het gekoppelde Pro-Gly-Pro langer in het lichaam zou blijven.</w:t>
      </w:r>
    </w:p>
    <w:p>
      <w:pPr>
        <w:pStyle w:val="BodyText"/>
      </w:pPr>
      <w:r>
        <w:t xml:space="preserve">Voor het mechanisme zijn er meerdere hypothesen, die steunen op laboratorium- en dierdata:</w:t>
      </w:r>
    </w:p>
    <w:p>
      <w:pPr>
        <w:numPr>
          <w:ilvl w:val="0"/>
          <w:numId w:val="1198"/>
        </w:numPr>
        <w:pStyle w:val="Compact"/>
      </w:pPr>
      <w:r>
        <w:rPr>
          <w:bCs/>
          <w:b/>
        </w:rPr>
        <w:t xml:space="preserve">Enkefalinen:</w:t>
      </w:r>
      <w:r>
        <w:t xml:space="preserve"> </w:t>
      </w:r>
      <w:r>
        <w:t xml:space="preserve">In bloedserum remde Selank in de reageerbuis enzymen die enkefalinen afbreken. De onderzoekers vonden bovendien bij mensen met een gegeneraliseerde angststoornis een verkorte halfwaardetijd van enkefalinen in het bloed en concludeerden daaruit dat Selank via deze weg zou kunnen werken</w:t>
      </w:r>
      <w:r>
        <w:rPr>
          <w:rStyle w:val="FootnoteReference"/>
        </w:rPr>
        <w:footnoteReference w:id="1638"/>
      </w:r>
      <w:r>
        <w:t xml:space="preserve">.</w:t>
      </w:r>
    </w:p>
    <w:p>
      <w:pPr>
        <w:numPr>
          <w:ilvl w:val="0"/>
          <w:numId w:val="1198"/>
        </w:numPr>
        <w:pStyle w:val="Compact"/>
      </w:pPr>
      <w:r>
        <w:rPr>
          <w:bCs/>
          <w:b/>
        </w:rPr>
        <w:t xml:space="preserve">GABA-systeem:</w:t>
      </w:r>
      <w:r>
        <w:t xml:space="preserve"> </w:t>
      </w:r>
      <w:r>
        <w:t xml:space="preserve">Bij ratten veranderde Selank een uur na toediening de activiteit van 45 van 84 onderzochte genen van de zenuwoverdracht in de hersenschors, vergelijkbaar met de signaalstof GABA zelf. De auteurs vermoeden een beïnvloeding van het GABA-systeem, waarop ook benzodiazepinen aangrijpen</w:t>
      </w:r>
      <w:r>
        <w:rPr>
          <w:rStyle w:val="FootnoteReference"/>
        </w:rPr>
        <w:footnoteReference w:id="1639"/>
      </w:r>
      <w:r>
        <w:t xml:space="preserve">.</w:t>
      </w:r>
    </w:p>
    <w:p>
      <w:pPr>
        <w:numPr>
          <w:ilvl w:val="0"/>
          <w:numId w:val="1198"/>
        </w:numPr>
        <w:pStyle w:val="Compact"/>
      </w:pPr>
      <w:r>
        <w:rPr>
          <w:bCs/>
          <w:b/>
        </w:rPr>
        <w:t xml:space="preserve">Immuunsysteem:</w:t>
      </w:r>
      <w:r>
        <w:t xml:space="preserve"> </w:t>
      </w:r>
      <w:r>
        <w:t xml:space="preserve">Bij ratten en muizen beïnvloedde Selank ontstekingsgenen; in celkweken en bij muizen vertoonde het effecten tegen influenzavirussen</w:t>
      </w:r>
      <w:r>
        <w:rPr>
          <w:rStyle w:val="FootnoteReference"/>
        </w:rPr>
        <w:footnoteReference w:id="1640"/>
      </w:r>
      <w:r>
        <w:t xml:space="preserve">.</w:t>
      </w:r>
    </w:p>
    <w:p>
      <w:pPr>
        <w:pStyle w:val="FirstParagraph"/>
      </w:pPr>
      <w:r>
        <w:t xml:space="preserve">Hoeveel Selank na toediening in de neus bij mensen daadwerkelijk in de hersenen terechtkomt, is niet gepubliceerd.</w:t>
      </w:r>
    </w:p>
    <w:bookmarkEnd w:id="1641"/>
    <w:bookmarkStart w:id="1649" w:name="studies-bij-mensen-3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3 als studie bij mensen geclassificeerde publicaties op; in totaal vermeldt PubMed ongeveer 70 publicaties met „Selank” in titel of samenvatting, bijna allemaal dierproeven. De zoekopdracht op ClinicalTrials.gov leverde 2 treffers op – bij nadere controle betreffen beide andere methoden (hersenstimulatie) en geen Selank-studie. Er is dus geen geregistreerde klinische studie met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Zozulia 2008, PMID 18454096</w:t>
            </w:r>
          </w:p>
        </w:tc>
        <w:tc>
          <w:tcPr/>
          <w:p>
            <w:pPr>
              <w:pStyle w:val="Compact"/>
              <w:jc w:val="left"/>
            </w:pPr>
            <w:r>
              <w:t xml:space="preserve">62 personen met gegeneraliseerde angststoornis of neurasthenie; Selank (30) tegen medazepam (32)</w:t>
            </w:r>
          </w:p>
        </w:tc>
        <w:tc>
          <w:tcPr/>
          <w:p>
            <w:pPr>
              <w:pStyle w:val="Compact"/>
              <w:jc w:val="left"/>
            </w:pPr>
            <w:r>
              <w:t xml:space="preserve">niet in de samenvatting</w:t>
            </w:r>
          </w:p>
        </w:tc>
        <w:tc>
          <w:tcPr/>
          <w:p>
            <w:pPr>
              <w:pStyle w:val="Compact"/>
              <w:jc w:val="left"/>
            </w:pPr>
            <w:r>
              <w:t xml:space="preserve">angstremmend effect van beide middelen vergelijkbaar; onder Selank daarnaast „activerend”</w:t>
            </w:r>
          </w:p>
        </w:tc>
      </w:tr>
      <w:tr>
        <w:tc>
          <w:tcPr/>
          <w:p>
            <w:pPr>
              <w:pStyle w:val="Compact"/>
              <w:jc w:val="left"/>
            </w:pPr>
            <w:r>
              <w:t xml:space="preserve">Medvedev 2014, PMID 25176261</w:t>
            </w:r>
          </w:p>
        </w:tc>
        <w:tc>
          <w:tcPr/>
          <w:p>
            <w:pPr>
              <w:pStyle w:val="Compact"/>
              <w:jc w:val="left"/>
            </w:pPr>
            <w:r>
              <w:t xml:space="preserve">60 personen met angst- en somatoforme stoornissen; Selank tegen fenazepam</w:t>
            </w:r>
          </w:p>
        </w:tc>
        <w:tc>
          <w:tcPr/>
          <w:p>
            <w:pPr>
              <w:pStyle w:val="Compact"/>
              <w:jc w:val="left"/>
            </w:pPr>
            <w:r>
              <w:t xml:space="preserve">niet in de samenvatting</w:t>
            </w:r>
          </w:p>
        </w:tc>
        <w:tc>
          <w:tcPr/>
          <w:p>
            <w:pPr>
              <w:pStyle w:val="Compact"/>
              <w:jc w:val="left"/>
            </w:pPr>
            <w:r>
              <w:t xml:space="preserve">volgens de auteurs duidelijk angstremmend effect dat een week na het stoppen aanhield</w:t>
            </w:r>
          </w:p>
        </w:tc>
      </w:tr>
      <w:tr>
        <w:tc>
          <w:tcPr/>
          <w:p>
            <w:pPr>
              <w:pStyle w:val="Compact"/>
              <w:jc w:val="left"/>
            </w:pPr>
            <w:r>
              <w:t xml:space="preserve">Medvedev 2015, PMID 26356395</w:t>
            </w:r>
          </w:p>
        </w:tc>
        <w:tc>
          <w:tcPr/>
          <w:p>
            <w:pPr>
              <w:pStyle w:val="Compact"/>
              <w:jc w:val="left"/>
            </w:pPr>
            <w:r>
              <w:t xml:space="preserve">70 personen; fenazepam alleen (30) tegen fenazepam plus Selank (40)</w:t>
            </w:r>
          </w:p>
        </w:tc>
        <w:tc>
          <w:tcPr/>
          <w:p>
            <w:pPr>
              <w:pStyle w:val="Compact"/>
              <w:jc w:val="left"/>
            </w:pPr>
            <w:r>
              <w:t xml:space="preserve">niet in de samenvatting</w:t>
            </w:r>
          </w:p>
        </w:tc>
        <w:tc>
          <w:tcPr/>
          <w:p>
            <w:pPr>
              <w:pStyle w:val="Compact"/>
              <w:jc w:val="left"/>
            </w:pPr>
            <w:r>
              <w:t xml:space="preserve">sneller intreden van het effect en minder bijwerkingen van fenazepam in de combinatiegroep</w:t>
            </w:r>
          </w:p>
        </w:tc>
      </w:tr>
      <w:tr>
        <w:tc>
          <w:tcPr/>
          <w:p>
            <w:pPr>
              <w:pStyle w:val="Compact"/>
              <w:jc w:val="left"/>
            </w:pPr>
            <w:r>
              <w:t xml:space="preserve">Uchakina 2008, PMID 18577961</w:t>
            </w:r>
          </w:p>
        </w:tc>
        <w:tc>
          <w:tcPr/>
          <w:p>
            <w:pPr>
              <w:pStyle w:val="Compact"/>
              <w:jc w:val="left"/>
            </w:pPr>
            <w:r>
              <w:t xml:space="preserve">personen met angststoornis of neurasthenie</w:t>
            </w:r>
          </w:p>
        </w:tc>
        <w:tc>
          <w:tcPr/>
          <w:p>
            <w:pPr>
              <w:pStyle w:val="Compact"/>
              <w:jc w:val="left"/>
            </w:pPr>
            <w:r>
              <w:t xml:space="preserve">14 dagen</w:t>
            </w:r>
          </w:p>
        </w:tc>
        <w:tc>
          <w:tcPr/>
          <w:p>
            <w:pPr>
              <w:pStyle w:val="Compact"/>
              <w:jc w:val="left"/>
            </w:pPr>
            <w:r>
              <w:t xml:space="preserve">verschuivingen in het evenwicht van immuunsignaalstoffen in het bloed</w:t>
            </w:r>
          </w:p>
        </w:tc>
      </w:tr>
      <w:tr>
        <w:tc>
          <w:tcPr/>
          <w:p>
            <w:pPr>
              <w:pStyle w:val="Compact"/>
              <w:jc w:val="left"/>
            </w:pPr>
            <w:r>
              <w:t xml:space="preserve">Panikratova 2020, PMID 32342318</w:t>
            </w:r>
          </w:p>
        </w:tc>
        <w:tc>
          <w:tcPr/>
          <w:p>
            <w:pPr>
              <w:pStyle w:val="Compact"/>
              <w:jc w:val="left"/>
            </w:pPr>
            <w:r>
              <w:t xml:space="preserve">52 gezonden; Selank, Semax of placebo, eenmalige toediening</w:t>
            </w:r>
          </w:p>
        </w:tc>
        <w:tc>
          <w:tcPr/>
          <w:p>
            <w:pPr>
              <w:pStyle w:val="Compact"/>
              <w:jc w:val="left"/>
            </w:pPr>
            <w:r>
              <w:t xml:space="preserve">20 minuten</w:t>
            </w:r>
          </w:p>
        </w:tc>
        <w:tc>
          <w:tcPr/>
          <w:p>
            <w:pPr>
              <w:pStyle w:val="Compact"/>
              <w:jc w:val="left"/>
            </w:pPr>
            <w:r>
              <w:t xml:space="preserve">veranderde functionele verbindingen van de amygdala op MRI</w:t>
            </w:r>
          </w:p>
        </w:tc>
      </w:tr>
    </w:tbl>
    <w:bookmarkStart w:id="1645" w:name="angststoornissen"/>
    <w:p>
      <w:pPr>
        <w:pStyle w:val="Heading4"/>
      </w:pPr>
      <w:r>
        <w:t xml:space="preserve">Angststoornissen</w:t>
      </w:r>
    </w:p>
    <w:p>
      <w:pPr>
        <w:pStyle w:val="FirstParagraph"/>
      </w:pPr>
      <w:r>
        <w:t xml:space="preserve">Alle drie klinische studies vergeleken Selank met benzodiazepinen – medazepam resp. het in Rusland veelgebruikte fenazepam. In de eerste studie met 62 personen was het angstremmende effect van Selank en medazepam op vragenlijstschalen (Hamilton, Zung, CGI) vergelijkbaar; Selank zou daarnaast tegen uitputting hebben gewerkt. De onderzoekers maten bovendien de halfwaardetijd van de signaalstof leu-enkefaline in het bloed, die onder Selank toenam</w:t>
      </w:r>
      <w:r>
        <w:rPr>
          <w:rStyle w:val="FootnoteReference"/>
        </w:rPr>
        <w:footnoteReference w:id="1642"/>
      </w:r>
      <w:r>
        <w:t xml:space="preserve">. In een tweede studie met 60 personen wordt een uitgesproken angstremmend en een licht geheugenbevorderend effect beschreven, dat een week na het einde van de behandeling aanhield</w:t>
      </w:r>
      <w:r>
        <w:rPr>
          <w:rStyle w:val="FootnoteReference"/>
        </w:rPr>
        <w:footnoteReference w:id="1643"/>
      </w:r>
      <w:r>
        <w:t xml:space="preserve">.</w:t>
      </w:r>
    </w:p>
    <w:p>
      <w:pPr>
        <w:pStyle w:val="BodyText"/>
      </w:pPr>
      <w:r>
        <w:t xml:space="preserve">De derde studie onderzocht Selank als aanvulling: 40 personen kregen fenazepam plus Selank, 30 alleen fenazepam. In de combinatiegroep trad het effect volgens de auteurs eerder in, en typische bijwerkingen van benzodiazepinen zoals aandachts- en geheugenstoornissen, vermoeidheid en seksuele stoornissen waren zeldzamer – ook na het stoppen van het kalmeringsmiddel</w:t>
      </w:r>
      <w:r>
        <w:rPr>
          <w:rStyle w:val="FootnoteReference"/>
        </w:rPr>
        <w:footnoteReference w:id="1644"/>
      </w:r>
      <w:r>
        <w:t xml:space="preserve">.</w:t>
      </w:r>
    </w:p>
    <w:p>
      <w:pPr>
        <w:pStyle w:val="BodyText"/>
      </w:pPr>
      <w:r>
        <w:t xml:space="preserve">Deze resultaten klinken bemoedigend, maar hebben duidelijke beperkingen:</w:t>
      </w:r>
    </w:p>
    <w:p>
      <w:pPr>
        <w:numPr>
          <w:ilvl w:val="0"/>
          <w:numId w:val="1199"/>
        </w:numPr>
        <w:pStyle w:val="Compact"/>
      </w:pPr>
      <w:r>
        <w:rPr>
          <w:bCs/>
          <w:b/>
        </w:rPr>
        <w:t xml:space="preserve">Geen placebo:</w:t>
      </w:r>
      <w:r>
        <w:t xml:space="preserve"> </w:t>
      </w:r>
      <w:r>
        <w:t xml:space="preserve">Bij angststoornissen verbeteren de klachten ook onder nepmiddelen vaak aanzienlijk. Zonder placebogroep valt niet te zeggen welk deel aan Selank toe te schrijven is.</w:t>
      </w:r>
    </w:p>
    <w:p>
      <w:pPr>
        <w:numPr>
          <w:ilvl w:val="0"/>
          <w:numId w:val="1199"/>
        </w:numPr>
        <w:pStyle w:val="Compact"/>
      </w:pPr>
      <w:r>
        <w:rPr>
          <w:bCs/>
          <w:b/>
        </w:rPr>
        <w:t xml:space="preserve">„Vergelijkbaar werkzaam” is geen bewijs:</w:t>
      </w:r>
      <w:r>
        <w:t xml:space="preserve"> </w:t>
      </w:r>
      <w:r>
        <w:t xml:space="preserve">Een bewijs van gelijkwaardigheid vereist vooraf vastgelegde grenzen en voldoende deelnemers. Geen van beide is in de samenvattingen te herkennen.</w:t>
      </w:r>
    </w:p>
    <w:p>
      <w:pPr>
        <w:numPr>
          <w:ilvl w:val="0"/>
          <w:numId w:val="1199"/>
        </w:numPr>
        <w:pStyle w:val="Compact"/>
      </w:pPr>
      <w:r>
        <w:rPr>
          <w:bCs/>
          <w:b/>
        </w:rPr>
        <w:t xml:space="preserve">Korte observatie, kleine groepen, geen registratie:</w:t>
      </w:r>
      <w:r>
        <w:t xml:space="preserve"> </w:t>
      </w:r>
      <w:r>
        <w:t xml:space="preserve">Alle studies komen uit Russische centra, zijn niet vooraf in een openbaar register aangemeld en werden in Russischtalige vaktijdschriften gepubliceerd.</w:t>
      </w:r>
    </w:p>
    <w:bookmarkEnd w:id="1645"/>
    <w:bookmarkStart w:id="1648" w:name="immuunsysteem-en-gezonde-mensen"/>
    <w:p>
      <w:pPr>
        <w:pStyle w:val="Heading4"/>
      </w:pPr>
      <w:r>
        <w:t xml:space="preserve">Immuunsysteem en gezonde mensen</w:t>
      </w:r>
    </w:p>
    <w:p>
      <w:pPr>
        <w:pStyle w:val="FirstParagraph"/>
      </w:pPr>
      <w:r>
        <w:t xml:space="preserve">Een publicatie beschrijft bij personen met angst- en uitputtingstoestanden na 14 dagen Selank veranderingen in immuunsignaalstoffen (Th1/Th2-evenwicht) in het bloed; in de reageerbuis onderdrukte Selank de aanmaak van de ontstekingssignaalstof IL-6 in bloedcellen van mensen met depressie</w:t>
      </w:r>
      <w:r>
        <w:rPr>
          <w:rStyle w:val="FootnoteReference"/>
        </w:rPr>
        <w:footnoteReference w:id="1646"/>
      </w:r>
      <w:r>
        <w:t xml:space="preserve">. Of dat klinisch van betekenis is, werd niet onderzocht. Bij gezonde mensen liet een kleine beeldvormingsstudie na eenmalige toediening veranderde verbindingen zien tussen de amygdala, een voor angst belangrijk hersengebied, en delen van de slaapkwab</w:t>
      </w:r>
      <w:r>
        <w:rPr>
          <w:rStyle w:val="FootnoteReference"/>
        </w:rPr>
        <w:footnoteReference w:id="1647"/>
      </w:r>
      <w:r>
        <w:t xml:space="preserve">. Studies naar concentratie of prestaties bij gezonde mensen – de belangrijkste belofte op internet – bestaan niet.</w:t>
      </w:r>
    </w:p>
    <w:bookmarkEnd w:id="1648"/>
    <w:bookmarkEnd w:id="1649"/>
    <w:bookmarkStart w:id="1653" w:name="dier--en-laboratoriumstudies-35"/>
    <w:p>
      <w:pPr>
        <w:pStyle w:val="Heading3"/>
      </w:pPr>
      <w:r>
        <w:t xml:space="preserve">Dier- en laboratoriumstudies</w:t>
      </w:r>
    </w:p>
    <w:p>
      <w:pPr>
        <w:numPr>
          <w:ilvl w:val="0"/>
          <w:numId w:val="1200"/>
        </w:numPr>
        <w:pStyle w:val="Compact"/>
      </w:pPr>
      <w:r>
        <w:t xml:space="preserve">Bij ratten met 30 weken alcoholgebruik voorkwam Selank geheugen- en aandachtsstoornissen tijdens de ontwenning en beïnvloedde het het BDNF-gehalte in hippocampus en voorhoofdskwab</w:t>
      </w:r>
      <w:r>
        <w:rPr>
          <w:rStyle w:val="FootnoteReference"/>
        </w:rPr>
        <w:footnoteReference w:id="1650"/>
      </w:r>
      <w:r>
        <w:t xml:space="preserve">.</w:t>
      </w:r>
    </w:p>
    <w:p>
      <w:pPr>
        <w:numPr>
          <w:ilvl w:val="0"/>
          <w:numId w:val="1200"/>
        </w:numPr>
        <w:pStyle w:val="Compact"/>
      </w:pPr>
      <w:r>
        <w:t xml:space="preserve">Bij ratten veranderde Selank de activiteit van talrijke genen van het GABA-systeem</w:t>
      </w:r>
      <w:r>
        <w:rPr>
          <w:rStyle w:val="FootnoteReference"/>
        </w:rPr>
        <w:footnoteReference w:id="1651"/>
      </w:r>
      <w:r>
        <w:t xml:space="preserve">.</w:t>
      </w:r>
    </w:p>
    <w:p>
      <w:pPr>
        <w:numPr>
          <w:ilvl w:val="0"/>
          <w:numId w:val="1200"/>
        </w:numPr>
        <w:pStyle w:val="Compact"/>
      </w:pPr>
      <w:r>
        <w:t xml:space="preserve">In celkweken en bij muizen remde Selank influenzavirussen, het sterkst als het vóór de infectie werd gegeven</w:t>
      </w:r>
      <w:r>
        <w:rPr>
          <w:rStyle w:val="FootnoteReference"/>
        </w:rPr>
        <w:footnoteReference w:id="1652"/>
      </w:r>
      <w:r>
        <w:t xml:space="preserve">.</w:t>
      </w:r>
    </w:p>
    <w:p>
      <w:pPr>
        <w:numPr>
          <w:ilvl w:val="0"/>
          <w:numId w:val="1200"/>
        </w:numPr>
        <w:pStyle w:val="Compact"/>
      </w:pPr>
      <w:r>
        <w:t xml:space="preserve">In andere publicaties van dezelfde onderzoeksgroepen worden effecten beschreven bij stress, ontwenning van morfine en alcohol en in parkinsonmodellen bij knaagdieren.</w:t>
      </w:r>
    </w:p>
    <w:p>
      <w:pPr>
        <w:pStyle w:val="FirstParagraph"/>
      </w:pPr>
      <w:r>
        <w:t xml:space="preserve">Deze bevindingen zijn dier- en laboratoriumbevindingen en komen grotendeels van een kleine kring onderzoeksgroepen.</w:t>
      </w:r>
    </w:p>
    <w:bookmarkEnd w:id="1653"/>
    <w:bookmarkStart w:id="1655" w:name="risicos-en-bijwerkingen-35"/>
    <w:p>
      <w:pPr>
        <w:pStyle w:val="Heading3"/>
      </w:pPr>
      <w:r>
        <w:t xml:space="preserve">Risico’s en bijwerkingen</w:t>
      </w:r>
    </w:p>
    <w:p>
      <w:pPr>
        <w:pStyle w:val="FirstParagraph"/>
      </w:pPr>
      <w:r>
        <w:rPr>
          <w:bCs/>
          <w:b/>
        </w:rPr>
        <w:t xml:space="preserve">Aangetoond:</w:t>
      </w:r>
      <w:r>
        <w:t xml:space="preserve"> </w:t>
      </w:r>
      <w:r>
        <w:t xml:space="preserve">in de kleine Russische studies wordt Selank als goed verdraagbaar beschreven; systematisch verzamelde percentages bijwerkingen noemen de samenvattingen niet. Langetermijngegevens en gegevens over afhankelijkheid of ontwenningsverschijnselen ontbreken.</w:t>
      </w:r>
    </w:p>
    <w:p>
      <w:pPr>
        <w:pStyle w:val="BodyText"/>
      </w:pPr>
      <w:r>
        <w:rPr>
          <w:bCs/>
          <w:b/>
        </w:rPr>
        <w:t xml:space="preserve">Theoretisch:</w:t>
      </w:r>
      <w:r>
        <w:t xml:space="preserve"> </w:t>
      </w:r>
      <w:r>
        <w:t xml:space="preserve">Selank zou op het immuun-, enkefaline- en GABA-systeem werken. Interacties met kalmeringsmiddelen, alcohol of antidepressiva zijn niet onderzocht; de Russische combinatiestudie laat in elk geval zien dat Selank samen met benzodiazepinen wordt gebruikt. Voor zwangerschap, borstvoeding en kinderen zijn er geen gegevens.</w:t>
      </w:r>
    </w:p>
    <w:p>
      <w:pPr>
        <w:pStyle w:val="BodyText"/>
      </w:pPr>
      <w:r>
        <w:rPr>
          <w:bCs/>
          <w:b/>
        </w:rPr>
        <w:t xml:space="preserve">Grijze markt:</w:t>
      </w:r>
      <w:r>
        <w:t xml:space="preserve"> </w:t>
      </w:r>
      <w:r>
        <w:t xml:space="preserve">buiten Rusland wordt Selank als „research peptide” verkocht als poeder voor injectie of als neusspray. Een Belgisch controlelaboratorium vond Selank in in beslag genomen onbekende preparaten</w:t>
      </w:r>
      <w:r>
        <w:rPr>
          <w:rStyle w:val="FootnoteReference"/>
        </w:rPr>
        <w:footnoteReference w:id="1654"/>
      </w:r>
      <w:r>
        <w:t xml:space="preserve">. Injectie is geen in studies onderzochte toedieningsweg; zuiverheid en gehalte van zulke producten zijn ongecontroleerd.</w:t>
      </w:r>
    </w:p>
    <w:p>
      <w:pPr>
        <w:pStyle w:val="BodyText"/>
      </w:pPr>
      <w:r>
        <w:rPr>
          <w:bCs/>
          <w:b/>
        </w:rPr>
        <w:t xml:space="preserve">Belangrijk:</w:t>
      </w:r>
      <w:r>
        <w:t xml:space="preserve"> </w:t>
      </w:r>
      <w:r>
        <w:t xml:space="preserve">angststoornissen zijn goed te behandelen – met psychotherapie en met toegelaten geneesmiddelen waarvan de werking in grote placebogecontroleerde studies is aangetoond. Een peptide van de grijze markt is daarvoor geen vervanging.</w:t>
      </w:r>
    </w:p>
    <w:bookmarkEnd w:id="1655"/>
    <w:bookmarkStart w:id="1656" w:name="juridische-status-35"/>
    <w:p>
      <w:pPr>
        <w:pStyle w:val="Heading3"/>
      </w:pPr>
      <w:r>
        <w:t xml:space="preserve">Juridische status</w:t>
      </w:r>
    </w:p>
    <w:p>
      <w:pPr>
        <w:numPr>
          <w:ilvl w:val="0"/>
          <w:numId w:val="1201"/>
        </w:numPr>
        <w:pStyle w:val="Compact"/>
      </w:pPr>
      <w:r>
        <w:rPr>
          <w:bCs/>
          <w:b/>
        </w:rPr>
        <w:t xml:space="preserve">EU / Oostenrijk / Duitsland:</w:t>
      </w:r>
      <w:r>
        <w:t xml:space="preserve"> </w:t>
      </w:r>
      <w:r>
        <w:t xml:space="preserve">niet toegelaten; als stof met farmacologische werking geldt Selank als geneesmiddel, in de handel brengen zonder toelating is niet toegestaan.</w:t>
      </w:r>
    </w:p>
    <w:p>
      <w:pPr>
        <w:numPr>
          <w:ilvl w:val="0"/>
          <w:numId w:val="1201"/>
        </w:numPr>
        <w:pStyle w:val="Compact"/>
      </w:pPr>
      <w:r>
        <w:rPr>
          <w:bCs/>
          <w:b/>
        </w:rPr>
        <w:t xml:space="preserve">VS:</w:t>
      </w:r>
      <w:r>
        <w:t xml:space="preserve"> </w:t>
      </w:r>
      <w:r>
        <w:t xml:space="preserve">niet toegelaten. Selank werd in 2023 opgenomen in de FDA-„categorie 2” voor grondstoffen voor bereidingen met veiligheidsbezwaren; later werd de nominatie volgens berichten ingetrokken. Selank behoorde niet tot de peptiden die het adviescomité PCAC in juli 2026 beoordeelde. Een toestemming voor apotheekbereidingen bestaat naar de huidige stand van kennis niet (stand oktober 2026, actuele situatie controleren).</w:t>
      </w:r>
    </w:p>
    <w:p>
      <w:pPr>
        <w:numPr>
          <w:ilvl w:val="0"/>
          <w:numId w:val="1201"/>
        </w:numPr>
        <w:pStyle w:val="Compact"/>
      </w:pPr>
      <w:r>
        <w:rPr>
          <w:bCs/>
          <w:b/>
        </w:rPr>
        <w:t xml:space="preserve">Rusland:</w:t>
      </w:r>
      <w:r>
        <w:t xml:space="preserve"> </w:t>
      </w:r>
      <w:r>
        <w:t xml:space="preserve">als geneesmiddel geregistreerd.</w:t>
      </w:r>
    </w:p>
    <w:p>
      <w:pPr>
        <w:numPr>
          <w:ilvl w:val="0"/>
          <w:numId w:val="1201"/>
        </w:numPr>
        <w:pStyle w:val="Compact"/>
      </w:pPr>
      <w:r>
        <w:rPr>
          <w:bCs/>
          <w:b/>
        </w:rPr>
        <w:t xml:space="preserve">Sport:</w:t>
      </w:r>
      <w:r>
        <w:t xml:space="preserve"> </w:t>
      </w:r>
      <w:r>
        <w:t xml:space="preserve">niet bij naam op de WADA-lijst (stand 2026, actuele situatie controleren).</w:t>
      </w:r>
    </w:p>
    <w:bookmarkEnd w:id="1656"/>
    <w:bookmarkStart w:id="1657" w:name="lopende-studies-en-vooruitzichten-35"/>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Selank geregistreerd (zoekopdracht oktober 2026).</w:t>
      </w:r>
    </w:p>
    <w:p>
      <w:pPr>
        <w:pStyle w:val="BodyText"/>
      </w:pPr>
      <w:r>
        <w:rPr>
          <w:bCs/>
          <w:b/>
        </w:rPr>
        <w:t xml:space="preserve">Inschatting:</w:t>
      </w:r>
      <w:r>
        <w:t xml:space="preserve"> </w:t>
      </w:r>
      <w:r>
        <w:t xml:space="preserve">Selank is een voorbeeld van een peptide dat in Rusland in de zorg terechtkwam zonder te voldoen aan de eisen aan studies die in de EU of de VS gelden. Een toelating buiten Rusland zou ten minste een grotere placebogecontroleerde studie bij angststoornissen vereisen; aanwijzingen daarvoor zijn er niet.</w:t>
      </w:r>
    </w:p>
    <w:bookmarkEnd w:id="1657"/>
    <w:bookmarkStart w:id="1658" w:name="conclusie-35"/>
    <w:p>
      <w:pPr>
        <w:pStyle w:val="Heading3"/>
      </w:pPr>
      <w:r>
        <w:t xml:space="preserve">Conclusie</w:t>
      </w:r>
    </w:p>
    <w:p>
      <w:pPr>
        <w:pStyle w:val="FirstParagraph"/>
      </w:pPr>
      <w:r>
        <w:t xml:space="preserve">Selank is een van tuftsine afgeleid peptide dat in Rusland als angstremmer is geregistreerd. Drie kleine Russische studies beschrijven een angstremmend effect vergelijkbaar met dat van benzodiazepinen, maar geen daarvan had een placebogroep of was vooraf geregistreerd. Hypothesen over het mechanisme via enkefalinen, GABA en het immuunsysteem berusten op laboratorium- en dierdata. De gegevens volstaan niet om werkzaamheid en veiligheid volgens de huidige maatstaven te beoordelen.</w:t>
      </w:r>
    </w:p>
    <w:bookmarkEnd w:id="1658"/>
    <w:bookmarkEnd w:id="1659"/>
    <w:bookmarkStart w:id="1712" w:name="cerebrolysin"/>
    <w:p>
      <w:pPr>
        <w:pStyle w:val="Heading2"/>
      </w:pPr>
      <w:r>
        <w:t xml:space="preserve">Cerebrolysin</w:t>
      </w:r>
    </w:p>
    <w:bookmarkStart w:id="1660" w:name="profiel-36"/>
    <w:p>
      <w:pPr>
        <w:pStyle w:val="Heading3"/>
      </w:pPr>
      <w:r>
        <w:t xml:space="preserve">Profiel</w:t>
      </w:r>
    </w:p>
    <w:p>
      <w:pPr>
        <w:numPr>
          <w:ilvl w:val="0"/>
          <w:numId w:val="1202"/>
        </w:numPr>
        <w:pStyle w:val="Compact"/>
      </w:pPr>
      <w:r>
        <w:rPr>
          <w:bCs/>
          <w:b/>
        </w:rPr>
        <w:t xml:space="preserve">Soort en structuur:</w:t>
      </w:r>
      <w:r>
        <w:t xml:space="preserve"> </w:t>
      </w:r>
      <w:r>
        <w:t xml:space="preserve">geen afzonderlijk peptide, maar een mengsel van korte peptiden en vrije aminozuren. Het wordt verkregen door enzymatische splitsing van gezuiverde eiwitten uit varkenshersenen. De exacte samenstelling is niet volledig beschreven; de fabrikant standaardiseert het preparaat via het productieproces en biologische tests.</w:t>
      </w:r>
    </w:p>
    <w:p>
      <w:pPr>
        <w:numPr>
          <w:ilvl w:val="0"/>
          <w:numId w:val="1202"/>
        </w:numPr>
        <w:pStyle w:val="Compact"/>
      </w:pPr>
      <w:r>
        <w:rPr>
          <w:bCs/>
          <w:b/>
        </w:rPr>
        <w:t xml:space="preserve">Herkomst:</w:t>
      </w:r>
      <w:r>
        <w:t xml:space="preserve"> </w:t>
      </w:r>
      <w:r>
        <w:t xml:space="preserve">al decennia geproduceerd door een Oostenrijks bedrijf (tegenwoordig EVER Neuro Pharma, Unterach am Attersee).</w:t>
      </w:r>
    </w:p>
    <w:p>
      <w:pPr>
        <w:numPr>
          <w:ilvl w:val="0"/>
          <w:numId w:val="1202"/>
        </w:numPr>
        <w:pStyle w:val="Compact"/>
      </w:pPr>
      <w:r>
        <w:rPr>
          <w:bCs/>
          <w:b/>
        </w:rPr>
        <w:t xml:space="preserve">Werkingsprincipe:</w:t>
      </w:r>
      <w:r>
        <w:t xml:space="preserve"> </w:t>
      </w:r>
      <w:r>
        <w:t xml:space="preserve">zou effecten van lichaamseigen zenuwgroeifactoren nabootsen – zenuwcellen beschermen (neuroprotectie) en herstel- en ombouwprocessen bevorderen (neuroregeneratie). Het wordt toegediend als infuus of injectie in een ader, meestal in kuren van 10 tot 21 dagen.</w:t>
      </w:r>
    </w:p>
    <w:p>
      <w:pPr>
        <w:numPr>
          <w:ilvl w:val="0"/>
          <w:numId w:val="1202"/>
        </w:numPr>
        <w:pStyle w:val="Compact"/>
      </w:pPr>
      <w:r>
        <w:rPr>
          <w:bCs/>
          <w:b/>
        </w:rPr>
        <w:t xml:space="preserve">Registratie EU:</w:t>
      </w:r>
      <w:r>
        <w:t xml:space="preserve"> </w:t>
      </w:r>
      <w:r>
        <w:t xml:space="preserve">geen centrale EU-toelating. Nationaal toegelaten in Oostenrijk en een reeks andere, vooral Midden- en Oost-Europese staten (afhankelijk van het land voor beroerte, traumatisch hersenletsel en dementie). In Duitsland is het naar onze kennis niet in de handel.</w:t>
      </w:r>
    </w:p>
    <w:p>
      <w:pPr>
        <w:numPr>
          <w:ilvl w:val="0"/>
          <w:numId w:val="1202"/>
        </w:numPr>
        <w:pStyle w:val="Compact"/>
      </w:pPr>
      <w:r>
        <w:rPr>
          <w:bCs/>
          <w:b/>
        </w:rPr>
        <w:t xml:space="preserve">Registratie VS:</w:t>
      </w:r>
      <w:r>
        <w:t xml:space="preserve"> </w:t>
      </w:r>
      <w:r>
        <w:t xml:space="preserve">nee.</w:t>
      </w:r>
    </w:p>
    <w:p>
      <w:pPr>
        <w:numPr>
          <w:ilvl w:val="0"/>
          <w:numId w:val="1202"/>
        </w:numPr>
        <w:pStyle w:val="Compact"/>
      </w:pPr>
      <w:r>
        <w:rPr>
          <w:bCs/>
          <w:b/>
        </w:rPr>
        <w:t xml:space="preserve">Andere landen:</w:t>
      </w:r>
      <w:r>
        <w:t xml:space="preserve"> </w:t>
      </w:r>
      <w:r>
        <w:t xml:space="preserve">breed gebruikt in Rusland, andere opvolgerstaten van de Sovjet-Unie, China en andere Aziatische landen.</w:t>
      </w:r>
    </w:p>
    <w:p>
      <w:pPr>
        <w:numPr>
          <w:ilvl w:val="0"/>
          <w:numId w:val="1202"/>
        </w:numPr>
        <w:pStyle w:val="Compact"/>
      </w:pPr>
      <w:r>
        <w:rPr>
          <w:bCs/>
          <w:b/>
        </w:rPr>
        <w:t xml:space="preserve">WADA:</w:t>
      </w:r>
      <w:r>
        <w:t xml:space="preserve"> </w:t>
      </w:r>
      <w:r>
        <w:t xml:space="preserve">niet vermeld.</w:t>
      </w:r>
    </w:p>
    <w:p>
      <w:pPr>
        <w:numPr>
          <w:ilvl w:val="0"/>
          <w:numId w:val="1202"/>
        </w:numPr>
        <w:pStyle w:val="Compact"/>
      </w:pPr>
      <w:r>
        <w:rPr>
          <w:bCs/>
          <w:b/>
        </w:rPr>
        <w:t xml:space="preserve">Bewijsniveau:</w:t>
      </w:r>
      <w:r>
        <w:t xml:space="preserve"> </w:t>
      </w:r>
      <w:r>
        <w:rPr>
          <w:bCs/>
          <w:b/>
        </w:rPr>
        <w:t xml:space="preserve">B</w:t>
      </w:r>
      <w:r>
        <w:t xml:space="preserve"> </w:t>
      </w:r>
      <w:r>
        <w:t xml:space="preserve">– talrijke gerandomiseerde, placebogecontroleerde studies, waaronder een grote met meer dan 1.000 deelnemers; de resultaten zijn echter wisselend, en de twee grote onafhankelijke Cochrane-reviews komen tot terughoudende beoordelingen.</w:t>
      </w:r>
    </w:p>
    <w:bookmarkEnd w:id="1660"/>
    <w:bookmarkStart w:id="1661" w:name="hoe-het-zou-moeten-werken-36"/>
    <w:p>
      <w:pPr>
        <w:pStyle w:val="Heading3"/>
      </w:pPr>
      <w:r>
        <w:t xml:space="preserve">Hoe het zou moeten werken</w:t>
      </w:r>
    </w:p>
    <w:p>
      <w:pPr>
        <w:pStyle w:val="FirstParagraph"/>
      </w:pPr>
      <w:r>
        <w:t xml:space="preserve">Zenuwgroeifactoren zoals BDNF, NGF of CNTF zijn eiwitten die zenuwcellen in leven houden, de uitgroei van nieuwe verbindingen stimuleren en de aanmaak van nieuwe zenuwcellen in bepaalde hersengebieden bevorderen. Als geneesmiddel zijn ze lastig: ze zijn groot, passeren de bloed-hersenbarrière nauwelijks en werken op veel plaatsen tegelijk.</w:t>
      </w:r>
    </w:p>
    <w:p>
      <w:pPr>
        <w:pStyle w:val="BodyText"/>
      </w:pPr>
      <w:r>
        <w:t xml:space="preserve">Cerebrolysin volgt een andere benadering. Uit eiwitten van varkenshersenen ontstaat door gecontroleerde splitsing een mengsel van kleine fragmenten. De fabrikant en met hem verbonden onderzoekers gaan ervan uit dat enkele van deze fragmenten vergelijkbare signalen opwekken als de lichaamseigen groeifactoren. Men spreekt daarom van een „multimodale” werkzame stof – dus een die veel routes tegelijk zou beïnvloeden.</w:t>
      </w:r>
    </w:p>
    <w:p>
      <w:pPr>
        <w:pStyle w:val="BodyText"/>
      </w:pPr>
      <w:r>
        <w:t xml:space="preserve">Voor lezers betekent dat twee dingen: ten eerste is het mechanisme vooral afgeleid uit dier- en celexperimenten. Ten tweede is bij een mengsel moeilijk te zeggen welk bestanddeel waarvoor verantwoordelijk is en hoeveel ervan daadwerkelijk in de hersenen terechtkomt.</w:t>
      </w:r>
    </w:p>
    <w:bookmarkEnd w:id="1661"/>
    <w:bookmarkStart w:id="1697" w:name="studies-bij-mensen-3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88 als studie bij mensen geclassificeerde publicaties op, plus 15 meta-analyses en systematische reviews (waaronder acht versies van Cochrane-reviews). Op ClinicalTrials.gov waren 43 studies geregistreerd, de meeste over beroerte, enkele over traumatisch hersenletsel, dementie, hersenbloeding, delier en – tijdens de pandemie – over reukverlies na COVID-19. Een groot deel van de studies werd door de fabrikant gefinancierd of ondersteund; veel kleinere publicaties komen uit Rusland, Roemenië, China en Iran.</w:t>
      </w:r>
    </w:p>
    <w:p>
      <w:pPr>
        <w:pStyle w:val="BodyText"/>
      </w:pPr>
      <w:r>
        <w:t xml:space="preserve">Een woord over de statistiek die in veel Cerebrolysin-studies wordt gebruikt: in plaats van één primair eindpunt toetsen ze vaak een combinatie van meerdere schalen met een zogeheten Mann-Whitney-schatter (MW). Die geeft de kans aan dat een willekeurig gekozen persoon uit de Cerebrolysin-groep beter scoort dan iemand uit de placebogroep. Een MW van 0,50 betekent geen verschil; waarden rond 0,56 gelden als klein, rond 0,64 als middelgroot en vanaf 0,71 als groot voordeel. Deze methode is toelaatbaar, maar maakt de resultaten moeilijker vergelijkbaar met andere beroertestudies, die meestal het aandeel personen zonder blijvende invaliditeit vermelden.</w:t>
      </w:r>
    </w:p>
    <w:bookmarkStart w:id="1668" w:name="acute-ischemische-beroerte"/>
    <w:p>
      <w:pPr>
        <w:pStyle w:val="Heading4"/>
      </w:pPr>
      <w:r>
        <w:t xml:space="preserve">Acute ischemische beroerte</w:t>
      </w:r>
    </w:p>
    <w:p>
      <w:pPr>
        <w:pStyle w:val="FirstParagraph"/>
      </w:pPr>
      <w:r>
        <w:t xml:space="preserve">Bij een ischemische beroerte sluit een stolsel een bloedvat in de hersenen af. Gevestigde behandelingen zijn het oplossen van het stolsel met geneesmiddelen (trombolyse) en het verwijderen ervan met een katheter (trombectomie). „Neuroprotectieve” aanvullende middelen zouden het omliggende weefsel moeten beschermen – een benadering waarop wereldwijd tientallen werkzame stoffen in grote studies zijn gestrand.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Ladurner 2005, PMID 15583955</w:t>
            </w:r>
          </w:p>
        </w:tc>
        <w:tc>
          <w:tcPr/>
          <w:p>
            <w:pPr>
              <w:pStyle w:val="Compact"/>
              <w:jc w:val="left"/>
            </w:pPr>
            <w:r>
              <w:t xml:space="preserve">146 personen, RCT tegen placebo, start binnen 24 u</w:t>
            </w:r>
          </w:p>
        </w:tc>
        <w:tc>
          <w:tcPr/>
          <w:p>
            <w:pPr>
              <w:pStyle w:val="Compact"/>
              <w:jc w:val="left"/>
            </w:pPr>
            <w:r>
              <w:t xml:space="preserve">90 dagen</w:t>
            </w:r>
          </w:p>
        </w:tc>
        <w:tc>
          <w:tcPr/>
          <w:p>
            <w:pPr>
              <w:pStyle w:val="Compact"/>
              <w:jc w:val="left"/>
            </w:pPr>
            <w:r>
              <w:t xml:space="preserve">geen verbetering op neurologische schaal, Barthel-index en totaalindruk; één cognitietest beter</w:t>
            </w:r>
          </w:p>
        </w:tc>
      </w:tr>
      <w:tr>
        <w:tc>
          <w:tcPr/>
          <w:p>
            <w:pPr>
              <w:pStyle w:val="Compact"/>
              <w:jc w:val="left"/>
            </w:pPr>
            <w:r>
              <w:t xml:space="preserve">CASTA (Heiss 2012), PMID 22282884</w:t>
            </w:r>
          </w:p>
        </w:tc>
        <w:tc>
          <w:tcPr/>
          <w:p>
            <w:pPr>
              <w:pStyle w:val="Compact"/>
              <w:jc w:val="left"/>
            </w:pPr>
            <w:r>
              <w:t xml:space="preserve">1.070 personen in Azië, dubbelblind tegen placebo, start binnen 12 u</w:t>
            </w:r>
          </w:p>
        </w:tc>
        <w:tc>
          <w:tcPr/>
          <w:p>
            <w:pPr>
              <w:pStyle w:val="Compact"/>
              <w:jc w:val="left"/>
            </w:pPr>
            <w:r>
              <w:t xml:space="preserve">90 dagen</w:t>
            </w:r>
          </w:p>
        </w:tc>
        <w:tc>
          <w:tcPr/>
          <w:p>
            <w:pPr>
              <w:pStyle w:val="Compact"/>
              <w:jc w:val="left"/>
            </w:pPr>
            <w:r>
              <w:t xml:space="preserve">primair eindpunt neutraal; achteraf geanalyseerde subgroep van ernstig getroffenen met trend in het voordeel van Cerebrolysin</w:t>
            </w:r>
          </w:p>
        </w:tc>
      </w:tr>
      <w:tr>
        <w:tc>
          <w:tcPr/>
          <w:p>
            <w:pPr>
              <w:pStyle w:val="Compact"/>
              <w:jc w:val="left"/>
            </w:pPr>
            <w:r>
              <w:t xml:space="preserve">Lang 2013, PMID 23009193</w:t>
            </w:r>
          </w:p>
        </w:tc>
        <w:tc>
          <w:tcPr/>
          <w:p>
            <w:pPr>
              <w:pStyle w:val="Compact"/>
              <w:jc w:val="left"/>
            </w:pPr>
            <w:r>
              <w:t xml:space="preserve">119 personen, aanvullend op trombolyse, dubbelblind</w:t>
            </w:r>
          </w:p>
        </w:tc>
        <w:tc>
          <w:tcPr/>
          <w:p>
            <w:pPr>
              <w:pStyle w:val="Compact"/>
              <w:jc w:val="left"/>
            </w:pPr>
            <w:r>
              <w:t xml:space="preserve">90 dagen</w:t>
            </w:r>
          </w:p>
        </w:tc>
        <w:tc>
          <w:tcPr/>
          <w:p>
            <w:pPr>
              <w:pStyle w:val="Compact"/>
              <w:jc w:val="left"/>
            </w:pPr>
            <w:r>
              <w:t xml:space="preserve">na tussentijdse analyse zonder nut op het primaire eindpunt afgebroken; vroege verbetering op de NIHSS vaker</w:t>
            </w:r>
          </w:p>
        </w:tc>
      </w:tr>
      <w:tr>
        <w:tc>
          <w:tcPr/>
          <w:p>
            <w:pPr>
              <w:pStyle w:val="Compact"/>
              <w:jc w:val="left"/>
            </w:pPr>
            <w:r>
              <w:t xml:space="preserve">CARS (Muresanu 2016), PMID 26564102</w:t>
            </w:r>
          </w:p>
        </w:tc>
        <w:tc>
          <w:tcPr/>
          <w:p>
            <w:pPr>
              <w:pStyle w:val="Compact"/>
              <w:jc w:val="left"/>
            </w:pPr>
            <w:r>
              <w:t xml:space="preserve">personen in vroege revalidatie, dubbelblind tegen placebo</w:t>
            </w:r>
          </w:p>
        </w:tc>
        <w:tc>
          <w:tcPr/>
          <w:p>
            <w:pPr>
              <w:pStyle w:val="Compact"/>
              <w:jc w:val="left"/>
            </w:pPr>
            <w:r>
              <w:t xml:space="preserve">90 dagen</w:t>
            </w:r>
          </w:p>
        </w:tc>
        <w:tc>
          <w:tcPr/>
          <w:p>
            <w:pPr>
              <w:pStyle w:val="Compact"/>
              <w:jc w:val="left"/>
            </w:pPr>
            <w:r>
              <w:t xml:space="preserve">armfunctie (ARAT) duidelijk beter: MW 0,71</w:t>
            </w:r>
          </w:p>
        </w:tc>
      </w:tr>
      <w:tr>
        <w:tc>
          <w:tcPr/>
          <w:p>
            <w:pPr>
              <w:pStyle w:val="Compact"/>
              <w:jc w:val="left"/>
            </w:pPr>
            <w:r>
              <w:t xml:space="preserve">Gharagozli 2017, PMID 29075343</w:t>
            </w:r>
          </w:p>
        </w:tc>
        <w:tc>
          <w:tcPr/>
          <w:p>
            <w:pPr>
              <w:pStyle w:val="Compact"/>
              <w:jc w:val="left"/>
            </w:pPr>
            <w:r>
              <w:t xml:space="preserve">100 personen, dubbelblind tegen placebo</w:t>
            </w:r>
          </w:p>
        </w:tc>
        <w:tc>
          <w:tcPr/>
          <w:p>
            <w:pPr>
              <w:pStyle w:val="Compact"/>
              <w:jc w:val="left"/>
            </w:pPr>
            <w:r>
              <w:t xml:space="preserve">30 dagen</w:t>
            </w:r>
          </w:p>
        </w:tc>
        <w:tc>
          <w:tcPr/>
          <w:p>
            <w:pPr>
              <w:pStyle w:val="Compact"/>
              <w:jc w:val="left"/>
            </w:pPr>
            <w:r>
              <w:t xml:space="preserve">NIHSS beter: MW 0,66</w:t>
            </w:r>
          </w:p>
        </w:tc>
      </w:tr>
      <w:tr>
        <w:tc>
          <w:tcPr/>
          <w:p>
            <w:pPr>
              <w:pStyle w:val="Compact"/>
              <w:jc w:val="left"/>
            </w:pPr>
            <w:r>
              <w:t xml:space="preserve">CEREHETIS (Khasanova 2023), PMID 36973684</w:t>
            </w:r>
          </w:p>
        </w:tc>
        <w:tc>
          <w:tcPr/>
          <w:p>
            <w:pPr>
              <w:pStyle w:val="Compact"/>
              <w:jc w:val="left"/>
            </w:pPr>
            <w:r>
              <w:t xml:space="preserve">341 personen met trombolyse, open gerandomiseerd</w:t>
            </w:r>
          </w:p>
        </w:tc>
        <w:tc>
          <w:tcPr/>
          <w:p>
            <w:pPr>
              <w:pStyle w:val="Compact"/>
              <w:jc w:val="left"/>
            </w:pPr>
            <w:r>
              <w:t xml:space="preserve">90 dagen</w:t>
            </w:r>
          </w:p>
        </w:tc>
        <w:tc>
          <w:tcPr/>
          <w:p>
            <w:pPr>
              <w:pStyle w:val="Compact"/>
              <w:jc w:val="left"/>
            </w:pPr>
            <w:r>
              <w:t xml:space="preserve">minder symptomatische bloedingen (OR 0,248); geen verschil in mRS na 90 dagen</w:t>
            </w:r>
          </w:p>
        </w:tc>
      </w:tr>
    </w:tbl>
    <w:p>
      <w:pPr>
        <w:pStyle w:val="BodyText"/>
      </w:pPr>
      <w:r>
        <w:rPr>
          <w:bCs/>
          <w:b/>
        </w:rPr>
        <w:t xml:space="preserve">CASTA – de grootste studie.</w:t>
      </w:r>
      <w:r>
        <w:t xml:space="preserve"> </w:t>
      </w:r>
      <w:r>
        <w:t xml:space="preserve">De</w:t>
      </w:r>
      <w:r>
        <w:t xml:space="preserve"> </w:t>
      </w:r>
      <w:r>
        <w:rPr>
          <w:iCs/>
          <w:i/>
        </w:rPr>
        <w:t xml:space="preserve">Cerebrolysin Acute Stroke Treatment in Asia</w:t>
      </w:r>
      <w:r>
        <w:t xml:space="preserve">-studie werd vooraf met studieprotocol gepubliceerd</w:t>
      </w:r>
      <w:r>
        <w:rPr>
          <w:rStyle w:val="FootnoteReference"/>
        </w:rPr>
        <w:footnoteReference w:id="1662"/>
      </w:r>
      <w:r>
        <w:t xml:space="preserve"> </w:t>
      </w:r>
      <w:r>
        <w:t xml:space="preserve">en is op ClinicalTrials.gov geregistreerd</w:t>
      </w:r>
      <w:r>
        <w:rPr>
          <w:rStyle w:val="FootnoteReference"/>
        </w:rPr>
        <w:footnoteReference w:id="1663"/>
      </w:r>
      <w:r>
        <w:t xml:space="preserve">. 1.070 personen met een acute beroerte kregen binnen twaalf uur tien dagen lang Cerebrolysin of zoutoplossing, telkens naast aspirine. Het vooraf vastgelegde primaire eindpunt – een combinatie van de gemodificeerde Rankinschaal (mRS, mate van invaliditeit), de Barthel-index (zelfstandigheid in het dagelijks leven) en de NIHSS (ernst van de neurologische uitval) na 90 dagen – liet</w:t>
      </w:r>
      <w:r>
        <w:t xml:space="preserve"> </w:t>
      </w:r>
      <w:r>
        <w:rPr>
          <w:bCs/>
          <w:b/>
        </w:rPr>
        <w:t xml:space="preserve">geen verschil</w:t>
      </w:r>
      <w:r>
        <w:t xml:space="preserve"> </w:t>
      </w:r>
      <w:r>
        <w:t xml:space="preserve">zien. In een achteraf uitgevoerde analyse van de ernstiger getroffenen (NIHSS boven 12) lag de sterfte na 90 dagen op 10,5% onder Cerebrolysin tegenover 20,2% onder placebo</w:t>
      </w:r>
      <w:r>
        <w:rPr>
          <w:rStyle w:val="FootnoteReference"/>
        </w:rPr>
        <w:footnoteReference w:id="1664"/>
      </w:r>
      <w:r>
        <w:t xml:space="preserve">. De auteurs schrijven zelf dat deze bevinding in een volgende studie bevestigd zou moeten worden. Zo’n grote, gericht bij ernstige beroertes uitgevoerde bevestigingsstudie is tot op heden niet gepubliceerd.</w:t>
      </w:r>
    </w:p>
    <w:p>
      <w:pPr>
        <w:pStyle w:val="BodyText"/>
      </w:pPr>
      <w:r>
        <w:rPr>
          <w:bCs/>
          <w:b/>
        </w:rPr>
        <w:t xml:space="preserve">Samen met trombolyse.</w:t>
      </w:r>
      <w:r>
        <w:t xml:space="preserve"> </w:t>
      </w:r>
      <w:r>
        <w:t xml:space="preserve">In een studie met 119 personen werd een uur na de trombolyse met Cerebrolysin begonnen. Na de derde tussentijdse analyse bleek er op het primaire eindpunt (mRS na 90 dagen) geen voordeel, en de studie werd beëindigd. In de eerste 30 dagen verbeterden onder Cerebrolysin meer personen duidelijk op de NIHSS</w:t>
      </w:r>
      <w:r>
        <w:rPr>
          <w:rStyle w:val="FootnoteReference"/>
        </w:rPr>
        <w:footnoteReference w:id="1665"/>
      </w:r>
      <w:r>
        <w:t xml:space="preserve">. Dit patroon – vroege verbeteringen op neurologische schalen, maar geen duidelijk verschil in invaliditeit na drie maanden – keert in meerdere studies terug. De CEREHETIS-studie vond bij 341 personen minder symptomatische bloedingen na trombolyse, maar eveneens geen verschil in mRS na 90 dagen; ze was open, dus niet geblindeerd</w:t>
      </w:r>
      <w:r>
        <w:rPr>
          <w:rStyle w:val="FootnoteReference"/>
        </w:rPr>
        <w:footnoteReference w:id="1666"/>
      </w:r>
      <w:r>
        <w:t xml:space="preserve">.</w:t>
      </w:r>
    </w:p>
    <w:p>
      <w:pPr>
        <w:pStyle w:val="BodyText"/>
      </w:pPr>
      <w:r>
        <w:rPr>
          <w:bCs/>
          <w:b/>
        </w:rPr>
        <w:t xml:space="preserve">Trombectomie.</w:t>
      </w:r>
      <w:r>
        <w:t xml:space="preserve"> </w:t>
      </w:r>
      <w:r>
        <w:t xml:space="preserve">Een studie vergeleek 50 personen die na een katheterbehandeling Cerebrolysin kregen, met 50 eerder behandelde personen (historische controles). Na 90 dagen was 68% tegenover 44% functioneel onafhankelijk (mRS 0–2), secundaire hersenbloedingen kwamen minder vaak voor</w:t>
      </w:r>
      <w:r>
        <w:rPr>
          <w:rStyle w:val="FootnoteReference"/>
        </w:rPr>
        <w:footnoteReference w:id="1667"/>
      </w:r>
      <w:r>
        <w:t xml:space="preserve">. Zonder randomisatie en met vergelijking tegen eerdere patiënten is dat echter slechts een aanwijzing; de auteurs vragen zelf om gerandomiseerde studies.</w:t>
      </w:r>
    </w:p>
    <w:bookmarkEnd w:id="1668"/>
    <w:bookmarkStart w:id="1675" w:name="X6659452a3b6a5ed5ede83dde7cb22cd082a37f9"/>
    <w:p>
      <w:pPr>
        <w:pStyle w:val="Heading4"/>
      </w:pPr>
      <w:r>
        <w:t xml:space="preserve">Revalidatie na beroerte: CARS en vervolgstudies</w:t>
      </w:r>
    </w:p>
    <w:p>
      <w:pPr>
        <w:pStyle w:val="FirstParagraph"/>
      </w:pPr>
      <w:r>
        <w:t xml:space="preserve">Een tweede benadering grijpt niet in de eerste uren in, maar in de vroege revalidatie: Cerebrolysin zou de hersenen „leerbaarder” maken, terwijl tegelijk fysiotherapie plaatsvindt.</w:t>
      </w:r>
    </w:p>
    <w:p>
      <w:pPr>
        <w:pStyle w:val="BodyText"/>
      </w:pPr>
      <w:r>
        <w:t xml:space="preserve">De</w:t>
      </w:r>
      <w:r>
        <w:t xml:space="preserve"> </w:t>
      </w:r>
      <w:r>
        <w:rPr>
          <w:bCs/>
          <w:b/>
        </w:rPr>
        <w:t xml:space="preserve">CARS-studie</w:t>
      </w:r>
      <w:r>
        <w:t xml:space="preserve"> </w:t>
      </w:r>
      <w:r>
        <w:t xml:space="preserve">(</w:t>
      </w:r>
      <w:r>
        <w:rPr>
          <w:iCs/>
          <w:i/>
        </w:rPr>
        <w:t xml:space="preserve">Cerebrolysin and Recovery After Stroke</w:t>
      </w:r>
      <w:r>
        <w:t xml:space="preserve">) behandelde personen 24 tot 72 uur na de beroerte 21 dagen lang met Cerebrolysin of placebo, naast een gestandaardiseerd revalidatieprogramma. Op het primaire eindpunt, de Action Research Arm Test (ARAT) voor de armfunctie na 90 dagen, bleek een groot voordeel (MW 0,71; 95%-betrouwbaarheidsinterval 0,63–0,79); over twaalf schalen heen een klein tot middelgroot voordeel (MW 0,62)</w:t>
      </w:r>
      <w:r>
        <w:rPr>
          <w:rStyle w:val="FootnoteReference"/>
        </w:rPr>
        <w:footnoteReference w:id="1669"/>
      </w:r>
      <w:r>
        <w:t xml:space="preserve">. De auteurs noemen de studie uitdrukkelijk verkennend, met een relatief klein aantal deelnemers. Een vooraf geplande gezamenlijke analyse met de identiek opgezette studie CARS-2 (in totaal 442 personen) leverde voor de ARAT een MW van 0,62 op</w:t>
      </w:r>
      <w:r>
        <w:rPr>
          <w:rStyle w:val="FootnoteReference"/>
        </w:rPr>
        <w:footnoteReference w:id="1670"/>
      </w:r>
      <w:r>
        <w:t xml:space="preserve">.</w:t>
      </w:r>
    </w:p>
    <w:p>
      <w:pPr>
        <w:pStyle w:val="BodyText"/>
      </w:pPr>
      <w:r>
        <w:t xml:space="preserve">Andere kleinere studies laten een gemengd beeld zien:</w:t>
      </w:r>
    </w:p>
    <w:p>
      <w:pPr>
        <w:numPr>
          <w:ilvl w:val="0"/>
          <w:numId w:val="1203"/>
        </w:numPr>
        <w:pStyle w:val="Compact"/>
      </w:pPr>
      <w:r>
        <w:t xml:space="preserve">Een studie met 60 personen vond grote voordelen op de NIHSS na 10 en 30 dagen</w:t>
      </w:r>
      <w:r>
        <w:rPr>
          <w:rStyle w:val="FootnoteReference"/>
        </w:rPr>
        <w:footnoteReference w:id="1671"/>
      </w:r>
      <w:r>
        <w:t xml:space="preserve">.</w:t>
      </w:r>
    </w:p>
    <w:p>
      <w:pPr>
        <w:numPr>
          <w:ilvl w:val="0"/>
          <w:numId w:val="1203"/>
        </w:numPr>
        <w:pStyle w:val="Compact"/>
      </w:pPr>
      <w:r>
        <w:t xml:space="preserve">Een studie met 70 personen vond</w:t>
      </w:r>
      <w:r>
        <w:t xml:space="preserve"> </w:t>
      </w:r>
      <w:r>
        <w:rPr>
          <w:bCs/>
          <w:b/>
        </w:rPr>
        <w:t xml:space="preserve">geen</w:t>
      </w:r>
      <w:r>
        <w:t xml:space="preserve"> </w:t>
      </w:r>
      <w:r>
        <w:t xml:space="preserve">verschil in de motoriek als geheel; alleen in de subgroep met ernstige verlamming scoorde Cerebrolysin beter</w:t>
      </w:r>
      <w:r>
        <w:rPr>
          <w:rStyle w:val="FootnoteReference"/>
        </w:rPr>
        <w:footnoteReference w:id="1672"/>
      </w:r>
      <w:r>
        <w:t xml:space="preserve">.</w:t>
      </w:r>
    </w:p>
    <w:p>
      <w:pPr>
        <w:numPr>
          <w:ilvl w:val="0"/>
          <w:numId w:val="1203"/>
        </w:numPr>
        <w:pStyle w:val="Compact"/>
      </w:pPr>
      <w:r>
        <w:t xml:space="preserve">De Roemeense ESCAS-pilotstudie bij taalstoornissen (niet-vloeiende afasie) met 132 personen combineerde Cerebrolysin met logopedie. Na 90 dagen verbeterde de taalfunctie op de Western Aphasia Battery met ongeveer 35,6 punten tegenover 20,8 punten onder placebo</w:t>
      </w:r>
      <w:r>
        <w:rPr>
          <w:rStyle w:val="FootnoteReference"/>
        </w:rPr>
        <w:footnoteReference w:id="1673"/>
      </w:r>
      <w:r>
        <w:t xml:space="preserve">.</w:t>
      </w:r>
    </w:p>
    <w:p>
      <w:pPr>
        <w:pStyle w:val="FirstParagraph"/>
      </w:pPr>
      <w:r>
        <w:t xml:space="preserve">Een richtlijn van de European Academy of Neurology en de Europese Federatie van Neurorevalidatieverenigingen beval in 2021 op basis van een meta-analyse Cerebrolysin aan – naast het antidepressivum citalopram – ter ondersteuning van de vroege motorische revalidatie na een ischemische beroerte</w:t>
      </w:r>
      <w:r>
        <w:rPr>
          <w:rStyle w:val="FootnoteReference"/>
        </w:rPr>
        <w:footnoteReference w:id="1674"/>
      </w:r>
      <w:r>
        <w:t xml:space="preserve">. Andere grote richtlijnen, bijvoorbeeld in de VS, bevatten zo’n aanbeveling niet.</w:t>
      </w:r>
    </w:p>
    <w:bookmarkEnd w:id="1675"/>
    <w:bookmarkStart w:id="1680" w:name="X021b433c383a4c6869261611a1e984318b7bf46"/>
    <w:p>
      <w:pPr>
        <w:pStyle w:val="Heading4"/>
      </w:pPr>
      <w:r>
        <w:t xml:space="preserve">De meta-analyses: twee lezingen van dezelfde gegevens</w:t>
      </w:r>
    </w:p>
    <w:p>
      <w:pPr>
        <w:pStyle w:val="FirstParagraph"/>
      </w:pPr>
      <w:r>
        <w:t xml:space="preserve">Bij Cerebrolysin lopen de samenvattingen uiteen – afhankelijk van wie ze heeft opgesteld en welke eindpunten centraal staan.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Overzicht</w:t>
            </w:r>
          </w:p>
        </w:tc>
        <w:tc>
          <w:tcPr/>
          <w:p>
            <w:pPr>
              <w:pStyle w:val="Compact"/>
              <w:jc w:val="left"/>
            </w:pPr>
            <w:r>
              <w:t xml:space="preserve">Opgenomen gegevens</w:t>
            </w:r>
          </w:p>
        </w:tc>
        <w:tc>
          <w:tcPr/>
          <w:p>
            <w:pPr>
              <w:pStyle w:val="Compact"/>
              <w:jc w:val="left"/>
            </w:pPr>
            <w:r>
              <w:t xml:space="preserve">Kernboodschap</w:t>
            </w:r>
          </w:p>
        </w:tc>
      </w:tr>
      <w:tr>
        <w:tc>
          <w:tcPr/>
          <w:p>
            <w:pPr>
              <w:pStyle w:val="Compact"/>
              <w:jc w:val="left"/>
            </w:pPr>
            <w:r>
              <w:t xml:space="preserve">Cochrane (Ziganshina 2023), PMID 37818733</w:t>
            </w:r>
          </w:p>
        </w:tc>
        <w:tc>
          <w:tcPr/>
          <w:p>
            <w:pPr>
              <w:pStyle w:val="Compact"/>
              <w:jc w:val="left"/>
            </w:pPr>
            <w:r>
              <w:t xml:space="preserve">7 RCT’s, 1.773 personen, start binnen 48 u</w:t>
            </w:r>
          </w:p>
        </w:tc>
        <w:tc>
          <w:tcPr/>
          <w:p>
            <w:pPr>
              <w:pStyle w:val="Compact"/>
              <w:jc w:val="left"/>
            </w:pPr>
            <w:r>
              <w:t xml:space="preserve">geen invloed op de sterfte (RR 0,96); meer niet-fatale ernstige bijwerkingen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 30 dagen beter (MW 0,60); NNT 7,7 voor klinisch relevante verbetering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geen superioriteit op mRS en Barthel-index; veiligheid neutraal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NIHSS-verbetering 1,39 punten groter; functionele onafhankelijkheid niet significant (RR 1,31)</w:t>
            </w:r>
          </w:p>
        </w:tc>
      </w:tr>
    </w:tbl>
    <w:p>
      <w:pPr>
        <w:pStyle w:val="BodyText"/>
      </w:pPr>
      <w:r>
        <w:t xml:space="preserve">Het</w:t>
      </w:r>
      <w:r>
        <w:t xml:space="preserve"> </w:t>
      </w:r>
      <w:r>
        <w:rPr>
          <w:bCs/>
          <w:b/>
        </w:rPr>
        <w:t xml:space="preserve">Cochrane-review</w:t>
      </w:r>
      <w:r>
        <w:t xml:space="preserve"> </w:t>
      </w:r>
      <w:r>
        <w:t xml:space="preserve">– een onafhankelijke, methodologisch strenge vorm van samenvatten – is sinds 2010 meermaals geactualiseerd. De versie van 2020 omvatte zeven gerandomiseerde studies met 1.601 personen en vond geen effect op de sterfte (RR 0,90; 95%-BI 0,61–1,32). Het totale aantal ernstige ongewenste voorvallen verschilde niet wezenlijk, maar het aantal personen met</w:t>
      </w:r>
      <w:r>
        <w:t xml:space="preserve"> </w:t>
      </w:r>
      <w:r>
        <w:rPr>
          <w:bCs/>
          <w:b/>
        </w:rPr>
        <w:t xml:space="preserve">niet-fatale</w:t>
      </w:r>
      <w:r>
        <w:t xml:space="preserve"> </w:t>
      </w:r>
      <w:r>
        <w:t xml:space="preserve">ernstige ongewenste voorvallen was onder Cerebrolysin hoger (RR 2,15; 95%-BI 1,01–4,55)</w:t>
      </w:r>
      <w:r>
        <w:rPr>
          <w:rStyle w:val="FootnoteReference"/>
        </w:rPr>
        <w:footnoteReference w:id="1676"/>
      </w:r>
      <w:r>
        <w:t xml:space="preserve">. De actualisering van 2023 voegde een studie toe met het Russische preparaat uit runderhersenen Cortexin (in totaal 1.773 personen) en bevestigde deze conclusies: geen effect op de sterfte (RR 0,96), meer niet-fatale ernstige voorvallen (RR 2,39; 95%-BI 1,10–5,23), bij een behandelschema van tien dagen nog uitgesprokener</w:t>
      </w:r>
      <w:r>
        <w:rPr>
          <w:rStyle w:val="FootnoteReference"/>
        </w:rPr>
        <w:footnoteReference w:id="1677"/>
      </w:r>
      <w:r>
        <w:t xml:space="preserve">. De Cochrane-auteurs beoordeelden het risico op vertekening van veel studies als onduidelijk of hoog en wezen erop dat de fabrikant meerdere van de grote studies had ondersteund. Belangrijk: geen van de opgenomen studies rapporteerde het vanuit patiëntperspectief beslissende eindpunt „overlijden of zorgafhankelijkheid” in de vorm die het review voorzag.</w:t>
      </w:r>
    </w:p>
    <w:p>
      <w:pPr>
        <w:pStyle w:val="BodyText"/>
      </w:pPr>
      <w:r>
        <w:t xml:space="preserve">De</w:t>
      </w:r>
      <w:r>
        <w:t xml:space="preserve"> </w:t>
      </w:r>
      <w:r>
        <w:rPr>
          <w:bCs/>
          <w:b/>
        </w:rPr>
        <w:t xml:space="preserve">meta-analyses die dicht bij de fabrikant staan</w:t>
      </w:r>
      <w:r>
        <w:t xml:space="preserve">, kijken daarentegen vooral naar de vroege neurologische verbetering op de NIHSS en vinden daar een matig voordeel</w:t>
      </w:r>
      <w:r>
        <w:rPr>
          <w:rStyle w:val="FootnoteReference"/>
        </w:rPr>
        <w:footnoteReference w:id="1678"/>
      </w:r>
      <w:r>
        <w:t xml:space="preserve">. Een veiligheidsmeta-analyse met twaalf studies en 2.202 personen vond geen significante verschillen met placebo in bijwerkingen</w:t>
      </w:r>
      <w:r>
        <w:rPr>
          <w:rStyle w:val="FootnoteReference"/>
        </w:rPr>
        <w:footnoteReference w:id="1679"/>
      </w:r>
      <w:r>
        <w:t xml:space="preserve"> </w:t>
      </w:r>
      <w:r>
        <w:t xml:space="preserve">– in tegenstelling tot het Cochrane-signaal, dat echter op weinig voorvallen berust.</w:t>
      </w:r>
    </w:p>
    <w:p>
      <w:pPr>
        <w:pStyle w:val="BodyText"/>
      </w:pPr>
      <w:r>
        <w:t xml:space="preserve">Hoe valt dat samen te brengen? Het eerlijke antwoord luidt: Cerebrolysin verbetert in meerdere studies de neurologische schaalscores in de eerste weken. Of daaruit minder blijvende invaliditeit, minder zorgafhankelijkheid of een langer leven volgt, is niet aangetoond. Voor het signaal van niet-fatale ernstige bijwerkingen ontbreekt een sluitende verklaring; het berust op weinig voorvallen en is daarom onzeker, maar het werd in twee Cochrane-versies gevonden.</w:t>
      </w:r>
    </w:p>
    <w:bookmarkEnd w:id="1680"/>
    <w:bookmarkStart w:id="1682" w:name="registergegevens-uit-de-praktijk"/>
    <w:p>
      <w:pPr>
        <w:pStyle w:val="Heading4"/>
      </w:pPr>
      <w:r>
        <w:t xml:space="preserve">Registergegevens uit de praktijk</w:t>
      </w:r>
    </w:p>
    <w:p>
      <w:pPr>
        <w:pStyle w:val="FirstParagraph"/>
      </w:pPr>
      <w:r>
        <w:t xml:space="preserve">De fabrikant heeft daarnaast grote observationele studies gefinancierd. De registerstudie C-REGS2 omvatte in 16 landen 1.865 personen met een matig ernstige beroerte; geanalyseerd werden er 1.769 (1.021 met Cerebrolysin, 748 zonder). Na 90 dagen scoorde de Cerebrolysin-groep beter op de gemodificeerde Rankinschaal (MW 0,6157)</w:t>
      </w:r>
      <w:r>
        <w:rPr>
          <w:rStyle w:val="FootnoteReference"/>
        </w:rPr>
        <w:footnoteReference w:id="1681"/>
      </w:r>
      <w:r>
        <w:t xml:space="preserve">. De studie gebruikt geavanceerde statistische methoden om de groepen vergelijkbaar te maken. Ze blijft echter een observationele studie: wie in de praktijk Cerebrolysin krijgt, verschilt mogelijk in behandeling, ziekenhuis of land van wie het niet krijgt. Een randomisatie kan zij niet vervangen.</w:t>
      </w:r>
    </w:p>
    <w:bookmarkEnd w:id="1682"/>
    <w:bookmarkStart w:id="1686" w:name="X7ac0b2f04fe685b155aa69840d3ac2a7bbcfd96"/>
    <w:p>
      <w:pPr>
        <w:pStyle w:val="Heading4"/>
      </w:pPr>
      <w:r>
        <w:t xml:space="preserve">Hersenbloeding en subarachnoïdale bloeding</w:t>
      </w:r>
    </w:p>
    <w:p>
      <w:pPr>
        <w:pStyle w:val="FirstParagraph"/>
      </w:pPr>
      <w:r>
        <w:t xml:space="preserve">Bij hersenbloedingen vond een studie met 100 personen na 21 dagen geen significante verschillen, maar ook geen veiligheidsproblemen</w:t>
      </w:r>
      <w:r>
        <w:rPr>
          <w:rStyle w:val="FootnoteReference"/>
        </w:rPr>
        <w:footnoteReference w:id="1683"/>
      </w:r>
      <w:r>
        <w:t xml:space="preserve">. Bij bloedingen uit een uitstulping van een hersenvat (aneurysmatische subarachnoïdale bloeding) liet een dubbelblinde pilotstudie met 50 personen na zes maanden geen verschil in functionele uitkomst zien</w:t>
      </w:r>
      <w:r>
        <w:rPr>
          <w:rStyle w:val="FootnoteReference"/>
        </w:rPr>
        <w:footnoteReference w:id="1684"/>
      </w:r>
      <w:r>
        <w:t xml:space="preserve">. Een pilotstudie naar bloedingen in de hersenkwabben (CLINCH) is gepland of loopt</w:t>
      </w:r>
      <w:r>
        <w:rPr>
          <w:rStyle w:val="FootnoteReference"/>
        </w:rPr>
        <w:footnoteReference w:id="1685"/>
      </w:r>
      <w:r>
        <w:t xml:space="preserve">.</w:t>
      </w:r>
    </w:p>
    <w:bookmarkEnd w:id="1686"/>
    <w:bookmarkStart w:id="1688" w:name="traumatisch-hersenletsel-captain"/>
    <w:p>
      <w:pPr>
        <w:pStyle w:val="Heading4"/>
      </w:pPr>
      <w:r>
        <w:t xml:space="preserve">Traumatisch hersenletsel: CAPTAIN</w:t>
      </w:r>
    </w:p>
    <w:p>
      <w:pPr>
        <w:pStyle w:val="FirstParagraph"/>
      </w:pPr>
      <w:r>
        <w:t xml:space="preserve">Bij matig tot ernstig traumatisch hersenletsel onderzochten twee studies Cerebrolysin naast de standaardbehandeling: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CAPTAIN I (Poon 2020), PMID 31494820</w:t>
            </w:r>
          </w:p>
        </w:tc>
        <w:tc>
          <w:tcPr/>
          <w:p>
            <w:pPr>
              <w:pStyle w:val="Compact"/>
              <w:jc w:val="left"/>
            </w:pPr>
            <w:r>
              <w:t xml:space="preserve">46 personen, dubbelblind tegen placebo, meerdere centra</w:t>
            </w:r>
          </w:p>
        </w:tc>
        <w:tc>
          <w:tcPr/>
          <w:p>
            <w:pPr>
              <w:pStyle w:val="Compact"/>
              <w:jc w:val="left"/>
            </w:pPr>
            <w:r>
              <w:t xml:space="preserve">90 dagen</w:t>
            </w:r>
          </w:p>
        </w:tc>
        <w:tc>
          <w:tcPr/>
          <w:p>
            <w:pPr>
              <w:pStyle w:val="Compact"/>
              <w:jc w:val="left"/>
            </w:pPr>
            <w:r>
              <w:t xml:space="preserve">primair eindpunt nipt niet gehaald (ITT: MW 0,63); in de per-protocolanalyse significant</w:t>
            </w:r>
          </w:p>
        </w:tc>
      </w:tr>
      <w:tr>
        <w:tc>
          <w:tcPr/>
          <w:p>
            <w:pPr>
              <w:pStyle w:val="Compact"/>
              <w:jc w:val="left"/>
            </w:pPr>
            <w:r>
              <w:t xml:space="preserve">CAPTAIN II (Muresanu 2020), PMID 31897941</w:t>
            </w:r>
          </w:p>
        </w:tc>
        <w:tc>
          <w:tcPr/>
          <w:p>
            <w:pPr>
              <w:pStyle w:val="Compact"/>
              <w:jc w:val="left"/>
            </w:pPr>
            <w:r>
              <w:t xml:space="preserve">142 personen (139 geanalyseerd), dubbelblind, één centrum</w:t>
            </w:r>
          </w:p>
        </w:tc>
        <w:tc>
          <w:tcPr/>
          <w:p>
            <w:pPr>
              <w:pStyle w:val="Compact"/>
              <w:jc w:val="left"/>
            </w:pPr>
            <w:r>
              <w:t xml:space="preserve">90 dagen</w:t>
            </w:r>
          </w:p>
        </w:tc>
        <w:tc>
          <w:tcPr/>
          <w:p>
            <w:pPr>
              <w:pStyle w:val="Compact"/>
              <w:jc w:val="left"/>
            </w:pPr>
            <w:r>
              <w:t xml:space="preserve">klein tot middelgroot voordeel in het gecombineerde eindpunt van 13 schalen (MW 0,59)</w:t>
            </w:r>
          </w:p>
        </w:tc>
      </w:tr>
      <w:tr>
        <w:tc>
          <w:tcPr/>
          <w:p>
            <w:pPr>
              <w:pStyle w:val="Compact"/>
              <w:jc w:val="left"/>
            </w:pPr>
            <w:r>
              <w:t xml:space="preserve">CAPTAIN-meta-analyse (Vester 2021), PMID 33620612</w:t>
            </w:r>
          </w:p>
        </w:tc>
        <w:tc>
          <w:tcPr/>
          <w:p>
            <w:pPr>
              <w:pStyle w:val="Compact"/>
              <w:jc w:val="left"/>
            </w:pPr>
            <w:r>
              <w:t xml:space="preserve">185 personen uit beide studies</w:t>
            </w:r>
          </w:p>
        </w:tc>
        <w:tc>
          <w:tcPr/>
          <w:p>
            <w:pPr>
              <w:pStyle w:val="Compact"/>
              <w:jc w:val="left"/>
            </w:pPr>
            <w:r>
              <w:t xml:space="preserve">90 dagen</w:t>
            </w:r>
          </w:p>
        </w:tc>
        <w:tc>
          <w:tcPr/>
          <w:p>
            <w:pPr>
              <w:pStyle w:val="Compact"/>
              <w:jc w:val="left"/>
            </w:pPr>
            <w:r>
              <w:t xml:space="preserve">MW 0,60 na 30 en 90 dagen</w:t>
            </w:r>
          </w:p>
        </w:tc>
      </w:tr>
    </w:tbl>
    <w:p>
      <w:pPr>
        <w:pStyle w:val="BodyText"/>
      </w:pPr>
      <w:r>
        <w:t xml:space="preserve">CAPTAIN I werd met slechts 46 deelnemers voortijdig beëindigd (NCT01606111, registerstatus „afgebroken”). Andere meta-analyses over traumatisch hersenletsel berusten overwegend op observationele studies en vonden betere waarden op de Glasgow Outcome Scale, maar geen invloed op de sterfte</w:t>
      </w:r>
      <w:r>
        <w:rPr>
          <w:rStyle w:val="FootnoteReference"/>
        </w:rPr>
        <w:footnoteReference w:id="1687"/>
      </w:r>
      <w:r>
        <w:t xml:space="preserve">. Al met al wijzen de gegevens op een mogelijk klein voordeel; het aantal gerandomiseerd onderzochte personen is te klein voor een zekere uitspraak.</w:t>
      </w:r>
    </w:p>
    <w:bookmarkEnd w:id="1688"/>
    <w:bookmarkStart w:id="1694" w:name="dementie"/>
    <w:p>
      <w:pPr>
        <w:pStyle w:val="Heading4"/>
      </w:pPr>
      <w:r>
        <w:t xml:space="preserve">Dementie</w:t>
      </w:r>
    </w:p>
    <w:p>
      <w:pPr>
        <w:pStyle w:val="FirstParagraph"/>
      </w:pPr>
      <w:r>
        <w:rPr>
          <w:bCs/>
          <w:b/>
        </w:rPr>
        <w:t xml:space="preserve">Ziekte van Alzheimer.</w:t>
      </w:r>
      <w:r>
        <w:t xml:space="preserve"> </w:t>
      </w:r>
      <w:r>
        <w:t xml:space="preserve">In de jaren negentig en 2000 werden meerdere placebogecontroleerde studies uitgevoerd. In een studie met 192 personen was de klinische totaalindruk (CIBIC+) na twaalf weken onder Cerebrolysin beter (76% tegenover 57% „responders”); de groepen verschilden echter al bij aanvang in leeftijd en hallucinaties</w:t>
      </w:r>
      <w:r>
        <w:rPr>
          <w:rStyle w:val="FootnoteReference"/>
        </w:rPr>
        <w:footnoteReference w:id="1689"/>
      </w:r>
      <w:r>
        <w:t xml:space="preserve">. In een studie met 197 personen was Cerebrolysin op de totaalindruk even werkzaam als het toegelaten alzheimermiddel donepezil; op cognitie, dagelijks functioneren en gedrag waren er geen significante verschillen tussen de groepen</w:t>
      </w:r>
      <w:r>
        <w:rPr>
          <w:rStyle w:val="FootnoteReference"/>
        </w:rPr>
        <w:footnoteReference w:id="1690"/>
      </w:r>
      <w:r>
        <w:t xml:space="preserve">. Een meta-analyse van zes studies vond een voordeel op de klinische totaalindruk na vier weken en zes maanden, op de cognitie echter alleen na vier weken, niet na zes maanden</w:t>
      </w:r>
      <w:r>
        <w:rPr>
          <w:rStyle w:val="FootnoteReference"/>
        </w:rPr>
        <w:footnoteReference w:id="1691"/>
      </w:r>
      <w:r>
        <w:t xml:space="preserve">. Aan deze meta-analyse werkten onderzoekers mee die met de fabrikant samenwerken.</w:t>
      </w:r>
    </w:p>
    <w:p>
      <w:pPr>
        <w:pStyle w:val="BodyText"/>
      </w:pPr>
      <w:r>
        <w:rPr>
          <w:bCs/>
          <w:b/>
        </w:rPr>
        <w:t xml:space="preserve">Vasculaire dementie.</w:t>
      </w:r>
      <w:r>
        <w:t xml:space="preserve"> </w:t>
      </w:r>
      <w:r>
        <w:t xml:space="preserve">De grootste studie met 242 personen meldde na 24 weken een verbetering op de ADAS-cog+ van 10,6 punten tegenover 4,4 punten onder placebo</w:t>
      </w:r>
      <w:r>
        <w:rPr>
          <w:rStyle w:val="FootnoteReference"/>
        </w:rPr>
        <w:footnoteReference w:id="1692"/>
      </w:r>
      <w:r>
        <w:t xml:space="preserve"> </w:t>
      </w:r>
      <w:r>
        <w:t xml:space="preserve">– een voor dementiestudies ongewoon groot effect. Het Cochrane-review over vasculaire dementie vatte zes studies met 597 personen samen en vond voordelen voor cognitie en totaalindruk, maar beoordeelde de betrouwbaarheid van het bewijs als „zeer laag”. De auteurs schrijven dat mogelijke effecten te klein zouden kunnen zijn om klinisch van betekenis te zijn, en dat de bewijsbasis zwak is, hoewel Cerebrolysin verder wordt aangeprezen</w:t>
      </w:r>
      <w:r>
        <w:rPr>
          <w:rStyle w:val="FootnoteReference"/>
        </w:rPr>
        <w:footnoteReference w:id="1693"/>
      </w:r>
      <w:r>
        <w:t xml:space="preserve">.</w:t>
      </w:r>
    </w:p>
    <w:bookmarkEnd w:id="1694"/>
    <w:bookmarkStart w:id="1696" w:name="andere-toepassingen-3"/>
    <w:p>
      <w:pPr>
        <w:pStyle w:val="Heading4"/>
      </w:pPr>
      <w:r>
        <w:t xml:space="preserve">Andere toepassingen</w:t>
      </w:r>
    </w:p>
    <w:p>
      <w:pPr>
        <w:pStyle w:val="FirstParagraph"/>
      </w:pPr>
      <w:r>
        <w:t xml:space="preserve">Kleinere studies zijn er over ALS (20 personen, verbetering op de ALS-functieschaal na een maand; Firstenfeld 2023, PMID 38585517), te vroeg geboren baby’s, kinderen met cerebrale parese, reukverlies na COVID-19 en psychiatrische aandoeningen. Bij gezonde mannen veranderde Cerebrolysin in een kleine studie met 48 deelnemers eeg-patronen; bij het kortetermijngeheugen was er onder placebo een trend naar slechtere woordreproductie in de eerste uren, onder Cerebrolysin niet</w:t>
      </w:r>
      <w:r>
        <w:rPr>
          <w:rStyle w:val="FootnoteReference"/>
        </w:rPr>
        <w:footnoteReference w:id="1695"/>
      </w:r>
      <w:r>
        <w:t xml:space="preserve">. Voor gebruik als „nootropicum” bij gezonde mensen is er geen bewijs.</w:t>
      </w:r>
    </w:p>
    <w:bookmarkEnd w:id="1696"/>
    <w:bookmarkEnd w:id="1697"/>
    <w:bookmarkStart w:id="1701" w:name="dier--en-laboratoriumstudies-36"/>
    <w:p>
      <w:pPr>
        <w:pStyle w:val="Heading3"/>
      </w:pPr>
      <w:r>
        <w:t xml:space="preserve">Dier- en laboratoriumstudies</w:t>
      </w:r>
    </w:p>
    <w:p>
      <w:pPr>
        <w:numPr>
          <w:ilvl w:val="0"/>
          <w:numId w:val="1204"/>
        </w:numPr>
        <w:pStyle w:val="Compact"/>
      </w:pPr>
      <w:r>
        <w:t xml:space="preserve">Bij ratten met een kunstmatig opgewekte beroerte verbeterde Cerebrolysin in een gerandomiseerde, geblindeerde dierstudie dosisafhankelijk het neurologisch herstel na 28 dagen</w:t>
      </w:r>
      <w:r>
        <w:rPr>
          <w:rStyle w:val="FootnoteReference"/>
        </w:rPr>
        <w:footnoteReference w:id="1698"/>
      </w:r>
      <w:r>
        <w:t xml:space="preserve">.</w:t>
      </w:r>
    </w:p>
    <w:p>
      <w:pPr>
        <w:numPr>
          <w:ilvl w:val="0"/>
          <w:numId w:val="1204"/>
        </w:numPr>
        <w:pStyle w:val="Compact"/>
      </w:pPr>
      <w:r>
        <w:t xml:space="preserve">Bij ratten met licht hersenletsel verminderde Cerebrolysin axonschade en bevorderde het de aanmaak van nieuwe zenuwcellen in de hippocampus</w:t>
      </w:r>
      <w:r>
        <w:rPr>
          <w:rStyle w:val="FootnoteReference"/>
        </w:rPr>
        <w:footnoteReference w:id="1699"/>
      </w:r>
      <w:r>
        <w:t xml:space="preserve">.</w:t>
      </w:r>
    </w:p>
    <w:p>
      <w:pPr>
        <w:numPr>
          <w:ilvl w:val="0"/>
          <w:numId w:val="1204"/>
        </w:numPr>
        <w:pStyle w:val="Compact"/>
      </w:pPr>
      <w:r>
        <w:t xml:space="preserve">In een muismodel van de erfelijke ziekte CADASIL verlengde Cerebrolysin de levensduur en verbeterde het het ruimtelijk geheugen, zonder de typische veranderingen van de witte stof te beïnvloeden</w:t>
      </w:r>
      <w:r>
        <w:rPr>
          <w:rStyle w:val="FootnoteReference"/>
        </w:rPr>
        <w:footnoteReference w:id="1700"/>
      </w:r>
      <w:r>
        <w:t xml:space="preserve">.</w:t>
      </w:r>
    </w:p>
    <w:p>
      <w:pPr>
        <w:pStyle w:val="FirstParagraph"/>
      </w:pPr>
      <w:r>
        <w:t xml:space="preserve">De preklinische studies komen voor een aanzienlijk deel uit samenwerkingen met de fabrikant. Goede dierresultaten hebben zich bij beroertemiddelen tot nu toe zelden vertaald in klinisch nut.</w:t>
      </w:r>
    </w:p>
    <w:bookmarkEnd w:id="1701"/>
    <w:bookmarkStart w:id="1705" w:name="risicos-en-bijwerkingen-36"/>
    <w:p>
      <w:pPr>
        <w:pStyle w:val="Heading3"/>
      </w:pPr>
      <w:r>
        <w:t xml:space="preserve">Risico’s en bijwerkingen</w:t>
      </w:r>
    </w:p>
    <w:p>
      <w:pPr>
        <w:pStyle w:val="FirstParagraph"/>
      </w:pPr>
      <w:r>
        <w:rPr>
          <w:bCs/>
          <w:b/>
        </w:rPr>
        <w:t xml:space="preserve">Aangetoond:</w:t>
      </w:r>
    </w:p>
    <w:p>
      <w:pPr>
        <w:numPr>
          <w:ilvl w:val="0"/>
          <w:numId w:val="1205"/>
        </w:numPr>
        <w:pStyle w:val="Compact"/>
      </w:pPr>
      <w:r>
        <w:t xml:space="preserve">In de studies kwamen bijwerkingen in totaal ongeveer even vaak voor als onder placebo. Genoemd worden onder meer hoofdpijn, duizeligheid en onrust</w:t>
      </w:r>
      <w:r>
        <w:rPr>
          <w:rStyle w:val="FootnoteReference"/>
        </w:rPr>
        <w:footnoteReference w:id="1702"/>
      </w:r>
      <w:r>
        <w:t xml:space="preserve">.</w:t>
      </w:r>
    </w:p>
    <w:p>
      <w:pPr>
        <w:numPr>
          <w:ilvl w:val="0"/>
          <w:numId w:val="1205"/>
        </w:numPr>
        <w:pStyle w:val="Compact"/>
      </w:pPr>
      <w:r>
        <w:t xml:space="preserve">Het Cochrane-review over beroerte vond meer</w:t>
      </w:r>
      <w:r>
        <w:t xml:space="preserve"> </w:t>
      </w:r>
      <w:r>
        <w:rPr>
          <w:bCs/>
          <w:b/>
        </w:rPr>
        <w:t xml:space="preserve">niet-fatale ernstige ongewenste voorvallen</w:t>
      </w:r>
      <w:r>
        <w:t xml:space="preserve"> </w:t>
      </w:r>
      <w:r>
        <w:t xml:space="preserve">onder Cerebrolysin (RR 2,39; Ziganshina 2023, PMID 37818733), de veiligheidsmeta-analyse die dicht bij de fabrikant staat niet</w:t>
      </w:r>
      <w:r>
        <w:rPr>
          <w:rStyle w:val="FootnoteReference"/>
        </w:rPr>
        <w:footnoteReference w:id="1703"/>
      </w:r>
      <w:r>
        <w:t xml:space="preserve">.</w:t>
      </w:r>
    </w:p>
    <w:p>
      <w:pPr>
        <w:numPr>
          <w:ilvl w:val="0"/>
          <w:numId w:val="1205"/>
        </w:numPr>
        <w:pStyle w:val="Compact"/>
      </w:pPr>
      <w:r>
        <w:rPr>
          <w:bCs/>
          <w:b/>
        </w:rPr>
        <w:t xml:space="preserve">Allergische reacties:</w:t>
      </w:r>
      <w:r>
        <w:t xml:space="preserve"> </w:t>
      </w:r>
      <w:r>
        <w:t xml:space="preserve">Een uitvoerig gedocumenteerde casusbeschrijving beschrijft een levensbedreigende anafylactische reactie bij een 85-jarige man na een Cerebrolysin-infuus; de auteurs benadrukken dat zulke gevallen zeldzaam, maar bij ernstig zieke personen van betekenis zijn</w:t>
      </w:r>
      <w:r>
        <w:rPr>
          <w:rStyle w:val="FootnoteReference"/>
        </w:rPr>
        <w:footnoteReference w:id="1704"/>
      </w:r>
      <w:r>
        <w:t xml:space="preserve">.</w:t>
      </w:r>
    </w:p>
    <w:p>
      <w:pPr>
        <w:pStyle w:val="FirstParagraph"/>
      </w:pPr>
      <w:r>
        <w:rPr>
          <w:bCs/>
          <w:b/>
        </w:rPr>
        <w:t xml:space="preserve">Theoretisch:</w:t>
      </w:r>
      <w:r>
        <w:t xml:space="preserve"> </w:t>
      </w:r>
      <w:r>
        <w:t xml:space="preserve">als preparaat uit dierlijk hersenweefsel is Cerebrolysin principieel verbonden met vragen over zuiverheid en overdraagbaarheid van ziekteverwekkers; productieproces en eisen van de autoriteiten moeten dit risico minimaliseren. Concrete gevallen van overdracht zijn in de hier geanalyseerde bronnen niet beschreven.</w:t>
      </w:r>
    </w:p>
    <w:p>
      <w:pPr>
        <w:pStyle w:val="BodyText"/>
      </w:pPr>
      <w:r>
        <w:rPr>
          <w:bCs/>
          <w:b/>
        </w:rPr>
        <w:t xml:space="preserve">Grijze markt:</w:t>
      </w:r>
      <w:r>
        <w:t xml:space="preserve"> </w:t>
      </w:r>
      <w:r>
        <w:t xml:space="preserve">op nootropicafora wordt Cerebrolysin besproken als „hersenbooster” en betrokken uit landen waar het beschikbaar is. Intraveneuze zelftoediening zonder medisch toezicht brengt het risico van ernstige allergische reacties met zich mee, waarvoor dan geen spoedeisende zorg beschikbaar is. Meer over grijze-marktproducten in Deel I en Deel IV.</w:t>
      </w:r>
    </w:p>
    <w:bookmarkEnd w:id="1705"/>
    <w:bookmarkStart w:id="1706" w:name="juridische-status-36"/>
    <w:p>
      <w:pPr>
        <w:pStyle w:val="Heading3"/>
      </w:pPr>
      <w:r>
        <w:t xml:space="preserve">Juridische status</w:t>
      </w:r>
    </w:p>
    <w:p>
      <w:pPr>
        <w:numPr>
          <w:ilvl w:val="0"/>
          <w:numId w:val="1206"/>
        </w:numPr>
        <w:pStyle w:val="Compact"/>
      </w:pPr>
      <w:r>
        <w:rPr>
          <w:bCs/>
          <w:b/>
        </w:rPr>
        <w:t xml:space="preserve">EU / Oostenrijk / Duitsland:</w:t>
      </w:r>
      <w:r>
        <w:t xml:space="preserve"> </w:t>
      </w:r>
      <w:r>
        <w:t xml:space="preserve">geen centrale EU-toelating. In Oostenrijk is Cerebrolysin als receptplichtig geneesmiddel nationaal toegelaten; indicaties en vergoeding volgen de Oostenrijkse productinformatie. Andere EU-staten hebben eigen nationale toelatingen. In Duitsland is Cerebrolysin naar onze kennis niet in de handel; verkrijging zou hoogstens mogelijk zijn als individuele invoer op medisch voorschrift.</w:t>
      </w:r>
    </w:p>
    <w:p>
      <w:pPr>
        <w:numPr>
          <w:ilvl w:val="0"/>
          <w:numId w:val="1206"/>
        </w:numPr>
        <w:pStyle w:val="Compact"/>
      </w:pPr>
      <w:r>
        <w:rPr>
          <w:bCs/>
          <w:b/>
        </w:rPr>
        <w:t xml:space="preserve">VS:</w:t>
      </w:r>
      <w:r>
        <w:t xml:space="preserve"> </w:t>
      </w:r>
      <w:r>
        <w:t xml:space="preserve">niet toegelaten.</w:t>
      </w:r>
    </w:p>
    <w:p>
      <w:pPr>
        <w:numPr>
          <w:ilvl w:val="0"/>
          <w:numId w:val="1206"/>
        </w:numPr>
        <w:pStyle w:val="Compact"/>
      </w:pPr>
      <w:r>
        <w:rPr>
          <w:bCs/>
          <w:b/>
        </w:rPr>
        <w:t xml:space="preserve">Sport:</w:t>
      </w:r>
      <w:r>
        <w:t xml:space="preserve"> </w:t>
      </w:r>
      <w:r>
        <w:t xml:space="preserve">niet op de WADA-lijst (stand 2026, actuele situatie controleren).</w:t>
      </w:r>
    </w:p>
    <w:p>
      <w:pPr>
        <w:numPr>
          <w:ilvl w:val="0"/>
          <w:numId w:val="1206"/>
        </w:numPr>
        <w:pStyle w:val="Compact"/>
      </w:pPr>
      <w:r>
        <w:t xml:space="preserve">Bij toegelaten gebruik geldt: zie de productinformatie en medische begeleiding.</w:t>
      </w:r>
    </w:p>
    <w:bookmarkEnd w:id="1706"/>
    <w:bookmarkStart w:id="1710" w:name="lopende-studies-en-vooruitzichten-36"/>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07"/>
        </w:numPr>
        <w:pStyle w:val="Compact"/>
      </w:pPr>
      <w:r>
        <w:rPr>
          <w:bCs/>
          <w:b/>
        </w:rPr>
        <w:t xml:space="preserve">CERebrolysin In CADASIL</w:t>
      </w:r>
      <w:r>
        <w:rPr>
          <w:rStyle w:val="FootnoteReference"/>
        </w:rPr>
        <w:footnoteReference w:id="1707"/>
      </w:r>
      <w:r>
        <w:t xml:space="preserve">: fase 2-studie met 30 deelnemers bij de erfelijke vaatziekte CADASIL, actief, werving afgerond.</w:t>
      </w:r>
    </w:p>
    <w:p>
      <w:pPr>
        <w:numPr>
          <w:ilvl w:val="0"/>
          <w:numId w:val="1207"/>
        </w:numPr>
        <w:pStyle w:val="Compact"/>
      </w:pPr>
      <w:r>
        <w:rPr>
          <w:bCs/>
          <w:b/>
        </w:rPr>
        <w:t xml:space="preserve">Afasie na beroerte</w:t>
      </w:r>
      <w:r>
        <w:rPr>
          <w:rStyle w:val="FootnoteReference"/>
        </w:rPr>
        <w:footnoteReference w:id="1708"/>
      </w:r>
      <w:r>
        <w:t xml:space="preserve">: gerandomiseerde, placebogecontroleerde studie met 40 deelnemers in Korea, werving loopt.</w:t>
      </w:r>
    </w:p>
    <w:p>
      <w:pPr>
        <w:numPr>
          <w:ilvl w:val="0"/>
          <w:numId w:val="1207"/>
        </w:numPr>
        <w:pStyle w:val="Compact"/>
      </w:pPr>
      <w:r>
        <w:rPr>
          <w:bCs/>
          <w:b/>
        </w:rPr>
        <w:t xml:space="preserve">Cerebrolysin na uitgebreide trombectomie</w:t>
      </w:r>
      <w:r>
        <w:rPr>
          <w:rStyle w:val="FootnoteReference"/>
        </w:rPr>
        <w:footnoteReference w:id="1709"/>
      </w:r>
      <w:r>
        <w:t xml:space="preserve">: fase 2-studie met 100 geplande deelnemers in Taiwan, start 2026.</w:t>
      </w:r>
    </w:p>
    <w:p>
      <w:pPr>
        <w:numPr>
          <w:ilvl w:val="0"/>
          <w:numId w:val="1207"/>
        </w:numPr>
        <w:pStyle w:val="Compact"/>
      </w:pPr>
      <w:r>
        <w:t xml:space="preserve">Andere kleinere studies naar delier na hartoperaties en op de intensive care, naar hersenbloeding en naar vroege revalidatie zijn geregistreerd.</w:t>
      </w:r>
    </w:p>
    <w:p>
      <w:pPr>
        <w:pStyle w:val="FirstParagraph"/>
      </w:pPr>
      <w:r>
        <w:rPr>
          <w:bCs/>
          <w:b/>
        </w:rPr>
        <w:t xml:space="preserve">Inschatting:</w:t>
      </w:r>
      <w:r>
        <w:t xml:space="preserve"> </w:t>
      </w:r>
      <w:r>
        <w:t xml:space="preserve">geen van de geregistreerde studies is groot genoeg om de centrale open vraag te beantwoorden: vermindert Cerebrolysin blijvende invaliditeit of sterfte na een beroerte? Daarvoor zou een onafhankelijk uitgevoerde, voldoende grote studie nodig zijn met een duidelijk, vooraf vastgelegd primair eindpunt zoals de gemodificeerde Rankinschaal na 90 dagen. Zolang die ontbreekt, blijft de beoordeling verdeeld tussen „in Oost-Europa en Azië gevestigd” en „in het Westen onvoldoende aangetoond”.</w:t>
      </w:r>
    </w:p>
    <w:bookmarkEnd w:id="1710"/>
    <w:bookmarkStart w:id="1711" w:name="conclusie-36"/>
    <w:p>
      <w:pPr>
        <w:pStyle w:val="Heading3"/>
      </w:pPr>
      <w:r>
        <w:t xml:space="preserve">Conclusie</w:t>
      </w:r>
    </w:p>
    <w:p>
      <w:pPr>
        <w:pStyle w:val="FirstParagraph"/>
      </w:pPr>
      <w:r>
        <w:t xml:space="preserve">Cerebrolysin is een uit varkenshersenen gewonnen peptidemengsel dat in Oostenrijk en veel landen in Oost-Europa en Azië wordt gebruikt bij beroerte, traumatisch hersenletsel en dementie. Talrijke gerandomiseerde studies laten vroege verbeteringen op neurologische schalen zien, maar de grootste studie (CASTA) met meer dan 1.000 personen haalde haar primaire eindpunt niet. De onafhankelijke Cochrane-reviews vinden geen invloed op de sterfte, een signaal van meer niet-fatale ernstige bijwerkingen bij beroerte en slechts zeer onzekere voordelen bij vasculaire dementie. Analyses die dicht bij de fabrikant staan, komen tot duidelijk positievere resultaten. De gegevens volstaan niet om een klinisch betekenisvol langetermijnnut met zekerheid aan te tonen; als zelfbehandeling of „nootropicum” is Cerebrolysin ongeschikt.</w:t>
      </w:r>
    </w:p>
    <w:bookmarkEnd w:id="1711"/>
    <w:bookmarkEnd w:id="1712"/>
    <w:bookmarkStart w:id="1734" w:name="dihexa"/>
    <w:p>
      <w:pPr>
        <w:pStyle w:val="Heading2"/>
      </w:pPr>
      <w:r>
        <w:t xml:space="preserve">Dihexa</w:t>
      </w:r>
    </w:p>
    <w:bookmarkStart w:id="1713" w:name="profiel-37"/>
    <w:p>
      <w:pPr>
        <w:pStyle w:val="Heading3"/>
      </w:pPr>
      <w:r>
        <w:t xml:space="preserve">Profiel</w:t>
      </w:r>
    </w:p>
    <w:p>
      <w:pPr>
        <w:numPr>
          <w:ilvl w:val="0"/>
          <w:numId w:val="1208"/>
        </w:numPr>
        <w:pStyle w:val="Compact"/>
      </w:pPr>
      <w:r>
        <w:rPr>
          <w:bCs/>
          <w:b/>
        </w:rPr>
        <w:t xml:space="preserve">Soort en structuur:</w:t>
      </w:r>
      <w:r>
        <w:t xml:space="preserve"> </w:t>
      </w:r>
      <w:r>
        <w:t xml:space="preserve">chemisch gewijzigd minipeptide, afgeleid van angiotensine IV, een fragment van het bloeddrukregulerende hormoonsysteem. De kern bestaat uit twee aminozuren (tyrosine en isoleucine), aan beide uiteinden voorzien van vetzuurachtige ketens; chemische naam N-hexanoyl-Tyr-Ile-(6)-aminohexaanzuuramide, onderzoekscode PNB-0408.</w:t>
      </w:r>
    </w:p>
    <w:p>
      <w:pPr>
        <w:numPr>
          <w:ilvl w:val="0"/>
          <w:numId w:val="1208"/>
        </w:numPr>
        <w:pStyle w:val="Compact"/>
      </w:pPr>
      <w:r>
        <w:rPr>
          <w:bCs/>
          <w:b/>
        </w:rPr>
        <w:t xml:space="preserve">Herkomst:</w:t>
      </w:r>
      <w:r>
        <w:t xml:space="preserve"> </w:t>
      </w:r>
      <w:r>
        <w:t xml:space="preserve">ontwikkeld rond 2012 aan de Washington State University (VS).</w:t>
      </w:r>
    </w:p>
    <w:p>
      <w:pPr>
        <w:numPr>
          <w:ilvl w:val="0"/>
          <w:numId w:val="1208"/>
        </w:numPr>
        <w:pStyle w:val="Compact"/>
      </w:pPr>
      <w:r>
        <w:rPr>
          <w:bCs/>
          <w:b/>
        </w:rPr>
        <w:t xml:space="preserve">Werkingsprincipe:</w:t>
      </w:r>
      <w:r>
        <w:t xml:space="preserve"> </w:t>
      </w:r>
      <w:r>
        <w:t xml:space="preserve">zou het groeifactorsysteem HGF/c-Met versterken (HGF = hepatocytengroeifactor, c-Met = de receptor ervan) en zo de vorming van nieuwe zenuwverbindingen (synapsen) stimuleren.</w:t>
      </w:r>
    </w:p>
    <w:p>
      <w:pPr>
        <w:numPr>
          <w:ilvl w:val="0"/>
          <w:numId w:val="1208"/>
        </w:numPr>
        <w:pStyle w:val="Compact"/>
      </w:pPr>
      <w:r>
        <w:rPr>
          <w:bCs/>
          <w:b/>
        </w:rPr>
        <w:t xml:space="preserve">Registratie EU:</w:t>
      </w:r>
      <w:r>
        <w:t xml:space="preserve"> </w:t>
      </w:r>
      <w:r>
        <w:t xml:space="preserve">nee.</w:t>
      </w:r>
    </w:p>
    <w:p>
      <w:pPr>
        <w:numPr>
          <w:ilvl w:val="0"/>
          <w:numId w:val="1208"/>
        </w:numPr>
        <w:pStyle w:val="Compact"/>
      </w:pPr>
      <w:r>
        <w:rPr>
          <w:bCs/>
          <w:b/>
        </w:rPr>
        <w:t xml:space="preserve">Registratie VS:</w:t>
      </w:r>
      <w:r>
        <w:t xml:space="preserve"> </w:t>
      </w:r>
      <w:r>
        <w:t xml:space="preserve">nee. Dihexa stond vanaf 2023 in de FDA-„categorie 2” voor grondstoffen voor bereidingen met veiligheidsbezwaren; in april 2026 werd het daarvan geschrapt, een beoordeling door het adviescomité PCAC is aangekondigd voor een vergadering tot februari 2027 (stand oktober 2026, actuele situatie controleren).</w:t>
      </w:r>
    </w:p>
    <w:p>
      <w:pPr>
        <w:numPr>
          <w:ilvl w:val="0"/>
          <w:numId w:val="1208"/>
        </w:numPr>
        <w:pStyle w:val="Compact"/>
      </w:pPr>
      <w:r>
        <w:rPr>
          <w:bCs/>
          <w:b/>
        </w:rPr>
        <w:t xml:space="preserve">WADA:</w:t>
      </w:r>
      <w:r>
        <w:t xml:space="preserve"> </w:t>
      </w:r>
      <w:r>
        <w:t xml:space="preserve">niet bij naam vermeld; als nergens toegelaten stof valt dihexa naar onze inschatting onder de verzamelcategorie S0 „niet-toegelaten stoffen”.</w:t>
      </w:r>
    </w:p>
    <w:p>
      <w:pPr>
        <w:numPr>
          <w:ilvl w:val="0"/>
          <w:numId w:val="1208"/>
        </w:numPr>
        <w:pStyle w:val="Compact"/>
      </w:pPr>
      <w:r>
        <w:rPr>
          <w:bCs/>
          <w:b/>
        </w:rPr>
        <w:t xml:space="preserve">Bewijsniveau:</w:t>
      </w:r>
      <w:r>
        <w:t xml:space="preserve"> </w:t>
      </w:r>
      <w:r>
        <w:rPr>
          <w:bCs/>
          <w:b/>
        </w:rPr>
        <w:t xml:space="preserve">D</w:t>
      </w:r>
      <w:r>
        <w:t xml:space="preserve"> </w:t>
      </w:r>
      <w:r>
        <w:t xml:space="preserve">– niet één gepubliceerde studie bij mensen.</w:t>
      </w:r>
    </w:p>
    <w:bookmarkEnd w:id="1713"/>
    <w:bookmarkStart w:id="1716" w:name="hoe-het-zou-moeten-werken-37"/>
    <w:p>
      <w:pPr>
        <w:pStyle w:val="Heading3"/>
      </w:pPr>
      <w:r>
        <w:t xml:space="preserve">Hoe het zou moeten werken</w:t>
      </w:r>
    </w:p>
    <w:p>
      <w:pPr>
        <w:pStyle w:val="FirstParagraph"/>
      </w:pPr>
      <w:r>
        <w:t xml:space="preserve">Angiotensine IV is een kort peptide dat in het lichaam ontstaat uit het bloeddrukhormoon angiotensine II. Sinds de jaren negentig zagen onderzoekers dat angiotensine IV en verwante moleculen bij ratten leren en geheugen verbeteren als men ze rechtstreeks in de hersenen spuit. Voor een geneesmiddel was dat onbruikbaar: de peptiden werden snel afgebroken en kwamen noch vanuit de darm in het bloed noch over de bloed-hersenbarrière.</w:t>
      </w:r>
    </w:p>
    <w:p>
      <w:pPr>
        <w:pStyle w:val="BodyText"/>
      </w:pPr>
      <w:r>
        <w:t xml:space="preserve">De onderzoeksgroep rond Joseph Harding en John Wright in Washington verkortte het molecuul daarom tot zijn werkzame kern en voorzag het van chemische beschermgroepen. Het resultaat was dihexa: stabiel tegen afbraak, bij ratten via de mond werkzaam en in staat de hersenen te bereiken. Bij ratten met een door geneesmiddelen opgewekte geheugenstoornis en bij oude ratten verbeterde het de prestaties in het waterdoolhof en bevorderde het de synapsvorming in de hippocampus</w:t>
      </w:r>
      <w:r>
        <w:rPr>
          <w:rStyle w:val="FootnoteReference"/>
        </w:rPr>
        <w:footnoteReference w:id="1714"/>
      </w:r>
      <w:r>
        <w:t xml:space="preserve">.</w:t>
      </w:r>
    </w:p>
    <w:p>
      <w:pPr>
        <w:pStyle w:val="BodyText"/>
      </w:pPr>
      <w:r>
        <w:t xml:space="preserve">Later vond dezelfde groep het vermoedelijke werkingsmechanisme: dihexa bindt aan de groeifactor HGF en versterkt diens signaal op de receptor c-Met. Werd het HGF-systeem in de hersenen van ratten geblokkeerd, dan verdween het geheugenbevorderende effect</w:t>
      </w:r>
      <w:r>
        <w:rPr>
          <w:rStyle w:val="FootnoteReference"/>
        </w:rPr>
        <w:footnoteReference w:id="1715"/>
      </w:r>
      <w:r>
        <w:t xml:space="preserve">. Dit artikel werd in 2025 door het vaktijdschrift teruggetrokken (intrekkingsnotitie: PMID 40312093), evenals een ander fundamenteel artikel van dezelfde groep over angiotensine-IV-afgeleiden als HGF/c-Met-modulatoren (intrekkingsnotitie: PMID 40312092). Het beschreven werkingsmechanisme is daarmee niet meer betrouwbaar onderbouwd; de redenen voor de intrekking vermelden de PubMed-vermeldingen niet.</w:t>
      </w:r>
    </w:p>
    <w:p>
      <w:pPr>
        <w:pStyle w:val="BodyText"/>
      </w:pPr>
      <w:r>
        <w:t xml:space="preserve">Op internet wordt dihexa vaak beschreven als een stof die vele malen sterker zou werken dan de zenuwgroeifactor BDNF. Zulke vergelijkingen komen uit celkweekexperimenten en zeggen niets over de vraag of en hoe dihexa bij mensen werkt.</w:t>
      </w:r>
    </w:p>
    <w:bookmarkEnd w:id="1716"/>
    <w:bookmarkStart w:id="1721" w:name="studies-bij-mensen-3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dihexa op; in totaal vermeldt PubMed slechts 18 publicaties met de zoekterm, waaronder meerdere zonder verband met de werkzame stof. Op ClinicalTrials.gov is geen studie geregistreerd. Ook een gerichte aanvullende zoekopdracht naar casusbeschrijvingen, vergiftigingen of analyses van grijze-marktproducten bleef zonder resultaat.</w:t>
      </w:r>
    </w:p>
    <w:p>
      <w:pPr>
        <w:pStyle w:val="BodyText"/>
      </w:pPr>
      <w:r>
        <w:t xml:space="preserve">Er zijn dus geen gegevens over werkzaamheid, verdraagbaarheid, werkingsduur of geschikte hoeveelheden bij mensen. Alles wat over een werking bij mensen wordt gemeld, komt uit ervaringsverhalen op fora.</w:t>
      </w:r>
    </w:p>
    <w:bookmarkStart w:id="1720" w:name="Xdee4229e04152ca6f2f2352a2d672ebb6ebc725"/>
    <w:p>
      <w:pPr>
        <w:pStyle w:val="Heading4"/>
      </w:pPr>
      <w:r>
        <w:t xml:space="preserve">Een verwant middel in de kliniek: fosgonimeton</w:t>
      </w:r>
    </w:p>
    <w:p>
      <w:pPr>
        <w:pStyle w:val="FirstParagraph"/>
      </w:pPr>
      <w:r>
        <w:t xml:space="preserve">Leerzaam is het lot van een andere werkzame stof die uit dezelfde onderzoeksbenadering – de versterking van het HGF/c-Met-systeem – voortkwam. Het bedrijf Athira Pharma ontwikkelde fosgonimeton (ATH-1017), een chemisch ander molecuul dat eveneens HGF/c-Met positief zou beïnvloeden. Fosgonimeton werd – anders dan dihexa – in reguliere klinische studies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(Hua 2022), PMID 35180125</w:t>
            </w:r>
          </w:p>
        </w:tc>
        <w:tc>
          <w:tcPr/>
          <w:p>
            <w:pPr>
              <w:pStyle w:val="Compact"/>
              <w:jc w:val="left"/>
            </w:pPr>
            <w:r>
              <w:t xml:space="preserve">88 personen (gezonden en 11 mensen met alzheimer), dubbelblind tegen placebo</w:t>
            </w:r>
          </w:p>
        </w:tc>
        <w:tc>
          <w:tcPr/>
          <w:p>
            <w:pPr>
              <w:pStyle w:val="Compact"/>
              <w:jc w:val="left"/>
            </w:pPr>
            <w:r>
              <w:t xml:space="preserve">tot 9 dagen</w:t>
            </w:r>
          </w:p>
        </w:tc>
        <w:tc>
          <w:tcPr/>
          <w:p>
            <w:pPr>
              <w:pStyle w:val="Compact"/>
              <w:jc w:val="left"/>
            </w:pPr>
            <w:r>
              <w:t xml:space="preserve">goed verdragen; veranderingen op het eeg als aanwijzing dat het de hersenen bereikt</w:t>
            </w:r>
          </w:p>
        </w:tc>
      </w:tr>
      <w:tr>
        <w:tc>
          <w:tcPr/>
          <w:p>
            <w:pPr>
              <w:pStyle w:val="Compact"/>
              <w:jc w:val="left"/>
            </w:pPr>
            <w:r>
              <w:t xml:space="preserve">LIFT-AD (Porsteinsson 2025), PMID 41393340</w:t>
            </w:r>
          </w:p>
        </w:tc>
        <w:tc>
          <w:tcPr/>
          <w:p>
            <w:pPr>
              <w:pStyle w:val="Compact"/>
              <w:jc w:val="left"/>
            </w:pPr>
            <w:r>
              <w:t xml:space="preserve">287 personen met lichte tot matige ziekte van Alzheimer in de hoofdanalyse, fase 2/3 tegen placebo</w:t>
            </w:r>
          </w:p>
        </w:tc>
        <w:tc>
          <w:tcPr/>
          <w:p>
            <w:pPr>
              <w:pStyle w:val="Compact"/>
              <w:jc w:val="left"/>
            </w:pPr>
            <w:r>
              <w:t xml:space="preserve">26 weken</w:t>
            </w:r>
          </w:p>
        </w:tc>
        <w:tc>
          <w:tcPr/>
          <w:p>
            <w:pPr>
              <w:pStyle w:val="Compact"/>
              <w:jc w:val="left"/>
            </w:pPr>
            <w:r>
              <w:t xml:space="preserve">primaire en secundaire eindpunten niet gehaald; meer stopzettingen wegens bijwerkingen (14,2% vs. 4,6%)</w:t>
            </w:r>
          </w:p>
        </w:tc>
      </w:tr>
    </w:tbl>
    <w:p>
      <w:pPr>
        <w:pStyle w:val="BodyText"/>
      </w:pPr>
      <w:r>
        <w:t xml:space="preserve">In LIFT-AD</w:t>
      </w:r>
      <w:r>
        <w:rPr>
          <w:rStyle w:val="FootnoteReference"/>
        </w:rPr>
        <w:footnoteReference w:id="1717"/>
      </w:r>
      <w:r>
        <w:t xml:space="preserve"> </w:t>
      </w:r>
      <w:r>
        <w:t xml:space="preserve">verschilde fosgonimeton noch op het gecombineerde primaire eindpunt noch op geheugen- of dagelijks-functionerenschalen significant van placebo. Ernstige ongewenste voorvallen waren in evenwicht (4,2% tegenover 6,9%), stopzettingen wegens bijwerkingen – vooral reacties op de injectieplaats – kwamen onder fosgonimeton vaker voor</w:t>
      </w:r>
      <w:r>
        <w:rPr>
          <w:rStyle w:val="FootnoteReference"/>
        </w:rPr>
        <w:footnoteReference w:id="1718"/>
      </w:r>
      <w:r>
        <w:t xml:space="preserve">. Een studie bij parkinsondementie en lewy-body-dementie werd voortijdig beëindigd</w:t>
      </w:r>
      <w:r>
        <w:rPr>
          <w:rStyle w:val="FootnoteReference"/>
        </w:rPr>
        <w:footnoteReference w:id="1719"/>
      </w:r>
      <w:r>
        <w:t xml:space="preserve">.</w:t>
      </w:r>
    </w:p>
    <w:p>
      <w:pPr>
        <w:pStyle w:val="BodyText"/>
      </w:pPr>
      <w:r>
        <w:t xml:space="preserve">Dat bewijst niet dat dihexa onwerkzaam zou zijn – het is een andere stof. Het laat wel zien hoe weinig geheugenverbeteringen bij ratten zich laten vertalen naar mensen met dementie.</w:t>
      </w:r>
    </w:p>
    <w:bookmarkEnd w:id="1720"/>
    <w:bookmarkEnd w:id="1721"/>
    <w:bookmarkStart w:id="1728" w:name="dier--en-laboratoriumstudies-37"/>
    <w:p>
      <w:pPr>
        <w:pStyle w:val="Heading3"/>
      </w:pPr>
      <w:r>
        <w:t xml:space="preserve">Dier- en laboratoriumstudies</w:t>
      </w:r>
    </w:p>
    <w:p>
      <w:pPr>
        <w:numPr>
          <w:ilvl w:val="0"/>
          <w:numId w:val="1209"/>
        </w:numPr>
        <w:pStyle w:val="Compact"/>
      </w:pPr>
      <w:r>
        <w:t xml:space="preserve">Bij ratten met een geheugenstoornis door scopolamine en bij oude ratten verbeterde dihexa het ruimtelijk leren en bevorderde het de synapsvorming</w:t>
      </w:r>
      <w:r>
        <w:rPr>
          <w:rStyle w:val="FootnoteReference"/>
        </w:rPr>
        <w:footnoteReference w:id="1722"/>
      </w:r>
      <w:r>
        <w:t xml:space="preserve">.</w:t>
      </w:r>
    </w:p>
    <w:p>
      <w:pPr>
        <w:numPr>
          <w:ilvl w:val="0"/>
          <w:numId w:val="1209"/>
        </w:numPr>
        <w:pStyle w:val="Compact"/>
      </w:pPr>
      <w:r>
        <w:t xml:space="preserve">Bij alzheimermodelmuizen (APP/PS1) verbeterde dihexa het leren in het waterdoolhof en verminderde het ontstekingskenmerken in de hersenen</w:t>
      </w:r>
      <w:r>
        <w:rPr>
          <w:rStyle w:val="FootnoteReference"/>
        </w:rPr>
        <w:footnoteReference w:id="1723"/>
      </w:r>
      <w:r>
        <w:t xml:space="preserve">.</w:t>
      </w:r>
    </w:p>
    <w:p>
      <w:pPr>
        <w:numPr>
          <w:ilvl w:val="0"/>
          <w:numId w:val="1209"/>
        </w:numPr>
        <w:pStyle w:val="Compact"/>
      </w:pPr>
      <w:r>
        <w:t xml:space="preserve">In een rattenmodel van de ziekte van Huntington beschermde dihexa</w:t>
      </w:r>
      <w:r>
        <w:t xml:space="preserve"> </w:t>
      </w:r>
      <w:r>
        <w:rPr>
          <w:bCs/>
          <w:b/>
        </w:rPr>
        <w:t xml:space="preserve">niet</w:t>
      </w:r>
      <w:r>
        <w:t xml:space="preserve"> </w:t>
      </w:r>
      <w:r>
        <w:t xml:space="preserve">tegen de uitvalsverschijnselen</w:t>
      </w:r>
      <w:r>
        <w:rPr>
          <w:rStyle w:val="FootnoteReference"/>
        </w:rPr>
        <w:footnoteReference w:id="1724"/>
      </w:r>
      <w:r>
        <w:t xml:space="preserve">.</w:t>
      </w:r>
    </w:p>
    <w:p>
      <w:pPr>
        <w:numPr>
          <w:ilvl w:val="0"/>
          <w:numId w:val="1209"/>
        </w:numPr>
        <w:pStyle w:val="Compact"/>
      </w:pPr>
      <w:r>
        <w:t xml:space="preserve">Bij zebravislarven beschermde dihexa zintuiglijke haarcellen tegen schade door bepaalde antibiotica</w:t>
      </w:r>
      <w:r>
        <w:rPr>
          <w:rStyle w:val="FootnoteReference"/>
        </w:rPr>
        <w:footnoteReference w:id="1725"/>
      </w:r>
      <w:r>
        <w:t xml:space="preserve">.</w:t>
      </w:r>
    </w:p>
    <w:p>
      <w:pPr>
        <w:numPr>
          <w:ilvl w:val="0"/>
          <w:numId w:val="1209"/>
        </w:numPr>
        <w:pStyle w:val="Compact"/>
      </w:pPr>
      <w:r>
        <w:t xml:space="preserve">In het stamcelonderzoek wordt dihexa gebruikt als goedkope vervanging van groeifactoren bij de productie van levercelachtige cellen</w:t>
      </w:r>
      <w:r>
        <w:rPr>
          <w:rStyle w:val="FootnoteReference"/>
        </w:rPr>
        <w:footnoteReference w:id="1726"/>
      </w:r>
      <w:r>
        <w:t xml:space="preserve"> </w:t>
      </w:r>
      <w:r>
        <w:t xml:space="preserve">– een aanwijzing voor hoe breed het HGF-systeem in het lichaam werkt.</w:t>
      </w:r>
    </w:p>
    <w:p>
      <w:pPr>
        <w:pStyle w:val="FirstParagraph"/>
      </w:pPr>
      <w:r>
        <w:t xml:space="preserve">Een systematische review van angiotensine-IV-afgeleiden vond in acht van negen dierstudies naar geheugenstoornissen gunstige effecten, maar benadrukt dat de stoffen het best werkten wanneer ze rechtstreeks in de hersenen werden toegediend</w:t>
      </w:r>
      <w:r>
        <w:rPr>
          <w:rStyle w:val="FootnoteReference"/>
        </w:rPr>
        <w:footnoteReference w:id="1727"/>
      </w:r>
      <w:r>
        <w:t xml:space="preserve">.</w:t>
      </w:r>
    </w:p>
    <w:bookmarkEnd w:id="1728"/>
    <w:bookmarkStart w:id="1730" w:name="risicos-en-bijwerkingen-37"/>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bij mensen – noch uit studies noch uit casusbeschrijvingen.</w:t>
      </w:r>
    </w:p>
    <w:p>
      <w:pPr>
        <w:pStyle w:val="BodyText"/>
      </w:pPr>
      <w:r>
        <w:rPr>
          <w:bCs/>
          <w:b/>
        </w:rPr>
        <w:t xml:space="preserve">Theoretisch – en serieus te nemen:</w:t>
      </w:r>
      <w:r>
        <w:t xml:space="preserve"> </w:t>
      </w:r>
      <w:r>
        <w:t xml:space="preserve">het HGF/c-Met-systeem is niet alleen belangrijk voor zenuwcellen. De activering van c-Met stimuleert celdeling, celmigratie en weefselombouw</w:t>
      </w:r>
      <w:r>
        <w:rPr>
          <w:rStyle w:val="FootnoteReference"/>
        </w:rPr>
        <w:footnoteReference w:id="1729"/>
      </w:r>
      <w:r>
        <w:t xml:space="preserve">. In het kankeronderzoek is c-Met bekend als aanjager van de groei en uitzaaiing van verschillende tumoren; meerdere toegelaten kankermiddelen blokkeren juist deze receptor. Een stof die dit signaal langdurig versterkt, zou theoretisch de groei van onopgemerkte tumoren kunnen bevorderen. Of dat bij dihexa het geval is, is nooit onderzocht – er zijn geen langetermijntoxiciteitsstudies in openbaar toegankelijke vorm. (Meer over groeisignalen en kankerrisico in Deel IV.)</w:t>
      </w:r>
    </w:p>
    <w:p>
      <w:pPr>
        <w:pStyle w:val="BodyText"/>
      </w:pPr>
      <w:r>
        <w:rPr>
          <w:bCs/>
          <w:b/>
        </w:rPr>
        <w:t xml:space="preserve">Grijze markt:</w:t>
      </w:r>
      <w:r>
        <w:t xml:space="preserve"> </w:t>
      </w:r>
      <w:r>
        <w:t xml:space="preserve">dihexa wordt online verkocht als poeder, capsules of oplossing, deels om in te nemen, deels om op de huid aan te brengen. Gehalte en zuiverheid zijn ongecontroleerd.</w:t>
      </w:r>
    </w:p>
    <w:bookmarkEnd w:id="1730"/>
    <w:bookmarkStart w:id="1731" w:name="juridische-status-37"/>
    <w:p>
      <w:pPr>
        <w:pStyle w:val="Heading3"/>
      </w:pPr>
      <w:r>
        <w:t xml:space="preserve">Juridische status</w:t>
      </w:r>
    </w:p>
    <w:p>
      <w:pPr>
        <w:numPr>
          <w:ilvl w:val="0"/>
          <w:numId w:val="1210"/>
        </w:numPr>
        <w:pStyle w:val="Compact"/>
      </w:pPr>
      <w:r>
        <w:rPr>
          <w:bCs/>
          <w:b/>
        </w:rPr>
        <w:t xml:space="preserve">EU / Oostenrijk / Duitsland:</w:t>
      </w:r>
      <w:r>
        <w:t xml:space="preserve"> </w:t>
      </w:r>
      <w:r>
        <w:t xml:space="preserve">niet toegelaten. Als stof met farmacologische werking geldt dihexa als geneesmiddel; verkoop voor gebruik bij mensen is niet toegestaan. De aanduiding „alleen voor onderzoeksdoeleinden” verandert daar niets aan.</w:t>
      </w:r>
    </w:p>
    <w:p>
      <w:pPr>
        <w:numPr>
          <w:ilvl w:val="0"/>
          <w:numId w:val="1210"/>
        </w:numPr>
        <w:pStyle w:val="Compact"/>
      </w:pPr>
      <w:r>
        <w:rPr>
          <w:bCs/>
          <w:b/>
        </w:rPr>
        <w:t xml:space="preserve">VS:</w:t>
      </w:r>
      <w:r>
        <w:t xml:space="preserve"> </w:t>
      </w:r>
      <w:r>
        <w:t xml:space="preserve">niet toegelaten. Sinds april 2026 niet meer in de FDA-„categorie 2”; over een mogelijke opname in de lijst van toegestane grondstoffen voor bereidingen heeft het adviescomité PCAC tot oktober 2026 nog niet beraadslaagd (stand oktober 2026, actuele situatie controleren).</w:t>
      </w:r>
    </w:p>
    <w:p>
      <w:pPr>
        <w:numPr>
          <w:ilvl w:val="0"/>
          <w:numId w:val="1210"/>
        </w:numPr>
        <w:pStyle w:val="Compact"/>
      </w:pPr>
      <w:r>
        <w:rPr>
          <w:bCs/>
          <w:b/>
        </w:rPr>
        <w:t xml:space="preserve">Sport:</w:t>
      </w:r>
      <w:r>
        <w:t xml:space="preserve"> </w:t>
      </w:r>
      <w:r>
        <w:t xml:space="preserve">valt als niet-toegelaten stof naar onze inschatting onder WADA-categorie S0 (stand 2026, actuele situatie controleren).</w:t>
      </w:r>
    </w:p>
    <w:bookmarkEnd w:id="1731"/>
    <w:bookmarkStart w:id="1732" w:name="lopende-studies-en-vooruitzichten-37"/>
    <w:p>
      <w:pPr>
        <w:pStyle w:val="Heading3"/>
      </w:pPr>
      <w:r>
        <w:t xml:space="preserve">Lopende studies en vooruitzichten</w:t>
      </w:r>
    </w:p>
    <w:p>
      <w:pPr>
        <w:pStyle w:val="FirstParagraph"/>
      </w:pPr>
      <w:r>
        <w:rPr>
          <w:bCs/>
          <w:b/>
        </w:rPr>
        <w:t xml:space="preserve">Vast staat:</w:t>
      </w:r>
      <w:r>
        <w:t xml:space="preserve"> </w:t>
      </w:r>
      <w:r>
        <w:t xml:space="preserve">voor dihexa is geen klinische studie geregistreerd (zoekopdracht oktober 2026). De verwante benadering fosgonimeton is in de alzheimerstudie LIFT-AD mislukt.</w:t>
      </w:r>
    </w:p>
    <w:p>
      <w:pPr>
        <w:pStyle w:val="BodyText"/>
      </w:pPr>
      <w:r>
        <w:rPr>
          <w:bCs/>
          <w:b/>
        </w:rPr>
        <w:t xml:space="preserve">Inschatting:</w:t>
      </w:r>
      <w:r>
        <w:t xml:space="preserve"> </w:t>
      </w:r>
      <w:r>
        <w:t xml:space="preserve">zonder toxiciteitsgegevens en een eerste studie bij mensen blijft dihexa een laboratoriumstof. Of de aangekondigde PCAC-beraadslaging in de VS daar iets aan verandert, is onzeker – die zou hoogstens apotheekbereidingen betreffen, niet het ontbrekende bewijs van werkzaamheid.</w:t>
      </w:r>
    </w:p>
    <w:bookmarkEnd w:id="1732"/>
    <w:bookmarkStart w:id="1733" w:name="conclusie-37"/>
    <w:p>
      <w:pPr>
        <w:pStyle w:val="Heading3"/>
      </w:pPr>
      <w:r>
        <w:t xml:space="preserve">Conclusie</w:t>
      </w:r>
    </w:p>
    <w:p>
      <w:pPr>
        <w:pStyle w:val="FirstParagraph"/>
      </w:pPr>
      <w:r>
        <w:t xml:space="preserve">Dihexa is een chemisch gestabiliseerde afgeleide van angiotensine IV die bij ratten en muizen leren en synapsvorming bevorderde, via het groeifactorsysteem HGF/c-Met. Bij mensen is het nooit onderzocht; een verwante werkzame stof (fosgonimeton) haalde in een alzheimerstudie met 287 personen geen enkel eindpunt. Omdat c-Met ook tumorgroei aandrijft, is er een plausibele, maar niet onderzochte zorg over kanker. De gegevens volstaan niet om enig nut of de veiligheid bij mensen te beoordelen.</w:t>
      </w:r>
    </w:p>
    <w:bookmarkEnd w:id="1733"/>
    <w:bookmarkEnd w:id="1734"/>
    <w:bookmarkStart w:id="1766" w:name="dsip-delta-slaapinducerend-peptide"/>
    <w:p>
      <w:pPr>
        <w:pStyle w:val="Heading2"/>
      </w:pPr>
      <w:r>
        <w:t xml:space="preserve">DSIP (delta-slaapinducerend peptide)</w:t>
      </w:r>
    </w:p>
    <w:bookmarkStart w:id="1735" w:name="profiel-38"/>
    <w:p>
      <w:pPr>
        <w:pStyle w:val="Heading3"/>
      </w:pPr>
      <w:r>
        <w:t xml:space="preserve">Profiel</w:t>
      </w:r>
    </w:p>
    <w:p>
      <w:pPr>
        <w:numPr>
          <w:ilvl w:val="0"/>
          <w:numId w:val="1211"/>
        </w:numPr>
        <w:pStyle w:val="Compact"/>
      </w:pPr>
      <w:r>
        <w:rPr>
          <w:bCs/>
          <w:b/>
        </w:rPr>
        <w:t xml:space="preserve">Soort en structuur:</w:t>
      </w:r>
      <w:r>
        <w:t xml:space="preserve"> </w:t>
      </w:r>
      <w:r>
        <w:t xml:space="preserve">nonapeptide van negen aminozuren (Trp-Ala-Gly-Gly-Asp-Ala-Ser-Gly-Glu); internationale generieke naam emideltide.</w:t>
      </w:r>
    </w:p>
    <w:p>
      <w:pPr>
        <w:numPr>
          <w:ilvl w:val="0"/>
          <w:numId w:val="1211"/>
        </w:numPr>
        <w:pStyle w:val="Compact"/>
      </w:pPr>
      <w:r>
        <w:rPr>
          <w:bCs/>
          <w:b/>
        </w:rPr>
        <w:t xml:space="preserve">Herkomst:</w:t>
      </w:r>
      <w:r>
        <w:t xml:space="preserve"> </w:t>
      </w:r>
      <w:r>
        <w:t xml:space="preserve">in 1977 door een onderzoeksgroep in Bazel geïsoleerd uit het hersenveneuze bloed van konijnen die door elektrische prikkeling in diepe slaap waren gebracht. Een gen, een voorlopereiwit of een receptor voor DSIP is tot op heden niet gevonden.</w:t>
      </w:r>
    </w:p>
    <w:p>
      <w:pPr>
        <w:numPr>
          <w:ilvl w:val="0"/>
          <w:numId w:val="1211"/>
        </w:numPr>
        <w:pStyle w:val="Compact"/>
      </w:pPr>
      <w:r>
        <w:rPr>
          <w:bCs/>
          <w:b/>
        </w:rPr>
        <w:t xml:space="preserve">Werkingsprincipe:</w:t>
      </w:r>
      <w:r>
        <w:t xml:space="preserve"> </w:t>
      </w:r>
      <w:r>
        <w:t xml:space="preserve">zou als lichaamseigen „slaapstof” de diepe slaap (deltaslaap met langzame eeg-golven) bevorderen; later werden invloeden op stresshormonen, pijn en ontwenningsverschijnselen vermoed.</w:t>
      </w:r>
    </w:p>
    <w:p>
      <w:pPr>
        <w:numPr>
          <w:ilvl w:val="0"/>
          <w:numId w:val="1211"/>
        </w:numPr>
        <w:pStyle w:val="Compact"/>
      </w:pPr>
      <w:r>
        <w:rPr>
          <w:bCs/>
          <w:b/>
        </w:rPr>
        <w:t xml:space="preserve">Registratie EU:</w:t>
      </w:r>
      <w:r>
        <w:t xml:space="preserve"> </w:t>
      </w:r>
      <w:r>
        <w:t xml:space="preserve">nee.</w:t>
      </w:r>
    </w:p>
    <w:p>
      <w:pPr>
        <w:numPr>
          <w:ilvl w:val="0"/>
          <w:numId w:val="1211"/>
        </w:numPr>
        <w:pStyle w:val="Compact"/>
      </w:pPr>
      <w:r>
        <w:rPr>
          <w:bCs/>
          <w:b/>
        </w:rPr>
        <w:t xml:space="preserve">Registratie VS:</w:t>
      </w:r>
      <w:r>
        <w:t xml:space="preserve"> </w:t>
      </w:r>
      <w:r>
        <w:t xml:space="preserve">nee. Emideltide werd in april 2026 van de FDA-„categorie 2” geschrapt; het adviescomité PCAC stemde in juli 2026 met 6 tegen 7 stemmen</w:t>
      </w:r>
      <w:r>
        <w:t xml:space="preserve"> </w:t>
      </w:r>
      <w:r>
        <w:rPr>
          <w:bCs/>
          <w:b/>
        </w:rPr>
        <w:t xml:space="preserve">tegen</w:t>
      </w:r>
      <w:r>
        <w:t xml:space="preserve"> </w:t>
      </w:r>
      <w:r>
        <w:t xml:space="preserve">opname in de lijst van toegestane grondstoffen voor bereidingen (stand oktober 2026, actuele situatie controleren).</w:t>
      </w:r>
    </w:p>
    <w:p>
      <w:pPr>
        <w:numPr>
          <w:ilvl w:val="0"/>
          <w:numId w:val="1211"/>
        </w:numPr>
        <w:pStyle w:val="Compact"/>
      </w:pPr>
      <w:r>
        <w:rPr>
          <w:bCs/>
          <w:b/>
        </w:rPr>
        <w:t xml:space="preserve">Rusland en buurlanden:</w:t>
      </w:r>
      <w:r>
        <w:t xml:space="preserve"> </w:t>
      </w:r>
      <w:r>
        <w:t xml:space="preserve">DSIP-preparaten (bijv. Deltaran, Deltalicin) werden daar in studies en in de praktijk gebruikt.</w:t>
      </w:r>
    </w:p>
    <w:p>
      <w:pPr>
        <w:numPr>
          <w:ilvl w:val="0"/>
          <w:numId w:val="1211"/>
        </w:numPr>
        <w:pStyle w:val="Compact"/>
      </w:pPr>
      <w:r>
        <w:rPr>
          <w:bCs/>
          <w:b/>
        </w:rPr>
        <w:t xml:space="preserve">WADA:</w:t>
      </w:r>
      <w:r>
        <w:t xml:space="preserve"> </w:t>
      </w:r>
      <w:r>
        <w:t xml:space="preserve">niet bij naam vermeld.</w:t>
      </w:r>
    </w:p>
    <w:p>
      <w:pPr>
        <w:numPr>
          <w:ilvl w:val="0"/>
          <w:numId w:val="1211"/>
        </w:numPr>
        <w:pStyle w:val="Compact"/>
      </w:pPr>
      <w:r>
        <w:rPr>
          <w:bCs/>
          <w:b/>
        </w:rPr>
        <w:t xml:space="preserve">Bewijsniveau:</w:t>
      </w:r>
      <w:r>
        <w:t xml:space="preserve"> </w:t>
      </w:r>
      <w:r>
        <w:rPr>
          <w:bCs/>
          <w:b/>
        </w:rPr>
        <w:t xml:space="preserve">C</w:t>
      </w:r>
      <w:r>
        <w:t xml:space="preserve"> </w:t>
      </w:r>
      <w:r>
        <w:t xml:space="preserve">– alleen zeer kleine, overwegend in de jaren tachtig uitgevoerde studies; de methodologisch beste daarvan vonden geen klinisch relevant nut.</w:t>
      </w:r>
    </w:p>
    <w:bookmarkEnd w:id="1735"/>
    <w:bookmarkStart w:id="1739" w:name="hoe-het-zou-moeten-werken-38"/>
    <w:p>
      <w:pPr>
        <w:pStyle w:val="Heading3"/>
      </w:pPr>
      <w:r>
        <w:t xml:space="preserve">Hoe het zou moeten werken</w:t>
      </w:r>
    </w:p>
    <w:p>
      <w:pPr>
        <w:pStyle w:val="FirstParagraph"/>
      </w:pPr>
      <w:r>
        <w:t xml:space="preserve">Het idee was eenvoudig en aantrekkelijk: als de hersenen tijdens de slaap een stof aan het bloed afgeven die bij andere dieren slaap opwekt, zou die een natuurlijk slaapmiddel kunnen zijn – zonder de nadelen van kalmeringsmiddelen. De onderzoekers in Bazel brachten bloed van slapende konijnen over op wakkere dieren en isoleerden daaruit het peptide dat zij voor het effect verantwoordelijk hielden</w:t>
      </w:r>
      <w:r>
        <w:rPr>
          <w:rStyle w:val="FootnoteReference"/>
        </w:rPr>
        <w:footnoteReference w:id="1736"/>
      </w:r>
      <w:r>
        <w:t xml:space="preserve">.</w:t>
      </w:r>
    </w:p>
    <w:p>
      <w:pPr>
        <w:pStyle w:val="BodyText"/>
      </w:pPr>
      <w:r>
        <w:t xml:space="preserve">De hoop is niet bevestigd. Een overzichtsartikel uit 2006 noemt DSIP een „nog altijd onopgelost raadsel”: het verband met de slaap zou „uiterst slecht gedocumenteerd” zijn, omdat noch het bijbehorende gen noch een receptor werd gevonden. In dierproeven bevorderden eerder bepaalde kunstmatige varianten de diepe slaap dan DSIP zelf. De auteurs vermoeden dat een tot nu toe onbekend, DSIP-achtig peptide verantwoordelijk zou kunnen zijn voor de waargenomen effecten</w:t>
      </w:r>
      <w:r>
        <w:rPr>
          <w:rStyle w:val="FootnoteReference"/>
        </w:rPr>
        <w:footnoteReference w:id="1737"/>
      </w:r>
      <w:r>
        <w:t xml:space="preserve">.</w:t>
      </w:r>
    </w:p>
    <w:p>
      <w:pPr>
        <w:pStyle w:val="BodyText"/>
      </w:pPr>
      <w:r>
        <w:t xml:space="preserve">Andere vermoede effecten – op stresshormonen, pijnbeleving, het opioïdsysteem en antioxidatieve enzymen – komen overwegend uit dierproeven. Bij schapen passeerde gelabeld DSIP de barrière tussen bloed en hersenvocht in geringe tot matige mate</w:t>
      </w:r>
      <w:r>
        <w:rPr>
          <w:rStyle w:val="FootnoteReference"/>
        </w:rPr>
        <w:footnoteReference w:id="1738"/>
      </w:r>
      <w:r>
        <w:t xml:space="preserve">.</w:t>
      </w:r>
    </w:p>
    <w:bookmarkEnd w:id="1739"/>
    <w:bookmarkStart w:id="1756" w:name="studies-bij-mensen-3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18 als studie bij mensen geclassificeerde publicaties op; een daarvan betreft bij nadere controle een ander onderwerp (wervelkolomchirurgie). Bijna alle dateren uit 1981 tot 1998 en hadden telkens tussen 1 en 16 deelnemers in placebogecontroleerde delen. Op ClinicalTrials.gov leverde de zoekopdracht één treffer op die geen betrekking heeft op DSIP; een geregistreerde DSIP-studie bestaat niet.</w:t>
      </w:r>
    </w:p>
    <w:bookmarkStart w:id="1744" w:name="slaapstoornissen"/>
    <w:p>
      <w:pPr>
        <w:pStyle w:val="Heading4"/>
      </w:pPr>
      <w:r>
        <w:t xml:space="preserve">Slaapstoornissen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Schneider-Helmert 1981, PMID 6895513</w:t>
            </w:r>
          </w:p>
        </w:tc>
        <w:tc>
          <w:tcPr/>
          <w:p>
            <w:pPr>
              <w:pStyle w:val="Compact"/>
              <w:jc w:val="left"/>
            </w:pPr>
            <w:r>
              <w:t xml:space="preserve">6 gezonden, dubbelblind, cross-over tegen placebo</w:t>
            </w:r>
          </w:p>
        </w:tc>
        <w:tc>
          <w:tcPr/>
          <w:p>
            <w:pPr>
              <w:pStyle w:val="Compact"/>
              <w:jc w:val="left"/>
            </w:pPr>
            <w:r>
              <w:t xml:space="preserve">eenmalig infuus</w:t>
            </w:r>
          </w:p>
        </w:tc>
        <w:tc>
          <w:tcPr/>
          <w:p>
            <w:pPr>
              <w:pStyle w:val="Compact"/>
              <w:jc w:val="left"/>
            </w:pPr>
            <w:r>
              <w:t xml:space="preserve">slaaptijd in 130 minuten 59% langer; geen klassieke sedatie</w:t>
            </w:r>
          </w:p>
        </w:tc>
      </w:tr>
      <w:tr>
        <w:tc>
          <w:tcPr/>
          <w:p>
            <w:pPr>
              <w:pStyle w:val="Compact"/>
              <w:jc w:val="left"/>
            </w:pPr>
            <w:r>
              <w:t xml:space="preserve">Schneider-Helmert 1981, PMID 7028502</w:t>
            </w:r>
          </w:p>
        </w:tc>
        <w:tc>
          <w:tcPr/>
          <w:p>
            <w:pPr>
              <w:pStyle w:val="Compact"/>
              <w:jc w:val="left"/>
            </w:pPr>
            <w:r>
              <w:t xml:space="preserve">6 personen met chronische slapeloosheid</w:t>
            </w:r>
          </w:p>
        </w:tc>
        <w:tc>
          <w:tcPr/>
          <w:p>
            <w:pPr>
              <w:pStyle w:val="Compact"/>
              <w:jc w:val="left"/>
            </w:pPr>
            <w:r>
              <w:t xml:space="preserve">eenmalige toediening</w:t>
            </w:r>
          </w:p>
        </w:tc>
        <w:tc>
          <w:tcPr/>
          <w:p>
            <w:pPr>
              <w:pStyle w:val="Compact"/>
              <w:jc w:val="left"/>
            </w:pPr>
            <w:r>
              <w:t xml:space="preserve">langere, minder onderbroken slaap</w:t>
            </w:r>
          </w:p>
        </w:tc>
      </w:tr>
      <w:tr>
        <w:tc>
          <w:tcPr/>
          <w:p>
            <w:pPr>
              <w:pStyle w:val="Compact"/>
              <w:jc w:val="left"/>
            </w:pPr>
            <w:r>
              <w:t xml:space="preserve">Schneider-Helmert 1987, PMID 3622582</w:t>
            </w:r>
          </w:p>
        </w:tc>
        <w:tc>
          <w:tcPr/>
          <w:p>
            <w:pPr>
              <w:pStyle w:val="Compact"/>
              <w:jc w:val="left"/>
            </w:pPr>
            <w:r>
              <w:t xml:space="preserve">14 personen met ernstige chronische slapeloosheid, dubbelblind tegen placebo</w:t>
            </w:r>
          </w:p>
        </w:tc>
        <w:tc>
          <w:tcPr/>
          <w:p>
            <w:pPr>
              <w:pStyle w:val="Compact"/>
              <w:jc w:val="left"/>
            </w:pPr>
            <w:r>
              <w:t xml:space="preserve">7 nachten</w:t>
            </w:r>
          </w:p>
        </w:tc>
        <w:tc>
          <w:tcPr/>
          <w:p>
            <w:pPr>
              <w:pStyle w:val="Compact"/>
              <w:jc w:val="left"/>
            </w:pPr>
            <w:r>
              <w:t xml:space="preserve">slaapefficiëntie en dagprestaties volgens de auteurs op het niveau van gezonden</w:t>
            </w:r>
          </w:p>
        </w:tc>
      </w:tr>
      <w:tr>
        <w:tc>
          <w:tcPr/>
          <w:p>
            <w:pPr>
              <w:pStyle w:val="Compact"/>
              <w:jc w:val="left"/>
            </w:pPr>
            <w:r>
              <w:t xml:space="preserve">Monti 1987, PMID 3583493</w:t>
            </w:r>
          </w:p>
        </w:tc>
        <w:tc>
          <w:tcPr/>
          <w:p>
            <w:pPr>
              <w:pStyle w:val="Compact"/>
              <w:jc w:val="left"/>
            </w:pPr>
            <w:r>
              <w:t xml:space="preserve">personen met chronische slapeloosheid, dubbelblind, cross-over</w:t>
            </w:r>
          </w:p>
        </w:tc>
        <w:tc>
          <w:tcPr/>
          <w:p>
            <w:pPr>
              <w:pStyle w:val="Compact"/>
              <w:jc w:val="left"/>
            </w:pPr>
            <w:r>
              <w:t xml:space="preserve">4 nachten</w:t>
            </w:r>
          </w:p>
        </w:tc>
        <w:tc>
          <w:tcPr/>
          <w:p>
            <w:pPr>
              <w:pStyle w:val="Compact"/>
              <w:jc w:val="left"/>
            </w:pPr>
            <w:r>
              <w:t xml:space="preserve">verbeteringen „van geringe klinische betekenis”; verschillen bestonden al vóór de behandeling</w:t>
            </w:r>
          </w:p>
        </w:tc>
      </w:tr>
      <w:tr>
        <w:tc>
          <w:tcPr/>
          <w:p>
            <w:pPr>
              <w:pStyle w:val="Compact"/>
              <w:jc w:val="left"/>
            </w:pPr>
            <w:r>
              <w:t xml:space="preserve">Bes 1992, PMID 1299794</w:t>
            </w:r>
          </w:p>
        </w:tc>
        <w:tc>
          <w:tcPr/>
          <w:p>
            <w:pPr>
              <w:pStyle w:val="Compact"/>
              <w:jc w:val="left"/>
            </w:pPr>
            <w:r>
              <w:t xml:space="preserve">16 personen met chronische slapeloosheid, dubbelblind tegen placebo</w:t>
            </w:r>
          </w:p>
        </w:tc>
        <w:tc>
          <w:tcPr/>
          <w:p>
            <w:pPr>
              <w:pStyle w:val="Compact"/>
              <w:jc w:val="left"/>
            </w:pPr>
            <w:r>
              <w:t xml:space="preserve">3 nachten</w:t>
            </w:r>
          </w:p>
        </w:tc>
        <w:tc>
          <w:tcPr/>
          <w:p>
            <w:pPr>
              <w:pStyle w:val="Compact"/>
              <w:jc w:val="left"/>
            </w:pPr>
            <w:r>
              <w:t xml:space="preserve">zwakke effecten, deels door toevalsschommelingen te verklaren; „geen groter therapeutisch nut”</w:t>
            </w:r>
          </w:p>
        </w:tc>
      </w:tr>
    </w:tbl>
    <w:p>
      <w:pPr>
        <w:pStyle w:val="BodyText"/>
      </w:pPr>
      <w:r>
        <w:t xml:space="preserve">De eerste studies kwamen vrijwel allemaal van één enkele onderzoeksgroep in Bazel en waren zonder uitzondering positief. Bij zes gezonde vrijwilligers verlengde een infuus ’s ochtends de slaaptijd in de ruim twee uur daarna met 59%, zonder dat de deelnemers in klassieke zin gesedeerd leken</w:t>
      </w:r>
      <w:r>
        <w:rPr>
          <w:rStyle w:val="FootnoteReference"/>
        </w:rPr>
        <w:footnoteReference w:id="1740"/>
      </w:r>
      <w:r>
        <w:t xml:space="preserve">. Bij 14 personen met ernstige slapeloosheid bereikten slaapefficiëntie en dagprestaties na zeven nachten volgens de auteurs het niveau van gezonde controlepersonen</w:t>
      </w:r>
      <w:r>
        <w:rPr>
          <w:rStyle w:val="FootnoteReference"/>
        </w:rPr>
        <w:footnoteReference w:id="1741"/>
      </w:r>
      <w:r>
        <w:t xml:space="preserve">.</w:t>
      </w:r>
    </w:p>
    <w:p>
      <w:pPr>
        <w:pStyle w:val="BodyText"/>
      </w:pPr>
      <w:r>
        <w:t xml:space="preserve">Onafhankelijke groepen konden dat niet bevestigen. Een studie vond weliswaar meer totale en NREM-slaap, maar de significante verschillen met placebo (NREM-slaap en slaapstadium 2) bestonden al vóór de behandeling; de auteurs beoordeelden de verbetering als klinisch weinig betekenisvol</w:t>
      </w:r>
      <w:r>
        <w:rPr>
          <w:rStyle w:val="FootnoteReference"/>
        </w:rPr>
        <w:footnoteReference w:id="1742"/>
      </w:r>
      <w:r>
        <w:t xml:space="preserve">. Een andere studie met 16 personen vond statistisch significante, maar zwakke effecten op slaapefficiëntie en inslaaptijd, die deels te verklaren waren door een toevallige verandering in de placebogroep; de subjectieve slaapkwaliteit veranderde niet. Haar conclusie: een kortdurende behandeling met DSIP heeft waarschijnlijk geen groter therapeutisch nut</w:t>
      </w:r>
      <w:r>
        <w:rPr>
          <w:rStyle w:val="FootnoteReference"/>
        </w:rPr>
        <w:footnoteReference w:id="1743"/>
      </w:r>
      <w:r>
        <w:t xml:space="preserve">.</w:t>
      </w:r>
    </w:p>
    <w:p>
      <w:pPr>
        <w:pStyle w:val="BodyText"/>
      </w:pPr>
      <w:r>
        <w:t xml:space="preserve">Dit patroon – enthousiaste eerste meldingen, ontnuchterende herhalingen – is typisch voor stoffen waarvan de werking op zeer kleine studies berust.</w:t>
      </w:r>
    </w:p>
    <w:bookmarkEnd w:id="1744"/>
    <w:bookmarkStart w:id="1750" w:name="ontwenning-pijn-en-andere-toepassingen"/>
    <w:p>
      <w:pPr>
        <w:pStyle w:val="Heading4"/>
      </w:pPr>
      <w:r>
        <w:t xml:space="preserve">Ontwenning, pijn en andere toepassingen</w:t>
      </w:r>
    </w:p>
    <w:p>
      <w:pPr>
        <w:pStyle w:val="FirstParagraph"/>
      </w:pPr>
      <w:r>
        <w:t xml:space="preserve">In de jaren tachtig werd DSIP gebruikt bij 107 opgenomen personen in ontwenning van alcohol of opiaten; volgens medische inschatting verdwenen de ontwenningsverschijnselen bij 97% van de opiaatverslaafden resp. 87% van de alcoholverslaafden of verbeterden ze duidelijk. Er was geen controlegroep, en een deel van de personen kon niet worden geanalyseerd</w:t>
      </w:r>
      <w:r>
        <w:rPr>
          <w:rStyle w:val="FootnoteReference"/>
        </w:rPr>
        <w:footnoteReference w:id="1745"/>
      </w:r>
      <w:r>
        <w:t xml:space="preserve">. Een latere open studie naar opioïdontgifting werd alleen gepubliceerd als korte mededeling zonder samenvatting</w:t>
      </w:r>
      <w:r>
        <w:rPr>
          <w:rStyle w:val="FootnoteReference"/>
        </w:rPr>
        <w:footnoteReference w:id="1746"/>
      </w:r>
      <w:r>
        <w:t xml:space="preserve">. Andere afzonderlijke meldingen betreffen zeven personen met chronische pijn</w:t>
      </w:r>
      <w:r>
        <w:rPr>
          <w:rStyle w:val="FootnoteReference"/>
        </w:rPr>
        <w:footnoteReference w:id="1747"/>
      </w:r>
      <w:r>
        <w:t xml:space="preserve"> </w:t>
      </w:r>
      <w:r>
        <w:t xml:space="preserve">en een man met narcolepsie</w:t>
      </w:r>
      <w:r>
        <w:rPr>
          <w:rStyle w:val="FootnoteReference"/>
        </w:rPr>
        <w:footnoteReference w:id="1748"/>
      </w:r>
      <w:r>
        <w:t xml:space="preserve">. Een studie onderzocht een DSIP-preparaat voor toediening in de neus (Deltalicin) bij diabetische netvliesaandoening, waarbij de elektrische prikkelresponsen van het netvlies verbeterden</w:t>
      </w:r>
      <w:r>
        <w:rPr>
          <w:rStyle w:val="FootnoteReference"/>
        </w:rPr>
        <w:footnoteReference w:id="1749"/>
      </w:r>
      <w:r>
        <w:t xml:space="preserve">.</w:t>
      </w:r>
    </w:p>
    <w:bookmarkEnd w:id="1750"/>
    <w:bookmarkStart w:id="1755" w:name="hormonen-en-narcose"/>
    <w:p>
      <w:pPr>
        <w:pStyle w:val="Heading4"/>
      </w:pPr>
      <w:r>
        <w:t xml:space="preserve">Hormonen en narcose</w:t>
      </w:r>
    </w:p>
    <w:p>
      <w:pPr>
        <w:pStyle w:val="FirstParagraph"/>
      </w:pPr>
      <w:r>
        <w:t xml:space="preserve">Meerdere kleine studies bij gezonde mensen onderzochten of DSIP stresshormonen beïnvloedt. Een studie met elf mannen vond na een injectie minder ACTH in het bloed, maar onveranderde cortisolwaarden</w:t>
      </w:r>
      <w:r>
        <w:rPr>
          <w:rStyle w:val="FootnoteReference"/>
        </w:rPr>
        <w:footnoteReference w:id="1751"/>
      </w:r>
      <w:r>
        <w:t xml:space="preserve">; een andere met in totaal 20 mannen vond geen invloed op ACTH en cortisol</w:t>
      </w:r>
      <w:r>
        <w:rPr>
          <w:rStyle w:val="FootnoteReference"/>
        </w:rPr>
        <w:footnoteReference w:id="1752"/>
      </w:r>
      <w:r>
        <w:t xml:space="preserve">. Op groeihormoon en prolactine had DSIP bij vrouwen geen invloed</w:t>
      </w:r>
      <w:r>
        <w:rPr>
          <w:rStyle w:val="FootnoteReference"/>
        </w:rPr>
        <w:footnoteReference w:id="1753"/>
      </w:r>
      <w:r>
        <w:t xml:space="preserve">.</w:t>
      </w:r>
    </w:p>
    <w:p>
      <w:pPr>
        <w:pStyle w:val="BodyText"/>
      </w:pPr>
      <w:r>
        <w:t xml:space="preserve">Opmerkelijk is een studie bij 24 vrouwen tijdens een narcose: in plaats van de narcose te verdiepen, zoals bij een „natuurlijke slaapstof” te verwachten zou zijn, verhoogde DSIP de hartfrequentie en verminderde het paradoxaal genoeg het deltaritme op het eeg</w:t>
      </w:r>
      <w:r>
        <w:rPr>
          <w:rStyle w:val="FootnoteReference"/>
        </w:rPr>
        <w:footnoteReference w:id="1754"/>
      </w:r>
      <w:r>
        <w:t xml:space="preserve">.</w:t>
      </w:r>
    </w:p>
    <w:bookmarkEnd w:id="1755"/>
    <w:bookmarkEnd w:id="1756"/>
    <w:bookmarkStart w:id="1759" w:name="dier--en-laboratoriumstudies-38"/>
    <w:p>
      <w:pPr>
        <w:pStyle w:val="Heading3"/>
      </w:pPr>
      <w:r>
        <w:t xml:space="preserve">Dier- en laboratoriumstudies</w:t>
      </w:r>
    </w:p>
    <w:p>
      <w:pPr>
        <w:numPr>
          <w:ilvl w:val="0"/>
          <w:numId w:val="1212"/>
        </w:numPr>
        <w:pStyle w:val="Compact"/>
      </w:pPr>
      <w:r>
        <w:t xml:space="preserve">Bij konijnen en ratten werden in vroege studies slaapbevorderende effecten beschreven, die echter niet consequent konden worden herhaald</w:t>
      </w:r>
      <w:r>
        <w:rPr>
          <w:rStyle w:val="FootnoteReference"/>
        </w:rPr>
        <w:footnoteReference w:id="1757"/>
      </w:r>
      <w:r>
        <w:t xml:space="preserve">.</w:t>
      </w:r>
    </w:p>
    <w:p>
      <w:pPr>
        <w:numPr>
          <w:ilvl w:val="0"/>
          <w:numId w:val="1212"/>
        </w:numPr>
        <w:pStyle w:val="Compact"/>
      </w:pPr>
      <w:r>
        <w:t xml:space="preserve">Bij muizen leefden de oudste 10% van de dieren die levenslang een Russisch DSIP-preparaat kregen, 16% langer dan de controledieren; spontane tumoren traden later op</w:t>
      </w:r>
      <w:r>
        <w:rPr>
          <w:rStyle w:val="FootnoteReference"/>
        </w:rPr>
        <w:footnoteReference w:id="1758"/>
      </w:r>
      <w:r>
        <w:t xml:space="preserve">. Deze publicatie komt uit de kring van de Russische gerontologie die ook epitalon onderzoekt (zie aldaar).</w:t>
      </w:r>
    </w:p>
    <w:p>
      <w:pPr>
        <w:numPr>
          <w:ilvl w:val="0"/>
          <w:numId w:val="1212"/>
        </w:numPr>
        <w:pStyle w:val="Compact"/>
      </w:pPr>
      <w:r>
        <w:t xml:space="preserve">Andere dierstudies beschrijven effecten op stressbestendigheid, pijnbeleving en antioxidatieve enzymen.</w:t>
      </w:r>
    </w:p>
    <w:bookmarkEnd w:id="1759"/>
    <w:bookmarkStart w:id="1762" w:name="risicos-en-bijwerkingen-38"/>
    <w:p>
      <w:pPr>
        <w:pStyle w:val="Heading3"/>
      </w:pPr>
      <w:r>
        <w:t xml:space="preserve">Risico’s en bijwerkingen</w:t>
      </w:r>
    </w:p>
    <w:p>
      <w:pPr>
        <w:pStyle w:val="FirstParagraph"/>
      </w:pPr>
      <w:r>
        <w:rPr>
          <w:bCs/>
          <w:b/>
        </w:rPr>
        <w:t xml:space="preserve">Aangetoond:</w:t>
      </w:r>
      <w:r>
        <w:t xml:space="preserve"> </w:t>
      </w:r>
      <w:r>
        <w:t xml:space="preserve">in de kleine studies werd DSIP als goed verdraagbaar beschreven; sporadisch trad hoofdpijn op</w:t>
      </w:r>
      <w:r>
        <w:rPr>
          <w:rStyle w:val="FootnoteReference"/>
        </w:rPr>
        <w:footnoteReference w:id="1760"/>
      </w:r>
      <w:r>
        <w:t xml:space="preserve">. Onder narcose verhoogde het de hartfrequentie en verminderde het de hartslagvariabiliteit</w:t>
      </w:r>
      <w:r>
        <w:rPr>
          <w:rStyle w:val="FootnoteReference"/>
        </w:rPr>
        <w:footnoteReference w:id="1761"/>
      </w:r>
      <w:r>
        <w:t xml:space="preserve">. Systematische veiligheidsgegevens over meer dan enkele dagen zijn er niet.</w:t>
      </w:r>
    </w:p>
    <w:p>
      <w:pPr>
        <w:pStyle w:val="BodyText"/>
      </w:pPr>
      <w:r>
        <w:rPr>
          <w:bCs/>
          <w:b/>
        </w:rPr>
        <w:t xml:space="preserve">Theoretisch:</w:t>
      </w:r>
      <w:r>
        <w:t xml:space="preserve"> </w:t>
      </w:r>
      <w:r>
        <w:t xml:space="preserve">omdat noch de receptor noch de natuurlijke functie is opgehelderd, zijn werkingen en interacties – bijvoorbeeld met slaapmiddelen, alcohol of opioïden – nauwelijks te voorspellen.</w:t>
      </w:r>
    </w:p>
    <w:p>
      <w:pPr>
        <w:pStyle w:val="BodyText"/>
      </w:pPr>
      <w:r>
        <w:rPr>
          <w:bCs/>
          <w:b/>
        </w:rPr>
        <w:t xml:space="preserve">Grijze markt:</w:t>
      </w:r>
      <w:r>
        <w:t xml:space="preserve"> </w:t>
      </w:r>
      <w:r>
        <w:t xml:space="preserve">DSIP wordt online verkocht als poeder voor injectie en als slaapmiddel aangeprezen. De in de studies gebruikte preparaten werden via een infuus in de ader toegediend; gegevens over onderhuidse injectie ontbreken. Zuiverheid en gehalte van de grijze-marktproducten zijn ongecontroleerd.</w:t>
      </w:r>
    </w:p>
    <w:p>
      <w:pPr>
        <w:pStyle w:val="BodyText"/>
      </w:pPr>
      <w:r>
        <w:rPr>
          <w:bCs/>
          <w:b/>
        </w:rPr>
        <w:t xml:space="preserve">Belangrijk:</w:t>
      </w:r>
      <w:r>
        <w:t xml:space="preserve"> </w:t>
      </w:r>
      <w:r>
        <w:t xml:space="preserve">voor chronische slapeloosheid zijn er werkzame, goed onderzochte behandelingen, met voorop de cognitieve gedragstherapie bij insomnie.</w:t>
      </w:r>
    </w:p>
    <w:bookmarkEnd w:id="1762"/>
    <w:bookmarkStart w:id="1763" w:name="juridische-status-38"/>
    <w:p>
      <w:pPr>
        <w:pStyle w:val="Heading3"/>
      </w:pPr>
      <w:r>
        <w:t xml:space="preserve">Juridische status</w:t>
      </w:r>
    </w:p>
    <w:p>
      <w:pPr>
        <w:numPr>
          <w:ilvl w:val="0"/>
          <w:numId w:val="1213"/>
        </w:numPr>
        <w:pStyle w:val="Compact"/>
      </w:pPr>
      <w:r>
        <w:rPr>
          <w:bCs/>
          <w:b/>
        </w:rPr>
        <w:t xml:space="preserve">EU / Oostenrijk / Duitsland:</w:t>
      </w:r>
      <w:r>
        <w:t xml:space="preserve"> </w:t>
      </w:r>
      <w:r>
        <w:t xml:space="preserve">niet toegelaten; als stof met farmacologische werking geldt DSIP als geneesmiddel, verkoop voor gebruik bij mensen is niet toegestaan.</w:t>
      </w:r>
    </w:p>
    <w:p>
      <w:pPr>
        <w:numPr>
          <w:ilvl w:val="0"/>
          <w:numId w:val="1213"/>
        </w:numPr>
        <w:pStyle w:val="Compact"/>
      </w:pPr>
      <w:r>
        <w:rPr>
          <w:bCs/>
          <w:b/>
        </w:rPr>
        <w:t xml:space="preserve">VS:</w:t>
      </w:r>
      <w:r>
        <w:t xml:space="preserve"> </w:t>
      </w:r>
      <w:r>
        <w:t xml:space="preserve">niet toegelaten; het adviescomité PCAC sprak zich in juli 2026 nipt uit tegen toestemming voor apotheekbereidingen. De definitieve beslissing van de FDA was bij het afsluiten van de redactie nog niet genomen (stand oktober 2026, actuele situatie controleren).</w:t>
      </w:r>
    </w:p>
    <w:p>
      <w:pPr>
        <w:numPr>
          <w:ilvl w:val="0"/>
          <w:numId w:val="1213"/>
        </w:numPr>
        <w:pStyle w:val="Compact"/>
      </w:pPr>
      <w:r>
        <w:rPr>
          <w:bCs/>
          <w:b/>
        </w:rPr>
        <w:t xml:space="preserve">Sport:</w:t>
      </w:r>
      <w:r>
        <w:t xml:space="preserve"> </w:t>
      </w:r>
      <w:r>
        <w:t xml:space="preserve">niet bij naam op de WADA-lijst (stand 2026, actuele situatie controleren).</w:t>
      </w:r>
    </w:p>
    <w:bookmarkEnd w:id="1763"/>
    <w:bookmarkStart w:id="1764" w:name="lopende-studies-en-vooruitzichten-38"/>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DSIP geregistreerd (zoekopdracht oktober 2026). Sinds de jaren negentig zijn er vrijwel geen nieuwe klinische gegevens bijgekomen.</w:t>
      </w:r>
    </w:p>
    <w:p>
      <w:pPr>
        <w:pStyle w:val="BodyText"/>
      </w:pPr>
      <w:r>
        <w:rPr>
          <w:bCs/>
          <w:b/>
        </w:rPr>
        <w:t xml:space="preserve">Inschatting:</w:t>
      </w:r>
      <w:r>
        <w:t xml:space="preserve"> </w:t>
      </w:r>
      <w:r>
        <w:t xml:space="preserve">zonder duidelijkheid over receptor en natuurlijke functie en zonder moderne, voldoende grote slaapstudie valt niet te verwachten dat DSIP als geneesmiddel terugkeert.</w:t>
      </w:r>
    </w:p>
    <w:bookmarkEnd w:id="1764"/>
    <w:bookmarkStart w:id="1765" w:name="conclusie-38"/>
    <w:p>
      <w:pPr>
        <w:pStyle w:val="Heading3"/>
      </w:pPr>
      <w:r>
        <w:t xml:space="preserve">Conclusie</w:t>
      </w:r>
    </w:p>
    <w:p>
      <w:pPr>
        <w:pStyle w:val="FirstParagraph"/>
      </w:pPr>
      <w:r>
        <w:t xml:space="preserve">DSIP werd in 1977 ontdekt als mogelijke lichaamseigen „slaapstof”, maar gen, receptor en natuurlijke functie zijn tot op heden onbekend. Vroege studies van een groep in Bazel met telkens zes tot 14 personen meldden betere slaap; onafhankelijke placebogecontroleerde studies vonden slechts zwakke, klinisch weinig betekenisvolle effecten. Nieuwere gegevens bij mensen zijn er nauwelijks. De gegevens volstaan niet om DSIP als werkzaam of veilig slaapmiddel te beschouwen.</w:t>
      </w:r>
    </w:p>
    <w:bookmarkEnd w:id="1765"/>
    <w:bookmarkEnd w:id="1766"/>
    <w:bookmarkStart w:id="1796" w:name="epitalon-epithalon"/>
    <w:p>
      <w:pPr>
        <w:pStyle w:val="Heading2"/>
      </w:pPr>
      <w:r>
        <w:t xml:space="preserve">Epitalon (epithalon)</w:t>
      </w:r>
    </w:p>
    <w:bookmarkStart w:id="1767" w:name="profiel-39"/>
    <w:p>
      <w:pPr>
        <w:pStyle w:val="Heading3"/>
      </w:pPr>
      <w:r>
        <w:t xml:space="preserve">Profiel</w:t>
      </w:r>
    </w:p>
    <w:p>
      <w:pPr>
        <w:numPr>
          <w:ilvl w:val="0"/>
          <w:numId w:val="1214"/>
        </w:numPr>
        <w:pStyle w:val="Compact"/>
      </w:pPr>
      <w:r>
        <w:rPr>
          <w:bCs/>
          <w:b/>
        </w:rPr>
        <w:t xml:space="preserve">Soort en structuur:</w:t>
      </w:r>
      <w:r>
        <w:t xml:space="preserve"> </w:t>
      </w:r>
      <w:r>
        <w:t xml:space="preserve">synthetisch tetrapeptide van vier aminozuren: Ala-Glu-Asp-Gly (afgekort AEDG). Schrijfwijzen: epitalon, epithalon, epithalone.</w:t>
      </w:r>
    </w:p>
    <w:p>
      <w:pPr>
        <w:numPr>
          <w:ilvl w:val="0"/>
          <w:numId w:val="1214"/>
        </w:numPr>
        <w:pStyle w:val="Compact"/>
      </w:pPr>
      <w:r>
        <w:rPr>
          <w:bCs/>
          <w:b/>
        </w:rPr>
        <w:t xml:space="preserve">Herkomst:</w:t>
      </w:r>
      <w:r>
        <w:t xml:space="preserve"> </w:t>
      </w:r>
      <w:r>
        <w:t xml:space="preserve">ontwikkeld in de jaren tachtig en negentig aan het Instituut voor Bioregulatie en Gerontologie in Sint-Petersburg onder Vladimir Chavinson (in vakartikelen: Khavinson). De aminozuurvolgorde werd afgeleid uit de samenstelling van</w:t>
      </w:r>
      <w:r>
        <w:t xml:space="preserve"> </w:t>
      </w:r>
      <w:r>
        <w:rPr>
          <w:bCs/>
          <w:b/>
        </w:rPr>
        <w:t xml:space="preserve">epithalamine</w:t>
      </w:r>
      <w:r>
        <w:t xml:space="preserve">, een extract uit de pijnappelklier (epifyse) van runderen. Epitalon en epithalamine zijn chemisch verschillende stoffen.</w:t>
      </w:r>
    </w:p>
    <w:p>
      <w:pPr>
        <w:numPr>
          <w:ilvl w:val="0"/>
          <w:numId w:val="1214"/>
        </w:numPr>
        <w:pStyle w:val="Compact"/>
      </w:pPr>
      <w:r>
        <w:rPr>
          <w:bCs/>
          <w:b/>
        </w:rPr>
        <w:t xml:space="preserve">Werkingsprincipe:</w:t>
      </w:r>
      <w:r>
        <w:t xml:space="preserve"> </w:t>
      </w:r>
      <w:r>
        <w:t xml:space="preserve">zou als „peptidebioregulator” de functie van de pijnappelklier normaliseren, de aanmaak van melatonine op oudere leeftijd bevorderen en het enzym telomerase activeren, dat de uiteinden van de chromosomen (telomeren) verlengt.</w:t>
      </w:r>
    </w:p>
    <w:p>
      <w:pPr>
        <w:numPr>
          <w:ilvl w:val="0"/>
          <w:numId w:val="1214"/>
        </w:numPr>
        <w:pStyle w:val="Compact"/>
      </w:pPr>
      <w:r>
        <w:rPr>
          <w:bCs/>
          <w:b/>
        </w:rPr>
        <w:t xml:space="preserve">Registratie EU:</w:t>
      </w:r>
      <w:r>
        <w:t xml:space="preserve"> </w:t>
      </w:r>
      <w:r>
        <w:t xml:space="preserve">nee.</w:t>
      </w:r>
    </w:p>
    <w:p>
      <w:pPr>
        <w:numPr>
          <w:ilvl w:val="0"/>
          <w:numId w:val="1214"/>
        </w:numPr>
        <w:pStyle w:val="Compact"/>
      </w:pPr>
      <w:r>
        <w:rPr>
          <w:bCs/>
          <w:b/>
        </w:rPr>
        <w:t xml:space="preserve">Registratie VS:</w:t>
      </w:r>
      <w:r>
        <w:t xml:space="preserve"> </w:t>
      </w:r>
      <w:r>
        <w:t xml:space="preserve">nee. In april 2026 van de FDA-„categorie 2” geschrapt; het adviescomité PCAC stemde in juli 2026 met 7 tegen 4 stemmen voor opname in de lijst van toegestane grondstoffen voor bereidingen, tegen de aanbeveling van de deskundigen van de FDA in. Een toelating als geneesmiddel is dat niet (stand oktober 2026, actuele situatie controleren).</w:t>
      </w:r>
    </w:p>
    <w:p>
      <w:pPr>
        <w:numPr>
          <w:ilvl w:val="0"/>
          <w:numId w:val="1214"/>
        </w:numPr>
        <w:pStyle w:val="Compact"/>
      </w:pPr>
      <w:r>
        <w:rPr>
          <w:bCs/>
          <w:b/>
        </w:rPr>
        <w:t xml:space="preserve">WADA:</w:t>
      </w:r>
      <w:r>
        <w:t xml:space="preserve"> </w:t>
      </w:r>
      <w:r>
        <w:t xml:space="preserve">niet bij naam vermeld; als nergens als geneesmiddel toegelaten stof valt epitalon naar onze inschatting onder de verzamelcategorie S0.</w:t>
      </w:r>
    </w:p>
    <w:p>
      <w:pPr>
        <w:numPr>
          <w:ilvl w:val="0"/>
          <w:numId w:val="1214"/>
        </w:numPr>
        <w:pStyle w:val="Compact"/>
      </w:pPr>
      <w:r>
        <w:rPr>
          <w:bCs/>
          <w:b/>
        </w:rPr>
        <w:t xml:space="preserve">Bewijsniveau:</w:t>
      </w:r>
      <w:r>
        <w:t xml:space="preserve"> </w:t>
      </w:r>
      <w:r>
        <w:rPr>
          <w:bCs/>
          <w:b/>
        </w:rPr>
        <w:t xml:space="preserve">C</w:t>
      </w:r>
      <w:r>
        <w:t xml:space="preserve"> </w:t>
      </w:r>
      <w:r>
        <w:t xml:space="preserve">– slechts één kleine gecontroleerde studie met het synthetische peptide bij mensen; de overige gegevens bij mensen betreffen het extract epithalamine of cellen in de reageerbuis.</w:t>
      </w:r>
    </w:p>
    <w:bookmarkEnd w:id="1767"/>
    <w:bookmarkStart w:id="1771" w:name="hoe-het-zou-moeten-werken-39"/>
    <w:p>
      <w:pPr>
        <w:pStyle w:val="Heading3"/>
      </w:pPr>
      <w:r>
        <w:t xml:space="preserve">Hoe het zou moeten werken</w:t>
      </w:r>
    </w:p>
    <w:p>
      <w:pPr>
        <w:pStyle w:val="FirstParagraph"/>
      </w:pPr>
      <w:r>
        <w:t xml:space="preserve">De pijnappelklier is een klein orgaan in de hersenen dat ’s nachts het hormoon melatonine aanmaakt en daarmee het dag-nachtritme mede stuurt. Op oudere leeftijd neemt de aanmaak van melatonine af. De groep in Sint-Petersburg ging ervan uit dat korte peptiden uit organen als „bioregulatoren” de functie van precies die organen kunnen herstellen – uit de pijnappelklier voor de pijnappelklier, uit de thymus voor het immuunsysteem (zie ook het hoofdstuk Thymaline en thymogen in Deel II · B).</w:t>
      </w:r>
    </w:p>
    <w:p>
      <w:pPr>
        <w:pStyle w:val="BodyText"/>
      </w:pPr>
      <w:r>
        <w:t xml:space="preserve">Voor epitalon worden meerdere mechanismen beschreven, bijna allemaal uit laboratorium- en dierproeven van de ontwikkelaarsgroep:</w:t>
      </w:r>
    </w:p>
    <w:p>
      <w:pPr>
        <w:numPr>
          <w:ilvl w:val="0"/>
          <w:numId w:val="1215"/>
        </w:numPr>
        <w:pStyle w:val="Compact"/>
      </w:pPr>
      <w:r>
        <w:rPr>
          <w:bCs/>
          <w:b/>
        </w:rPr>
        <w:t xml:space="preserve">Telomerase en telomeren:</w:t>
      </w:r>
      <w:r>
        <w:t xml:space="preserve"> </w:t>
      </w:r>
      <w:r>
        <w:t xml:space="preserve">Telomeren zijn beschermende eindstukken van de chromosomen die bij elke celdeling iets korter worden. Het enzym telomerase kan ze weer verlengen; in de meeste lichaamscellen is het uitgeschakeld. In kweken van menselijke fibroblasten (bindweefselcellen) van foetussen zou epitalon de telomerase hebben ingeschakeld en de telomeren hebben verlengd</w:t>
      </w:r>
      <w:r>
        <w:rPr>
          <w:rStyle w:val="FootnoteReference"/>
        </w:rPr>
        <w:footnoteReference w:id="1768"/>
      </w:r>
      <w:r>
        <w:t xml:space="preserve">.</w:t>
      </w:r>
    </w:p>
    <w:p>
      <w:pPr>
        <w:numPr>
          <w:ilvl w:val="0"/>
          <w:numId w:val="1215"/>
        </w:numPr>
        <w:pStyle w:val="Compact"/>
      </w:pPr>
      <w:r>
        <w:rPr>
          <w:bCs/>
          <w:b/>
        </w:rPr>
        <w:t xml:space="preserve">Chromatine en genen:</w:t>
      </w:r>
      <w:r>
        <w:t xml:space="preserve"> </w:t>
      </w:r>
      <w:r>
        <w:t xml:space="preserve">In lymfocyten van 76- tot 80-jarigen zou epitalon in de reageerbuis „verdicht” erfelijk materiaal weer hebben losgemaakt en stilgelegde genen hebben geactiveerd</w:t>
      </w:r>
      <w:r>
        <w:rPr>
          <w:rStyle w:val="FootnoteReference"/>
        </w:rPr>
        <w:footnoteReference w:id="1769"/>
      </w:r>
      <w:r>
        <w:t xml:space="preserve">. De groep postuleert dat korte peptiden rechtstreeks aan het DNA binden.</w:t>
      </w:r>
    </w:p>
    <w:p>
      <w:pPr>
        <w:numPr>
          <w:ilvl w:val="0"/>
          <w:numId w:val="1215"/>
        </w:numPr>
        <w:pStyle w:val="Compact"/>
      </w:pPr>
      <w:r>
        <w:rPr>
          <w:bCs/>
          <w:b/>
        </w:rPr>
        <w:t xml:space="preserve">Melatonine:</w:t>
      </w:r>
      <w:r>
        <w:t xml:space="preserve"> </w:t>
      </w:r>
      <w:r>
        <w:t xml:space="preserve">In celkweken en bij dieren beïnvloedde epitalon de aanmaak van melatonine.</w:t>
      </w:r>
    </w:p>
    <w:p>
      <w:pPr>
        <w:pStyle w:val="FirstParagraph"/>
      </w:pPr>
      <w:r>
        <w:t xml:space="preserve">Een overzichtsartikel uit 2025 vat samen dat ondanks 25 jaar onderzoek onduidelijk blijft of deze mechanismen de enige zijn, en dat er slechts weinig fundamentele fysisch-chemische en structurele onderzoeken van het peptide bestaan</w:t>
      </w:r>
      <w:r>
        <w:rPr>
          <w:rStyle w:val="FootnoteReference"/>
        </w:rPr>
        <w:footnoteReference w:id="1770"/>
      </w:r>
      <w:r>
        <w:t xml:space="preserve">.</w:t>
      </w:r>
    </w:p>
    <w:bookmarkEnd w:id="1771"/>
    <w:bookmarkStart w:id="1782" w:name="studies-bij-mensen-3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w:t>
      </w:r>
      <w:r>
        <w:t xml:space="preserve"> </w:t>
      </w:r>
      <w:r>
        <w:rPr>
          <w:bCs/>
          <w:b/>
        </w:rPr>
        <w:t xml:space="preserve">één</w:t>
      </w:r>
      <w:r>
        <w:t xml:space="preserve"> </w:t>
      </w:r>
      <w:r>
        <w:t xml:space="preserve">als studie bij mensen geclassificeerde publicatie over epitalon op; in totaal vermeldt PubMed ongeveer 120 publicaties met de zoektermen, overwegend dier- en celstudies uit Sint-Petersburg. Op ClinicalTrials.gov is één studie geregistreerd (zie vooruitzichten). Een recente onafhankelijke review komt tot hetzelfde resultaat: de gegevens bij mensen over synthetisch epitalon beperken zich tot kleine fysiologische of biomarkerstudies en een oudere gecontroleerde studie bij retinitis pigmentosa; geen voldoende grote gerandomiseerde studie heeft een therapeutische werkzaamheid aangetoond</w:t>
      </w:r>
      <w:r>
        <w:rPr>
          <w:rStyle w:val="FootnoteReference"/>
        </w:rPr>
        <w:footnoteReference w:id="177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Onderzochte stof en opzet</w:t>
            </w:r>
          </w:p>
        </w:tc>
        <w:tc>
          <w:tcPr/>
          <w:p>
            <w:pPr>
              <w:pStyle w:val="Compact"/>
              <w:jc w:val="left"/>
            </w:pPr>
            <w:r>
              <w:t xml:space="preserve">Deelnemers</w:t>
            </w:r>
          </w:p>
        </w:tc>
        <w:tc>
          <w:tcPr/>
          <w:p>
            <w:pPr>
              <w:pStyle w:val="Compact"/>
              <w:jc w:val="left"/>
            </w:pPr>
            <w:r>
              <w:t xml:space="preserve">Resultaat</w:t>
            </w:r>
          </w:p>
        </w:tc>
      </w:tr>
      <w:tr>
        <w:tc>
          <w:tcPr/>
          <w:p>
            <w:pPr>
              <w:pStyle w:val="Compact"/>
              <w:jc w:val="left"/>
            </w:pPr>
            <w:r>
              <w:t xml:space="preserve">Khavinson 2002, PMID 12195242</w:t>
            </w:r>
          </w:p>
        </w:tc>
        <w:tc>
          <w:tcPr/>
          <w:p>
            <w:pPr>
              <w:pStyle w:val="Compact"/>
              <w:jc w:val="left"/>
            </w:pPr>
            <w:r>
              <w:t xml:space="preserve">epitalon, gecontroleerde studie bij erfelijke netvliesdegeneratie (retinitis pigmentosa)</w:t>
            </w:r>
          </w:p>
        </w:tc>
        <w:tc>
          <w:tcPr/>
          <w:p>
            <w:pPr>
              <w:pStyle w:val="Compact"/>
              <w:jc w:val="left"/>
            </w:pPr>
            <w:r>
              <w:t xml:space="preserve">in de samenvatting niet vermeld</w:t>
            </w:r>
          </w:p>
        </w:tc>
        <w:tc>
          <w:tcPr/>
          <w:p>
            <w:pPr>
              <w:pStyle w:val="Compact"/>
              <w:jc w:val="left"/>
            </w:pPr>
            <w:r>
              <w:t xml:space="preserve">„positief klinisch effect in 90% van de gevallen”</w:t>
            </w:r>
          </w:p>
        </w:tc>
      </w:tr>
      <w:tr>
        <w:tc>
          <w:tcPr/>
          <w:p>
            <w:pPr>
              <w:pStyle w:val="Compact"/>
              <w:jc w:val="left"/>
            </w:pPr>
            <w:r>
              <w:t xml:space="preserve">Khavinson 2003, PMID 14523363</w:t>
            </w:r>
          </w:p>
        </w:tc>
        <w:tc>
          <w:tcPr/>
          <w:p>
            <w:pPr>
              <w:pStyle w:val="Compact"/>
              <w:jc w:val="left"/>
            </w:pPr>
            <w:r>
              <w:t xml:space="preserve">epithalamine (extract) en thymaline bij ouderen, controlegroep</w:t>
            </w:r>
          </w:p>
        </w:tc>
        <w:tc>
          <w:tcPr/>
          <w:p>
            <w:pPr>
              <w:pStyle w:val="Compact"/>
              <w:jc w:val="left"/>
            </w:pPr>
            <w:r>
              <w:t xml:space="preserve">266 personen, 6–8 jaar</w:t>
            </w:r>
          </w:p>
        </w:tc>
        <w:tc>
          <w:tcPr/>
          <w:p>
            <w:pPr>
              <w:pStyle w:val="Compact"/>
              <w:jc w:val="left"/>
            </w:pPr>
            <w:r>
              <w:t xml:space="preserve">volgens de auteurs 1,6- tot 1,8-voudig lagere sterfte onder epithalamine</w:t>
            </w:r>
          </w:p>
        </w:tc>
      </w:tr>
      <w:tr>
        <w:tc>
          <w:tcPr/>
          <w:p>
            <w:pPr>
              <w:pStyle w:val="Compact"/>
              <w:jc w:val="left"/>
            </w:pPr>
            <w:r>
              <w:t xml:space="preserve">Labunets 2004, PMID 15455130</w:t>
            </w:r>
          </w:p>
        </w:tc>
        <w:tc>
          <w:tcPr/>
          <w:p>
            <w:pPr>
              <w:pStyle w:val="Compact"/>
              <w:jc w:val="left"/>
            </w:pPr>
            <w:r>
              <w:t xml:space="preserve">epithalamine, kuur bij ouderen</w:t>
            </w:r>
          </w:p>
        </w:tc>
        <w:tc>
          <w:tcPr/>
          <w:p>
            <w:pPr>
              <w:pStyle w:val="Compact"/>
              <w:jc w:val="left"/>
            </w:pPr>
            <w:r>
              <w:t xml:space="preserve">in de samenvatting niet vermeld</w:t>
            </w:r>
          </w:p>
        </w:tc>
        <w:tc>
          <w:tcPr/>
          <w:p>
            <w:pPr>
              <w:pStyle w:val="Compact"/>
              <w:jc w:val="left"/>
            </w:pPr>
            <w:r>
              <w:t xml:space="preserve">melatonineritme en thymusfactor „jonger”</w:t>
            </w:r>
          </w:p>
        </w:tc>
      </w:tr>
      <w:tr>
        <w:tc>
          <w:tcPr/>
          <w:p>
            <w:pPr>
              <w:pStyle w:val="Compact"/>
              <w:jc w:val="left"/>
            </w:pPr>
            <w:r>
              <w:t xml:space="preserve">Khavinson 2019, PMID 31761987</w:t>
            </w:r>
          </w:p>
        </w:tc>
        <w:tc>
          <w:tcPr/>
          <w:p>
            <w:pPr>
              <w:pStyle w:val="Compact"/>
              <w:jc w:val="left"/>
            </w:pPr>
            <w:r>
              <w:t xml:space="preserve">AEDG in de reageerbuis op bloedcellen</w:t>
            </w:r>
          </w:p>
        </w:tc>
        <w:tc>
          <w:tcPr/>
          <w:p>
            <w:pPr>
              <w:pStyle w:val="Compact"/>
              <w:jc w:val="left"/>
            </w:pPr>
            <w:r>
              <w:t xml:space="preserve">11 mannen (celmonsters)</w:t>
            </w:r>
          </w:p>
        </w:tc>
        <w:tc>
          <w:tcPr/>
          <w:p>
            <w:pPr>
              <w:pStyle w:val="Compact"/>
              <w:jc w:val="left"/>
            </w:pPr>
            <w:r>
              <w:t xml:space="preserve">telomeerlengte in 5 gevallen langer, in 2 gevallen korter</w:t>
            </w:r>
          </w:p>
        </w:tc>
      </w:tr>
    </w:tbl>
    <w:bookmarkStart w:id="1774" w:name="de-ene-studie-met-epitalon"/>
    <w:p>
      <w:pPr>
        <w:pStyle w:val="Heading4"/>
      </w:pPr>
      <w:r>
        <w:t xml:space="preserve">De ene studie met epitalon</w:t>
      </w:r>
    </w:p>
    <w:p>
      <w:pPr>
        <w:pStyle w:val="FirstParagraph"/>
      </w:pPr>
      <w:r>
        <w:t xml:space="preserve">In de enige klinische studie met synthetisch epitalon werden personen behandeld met retinitis pigmentosa, een erfelijke aandoening waarbij het netvlies stapsgewijs afsterft. De samenvatting meldt een „positief klinisch effect in 90% van de gevallen”, maar noemt noch het aantal deelnemers noch het criterium voor „positief” of de resultaten van de controlegroep</w:t>
      </w:r>
      <w:r>
        <w:rPr>
          <w:rStyle w:val="FootnoteReference"/>
        </w:rPr>
        <w:footnoteReference w:id="1773"/>
      </w:r>
      <w:r>
        <w:t xml:space="preserve">. Onafhankelijk bevestigd werd de bevinding niet; in de behandeling van retinitis pigmentosa speelt epitalon geen rol.</w:t>
      </w:r>
    </w:p>
    <w:bookmarkEnd w:id="1774"/>
    <w:bookmarkStart w:id="1776" w:name="de-levensduurstudie-met-epithalamine"/>
    <w:p>
      <w:pPr>
        <w:pStyle w:val="Heading4"/>
      </w:pPr>
      <w:r>
        <w:t xml:space="preserve">De levensduurstudie met epithalamine</w:t>
      </w:r>
    </w:p>
    <w:p>
      <w:pPr>
        <w:pStyle w:val="FirstParagraph"/>
      </w:pPr>
      <w:r>
        <w:t xml:space="preserve">De op internet meest geciteerde studie bij mensen – „pijnappelklierpeptiden verlengen het menselijk leven” – betreft niet epitalon, maar het dierlijke extract epithalamine. Onderzoekers uit Sint-Petersburg en Kiev volgden 266 ouderen zes tot acht jaar lang; in de eerste twee tot drie jaar kregen delen van de groep thymaline, epithalamine of beide. Volgens de samenvatting daalde de sterfte onder epithalamine 1,6- tot 1,8-voudig, onder de combinatie 2,5-voudig, en bij jaarlijkse combinatiebehandeling gedurende zes jaar zelfs 4,1-voudig</w:t>
      </w:r>
      <w:r>
        <w:rPr>
          <w:rStyle w:val="FootnoteReference"/>
        </w:rPr>
        <w:footnoteReference w:id="1775"/>
      </w:r>
      <w:r>
        <w:t xml:space="preserve">.</w:t>
      </w:r>
    </w:p>
    <w:p>
      <w:pPr>
        <w:pStyle w:val="BodyText"/>
      </w:pPr>
      <w:r>
        <w:t xml:space="preserve">Zulke effecten zouden uitzonderlijk zijn – groter dan bij bijna elke maatregel van de moderne geneeskunde. Des te belangrijker zijn de beperkingen:</w:t>
      </w:r>
    </w:p>
    <w:p>
      <w:pPr>
        <w:numPr>
          <w:ilvl w:val="0"/>
          <w:numId w:val="1216"/>
        </w:numPr>
        <w:pStyle w:val="Compact"/>
      </w:pPr>
      <w:r>
        <w:t xml:space="preserve">De samenvatting beschrijft noch een gerandomiseerde toewijzing noch blindering. Het is niet te zien hoe de controlegroep werd gekozen.</w:t>
      </w:r>
    </w:p>
    <w:p>
      <w:pPr>
        <w:numPr>
          <w:ilvl w:val="0"/>
          <w:numId w:val="1216"/>
        </w:numPr>
        <w:pStyle w:val="Compact"/>
      </w:pPr>
      <w:r>
        <w:t xml:space="preserve">De groepsgrootten van de afzonderlijke armen en absolute aantallen sterfgevallen worden niet vermeld.</w:t>
      </w:r>
    </w:p>
    <w:p>
      <w:pPr>
        <w:numPr>
          <w:ilvl w:val="0"/>
          <w:numId w:val="1216"/>
        </w:numPr>
        <w:pStyle w:val="Compact"/>
      </w:pPr>
      <w:r>
        <w:t xml:space="preserve">De studie werd nooit geregistreerd, en een onafhankelijke herhaling bestaat niet.</w:t>
      </w:r>
    </w:p>
    <w:p>
      <w:pPr>
        <w:numPr>
          <w:ilvl w:val="0"/>
          <w:numId w:val="1216"/>
        </w:numPr>
        <w:pStyle w:val="Compact"/>
      </w:pPr>
      <w:r>
        <w:t xml:space="preserve">De resultaten komen van de ontwikkelaars van de preparaten.</w:t>
      </w:r>
    </w:p>
    <w:p>
      <w:pPr>
        <w:pStyle w:val="FirstParagraph"/>
      </w:pPr>
      <w:r>
        <w:t xml:space="preserve">Bij niet-gerandomiseerde observaties kunnen al kleine verschillen tussen de groepen – bijvoorbeeld wie gezonder was of beter werd verzorgd – grote schijnbare effecten op de sterfte veroorzaken. Voor epitalon zelf valt uit deze studie sowieso niets af te leiden, omdat een andere stof werd onderzocht.</w:t>
      </w:r>
    </w:p>
    <w:bookmarkEnd w:id="1776"/>
    <w:bookmarkStart w:id="1781" w:name="de-telomeerclaim-gecontroleerd"/>
    <w:p>
      <w:pPr>
        <w:pStyle w:val="Heading4"/>
      </w:pPr>
      <w:r>
        <w:t xml:space="preserve">De telomeerclaim gecontroleerd</w:t>
      </w:r>
    </w:p>
    <w:p>
      <w:pPr>
        <w:pStyle w:val="FirstParagraph"/>
      </w:pPr>
      <w:r>
        <w:t xml:space="preserve">Op internet wordt epitalon vaak aangeprezen als middel dat „de telomeren verlengt” en daarmee „de biologische klok terugdraait”. Wat daarvan is aangetoond?</w:t>
      </w:r>
    </w:p>
    <w:p>
      <w:pPr>
        <w:numPr>
          <w:ilvl w:val="0"/>
          <w:numId w:val="1217"/>
        </w:numPr>
        <w:pStyle w:val="Compact"/>
      </w:pPr>
      <w:r>
        <w:rPr>
          <w:bCs/>
          <w:b/>
        </w:rPr>
        <w:t xml:space="preserve">Celkweek uit Sint-Petersburg:</w:t>
      </w:r>
      <w:r>
        <w:t xml:space="preserve"> </w:t>
      </w:r>
      <w:r>
        <w:t xml:space="preserve">In menselijke foetale fibroblasten wekte epitalon telomerase-activiteit en telomeerverlenging op</w:t>
      </w:r>
      <w:r>
        <w:rPr>
          <w:rStyle w:val="FootnoteReference"/>
        </w:rPr>
        <w:footnoteReference w:id="1777"/>
      </w:r>
      <w:r>
        <w:t xml:space="preserve">; in een vervolgpublicatie maakten behandelde cellen tien extra delingen boven hun gebruikelijke grens</w:t>
      </w:r>
      <w:r>
        <w:rPr>
          <w:rStyle w:val="FootnoteReference"/>
        </w:rPr>
        <w:footnoteReference w:id="1778"/>
      </w:r>
      <w:r>
        <w:t xml:space="preserve">. Beide publicaties zijn zeer beknopt, zonder gedetailleerde methoden in de samenvatting.</w:t>
      </w:r>
    </w:p>
    <w:p>
      <w:pPr>
        <w:numPr>
          <w:ilvl w:val="0"/>
          <w:numId w:val="1217"/>
        </w:numPr>
        <w:pStyle w:val="Compact"/>
      </w:pPr>
      <w:r>
        <w:rPr>
          <w:bCs/>
          <w:b/>
        </w:rPr>
        <w:t xml:space="preserve">Onafhankelijke celstudie:</w:t>
      </w:r>
      <w:r>
        <w:t xml:space="preserve"> </w:t>
      </w:r>
      <w:r>
        <w:t xml:space="preserve">Een onderzoeksgroep buiten Rusland vond in 2025 eveneens dosisafhankelijk langere telomeren in normale menselijke epitheel- en bindweefselcellen. In borstkankercellijnen werden de telomeren eveneens langer – daar via een alternatief mechanisme (ALT) dat typisch is voor kankercellen</w:t>
      </w:r>
      <w:r>
        <w:rPr>
          <w:rStyle w:val="FootnoteReference"/>
        </w:rPr>
        <w:footnoteReference w:id="1779"/>
      </w:r>
      <w:r>
        <w:t xml:space="preserve">.</w:t>
      </w:r>
    </w:p>
    <w:p>
      <w:pPr>
        <w:numPr>
          <w:ilvl w:val="0"/>
          <w:numId w:val="1217"/>
        </w:numPr>
        <w:pStyle w:val="Compact"/>
      </w:pPr>
      <w:r>
        <w:rPr>
          <w:bCs/>
          <w:b/>
        </w:rPr>
        <w:t xml:space="preserve">Bloedcellen van mensen in de reageerbuis:</w:t>
      </w:r>
      <w:r>
        <w:t xml:space="preserve"> </w:t>
      </w:r>
      <w:r>
        <w:t xml:space="preserve">Bij bloedcellen van elf mannen werden de telomeren na contact met het peptide in vijf gevallen langer, in twee gevallen korter; de auteurs duiden dat als „normalisering”</w:t>
      </w:r>
      <w:r>
        <w:rPr>
          <w:rStyle w:val="FootnoteReference"/>
        </w:rPr>
        <w:footnoteReference w:id="1780"/>
      </w:r>
      <w:r>
        <w:t xml:space="preserve">.</w:t>
      </w:r>
    </w:p>
    <w:p>
      <w:pPr>
        <w:numPr>
          <w:ilvl w:val="0"/>
          <w:numId w:val="1217"/>
        </w:numPr>
        <w:pStyle w:val="Compact"/>
      </w:pPr>
      <w:r>
        <w:rPr>
          <w:bCs/>
          <w:b/>
        </w:rPr>
        <w:t xml:space="preserve">Bij de levende mens:</w:t>
      </w:r>
      <w:r>
        <w:t xml:space="preserve"> </w:t>
      </w:r>
      <w:r>
        <w:t xml:space="preserve">Er is geen gepubliceerde gecontroleerde studie die heeft aangetoond dat epitalon de telomeerlengte in bloed of weefsel van mensen verandert – en al helemaal geen die een gezondheidsvoordeel van zo’n verandering aantoont.</w:t>
      </w:r>
    </w:p>
    <w:p>
      <w:pPr>
        <w:pStyle w:val="FirstParagraph"/>
      </w:pPr>
      <w:r>
        <w:t xml:space="preserve">Daarbij komt: de telomeerlengte hangt weliswaar samen met de leeftijd, maar is geen betrouwbare maat voor de „biologische klok” van een individu. En een blijvend geactiveerde telomerase is een kenmerk van de allermeeste kankersoorten. Het vermogen om telomeren te verlengen is daarom niet automatisch een voordeel (zie risico’s).</w:t>
      </w:r>
    </w:p>
    <w:bookmarkEnd w:id="1781"/>
    <w:bookmarkEnd w:id="1782"/>
    <w:bookmarkStart w:id="1787" w:name="dier--en-laboratoriumstudies-39"/>
    <w:p>
      <w:pPr>
        <w:pStyle w:val="Heading3"/>
      </w:pPr>
      <w:r>
        <w:t xml:space="preserve">Dier- en laboratoriumstudies</w:t>
      </w:r>
    </w:p>
    <w:p>
      <w:pPr>
        <w:numPr>
          <w:ilvl w:val="0"/>
          <w:numId w:val="1218"/>
        </w:numPr>
        <w:pStyle w:val="Compact"/>
      </w:pPr>
      <w:r>
        <w:rPr>
          <w:bCs/>
          <w:b/>
        </w:rPr>
        <w:t xml:space="preserve">Levensduur bij muizen:</w:t>
      </w:r>
      <w:r>
        <w:t xml:space="preserve"> </w:t>
      </w:r>
      <w:r>
        <w:t xml:space="preserve">In de belangrijkste dierstudie kregen telkens 54 vrouwelijke muizen levenslang maandelijks epitalon of zoutoplossing. De</w:t>
      </w:r>
      <w:r>
        <w:t xml:space="preserve"> </w:t>
      </w:r>
      <w:r>
        <w:rPr>
          <w:bCs/>
          <w:b/>
        </w:rPr>
        <w:t xml:space="preserve">gemiddelde levensduur</w:t>
      </w:r>
      <w:r>
        <w:t xml:space="preserve"> </w:t>
      </w:r>
      <w:r>
        <w:t xml:space="preserve">verschilde</w:t>
      </w:r>
      <w:r>
        <w:t xml:space="preserve"> </w:t>
      </w:r>
      <w:r>
        <w:rPr>
          <w:bCs/>
          <w:b/>
        </w:rPr>
        <w:t xml:space="preserve">niet</w:t>
      </w:r>
      <w:r>
        <w:t xml:space="preserve">; alleen de laatste 10% van de overlevenden leefde 13,3% langer, de maximale levensduur lag 12,3% hoger. Het totale aantal spontane tumoren was gelijk, leukemieën kwamen minder vaak voor</w:t>
      </w:r>
      <w:r>
        <w:rPr>
          <w:rStyle w:val="FootnoteReference"/>
        </w:rPr>
        <w:footnoteReference w:id="1783"/>
      </w:r>
      <w:r>
        <w:t xml:space="preserve">.</w:t>
      </w:r>
    </w:p>
    <w:p>
      <w:pPr>
        <w:numPr>
          <w:ilvl w:val="0"/>
          <w:numId w:val="1218"/>
        </w:numPr>
        <w:pStyle w:val="Compact"/>
      </w:pPr>
      <w:r>
        <w:rPr>
          <w:bCs/>
          <w:b/>
        </w:rPr>
        <w:t xml:space="preserve">Fruitvliegen:</w:t>
      </w:r>
      <w:r>
        <w:t xml:space="preserve"> </w:t>
      </w:r>
      <w:r>
        <w:t xml:space="preserve">Ook bij fruitvliegen werd een langere levensduur gemeld</w:t>
      </w:r>
      <w:r>
        <w:rPr>
          <w:rStyle w:val="FootnoteReference"/>
        </w:rPr>
        <w:footnoteReference w:id="1784"/>
      </w:r>
      <w:r>
        <w:t xml:space="preserve">.</w:t>
      </w:r>
    </w:p>
    <w:p>
      <w:pPr>
        <w:numPr>
          <w:ilvl w:val="0"/>
          <w:numId w:val="1218"/>
        </w:numPr>
        <w:pStyle w:val="Compact"/>
      </w:pPr>
      <w:r>
        <w:rPr>
          <w:bCs/>
          <w:b/>
        </w:rPr>
        <w:t xml:space="preserve">Netvlies:</w:t>
      </w:r>
      <w:r>
        <w:t xml:space="preserve"> </w:t>
      </w:r>
      <w:r>
        <w:t xml:space="preserve">Bij ratten met erfelijke netvliesdegeneratie bleef de netvliesstructuur onder epitalon beter behouden</w:t>
      </w:r>
      <w:r>
        <w:rPr>
          <w:rStyle w:val="FootnoteReference"/>
        </w:rPr>
        <w:footnoteReference w:id="1785"/>
      </w:r>
      <w:r>
        <w:t xml:space="preserve">.</w:t>
      </w:r>
    </w:p>
    <w:p>
      <w:pPr>
        <w:numPr>
          <w:ilvl w:val="0"/>
          <w:numId w:val="1218"/>
        </w:numPr>
        <w:pStyle w:val="Compact"/>
      </w:pPr>
      <w:r>
        <w:rPr>
          <w:bCs/>
          <w:b/>
        </w:rPr>
        <w:t xml:space="preserve">Eicellen:</w:t>
      </w:r>
      <w:r>
        <w:t xml:space="preserve"> </w:t>
      </w:r>
      <w:r>
        <w:t xml:space="preserve">In kweken van verouderde eicellen van muizen verminderde epitalon schade door oxidatieve stress</w:t>
      </w:r>
      <w:r>
        <w:rPr>
          <w:rStyle w:val="FootnoteReference"/>
        </w:rPr>
        <w:footnoteReference w:id="1786"/>
      </w:r>
      <w:r>
        <w:t xml:space="preserve">.</w:t>
      </w:r>
    </w:p>
    <w:p>
      <w:pPr>
        <w:pStyle w:val="FirstParagraph"/>
      </w:pPr>
      <w:r>
        <w:t xml:space="preserve">Het overgrote deel van deze studies komt van de groep rond Chavinson en Anisimov, meestal in Russische tijdschriften of in tijdschriften waarin de groep zelf veel publiceerde. Onafhankelijke herhalingen zijn zeldzaam.</w:t>
      </w:r>
    </w:p>
    <w:bookmarkEnd w:id="1787"/>
    <w:bookmarkStart w:id="1791" w:name="risicos-en-bijwerkingen-39"/>
    <w:p>
      <w:pPr>
        <w:pStyle w:val="Heading3"/>
      </w:pPr>
      <w:r>
        <w:t xml:space="preserve">Risico’s en bijwerkingen</w:t>
      </w:r>
    </w:p>
    <w:p>
      <w:pPr>
        <w:pStyle w:val="FirstParagraph"/>
      </w:pPr>
      <w:r>
        <w:rPr>
          <w:bCs/>
          <w:b/>
        </w:rPr>
        <w:t xml:space="preserve">Aangetoond:</w:t>
      </w:r>
      <w:r>
        <w:t xml:space="preserve"> </w:t>
      </w:r>
      <w:r>
        <w:t xml:space="preserve">er zijn geen systematisch verzamelde veiligheidsgegevens over epitalon bij mensen.</w:t>
      </w:r>
    </w:p>
    <w:p>
      <w:pPr>
        <w:pStyle w:val="BodyText"/>
      </w:pPr>
      <w:r>
        <w:rPr>
          <w:bCs/>
          <w:b/>
        </w:rPr>
        <w:t xml:space="preserve">Theoretisch:</w:t>
      </w:r>
    </w:p>
    <w:p>
      <w:pPr>
        <w:numPr>
          <w:ilvl w:val="0"/>
          <w:numId w:val="1219"/>
        </w:numPr>
        <w:pStyle w:val="Compact"/>
      </w:pPr>
      <w:r>
        <w:rPr>
          <w:bCs/>
          <w:b/>
        </w:rPr>
        <w:t xml:space="preserve">Kanker:</w:t>
      </w:r>
      <w:r>
        <w:t xml:space="preserve"> </w:t>
      </w:r>
      <w:r>
        <w:t xml:space="preserve">telomerase-activering is een centraal kenmerk van kankercellen. Een stof die telomerase zou inschakelen, zou theoretisch de groei van al aanwezige, onopgemerkte kankercellen kunnen bevorderen. In de onafhankelijke celstudie werden ook de telomeren van borstkankercellen langer</w:t>
      </w:r>
      <w:r>
        <w:rPr>
          <w:rStyle w:val="FootnoteReference"/>
        </w:rPr>
        <w:footnoteReference w:id="1788"/>
      </w:r>
      <w:r>
        <w:t xml:space="preserve">. De muizenstudie vond geen toename van spontane tumoren</w:t>
      </w:r>
      <w:r>
        <w:rPr>
          <w:rStyle w:val="FootnoteReference"/>
        </w:rPr>
        <w:footnoteReference w:id="1789"/>
      </w:r>
      <w:r>
        <w:t xml:space="preserve">, maar dierdata laten zich niet vertalen naar decennia menselijk gebruik.</w:t>
      </w:r>
    </w:p>
    <w:p>
      <w:pPr>
        <w:numPr>
          <w:ilvl w:val="0"/>
          <w:numId w:val="1219"/>
        </w:numPr>
        <w:pStyle w:val="Compact"/>
      </w:pPr>
      <w:r>
        <w:rPr>
          <w:bCs/>
          <w:b/>
        </w:rPr>
        <w:t xml:space="preserve">Hormoonsysteem:</w:t>
      </w:r>
      <w:r>
        <w:t xml:space="preserve"> </w:t>
      </w:r>
      <w:r>
        <w:t xml:space="preserve">een invloed op melatonine en de pijnappelklier kan slaap en hormoonritmes veranderen; dat is bij mensen niet onderzocht.</w:t>
      </w:r>
    </w:p>
    <w:p>
      <w:pPr>
        <w:pStyle w:val="FirstParagraph"/>
      </w:pPr>
      <w:r>
        <w:rPr>
          <w:bCs/>
          <w:b/>
        </w:rPr>
        <w:t xml:space="preserve">Grijze markt:</w:t>
      </w:r>
      <w:r>
        <w:t xml:space="preserve"> </w:t>
      </w:r>
      <w:r>
        <w:t xml:space="preserve">epitalon behoort tot de meest verkochte „longevitypeptiden” en wordt aangeboden als poeder voor injectie of als neusspray. Zuiverheid, gehalte en steriliteit zijn ongecontroleerd. Een onafhankelijke review noemt onopgeloste vragen over productkwaliteit, immuunreacties en kankerrisico</w:t>
      </w:r>
      <w:r>
        <w:rPr>
          <w:rStyle w:val="FootnoteReference"/>
        </w:rPr>
        <w:footnoteReference w:id="1790"/>
      </w:r>
      <w:r>
        <w:t xml:space="preserve">.</w:t>
      </w:r>
    </w:p>
    <w:bookmarkEnd w:id="1791"/>
    <w:bookmarkStart w:id="1792" w:name="juridische-status-39"/>
    <w:p>
      <w:pPr>
        <w:pStyle w:val="Heading3"/>
      </w:pPr>
      <w:r>
        <w:t xml:space="preserve">Juridische status</w:t>
      </w:r>
    </w:p>
    <w:p>
      <w:pPr>
        <w:numPr>
          <w:ilvl w:val="0"/>
          <w:numId w:val="1220"/>
        </w:numPr>
        <w:pStyle w:val="Compact"/>
      </w:pPr>
      <w:r>
        <w:rPr>
          <w:bCs/>
          <w:b/>
        </w:rPr>
        <w:t xml:space="preserve">EU / Oostenrijk / Duitsland:</w:t>
      </w:r>
      <w:r>
        <w:t xml:space="preserve"> </w:t>
      </w:r>
      <w:r>
        <w:t xml:space="preserve">niet toegelaten; als stof met farmacologische werking geldt epitalon als geneesmiddel, verkoop voor gebruik bij mensen is niet toegestaan.</w:t>
      </w:r>
    </w:p>
    <w:p>
      <w:pPr>
        <w:numPr>
          <w:ilvl w:val="0"/>
          <w:numId w:val="1220"/>
        </w:numPr>
        <w:pStyle w:val="Compact"/>
      </w:pPr>
      <w:r>
        <w:rPr>
          <w:bCs/>
          <w:b/>
        </w:rPr>
        <w:t xml:space="preserve">VS:</w:t>
      </w:r>
      <w:r>
        <w:t xml:space="preserve"> </w:t>
      </w:r>
      <w:r>
        <w:t xml:space="preserve">niet toegelaten. Na het advies van het adviescomité PCAC in juli 2026 zou epitalon in de toekomst in apotheekbereidingen mogen worden gebruikt als de FDA dat advies volgt; de procedure was bij het afsluiten van de redactie niet afgerond (stand oktober 2026, actuele situatie controleren).</w:t>
      </w:r>
    </w:p>
    <w:p>
      <w:pPr>
        <w:numPr>
          <w:ilvl w:val="0"/>
          <w:numId w:val="1220"/>
        </w:numPr>
        <w:pStyle w:val="Compact"/>
      </w:pPr>
      <w:r>
        <w:rPr>
          <w:bCs/>
          <w:b/>
        </w:rPr>
        <w:t xml:space="preserve">Rusland:</w:t>
      </w:r>
      <w:r>
        <w:t xml:space="preserve"> </w:t>
      </w:r>
      <w:r>
        <w:t xml:space="preserve">in Rusland worden peptidebioregulatoren deels als voedingssupplement op de markt gebracht; epitalon zelf is daar naar onze kennis niet als geneesmiddel geregistreerd (actuele situatie controleren).</w:t>
      </w:r>
    </w:p>
    <w:p>
      <w:pPr>
        <w:numPr>
          <w:ilvl w:val="0"/>
          <w:numId w:val="1220"/>
        </w:numPr>
        <w:pStyle w:val="Compact"/>
      </w:pPr>
      <w:r>
        <w:rPr>
          <w:bCs/>
          <w:b/>
        </w:rPr>
        <w:t xml:space="preserve">Sport:</w:t>
      </w:r>
      <w:r>
        <w:t xml:space="preserve"> </w:t>
      </w:r>
      <w:r>
        <w:t xml:space="preserve">naar onze inschatting WADA-categorie S0 (stand 2026, actuele situatie controleren).</w:t>
      </w:r>
    </w:p>
    <w:bookmarkEnd w:id="1792"/>
    <w:bookmarkStart w:id="1794" w:name="lopende-studies-en-vooruitzichten-39"/>
    <w:p>
      <w:pPr>
        <w:pStyle w:val="Heading3"/>
      </w:pPr>
      <w:r>
        <w:t xml:space="preserve">Lopende studies en vooruitzichten</w:t>
      </w:r>
    </w:p>
    <w:p>
      <w:pPr>
        <w:pStyle w:val="FirstParagraph"/>
      </w:pPr>
      <w:r>
        <w:rPr>
          <w:bCs/>
          <w:b/>
        </w:rPr>
        <w:t xml:space="preserve">Vast staat:</w:t>
      </w:r>
      <w:r>
        <w:t xml:space="preserve"> </w:t>
      </w:r>
      <w:r>
        <w:t xml:space="preserve">op ClinicalTrials.gov is een vroege studie geregistreerd waarin „systemische en lokale” verjongingsmaatregelen met zogeheten verouderingsklokken (epigenetische meetmethoden) moeten worden beoordeeld; gepland zijn 48 deelnemers, start oktober 2026</w:t>
      </w:r>
      <w:r>
        <w:rPr>
          <w:rStyle w:val="FootnoteReference"/>
        </w:rPr>
        <w:footnoteReference w:id="1793"/>
      </w:r>
      <w:r>
        <w:t xml:space="preserve">. Volgens de registratie is epitalon daar slechts een van vijf bestanddelen van een peptideserum dat op de huid wordt aangebracht; daarnaast worden geneesmiddelen en voedingssupplementen ingenomen. De studie heeft slechts één groep, geen blindering en geen placebocontrole. Ze kan daarom niets zeggen over de werking van epitalon zelf.</w:t>
      </w:r>
    </w:p>
    <w:p>
      <w:pPr>
        <w:pStyle w:val="BodyText"/>
      </w:pPr>
      <w:r>
        <w:rPr>
          <w:bCs/>
          <w:b/>
        </w:rPr>
        <w:t xml:space="preserve">Inschatting:</w:t>
      </w:r>
      <w:r>
        <w:t xml:space="preserve"> </w:t>
      </w:r>
      <w:r>
        <w:t xml:space="preserve">opname in de Amerikaanse lijst voor bereidingen zou de verspreiding vergroten zonder de gegevens te verbeteren. Beslissend zou een onafhankelijke, gerandomiseerde studie zijn die ten minste telomeerlengte, melatonine en veiligheidsparameters bij mensen over langere tijd meet.</w:t>
      </w:r>
    </w:p>
    <w:bookmarkEnd w:id="1794"/>
    <w:bookmarkStart w:id="1795" w:name="conclusie-39"/>
    <w:p>
      <w:pPr>
        <w:pStyle w:val="Heading3"/>
      </w:pPr>
      <w:r>
        <w:t xml:space="preserve">Conclusie</w:t>
      </w:r>
    </w:p>
    <w:p>
      <w:pPr>
        <w:pStyle w:val="FirstParagraph"/>
      </w:pPr>
      <w:r>
        <w:t xml:space="preserve">Epitalon is een synthetisch tetrapeptide uit Sint-Petersburg dat in celkweken telomerase activeerde en bij muizen de maximale, maar niet de gemiddelde levensduur verlengde. De vaak geciteerde studie over een langer leven betrof het runderextract epithalamine, was niet gerandomiseerd en werd nooit onafhankelijk herhaald. Dat epitalon bij mensen telomeren verlengt of de veroudering vertraagt, is niet aangetoond; de telomerase-activering roept bovendien een onopgehelderde kankervraag op. De gegevens volstaan niet om nut of veiligheid bij mensen te beoordelen.</w:t>
      </w:r>
    </w:p>
    <w:bookmarkEnd w:id="1795"/>
    <w:bookmarkEnd w:id="1796"/>
    <w:bookmarkStart w:id="1813" w:name="pinealon"/>
    <w:p>
      <w:pPr>
        <w:pStyle w:val="Heading2"/>
      </w:pPr>
      <w:r>
        <w:t xml:space="preserve">Pinealon</w:t>
      </w:r>
    </w:p>
    <w:bookmarkStart w:id="1797" w:name="profiel-40"/>
    <w:p>
      <w:pPr>
        <w:pStyle w:val="Heading3"/>
      </w:pPr>
      <w:r>
        <w:t xml:space="preserve">Profiel</w:t>
      </w:r>
    </w:p>
    <w:p>
      <w:pPr>
        <w:numPr>
          <w:ilvl w:val="0"/>
          <w:numId w:val="1221"/>
        </w:numPr>
        <w:pStyle w:val="Compact"/>
      </w:pPr>
      <w:r>
        <w:rPr>
          <w:bCs/>
          <w:b/>
        </w:rPr>
        <w:t xml:space="preserve">Soort en structuur:</w:t>
      </w:r>
      <w:r>
        <w:t xml:space="preserve"> </w:t>
      </w:r>
      <w:r>
        <w:t xml:space="preserve">synthetisch tripeptide van drie aminozuren: Glu-Asp-Arg (afgekort EDR).</w:t>
      </w:r>
    </w:p>
    <w:p>
      <w:pPr>
        <w:numPr>
          <w:ilvl w:val="0"/>
          <w:numId w:val="1221"/>
        </w:numPr>
        <w:pStyle w:val="Compact"/>
      </w:pPr>
      <w:r>
        <w:rPr>
          <w:bCs/>
          <w:b/>
        </w:rPr>
        <w:t xml:space="preserve">Herkomst:</w:t>
      </w:r>
      <w:r>
        <w:t xml:space="preserve"> </w:t>
      </w:r>
      <w:r>
        <w:t xml:space="preserve">ontwikkeld aan het Instituut voor Bioregulatie en Gerontologie in Sint-Petersburg (groep rond Vladimir Chavinson, die ook epitalon heeft ontwikkeld). De naam verwijst naar de pijnappelklier (glandula pinealis), hoewel het peptide vooral als beschermende stof voor zenuwcellen wordt beschreven.</w:t>
      </w:r>
    </w:p>
    <w:p>
      <w:pPr>
        <w:numPr>
          <w:ilvl w:val="0"/>
          <w:numId w:val="1221"/>
        </w:numPr>
        <w:pStyle w:val="Compact"/>
      </w:pPr>
      <w:r>
        <w:rPr>
          <w:bCs/>
          <w:b/>
        </w:rPr>
        <w:t xml:space="preserve">Werkingsprincipe:</w:t>
      </w:r>
      <w:r>
        <w:t xml:space="preserve"> </w:t>
      </w:r>
      <w:r>
        <w:t xml:space="preserve">zou als „korte peptidebioregulator” cellen en celkernen binnendringen, aan DNA of histonen binden en zo de activiteit beïnvloeden van genen die zenuwcellen beschermen tegen oxidatieve stress en celdood.</w:t>
      </w:r>
    </w:p>
    <w:p>
      <w:pPr>
        <w:numPr>
          <w:ilvl w:val="0"/>
          <w:numId w:val="1221"/>
        </w:numPr>
        <w:pStyle w:val="Compact"/>
      </w:pPr>
      <w:r>
        <w:rPr>
          <w:bCs/>
          <w:b/>
        </w:rPr>
        <w:t xml:space="preserve">Registratie EU:</w:t>
      </w:r>
      <w:r>
        <w:t xml:space="preserve"> </w:t>
      </w:r>
      <w:r>
        <w:t xml:space="preserve">nee.</w:t>
      </w:r>
    </w:p>
    <w:p>
      <w:pPr>
        <w:numPr>
          <w:ilvl w:val="0"/>
          <w:numId w:val="1221"/>
        </w:numPr>
        <w:pStyle w:val="Compact"/>
      </w:pPr>
      <w:r>
        <w:rPr>
          <w:bCs/>
          <w:b/>
        </w:rPr>
        <w:t xml:space="preserve">Registratie VS:</w:t>
      </w:r>
      <w:r>
        <w:t xml:space="preserve"> </w:t>
      </w:r>
      <w:r>
        <w:t xml:space="preserve">nee.</w:t>
      </w:r>
    </w:p>
    <w:p>
      <w:pPr>
        <w:numPr>
          <w:ilvl w:val="0"/>
          <w:numId w:val="1221"/>
        </w:numPr>
        <w:pStyle w:val="Compact"/>
      </w:pPr>
      <w:r>
        <w:rPr>
          <w:bCs/>
          <w:b/>
        </w:rPr>
        <w:t xml:space="preserve">Rusland:</w:t>
      </w:r>
      <w:r>
        <w:t xml:space="preserve"> </w:t>
      </w:r>
      <w:r>
        <w:t xml:space="preserve">op de markt gebracht als bestanddeel van zogeheten „cytogenen” in capsulevorm, dus eerder als voedingssupplement dan als getest geneesmiddel.</w:t>
      </w:r>
    </w:p>
    <w:p>
      <w:pPr>
        <w:numPr>
          <w:ilvl w:val="0"/>
          <w:numId w:val="1221"/>
        </w:numPr>
        <w:pStyle w:val="Compact"/>
      </w:pPr>
      <w:r>
        <w:rPr>
          <w:bCs/>
          <w:b/>
        </w:rPr>
        <w:t xml:space="preserve">WADA:</w:t>
      </w:r>
      <w:r>
        <w:t xml:space="preserve"> </w:t>
      </w:r>
      <w:r>
        <w:t xml:space="preserve">niet bij naam vermeld; een niet als geneesmiddel toegelaten werkzame stof kan onder de verzamelcategorie S0 vallen.</w:t>
      </w:r>
    </w:p>
    <w:p>
      <w:pPr>
        <w:numPr>
          <w:ilvl w:val="0"/>
          <w:numId w:val="1221"/>
        </w:numPr>
        <w:pStyle w:val="Compact"/>
      </w:pPr>
      <w:r>
        <w:rPr>
          <w:bCs/>
          <w:b/>
        </w:rPr>
        <w:t xml:space="preserve">Bewijsniveau:</w:t>
      </w:r>
      <w:r>
        <w:t xml:space="preserve"> </w:t>
      </w:r>
      <w:r>
        <w:rPr>
          <w:bCs/>
          <w:b/>
        </w:rPr>
        <w:t xml:space="preserve">C</w:t>
      </w:r>
      <w:r>
        <w:t xml:space="preserve"> </w:t>
      </w:r>
      <w:r>
        <w:t xml:space="preserve">– enkele kleine, niet-gerandomiseerde Russische observationele studies met surrogaatmaten zoals „biologische leeftijd”.</w:t>
      </w:r>
    </w:p>
    <w:bookmarkEnd w:id="1797"/>
    <w:bookmarkStart w:id="1801" w:name="hoe-het-zou-moeten-werken-40"/>
    <w:p>
      <w:pPr>
        <w:pStyle w:val="Heading3"/>
      </w:pPr>
      <w:r>
        <w:t xml:space="preserve">Hoe het zou moeten werken</w:t>
      </w:r>
    </w:p>
    <w:p>
      <w:pPr>
        <w:pStyle w:val="FirstParagraph"/>
      </w:pPr>
      <w:r>
        <w:t xml:space="preserve">Pinealon behoort tot een familie van zeer korte peptiden (twee tot vier aminozuren) die de groep in Sint-Petersburg „peptidebioregulatoren” noemt. De centrale hypothese luidt: zulke minipeptiden bereiken de celkern, binden daar aan bepaalde DNA-stukken en reguleren op die manier genen – vergelijkbaar met transcriptiefactoren, dus eiwitten die genen aan- en uitschakelen.</w:t>
      </w:r>
    </w:p>
    <w:p>
      <w:pPr>
        <w:pStyle w:val="BodyText"/>
      </w:pPr>
      <w:r>
        <w:t xml:space="preserve">Bewijs daarvoor komt uit het laboratorium:</w:t>
      </w:r>
    </w:p>
    <w:p>
      <w:pPr>
        <w:numPr>
          <w:ilvl w:val="0"/>
          <w:numId w:val="1222"/>
        </w:numPr>
        <w:pStyle w:val="Compact"/>
      </w:pPr>
      <w:r>
        <w:t xml:space="preserve">In kankercellen (HeLa) drongen fluorescent gelabelde pinealon-, epitalon- en verwante peptiden het cytoplasma, de celkern en de kernlichaampjes binnen; in de reageerbuis veranderden ze de fluorescentie van gelabelde DNA-stukken afhankelijk van hun sequentie</w:t>
      </w:r>
      <w:r>
        <w:rPr>
          <w:rStyle w:val="FootnoteReference"/>
        </w:rPr>
        <w:footnoteReference w:id="1798"/>
      </w:r>
      <w:r>
        <w:t xml:space="preserve">.</w:t>
      </w:r>
    </w:p>
    <w:p>
      <w:pPr>
        <w:numPr>
          <w:ilvl w:val="0"/>
          <w:numId w:val="1222"/>
        </w:numPr>
        <w:pStyle w:val="Compact"/>
      </w:pPr>
      <w:r>
        <w:t xml:space="preserve">In zenuwcellen uit de kleine hersenen van ratten en in andere celkweken beperkte pinealon de ophoping van reactieve zuurstofverbindingen en verminderde het het afsterven van cellen</w:t>
      </w:r>
      <w:r>
        <w:rPr>
          <w:rStyle w:val="FootnoteReference"/>
        </w:rPr>
        <w:footnoteReference w:id="1799"/>
      </w:r>
      <w:r>
        <w:t xml:space="preserve">.</w:t>
      </w:r>
    </w:p>
    <w:p>
      <w:pPr>
        <w:pStyle w:val="FirstParagraph"/>
      </w:pPr>
      <w:r>
        <w:t xml:space="preserve">Een overzicht van de ontwikkelaars vat samen dat het EDR-peptide in cel- en dierproeven genen en eiwitten zou beïnvloeden die bij de ziekte van Alzheimer een rol spelen, zoals enzymen van de antioxidatieve afweer en celdoodsignalen</w:t>
      </w:r>
      <w:r>
        <w:rPr>
          <w:rStyle w:val="FootnoteReference"/>
        </w:rPr>
        <w:footnoteReference w:id="1800"/>
      </w:r>
      <w:r>
        <w:t xml:space="preserve">. Dat is een hypothese die door andere onderzoeksgroepen tot nu toe nauwelijks is getoetst. Uit de klassieke farmacologie is bovendien bekend dat zulke korte peptiden in het spijsverteringskanaal en in het bloed snel worden afgebroken; hoeveel onveranderd pinealon na inname van een capsule de zenuwcellen bereikt, is niet onderzocht.</w:t>
      </w:r>
    </w:p>
    <w:bookmarkEnd w:id="1801"/>
    <w:bookmarkStart w:id="1803" w:name="studies-bij-mensen-4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één</w:t>
      </w:r>
      <w:r>
        <w:t xml:space="preserve"> </w:t>
      </w:r>
      <w:r>
        <w:t xml:space="preserve">als studie bij mensen geclassificeerde publicatie op; in totaal vermeldt PubMed slechts 15 publicaties met „Pinealon” in titel of samenvatting. Op ClinicalTrials.gov is geen studie geregistreerd. Bij een aanvullende zoekopdracht werden drie andere kleine Russische publicaties met mensen gevonden, allemaal in het tijdschrift „Uspekhi Gerontologii” (Vorderingen in de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Bashkireva 2012, PMID 23734521</w:t>
            </w:r>
          </w:p>
        </w:tc>
        <w:tc>
          <w:tcPr/>
          <w:p>
            <w:pPr>
              <w:pStyle w:val="Compact"/>
              <w:jc w:val="left"/>
            </w:pPr>
            <w:r>
              <w:t xml:space="preserve">150 vrachtwagenchauffeurs, 150 metaalarbeiders ter vergelijking; peptiden in subgroepen</w:t>
            </w:r>
          </w:p>
        </w:tc>
        <w:tc>
          <w:tcPr/>
          <w:p>
            <w:pPr>
              <w:pStyle w:val="Compact"/>
              <w:jc w:val="left"/>
            </w:pPr>
            <w:r>
              <w:t xml:space="preserve">niet vermeld</w:t>
            </w:r>
          </w:p>
        </w:tc>
        <w:tc>
          <w:tcPr/>
          <w:p>
            <w:pPr>
              <w:pStyle w:val="Compact"/>
              <w:jc w:val="left"/>
            </w:pPr>
            <w:r>
              <w:t xml:space="preserve">volgens de auteurs betere psycho-emotionele waarden, beste effect bij combinatie van twee peptiden</w:t>
            </w:r>
          </w:p>
        </w:tc>
      </w:tr>
      <w:tr>
        <w:tc>
          <w:tcPr/>
          <w:p>
            <w:pPr>
              <w:pStyle w:val="Compact"/>
              <w:jc w:val="left"/>
            </w:pPr>
            <w:r>
              <w:t xml:space="preserve">Nazimko 2012, PMID 22708445</w:t>
            </w:r>
          </w:p>
        </w:tc>
        <w:tc>
          <w:tcPr/>
          <w:p>
            <w:pPr>
              <w:pStyle w:val="Compact"/>
              <w:jc w:val="left"/>
            </w:pPr>
            <w:r>
              <w:t xml:space="preserve">teams van machinisten, pinealoncapsules</w:t>
            </w:r>
          </w:p>
        </w:tc>
        <w:tc>
          <w:tcPr/>
          <w:p>
            <w:pPr>
              <w:pStyle w:val="Compact"/>
              <w:jc w:val="left"/>
            </w:pPr>
            <w:r>
              <w:t xml:space="preserve">2 weken</w:t>
            </w:r>
          </w:p>
        </w:tc>
        <w:tc>
          <w:tcPr/>
          <w:p>
            <w:pPr>
              <w:pStyle w:val="Compact"/>
              <w:jc w:val="left"/>
            </w:pPr>
            <w:r>
              <w:t xml:space="preserve">volgens de auteurs betere „biologische leeftijd” en betere aanpassingsreacties</w:t>
            </w:r>
          </w:p>
        </w:tc>
      </w:tr>
      <w:tr>
        <w:tc>
          <w:tcPr/>
          <w:p>
            <w:pPr>
              <w:pStyle w:val="Compact"/>
              <w:jc w:val="left"/>
            </w:pPr>
            <w:r>
              <w:t xml:space="preserve">Meshchaninov 2015, PMID 26390612</w:t>
            </w:r>
          </w:p>
        </w:tc>
        <w:tc>
          <w:tcPr/>
          <w:p>
            <w:pPr>
              <w:pStyle w:val="Compact"/>
              <w:jc w:val="left"/>
            </w:pPr>
            <w:r>
              <w:t xml:space="preserve">32 personen (41–83 jaar) met multimorbiditeit en organisch psychosyndroom</w:t>
            </w:r>
          </w:p>
        </w:tc>
        <w:tc>
          <w:tcPr/>
          <w:p>
            <w:pPr>
              <w:pStyle w:val="Compact"/>
              <w:jc w:val="left"/>
            </w:pPr>
            <w:r>
              <w:t xml:space="preserve">niet vermeld</w:t>
            </w:r>
          </w:p>
        </w:tc>
        <w:tc>
          <w:tcPr/>
          <w:p>
            <w:pPr>
              <w:pStyle w:val="Compact"/>
              <w:jc w:val="left"/>
            </w:pPr>
            <w:r>
              <w:t xml:space="preserve">„anabool” effect; aanwijzingen voor oxiderende werking en remming van de bloedaanmaak</w:t>
            </w:r>
          </w:p>
        </w:tc>
      </w:tr>
      <w:tr>
        <w:tc>
          <w:tcPr/>
          <w:p>
            <w:pPr>
              <w:pStyle w:val="Compact"/>
              <w:jc w:val="left"/>
            </w:pPr>
            <w:r>
              <w:t xml:space="preserve">Myakotnykh 2016, PMID 28539017</w:t>
            </w:r>
          </w:p>
        </w:tc>
        <w:tc>
          <w:tcPr/>
          <w:p>
            <w:pPr>
              <w:pStyle w:val="Compact"/>
              <w:jc w:val="left"/>
            </w:pPr>
            <w:r>
              <w:t xml:space="preserve">110 personen, vergelijking van verschillende „anti-aging”-methoden</w:t>
            </w:r>
          </w:p>
        </w:tc>
        <w:tc>
          <w:tcPr/>
          <w:p>
            <w:pPr>
              <w:pStyle w:val="Compact"/>
              <w:jc w:val="left"/>
            </w:pPr>
            <w:r>
              <w:t xml:space="preserve">niet vermeld</w:t>
            </w:r>
          </w:p>
        </w:tc>
        <w:tc>
          <w:tcPr/>
          <w:p>
            <w:pPr>
              <w:pStyle w:val="Compact"/>
              <w:jc w:val="left"/>
            </w:pPr>
            <w:r>
              <w:t xml:space="preserve">sterkste effect op de „biologische leeftijd” bij combinatie van twee peptiden</w:t>
            </w:r>
          </w:p>
        </w:tc>
      </w:tr>
    </w:tbl>
    <w:p>
      <w:pPr>
        <w:pStyle w:val="BodyText"/>
      </w:pPr>
      <w:r>
        <w:t xml:space="preserve">Alle vier publicaties hebben gemeenschappelijke zwakke punten:</w:t>
      </w:r>
    </w:p>
    <w:p>
      <w:pPr>
        <w:numPr>
          <w:ilvl w:val="0"/>
          <w:numId w:val="1223"/>
        </w:numPr>
        <w:pStyle w:val="Compact"/>
      </w:pPr>
      <w:r>
        <w:rPr>
          <w:bCs/>
          <w:b/>
        </w:rPr>
        <w:t xml:space="preserve">Geen placebo, geen blindering, geen gerandomiseerde toewijzing</w:t>
      </w:r>
      <w:r>
        <w:t xml:space="preserve"> </w:t>
      </w:r>
      <w:r>
        <w:t xml:space="preserve">herkenbaar. Bij vragenlijsten over stemming en stressbelasting is het verwachtingseffect aanzienlijk.</w:t>
      </w:r>
    </w:p>
    <w:p>
      <w:pPr>
        <w:numPr>
          <w:ilvl w:val="0"/>
          <w:numId w:val="1223"/>
        </w:numPr>
        <w:pStyle w:val="Compact"/>
      </w:pPr>
      <w:r>
        <w:rPr>
          <w:bCs/>
          <w:b/>
        </w:rPr>
        <w:t xml:space="preserve">Surrogaatmaten in plaats van klinische eindpunten:</w:t>
      </w:r>
      <w:r>
        <w:t xml:space="preserve"> </w:t>
      </w:r>
      <w:r>
        <w:t xml:space="preserve">De „biologische leeftijd” wordt in de Russische gerontologie berekend uit een combinatie van metingen zoals bloeddruk, longfunctie, reactietijd en zelfrapportage. Het is geen internationaal gestandaardiseerde maat, en een verbetering betekent niet automatisch meer gezondheid of een langer leven.</w:t>
      </w:r>
    </w:p>
    <w:p>
      <w:pPr>
        <w:numPr>
          <w:ilvl w:val="0"/>
          <w:numId w:val="1223"/>
        </w:numPr>
        <w:pStyle w:val="Compact"/>
      </w:pPr>
      <w:r>
        <w:rPr>
          <w:bCs/>
          <w:b/>
        </w:rPr>
        <w:t xml:space="preserve">Combinaties:</w:t>
      </w:r>
      <w:r>
        <w:t xml:space="preserve"> </w:t>
      </w:r>
      <w:r>
        <w:t xml:space="preserve">In meerdere studies werd pinealon samen met het peptide vesugen (Lys-Glu-Asp) gegeven, zodat het effect niet aan één stof kan worden toegeschreven.</w:t>
      </w:r>
    </w:p>
    <w:p>
      <w:pPr>
        <w:numPr>
          <w:ilvl w:val="0"/>
          <w:numId w:val="1223"/>
        </w:numPr>
        <w:pStyle w:val="Compact"/>
      </w:pPr>
      <w:r>
        <w:rPr>
          <w:bCs/>
          <w:b/>
        </w:rPr>
        <w:t xml:space="preserve">Onduidelijke getallen:</w:t>
      </w:r>
      <w:r>
        <w:t xml:space="preserve"> </w:t>
      </w:r>
      <w:r>
        <w:t xml:space="preserve">De samenvattingen noemen nauwelijks effectgrootten.</w:t>
      </w:r>
    </w:p>
    <w:p>
      <w:pPr>
        <w:pStyle w:val="FirstParagraph"/>
      </w:pPr>
      <w:r>
        <w:t xml:space="preserve">Opmerkelijk is een bevinding die in de reclame niet voorkomt: in de studie met 32 ouderen zagen de auteurs onder pinealon en vesugen een</w:t>
      </w:r>
      <w:r>
        <w:t xml:space="preserve"> </w:t>
      </w:r>
      <w:r>
        <w:rPr>
          <w:bCs/>
          <w:b/>
        </w:rPr>
        <w:t xml:space="preserve">pro-oxidatieve</w:t>
      </w:r>
      <w:r>
        <w:t xml:space="preserve"> </w:t>
      </w:r>
      <w:r>
        <w:t xml:space="preserve">activiteit – dus het tegendeel van het beweerde antioxidatieve effect – en een afname van bloedvormende stamcellen (CD34+) in het bloed, die zij beschrijven als een duidelijke remming van de bloedaanmaak. Toch bevelen zij de peptiden aan voor de geriatrische praktijk</w:t>
      </w:r>
      <w:r>
        <w:rPr>
          <w:rStyle w:val="FootnoteReference"/>
        </w:rPr>
        <w:footnoteReference w:id="1802"/>
      </w:r>
      <w:r>
        <w:t xml:space="preserve">.</w:t>
      </w:r>
    </w:p>
    <w:bookmarkEnd w:id="1803"/>
    <w:bookmarkStart w:id="1807" w:name="dier--en-laboratoriumstudies-40"/>
    <w:p>
      <w:pPr>
        <w:pStyle w:val="Heading3"/>
      </w:pPr>
      <w:r>
        <w:t xml:space="preserve">Dier- en laboratoriumstudies</w:t>
      </w:r>
    </w:p>
    <w:p>
      <w:pPr>
        <w:numPr>
          <w:ilvl w:val="0"/>
          <w:numId w:val="1224"/>
        </w:numPr>
        <w:pStyle w:val="Compact"/>
      </w:pPr>
      <w:r>
        <w:t xml:space="preserve">Bij ratten van wie de moeders tijdens de zwangerschap door methioninerijk voer verhoogde homocysteïnewaarden hadden, verbeterde pinealon (gegeven aan de moeders) de oriëntatie en het leervermogen van de nakomelingen; hun zenuwcellen in de kleine hersenen waren beter bestand tegen oxidatieve stress</w:t>
      </w:r>
      <w:r>
        <w:rPr>
          <w:rStyle w:val="FootnoteReference"/>
        </w:rPr>
        <w:footnoteReference w:id="1804"/>
      </w:r>
      <w:r>
        <w:t xml:space="preserve">.</w:t>
      </w:r>
    </w:p>
    <w:p>
      <w:pPr>
        <w:numPr>
          <w:ilvl w:val="0"/>
          <w:numId w:val="1224"/>
        </w:numPr>
        <w:pStyle w:val="Compact"/>
      </w:pPr>
      <w:r>
        <w:t xml:space="preserve">Bij ratten van 18 maanden oud beïnvloedden pinealon en Cortexin (een Russisch preparaat uit hersenextract) bij zuurstoftekort en onderkoeling gedrag en signaalstoffen in de hersenen; Cortexin werkte daarbij sterker op radicaalprocessen en celdoodenzymen</w:t>
      </w:r>
      <w:r>
        <w:rPr>
          <w:rStyle w:val="FootnoteReference"/>
        </w:rPr>
        <w:footnoteReference w:id="1805"/>
      </w:r>
      <w:r>
        <w:t xml:space="preserve">.</w:t>
      </w:r>
    </w:p>
    <w:p>
      <w:pPr>
        <w:numPr>
          <w:ilvl w:val="0"/>
          <w:numId w:val="1224"/>
        </w:numPr>
        <w:pStyle w:val="Compact"/>
      </w:pPr>
      <w:r>
        <w:t xml:space="preserve">In celkweken beschermde pinealon verschillende celtypen tegen oxidatieve stress</w:t>
      </w:r>
      <w:r>
        <w:rPr>
          <w:rStyle w:val="FootnoteReference"/>
        </w:rPr>
        <w:footnoteReference w:id="1806"/>
      </w:r>
      <w:r>
        <w:t xml:space="preserve">.</w:t>
      </w:r>
    </w:p>
    <w:p>
      <w:pPr>
        <w:pStyle w:val="FirstParagraph"/>
      </w:pPr>
      <w:r>
        <w:t xml:space="preserve">Bijna alle publicaties komen van de ontwikkelaarsgroep of samenwerkende Russische instituten.</w:t>
      </w:r>
    </w:p>
    <w:bookmarkEnd w:id="1807"/>
    <w:bookmarkStart w:id="1809" w:name="risicos-en-bijwerkingen-40"/>
    <w:p>
      <w:pPr>
        <w:pStyle w:val="Heading3"/>
      </w:pPr>
      <w:r>
        <w:t xml:space="preserve">Risico’s en bijwerkingen</w:t>
      </w:r>
    </w:p>
    <w:p>
      <w:pPr>
        <w:pStyle w:val="FirstParagraph"/>
      </w:pPr>
      <w:r>
        <w:rPr>
          <w:bCs/>
          <w:b/>
        </w:rPr>
        <w:t xml:space="preserve">Aangetoond:</w:t>
      </w:r>
      <w:r>
        <w:t xml:space="preserve"> </w:t>
      </w:r>
      <w:r>
        <w:t xml:space="preserve">systematische veiligheidsgegevens zijn er niet. De enige studie die laboratoriumwaarden uitvoeriger rapporteert, beschrijft een pro-oxidatieve activiteit en een afname van bloedvormende stamcellen in het bloed</w:t>
      </w:r>
      <w:r>
        <w:rPr>
          <w:rStyle w:val="FootnoteReference"/>
        </w:rPr>
        <w:footnoteReference w:id="1808"/>
      </w:r>
      <w:r>
        <w:t xml:space="preserve">. Wat dat betekent, is onduidelijk – maar het is een waarschuwingssignaal dat niet verder is onderzocht.</w:t>
      </w:r>
    </w:p>
    <w:p>
      <w:pPr>
        <w:pStyle w:val="BodyText"/>
      </w:pPr>
      <w:r>
        <w:rPr>
          <w:bCs/>
          <w:b/>
        </w:rPr>
        <w:t xml:space="preserve">Theoretisch:</w:t>
      </w:r>
      <w:r>
        <w:t xml:space="preserve"> </w:t>
      </w:r>
      <w:r>
        <w:t xml:space="preserve">als de hypothese van de ontwikkelaars klopt en pinealon daadwerkelijk aan DNA bindt en genen reguleert, zouden ook ongewenste genetische effecten denkbaar zijn. Onderzoek naar schade aan het erfelijk materiaal, kankerrisico of langetermijneffecten is er niet.</w:t>
      </w:r>
    </w:p>
    <w:p>
      <w:pPr>
        <w:pStyle w:val="BodyText"/>
      </w:pPr>
      <w:r>
        <w:rPr>
          <w:bCs/>
          <w:b/>
        </w:rPr>
        <w:t xml:space="preserve">Grijze markt:</w:t>
      </w:r>
      <w:r>
        <w:t xml:space="preserve"> </w:t>
      </w:r>
      <w:r>
        <w:t xml:space="preserve">pinealon wordt online aangeboden als capsule, neusspray of poeder voor injectie, meestal met beloften over geheugen, slaap en „hersenverjonging”. Gehalte en zuiverheid zijn ongecontroleerd.</w:t>
      </w:r>
    </w:p>
    <w:bookmarkEnd w:id="1809"/>
    <w:bookmarkStart w:id="1810" w:name="juridische-status-40"/>
    <w:p>
      <w:pPr>
        <w:pStyle w:val="Heading3"/>
      </w:pPr>
      <w:r>
        <w:t xml:space="preserve">Juridische status</w:t>
      </w:r>
    </w:p>
    <w:p>
      <w:pPr>
        <w:numPr>
          <w:ilvl w:val="0"/>
          <w:numId w:val="1225"/>
        </w:numPr>
        <w:pStyle w:val="Compact"/>
      </w:pPr>
      <w:r>
        <w:rPr>
          <w:bCs/>
          <w:b/>
        </w:rPr>
        <w:t xml:space="preserve">EU / Oostenrijk / Duitsland:</w:t>
      </w:r>
      <w:r>
        <w:t xml:space="preserve"> </w:t>
      </w:r>
      <w:r>
        <w:t xml:space="preserve">niet als geneesmiddel toegelaten. Verkoop als voedingssupplement zou alleen toegestaan zijn als de stof volgens de levensmiddelenwetgeving is toegelaten; als nieuwe, synthetische stof met beoogde farmacologische werking is dat naar onze inschatting niet het geval.</w:t>
      </w:r>
    </w:p>
    <w:p>
      <w:pPr>
        <w:numPr>
          <w:ilvl w:val="0"/>
          <w:numId w:val="1225"/>
        </w:numPr>
        <w:pStyle w:val="Compact"/>
      </w:pPr>
      <w:r>
        <w:rPr>
          <w:bCs/>
          <w:b/>
        </w:rPr>
        <w:t xml:space="preserve">VS:</w:t>
      </w:r>
      <w:r>
        <w:t xml:space="preserve"> </w:t>
      </w:r>
      <w:r>
        <w:t xml:space="preserve">niet toegelaten.</w:t>
      </w:r>
    </w:p>
    <w:p>
      <w:pPr>
        <w:numPr>
          <w:ilvl w:val="0"/>
          <w:numId w:val="1225"/>
        </w:numPr>
        <w:pStyle w:val="Compact"/>
      </w:pPr>
      <w:r>
        <w:rPr>
          <w:bCs/>
          <w:b/>
        </w:rPr>
        <w:t xml:space="preserve">Rusland:</w:t>
      </w:r>
      <w:r>
        <w:t xml:space="preserve"> </w:t>
      </w:r>
      <w:r>
        <w:t xml:space="preserve">in de handel als bestanddeel van peptidepreparaten die niet de toelatingsprocedure voor geneesmiddelen hebben doorlopen.</w:t>
      </w:r>
    </w:p>
    <w:p>
      <w:pPr>
        <w:numPr>
          <w:ilvl w:val="0"/>
          <w:numId w:val="1225"/>
        </w:numPr>
        <w:pStyle w:val="Compact"/>
      </w:pPr>
      <w:r>
        <w:rPr>
          <w:bCs/>
          <w:b/>
        </w:rPr>
        <w:t xml:space="preserve">Sport:</w:t>
      </w:r>
      <w:r>
        <w:t xml:space="preserve"> </w:t>
      </w:r>
      <w:r>
        <w:t xml:space="preserve">niet bij naam vermeld; mogelijke opname via WADA-categorie S0 (stand 2026, actuele situatie controleren).</w:t>
      </w:r>
    </w:p>
    <w:bookmarkEnd w:id="1810"/>
    <w:bookmarkStart w:id="1811" w:name="lopende-studies-en-vooruitzichten-40"/>
    <w:p>
      <w:pPr>
        <w:pStyle w:val="Heading3"/>
      </w:pPr>
      <w:r>
        <w:t xml:space="preserve">Lopende studies en vooruitzichten</w:t>
      </w:r>
    </w:p>
    <w:p>
      <w:pPr>
        <w:pStyle w:val="FirstParagraph"/>
      </w:pPr>
      <w:r>
        <w:rPr>
          <w:bCs/>
          <w:b/>
        </w:rPr>
        <w:t xml:space="preserve">Vast staat:</w:t>
      </w:r>
      <w:r>
        <w:t xml:space="preserve"> </w:t>
      </w:r>
      <w:r>
        <w:t xml:space="preserve">geen geregistreerde studie (zoekopdracht oktober 2026).</w:t>
      </w:r>
    </w:p>
    <w:p>
      <w:pPr>
        <w:pStyle w:val="BodyText"/>
      </w:pPr>
      <w:r>
        <w:rPr>
          <w:bCs/>
          <w:b/>
        </w:rPr>
        <w:t xml:space="preserve">Inschatting:</w:t>
      </w:r>
      <w:r>
        <w:t xml:space="preserve"> </w:t>
      </w:r>
      <w:r>
        <w:t xml:space="preserve">zolang het onderzoek beperkt blijft tot een kleine kring Russische instituten en er geen gerandomiseerde, placebogecontroleerde studies met klinische eindpunten worden uitgevoerd, blijft pinealon een laboratoriumconcept met een marketingbovenbouw.</w:t>
      </w:r>
    </w:p>
    <w:bookmarkEnd w:id="1811"/>
    <w:bookmarkStart w:id="1812" w:name="conclusie-40"/>
    <w:p>
      <w:pPr>
        <w:pStyle w:val="Heading3"/>
      </w:pPr>
      <w:r>
        <w:t xml:space="preserve">Conclusie</w:t>
      </w:r>
    </w:p>
    <w:p>
      <w:pPr>
        <w:pStyle w:val="FirstParagraph"/>
      </w:pPr>
      <w:r>
        <w:t xml:space="preserve">Pinealon is een synthetisch tripeptide uit Sint-Petersburg dat in celkweken en bij ratten zenuwcellen beschermde tegen oxidatieve stress; de ontwikkelaars vermoeden een rechtstreeks effect op genen. De weinige studies bij mensen zijn klein, ongecontroleerd en meten vooral een niet-gestandaardiseerde „biologische leeftijd”. Een daarvan vond zelfs aanwijzingen voor een pro-oxidatief effect en een remming van de bloedaanmaak. De gegevens volstaan niet om een nut of de veiligheid bij mensen te beoordelen.</w:t>
      </w:r>
    </w:p>
    <w:bookmarkEnd w:id="1812"/>
    <w:bookmarkEnd w:id="1813"/>
    <w:bookmarkStart w:id="1842" w:name="mots-c"/>
    <w:p>
      <w:pPr>
        <w:pStyle w:val="Heading2"/>
      </w:pPr>
      <w:r>
        <w:t xml:space="preserve">MOTS-c</w:t>
      </w:r>
    </w:p>
    <w:bookmarkStart w:id="1814" w:name="profiel-41"/>
    <w:p>
      <w:pPr>
        <w:pStyle w:val="Heading3"/>
      </w:pPr>
      <w:r>
        <w:t xml:space="preserve">Profiel</w:t>
      </w:r>
    </w:p>
    <w:p>
      <w:pPr>
        <w:numPr>
          <w:ilvl w:val="0"/>
          <w:numId w:val="1226"/>
        </w:numPr>
        <w:pStyle w:val="Compact"/>
      </w:pPr>
      <w:r>
        <w:rPr>
          <w:bCs/>
          <w:b/>
        </w:rPr>
        <w:t xml:space="preserve">Soort en structuur:</w:t>
      </w:r>
      <w:r>
        <w:t xml:space="preserve"> </w:t>
      </w:r>
      <w:r>
        <w:t xml:space="preserve">peptide van 16 aminozuren. De naam staat voor</w:t>
      </w:r>
      <w:r>
        <w:t xml:space="preserve"> </w:t>
      </w:r>
      <w:r>
        <w:rPr>
          <w:iCs/>
          <w:i/>
        </w:rPr>
        <w:t xml:space="preserve">mitochondrial open reading frame of the 12S rRNA-c</w:t>
      </w:r>
      <w:r>
        <w:t xml:space="preserve"> </w:t>
      </w:r>
      <w:r>
        <w:t xml:space="preserve">– het is niet in de celkern, maar in het erfelijk materiaal van de mitochondriën gecodeerd, de „energiecentrales” van de cel.</w:t>
      </w:r>
    </w:p>
    <w:p>
      <w:pPr>
        <w:numPr>
          <w:ilvl w:val="0"/>
          <w:numId w:val="1226"/>
        </w:numPr>
        <w:pStyle w:val="Compact"/>
      </w:pPr>
      <w:r>
        <w:rPr>
          <w:bCs/>
          <w:b/>
        </w:rPr>
        <w:t xml:space="preserve">Herkomst:</w:t>
      </w:r>
      <w:r>
        <w:t xml:space="preserve"> </w:t>
      </w:r>
      <w:r>
        <w:t xml:space="preserve">in 2015 beschreven door een onderzoeksgroep rond Pinchas Cohen aan de University of Southern California. Het lichaam maakt het zelf aan, vooral in de skeletspier.</w:t>
      </w:r>
    </w:p>
    <w:p>
      <w:pPr>
        <w:numPr>
          <w:ilvl w:val="0"/>
          <w:numId w:val="1226"/>
        </w:numPr>
        <w:pStyle w:val="Compact"/>
      </w:pPr>
      <w:r>
        <w:rPr>
          <w:bCs/>
          <w:b/>
        </w:rPr>
        <w:t xml:space="preserve">Werkingsprincipe:</w:t>
      </w:r>
      <w:r>
        <w:t xml:space="preserve"> </w:t>
      </w:r>
      <w:r>
        <w:t xml:space="preserve">geldt als „mitokine” – een signaalstof van de mitochondriën. Bij muizen activeerde het de energiesensor AMPK, verbeterde het de insulinegevoeligheid en het lichamelijk prestatievermogen; daarom wordt het besproken als „bewegingsnabootser” (exercise mimetic).</w:t>
      </w:r>
    </w:p>
    <w:p>
      <w:pPr>
        <w:numPr>
          <w:ilvl w:val="0"/>
          <w:numId w:val="1226"/>
        </w:numPr>
        <w:pStyle w:val="Compact"/>
      </w:pPr>
      <w:r>
        <w:rPr>
          <w:bCs/>
          <w:b/>
        </w:rPr>
        <w:t xml:space="preserve">Registratie EU:</w:t>
      </w:r>
      <w:r>
        <w:t xml:space="preserve"> </w:t>
      </w:r>
      <w:r>
        <w:t xml:space="preserve">nee.</w:t>
      </w:r>
    </w:p>
    <w:p>
      <w:pPr>
        <w:numPr>
          <w:ilvl w:val="0"/>
          <w:numId w:val="1226"/>
        </w:numPr>
        <w:pStyle w:val="Compact"/>
      </w:pPr>
      <w:r>
        <w:rPr>
          <w:bCs/>
          <w:b/>
        </w:rPr>
        <w:t xml:space="preserve">Registratie VS:</w:t>
      </w:r>
      <w:r>
        <w:t xml:space="preserve"> </w:t>
      </w:r>
      <w:r>
        <w:t xml:space="preserve">nee. In april 2026 van de FDA-„categorie 2” geschrapt; het adviescomité PCAC stemde in juli 2026 met 7 tegen 5 stemmen voor opname in de lijst van toegestane grondstoffen voor bereidingen (stand oktober 2026, actuele situatie controleren).</w:t>
      </w:r>
    </w:p>
    <w:p>
      <w:pPr>
        <w:numPr>
          <w:ilvl w:val="0"/>
          <w:numId w:val="1226"/>
        </w:numPr>
        <w:pStyle w:val="Compact"/>
      </w:pPr>
      <w:r>
        <w:rPr>
          <w:bCs/>
          <w:b/>
        </w:rPr>
        <w:t xml:space="preserve">WADA:</w:t>
      </w:r>
      <w:r>
        <w:t xml:space="preserve"> </w:t>
      </w:r>
      <w:r>
        <w:rPr>
          <w:bCs/>
          <w:b/>
        </w:rPr>
        <w:t xml:space="preserve">verboden</w:t>
      </w:r>
      <w:r>
        <w:t xml:space="preserve"> </w:t>
      </w:r>
      <w:r>
        <w:t xml:space="preserve">– uitdrukkelijk in categorie S4 (hormoon- en stofwisselingsmodulatoren) genoemd als voorbeeld van een AMPK-activator, binnen en buiten wedstrijden.</w:t>
      </w:r>
    </w:p>
    <w:p>
      <w:pPr>
        <w:numPr>
          <w:ilvl w:val="0"/>
          <w:numId w:val="1226"/>
        </w:numPr>
        <w:pStyle w:val="Compact"/>
      </w:pPr>
      <w:r>
        <w:rPr>
          <w:bCs/>
          <w:b/>
        </w:rPr>
        <w:t xml:space="preserve">Bewijsniveau:</w:t>
      </w:r>
      <w:r>
        <w:t xml:space="preserve"> </w:t>
      </w:r>
      <w:r>
        <w:rPr>
          <w:bCs/>
          <w:b/>
        </w:rPr>
        <w:t xml:space="preserve">D</w:t>
      </w:r>
      <w:r>
        <w:t xml:space="preserve"> </w:t>
      </w:r>
      <w:r>
        <w:t xml:space="preserve">voor toediening als werkzame stof – gepubliceerde resultaten van gecontroleerde studies bij mensen zijn er niet; bij mensen bestaan alleen observationele studies naar de lichaamseigen spiegels.</w:t>
      </w:r>
    </w:p>
    <w:bookmarkEnd w:id="1814"/>
    <w:bookmarkStart w:id="1818" w:name="hoe-het-zou-moeten-werken-41"/>
    <w:p>
      <w:pPr>
        <w:pStyle w:val="Heading3"/>
      </w:pPr>
      <w:r>
        <w:t xml:space="preserve">Hoe het zou moeten werken</w:t>
      </w:r>
    </w:p>
    <w:p>
      <w:pPr>
        <w:pStyle w:val="FirstParagraph"/>
      </w:pPr>
      <w:r>
        <w:t xml:space="preserve">Mitochondriën hebben een eigen, klein erfelijk materiaal. Lang gold dat als „bouwtekening” voor slechts 13 eiwitten van de energiewinning. Sinds het begin van de jaren 2000 werden daarin bovendien korte leesgedeelten ontdekt die kleine signaalpeptiden coderen – eerst humanine (zie volgend hoofdstuk), daarna MOTS-c.</w:t>
      </w:r>
    </w:p>
    <w:p>
      <w:pPr>
        <w:pStyle w:val="BodyText"/>
      </w:pPr>
      <w:r>
        <w:t xml:space="preserve">De eerste beschrijving liet bij muizen zien dat MOTS-c vooral op de skeletspier werkt: het remt een stofwisselingsroute (folaatcyclus en purinesynthese), waardoor de signaalstof AICAR zich ophoopt en het enzym AMPK wordt geactiveerd – dezelfde energiesensor waarop ook beweging en het diabetesmiddel metformine werken. Muizen die MOTS-c ingespoten kregen, ontwikkelden bij vetrijk voer minder overgewicht en minder insulineresistentie</w:t>
      </w:r>
      <w:r>
        <w:rPr>
          <w:rStyle w:val="FootnoteReference"/>
        </w:rPr>
        <w:footnoteReference w:id="1815"/>
      </w:r>
      <w:r>
        <w:t xml:space="preserve">. Onder stofwisselingsstress verplaatste MOTS-c zich in celkweken naar de celkern en beïnvloedde daar genen</w:t>
      </w:r>
      <w:r>
        <w:rPr>
          <w:rStyle w:val="FootnoteReference"/>
        </w:rPr>
        <w:footnoteReference w:id="1816"/>
      </w:r>
      <w:r>
        <w:t xml:space="preserve">.</w:t>
      </w:r>
    </w:p>
    <w:p>
      <w:pPr>
        <w:pStyle w:val="BodyText"/>
      </w:pPr>
      <w:r>
        <w:t xml:space="preserve">In een tweede grote publicatie verhoogde MOTS-c het lichamelijk prestatievermogen van jonge, middelbare en oude muizen; een pas op hoge leeftijd begonnen behandeling verbeterde het prestatievermogen en de „gezonde levensduur”. Bij mensen stegen de MOTS-c-spiegels in spier en bloed na lichamelijke inspanning</w:t>
      </w:r>
      <w:r>
        <w:rPr>
          <w:rStyle w:val="FootnoteReference"/>
        </w:rPr>
        <w:footnoteReference w:id="1817"/>
      </w:r>
      <w:r>
        <w:t xml:space="preserve">.</w:t>
      </w:r>
    </w:p>
    <w:p>
      <w:pPr>
        <w:pStyle w:val="BodyText"/>
      </w:pPr>
      <w:r>
        <w:t xml:space="preserve">Daaruit ontstond het beeld van MOTS-c als „sport in een spuitje”. Belangrijk is echter de volgorde: dat beweging MOTS-c verhoogt, betekent niet dat MOTS-c-injecties de effecten van beweging bij mensen nabootsen.</w:t>
      </w:r>
    </w:p>
    <w:bookmarkEnd w:id="1818"/>
    <w:bookmarkStart w:id="1828" w:name="studies-bij-mensen-4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5 als studie bij mensen geclassificeerde publicaties op; in geen daarvan werd MOTS-c toegediend. In totaal vermeldt PubMed ongeveer 260 publicaties met „MOTS-c”, overwegend dier- en celexperimenten en observationele studies naar de lichaamseigen bloedspiegels. Op ClinicalTrials.gov leverde de zoekopdracht 5 registraties op. Vier daarvan meten alleen spiegels of betreffen andere vraagstellingen. De vijfde, een zogenaamde fase 2-studie met MOTS-c bij prediabetes, komt van een sponsor onder wiens naam kennelijk fictieve voorbeeldregistraties in het register staan. Wij beschouwen hem daarom niet als echte studie en tellen hem niet mee; een geregistreerde studie met MOTS-c zelf als werkzame stof is daarmee niet aangetoond. Daarbij komt een afgeronde studie met de MOTS-c-afgeleide CB4211</w:t>
      </w:r>
      <w:r>
        <w:rPr>
          <w:rStyle w:val="FootnoteReference"/>
        </w:rPr>
        <w:footnoteReference w:id="1819"/>
      </w:r>
      <w:r>
        <w:t xml:space="preserve">.</w:t>
      </w:r>
    </w:p>
    <w:p>
      <w:pPr>
        <w:pStyle w:val="BodyText"/>
      </w:pPr>
      <w:r>
        <w:t xml:space="preserve">Voor het begrip van dit hoofdstuk is één onderscheid essentieel:</w:t>
      </w:r>
    </w:p>
    <w:p>
      <w:pPr>
        <w:numPr>
          <w:ilvl w:val="0"/>
          <w:numId w:val="1227"/>
        </w:numPr>
        <w:pStyle w:val="Compact"/>
      </w:pPr>
      <w:r>
        <w:rPr>
          <w:bCs/>
          <w:b/>
        </w:rPr>
        <w:t xml:space="preserve">Observationele studies naar lichaamseigen spiegels:</w:t>
      </w:r>
      <w:r>
        <w:t xml:space="preserve"> </w:t>
      </w:r>
      <w:r>
        <w:t xml:space="preserve">Hier wordt gemeten hoeveel MOTS-c mensen in het bloed hebben, en dat wordt in verband gebracht met ziekten of gedrag.</w:t>
      </w:r>
    </w:p>
    <w:p>
      <w:pPr>
        <w:numPr>
          <w:ilvl w:val="0"/>
          <w:numId w:val="1227"/>
        </w:numPr>
        <w:pStyle w:val="Compact"/>
      </w:pPr>
      <w:r>
        <w:rPr>
          <w:bCs/>
          <w:b/>
        </w:rPr>
        <w:t xml:space="preserve">Studies waarin MOTS-c (of een afgeleide) als werkzame stof wordt gegeven:</w:t>
      </w:r>
      <w:r>
        <w:t xml:space="preserve"> </w:t>
      </w:r>
      <w:r>
        <w:t xml:space="preserve">Alleen die kunnen laten zien of toediening iets uithaalt.</w:t>
      </w:r>
    </w:p>
    <w:p>
      <w:pPr>
        <w:pStyle w:val="FirstParagraph"/>
      </w:pPr>
      <w:r>
        <w:t xml:space="preserve">Resultaten van de eerste soort worden op internet vaak zo voorgesteld alsof ze de werking van de tweede soort aantonen. Dat is een kortsluiting.</w:t>
      </w:r>
    </w:p>
    <w:bookmarkStart w:id="1825" w:name="lichaamseigen-spiegels-observaties"/>
    <w:p>
      <w:pPr>
        <w:pStyle w:val="Heading4"/>
      </w:pPr>
      <w:r>
        <w:t xml:space="preserve">1. Lichaamseigen spiegels: observaties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 2018, PMID 29691953</w:t>
            </w:r>
          </w:p>
        </w:tc>
        <w:tc>
          <w:tcPr/>
          <w:p>
            <w:pPr>
              <w:pStyle w:val="Compact"/>
              <w:jc w:val="left"/>
            </w:pPr>
            <w:r>
              <w:t xml:space="preserve">40 kinderen en jongeren met overgewicht, 57 controles, patiënt-controleonderzoek</w:t>
            </w:r>
          </w:p>
        </w:tc>
        <w:tc>
          <w:tcPr/>
          <w:p>
            <w:pPr>
              <w:pStyle w:val="Compact"/>
              <w:jc w:val="left"/>
            </w:pPr>
            <w:r>
              <w:t xml:space="preserve">dwarsdoorsnede</w:t>
            </w:r>
          </w:p>
        </w:tc>
        <w:tc>
          <w:tcPr/>
          <w:p>
            <w:pPr>
              <w:pStyle w:val="Compact"/>
              <w:jc w:val="left"/>
            </w:pPr>
            <w:r>
              <w:t xml:space="preserve">lagere spiegels bij jongens met overgewicht, niet bij meisjes</w:t>
            </w:r>
          </w:p>
        </w:tc>
      </w:tr>
      <w:tr>
        <w:tc>
          <w:tcPr/>
          <w:p>
            <w:pPr>
              <w:pStyle w:val="Compact"/>
              <w:jc w:val="left"/>
            </w:pPr>
            <w:r>
              <w:t xml:space="preserve">Kirik 2023, PMID 37750635</w:t>
            </w:r>
          </w:p>
        </w:tc>
        <w:tc>
          <w:tcPr/>
          <w:p>
            <w:pPr>
              <w:pStyle w:val="Compact"/>
              <w:jc w:val="left"/>
            </w:pPr>
            <w:r>
              <w:t xml:space="preserve">150 personen met leververvetting, 84 gezonden</w:t>
            </w:r>
          </w:p>
        </w:tc>
        <w:tc>
          <w:tcPr/>
          <w:p>
            <w:pPr>
              <w:pStyle w:val="Compact"/>
              <w:jc w:val="left"/>
            </w:pPr>
            <w:r>
              <w:t xml:space="preserve">dwarsdoorsnede</w:t>
            </w:r>
          </w:p>
        </w:tc>
        <w:tc>
          <w:tcPr/>
          <w:p>
            <w:pPr>
              <w:pStyle w:val="Compact"/>
              <w:jc w:val="left"/>
            </w:pPr>
            <w:r>
              <w:t xml:space="preserve">lagere spiegels bij leververvetting en metabool syndroom</w:t>
            </w:r>
          </w:p>
        </w:tc>
      </w:tr>
      <w:tr>
        <w:tc>
          <w:tcPr/>
          <w:p>
            <w:pPr>
              <w:pStyle w:val="Compact"/>
              <w:jc w:val="left"/>
            </w:pPr>
            <w:r>
              <w:t xml:space="preserve">Ikonomidis 2020, PMID 32052315</w:t>
            </w:r>
          </w:p>
        </w:tc>
        <w:tc>
          <w:tcPr/>
          <w:p>
            <w:pPr>
              <w:pStyle w:val="Compact"/>
              <w:jc w:val="left"/>
            </w:pPr>
            <w:r>
              <w:t xml:space="preserve">121 mensen met diabetes type 2 na een vaatingreep</w:t>
            </w:r>
          </w:p>
        </w:tc>
        <w:tc>
          <w:tcPr/>
          <w:p>
            <w:pPr>
              <w:pStyle w:val="Compact"/>
              <w:jc w:val="left"/>
            </w:pPr>
            <w:r>
              <w:t xml:space="preserve">2 jaar</w:t>
            </w:r>
          </w:p>
        </w:tc>
        <w:tc>
          <w:tcPr/>
          <w:p>
            <w:pPr>
              <w:pStyle w:val="Compact"/>
              <w:jc w:val="left"/>
            </w:pPr>
            <w:r>
              <w:t xml:space="preserve">laag MOTS-c (onder 167 ng/ml) voorspelde hart- en vaatincidenten (relatief risico 3,8)</w:t>
            </w:r>
          </w:p>
        </w:tc>
      </w:tr>
      <w:tr>
        <w:tc>
          <w:tcPr/>
          <w:p>
            <w:pPr>
              <w:pStyle w:val="Compact"/>
              <w:jc w:val="left"/>
            </w:pPr>
            <w:r>
              <w:t xml:space="preserve">von Walden 2021, PMID 34351816</w:t>
            </w:r>
          </w:p>
        </w:tc>
        <w:tc>
          <w:tcPr/>
          <w:p>
            <w:pPr>
              <w:pStyle w:val="Compact"/>
              <w:jc w:val="left"/>
            </w:pPr>
            <w:r>
              <w:t xml:space="preserve">30 personen, duur- of krachttraining of controle, gerandomiseerd</w:t>
            </w:r>
          </w:p>
        </w:tc>
        <w:tc>
          <w:tcPr/>
          <w:p>
            <w:pPr>
              <w:pStyle w:val="Compact"/>
              <w:jc w:val="left"/>
            </w:pPr>
            <w:r>
              <w:t xml:space="preserve">eenmalige inspanning</w:t>
            </w:r>
          </w:p>
        </w:tc>
        <w:tc>
          <w:tcPr/>
          <w:p>
            <w:pPr>
              <w:pStyle w:val="Compact"/>
              <w:jc w:val="left"/>
            </w:pPr>
            <w:r>
              <w:t xml:space="preserve">humanine steeg na duurinspanning, MOTS-c liet alleen een trend zien</w:t>
            </w:r>
          </w:p>
        </w:tc>
      </w:tr>
      <w:tr>
        <w:tc>
          <w:tcPr/>
          <w:p>
            <w:pPr>
              <w:pStyle w:val="Compact"/>
              <w:jc w:val="left"/>
            </w:pPr>
            <w:r>
              <w:t xml:space="preserve">Dieli-Conwright 2021, PMID 34413391</w:t>
            </w:r>
          </w:p>
        </w:tc>
        <w:tc>
          <w:tcPr/>
          <w:p>
            <w:pPr>
              <w:pStyle w:val="Compact"/>
              <w:jc w:val="left"/>
            </w:pPr>
            <w:r>
              <w:t xml:space="preserve">49 vrouwen na borstkanker, training of standaardzorg, gerandomiseerd</w:t>
            </w:r>
          </w:p>
        </w:tc>
        <w:tc>
          <w:tcPr/>
          <w:p>
            <w:pPr>
              <w:pStyle w:val="Compact"/>
              <w:jc w:val="left"/>
            </w:pPr>
            <w:r>
              <w:t xml:space="preserve">16 weken</w:t>
            </w:r>
          </w:p>
        </w:tc>
        <w:tc>
          <w:tcPr/>
          <w:p>
            <w:pPr>
              <w:pStyle w:val="Compact"/>
              <w:jc w:val="left"/>
            </w:pPr>
            <w:r>
              <w:t xml:space="preserve">stijging van MOTS-c bij niet-Hispanic witte vrouwen, niet bij Hispanic vrouwen</w:t>
            </w:r>
          </w:p>
        </w:tc>
      </w:tr>
      <w:tr>
        <w:tc>
          <w:tcPr/>
          <w:p>
            <w:pPr>
              <w:pStyle w:val="Compact"/>
              <w:jc w:val="left"/>
            </w:pPr>
            <w:r>
              <w:t xml:space="preserve">Elhusseiny 2025, PMID 40674654</w:t>
            </w:r>
          </w:p>
        </w:tc>
        <w:tc>
          <w:tcPr/>
          <w:p>
            <w:pPr>
              <w:pStyle w:val="Compact"/>
              <w:jc w:val="left"/>
            </w:pPr>
            <w:r>
              <w:t xml:space="preserve">19 actieve mannen met geïmmobiliseerd onderbeen, warmtebehandeling of schijnbehandeling</w:t>
            </w:r>
          </w:p>
        </w:tc>
        <w:tc>
          <w:tcPr/>
          <w:p>
            <w:pPr>
              <w:pStyle w:val="Compact"/>
              <w:jc w:val="left"/>
            </w:pPr>
            <w:r>
              <w:t xml:space="preserve">2 weken</w:t>
            </w:r>
          </w:p>
        </w:tc>
        <w:tc>
          <w:tcPr/>
          <w:p>
            <w:pPr>
              <w:pStyle w:val="Compact"/>
              <w:jc w:val="left"/>
            </w:pPr>
            <w:r>
              <w:t xml:space="preserve">warmte verhoogde MOTS-c in het bloed</w:t>
            </w:r>
          </w:p>
        </w:tc>
      </w:tr>
    </w:tbl>
    <w:p>
      <w:pPr>
        <w:pStyle w:val="BodyText"/>
      </w:pPr>
      <w:r>
        <w:t xml:space="preserve">Deze studies laten zien dat lage MOTS-c-spiegels vaak samengaan met overgewicht, insulineresistentie, leververvetting of vaatproblemen</w:t>
      </w:r>
      <w:r>
        <w:rPr>
          <w:rStyle w:val="FootnoteReference"/>
        </w:rPr>
        <w:footnoteReference w:id="1820"/>
      </w:r>
      <w:r>
        <w:t xml:space="preserve"> </w:t>
      </w:r>
      <w:r>
        <w:t xml:space="preserve">en dat beweging of warmte de spiegels kan verhogen. Wat ze</w:t>
      </w:r>
      <w:r>
        <w:t xml:space="preserve"> </w:t>
      </w:r>
      <w:r>
        <w:rPr>
          <w:bCs/>
          <w:b/>
        </w:rPr>
        <w:t xml:space="preserve">niet</w:t>
      </w:r>
      <w:r>
        <w:t xml:space="preserve"> </w:t>
      </w:r>
      <w:r>
        <w:t xml:space="preserve">laten zien: dat lage spiegels de aandoeningen veroorzaken, of dat toegediend MOTS-c ze voorkomt. Het kan net zo goed andersom zijn – de aandoening verlaagt de spiegel.</w:t>
      </w:r>
    </w:p>
    <w:p>
      <w:pPr>
        <w:pStyle w:val="BodyText"/>
      </w:pPr>
      <w:r>
        <w:t xml:space="preserve">Een ander probleem is de meting zelf. De studies gebruiken verschillende testmethoden (ELISA) waarvan de resultaten sterk uiteenlopen: bij kinderen lagen de gemiddelden rond 470 tot 560 ng/ml</w:t>
      </w:r>
      <w:r>
        <w:rPr>
          <w:rStyle w:val="FootnoteReference"/>
        </w:rPr>
        <w:footnoteReference w:id="1821"/>
      </w:r>
      <w:r>
        <w:t xml:space="preserve">, in de diabetesstudie gold een waarde onder 167 ng/ml als laag</w:t>
      </w:r>
      <w:r>
        <w:rPr>
          <w:rStyle w:val="FootnoteReference"/>
        </w:rPr>
        <w:footnoteReference w:id="1822"/>
      </w:r>
      <w:r>
        <w:t xml:space="preserve">. In een studie bij borstkankerpatiënten veranderde zelfs metformine – dat op dezelfde energiesensor werkt – de met een in de handel verkrijgbare test gemeten spiegels niet</w:t>
      </w:r>
      <w:r>
        <w:rPr>
          <w:rStyle w:val="FootnoteReference"/>
        </w:rPr>
        <w:footnoteReference w:id="1823"/>
      </w:r>
      <w:r>
        <w:t xml:space="preserve">.</w:t>
      </w:r>
    </w:p>
    <w:p>
      <w:pPr>
        <w:pStyle w:val="BodyText"/>
      </w:pPr>
      <w:r>
        <w:rPr>
          <w:bCs/>
          <w:b/>
        </w:rPr>
        <w:t xml:space="preserve">Genetische aanwijzingen:</w:t>
      </w:r>
      <w:r>
        <w:t xml:space="preserve"> </w:t>
      </w:r>
      <w:r>
        <w:t xml:space="preserve">Een alleen in Azië voorkomende variant in het mitochondriale erfelijk materiaal verandert een bouwsteen van MOTS-c (K14Q). In drie cohorten met samen 27.527 personen hadden mannen met deze variant vaker diabetes type 2, vooral als ze lichamelijk weinig actief waren. Bij muizen werkte de veranderde MOTS-c-vorm zwakker</w:t>
      </w:r>
      <w:r>
        <w:rPr>
          <w:rStyle w:val="FootnoteReference"/>
        </w:rPr>
        <w:footnoteReference w:id="1824"/>
      </w:r>
      <w:r>
        <w:t xml:space="preserve">. Dat is een interessante aanwijzing dat MOTS-c bij mensen een rol in de stofwisseling zou kunnen spelen – maar geen bewijs voor het nut van toediening.</w:t>
      </w:r>
    </w:p>
    <w:bookmarkEnd w:id="1825"/>
    <w:bookmarkStart w:id="1827" w:name="toediening-als-werkzame-stof-cb4211"/>
    <w:p>
      <w:pPr>
        <w:pStyle w:val="Heading4"/>
      </w:pPr>
      <w:r>
        <w:t xml:space="preserve">2. Toediening als werkzame stof: CB4211</w:t>
      </w:r>
    </w:p>
    <w:p>
      <w:pPr>
        <w:pStyle w:val="FirstParagraph"/>
      </w:pPr>
      <w:r>
        <w:rPr>
          <w:bCs/>
          <w:b/>
        </w:rPr>
        <w:t xml:space="preserve">CB4211</w:t>
      </w:r>
      <w:r>
        <w:t xml:space="preserve"> </w:t>
      </w:r>
      <w:r>
        <w:t xml:space="preserve">is een door het bedrijf CohBar ontwikkelde afgeleide van MOTS-c. De fase 1a/1b-studie</w:t>
      </w:r>
      <w:r>
        <w:rPr>
          <w:rStyle w:val="FootnoteReference"/>
        </w:rPr>
        <w:footnoteReference w:id="1826"/>
      </w:r>
      <w:r>
        <w:t xml:space="preserve"> </w:t>
      </w:r>
      <w:r>
        <w:t xml:space="preserve">was gerandomiseerd, dubbelblind en placebogecontroleerd en omvatte 88 deelnemers: gezonde mensen kregen enkele resp. zeven dagen lang dagelijkse onderhuidse injecties, mensen met obesitas en leververvetting 28 dagen lang. Primaire eindpunten waren veiligheid en verdraagbaarheid; secundaire doelen waren onder meer levervet en lichaamsgewicht. De studie werd in april 2021 afgerond. In het register zijn geen resultaten opgenomen, en een publicatie in een vaktijdschrift was bij ons onderzoek niet te vinden. Het bedrijf meldde in 2021 per persbericht gunstige veranderingen van afzonderlijke lever- en bloedsuikerwaarden bij goede verdraagbaarheid; zulke mededelingen zijn niet onafhankelijk beoordeeld. Een verdere ontwikkeling in grotere studies is niet bekend.</w:t>
      </w:r>
    </w:p>
    <w:p>
      <w:pPr>
        <w:pStyle w:val="BodyText"/>
      </w:pPr>
      <w:r>
        <w:rPr>
          <w:bCs/>
          <w:b/>
        </w:rPr>
        <w:t xml:space="preserve">MOTS-c zelf</w:t>
      </w:r>
      <w:r>
        <w:t xml:space="preserve"> </w:t>
      </w:r>
      <w:r>
        <w:t xml:space="preserve">is volgens ons onderzoek tot nu toe in geen enkele gepubliceerde of betrouwbaar geregistreerde studie bij mensen als werkzame stof gegeven. Een registratie die zo’n fase 2-studie beschrijft, bleek twijfelachtig (zie hierboven).</w:t>
      </w:r>
    </w:p>
    <w:p>
      <w:pPr>
        <w:pStyle w:val="BodyText"/>
      </w:pPr>
      <w:r>
        <w:t xml:space="preserve">Tot die tijd geldt: er zijn</w:t>
      </w:r>
      <w:r>
        <w:t xml:space="preserve"> </w:t>
      </w:r>
      <w:r>
        <w:rPr>
          <w:bCs/>
          <w:b/>
        </w:rPr>
        <w:t xml:space="preserve">geen gepubliceerde gegevens</w:t>
      </w:r>
      <w:r>
        <w:t xml:space="preserve"> </w:t>
      </w:r>
      <w:r>
        <w:t xml:space="preserve">over de vraag of MOTS-c-injecties bij mensen de stofwisseling, de prestaties of de veroudering beïnvloeden.</w:t>
      </w:r>
    </w:p>
    <w:bookmarkEnd w:id="1827"/>
    <w:bookmarkEnd w:id="1828"/>
    <w:bookmarkStart w:id="1833" w:name="dier--en-laboratoriumstudies-41"/>
    <w:p>
      <w:pPr>
        <w:pStyle w:val="Heading3"/>
      </w:pPr>
      <w:r>
        <w:t xml:space="preserve">Dier- en laboratoriumstudies</w:t>
      </w:r>
    </w:p>
    <w:p>
      <w:pPr>
        <w:pStyle w:val="FirstParagraph"/>
      </w:pPr>
      <w:r>
        <w:t xml:space="preserve">Het preklinische onderzoek is omvangrijk en groeit snel:</w:t>
      </w:r>
    </w:p>
    <w:p>
      <w:pPr>
        <w:numPr>
          <w:ilvl w:val="0"/>
          <w:numId w:val="1228"/>
        </w:numPr>
        <w:pStyle w:val="Compact"/>
      </w:pPr>
      <w:r>
        <w:rPr>
          <w:bCs/>
          <w:b/>
        </w:rPr>
        <w:t xml:space="preserve">Stofwisseling:</w:t>
      </w:r>
      <w:r>
        <w:t xml:space="preserve"> </w:t>
      </w:r>
      <w:r>
        <w:t xml:space="preserve">Bij muizen voorkwam MOTS-c voedingsgerelateerd overgewicht en insulineresistentie</w:t>
      </w:r>
      <w:r>
        <w:rPr>
          <w:rStyle w:val="FootnoteReference"/>
        </w:rPr>
        <w:footnoteReference w:id="1829"/>
      </w:r>
      <w:r>
        <w:t xml:space="preserve">.</w:t>
      </w:r>
    </w:p>
    <w:p>
      <w:pPr>
        <w:numPr>
          <w:ilvl w:val="0"/>
          <w:numId w:val="1228"/>
        </w:numPr>
        <w:pStyle w:val="Compact"/>
      </w:pPr>
      <w:r>
        <w:rPr>
          <w:bCs/>
          <w:b/>
        </w:rPr>
        <w:t xml:space="preserve">Spier:</w:t>
      </w:r>
      <w:r>
        <w:t xml:space="preserve"> </w:t>
      </w:r>
      <w:r>
        <w:t xml:space="preserve">MOTS-c verminderde bij muizen met overgewicht de spierafbraaksignaalstof myostatine; bij mensen bewogen MOTS-c- en myostatinespiegels in het bloed in tegengestelde richting</w:t>
      </w:r>
      <w:r>
        <w:rPr>
          <w:rStyle w:val="FootnoteReference"/>
        </w:rPr>
        <w:footnoteReference w:id="1830"/>
      </w:r>
      <w:r>
        <w:t xml:space="preserve">.</w:t>
      </w:r>
    </w:p>
    <w:p>
      <w:pPr>
        <w:numPr>
          <w:ilvl w:val="0"/>
          <w:numId w:val="1228"/>
        </w:numPr>
        <w:pStyle w:val="Compact"/>
      </w:pPr>
      <w:r>
        <w:rPr>
          <w:bCs/>
          <w:b/>
        </w:rPr>
        <w:t xml:space="preserve">Prestaties en leeftijd:</w:t>
      </w:r>
      <w:r>
        <w:t xml:space="preserve"> </w:t>
      </w:r>
      <w:r>
        <w:t xml:space="preserve">MOTS-c verhoogde het lichamelijk prestatievermogen van muizen van verschillende leeftijden</w:t>
      </w:r>
      <w:r>
        <w:rPr>
          <w:rStyle w:val="FootnoteReference"/>
        </w:rPr>
        <w:footnoteReference w:id="1831"/>
      </w:r>
      <w:r>
        <w:t xml:space="preserve">.</w:t>
      </w:r>
    </w:p>
    <w:p>
      <w:pPr>
        <w:numPr>
          <w:ilvl w:val="0"/>
          <w:numId w:val="1228"/>
        </w:numPr>
        <w:pStyle w:val="Compact"/>
      </w:pPr>
      <w:r>
        <w:rPr>
          <w:bCs/>
          <w:b/>
        </w:rPr>
        <w:t xml:space="preserve">Alvleesklier:</w:t>
      </w:r>
      <w:r>
        <w:t xml:space="preserve"> </w:t>
      </w:r>
      <w:r>
        <w:t xml:space="preserve">Bij muizen vertraagde MOTS-c de veroudering van insulineproducerende cellen en het begin van diabetes</w:t>
      </w:r>
      <w:r>
        <w:rPr>
          <w:rStyle w:val="FootnoteReference"/>
        </w:rPr>
        <w:footnoteReference w:id="1832"/>
      </w:r>
      <w:r>
        <w:t xml:space="preserve">.</w:t>
      </w:r>
    </w:p>
    <w:p>
      <w:pPr>
        <w:numPr>
          <w:ilvl w:val="0"/>
          <w:numId w:val="1228"/>
        </w:numPr>
        <w:pStyle w:val="Compact"/>
      </w:pPr>
      <w:r>
        <w:t xml:space="preserve">Talrijke andere publicaties, overwegend uit China, beschrijven beschermende effecten in modellen van long-, hart-, lever-, bot- en nierschade.</w:t>
      </w:r>
    </w:p>
    <w:p>
      <w:pPr>
        <w:pStyle w:val="FirstParagraph"/>
      </w:pPr>
      <w:r>
        <w:t xml:space="preserve">De overvloed aan positieve dierstudies valt op. Ze laat zien dat MOTS-c biologisch actief is; over werking en veiligheid bij mensen zegt ze weinig.</w:t>
      </w:r>
    </w:p>
    <w:bookmarkEnd w:id="1833"/>
    <w:bookmarkStart w:id="1836" w:name="risicos-en-bijwerkingen-41"/>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over toediening van MOTS-c bij mensen.</w:t>
      </w:r>
    </w:p>
    <w:p>
      <w:pPr>
        <w:pStyle w:val="BodyText"/>
      </w:pPr>
      <w:r>
        <w:rPr>
          <w:bCs/>
          <w:b/>
        </w:rPr>
        <w:t xml:space="preserve">Theoretisch:</w:t>
      </w:r>
    </w:p>
    <w:p>
      <w:pPr>
        <w:numPr>
          <w:ilvl w:val="0"/>
          <w:numId w:val="1229"/>
        </w:numPr>
        <w:pStyle w:val="Compact"/>
      </w:pPr>
      <w:r>
        <w:rPr>
          <w:bCs/>
          <w:b/>
        </w:rPr>
        <w:t xml:space="preserve">Bloedsuiker:</w:t>
      </w:r>
      <w:r>
        <w:t xml:space="preserve"> </w:t>
      </w:r>
      <w:r>
        <w:t xml:space="preserve">een stof die de insulinegevoeligheid verhoogt, zou samen met diabetesmiddelen hypoglykemieën in de hand kunnen werken.</w:t>
      </w:r>
    </w:p>
    <w:p>
      <w:pPr>
        <w:numPr>
          <w:ilvl w:val="0"/>
          <w:numId w:val="1229"/>
        </w:numPr>
        <w:pStyle w:val="Compact"/>
      </w:pPr>
      <w:r>
        <w:rPr>
          <w:bCs/>
          <w:b/>
        </w:rPr>
        <w:t xml:space="preserve">Kanker:</w:t>
      </w:r>
      <w:r>
        <w:t xml:space="preserve"> </w:t>
      </w:r>
      <w:r>
        <w:t xml:space="preserve">in laboratoriumstudies remde MOTS-c eerder kankercellen: het remde de groei van eierstokkankercellen</w:t>
      </w:r>
      <w:r>
        <w:rPr>
          <w:rStyle w:val="FootnoteReference"/>
        </w:rPr>
        <w:footnoteReference w:id="1834"/>
      </w:r>
      <w:r>
        <w:t xml:space="preserve"> </w:t>
      </w:r>
      <w:r>
        <w:t xml:space="preserve">en maakte leverkankercellen onder zuurstoftekort gevoeliger voor geprogrammeerde celdood</w:t>
      </w:r>
      <w:r>
        <w:rPr>
          <w:rStyle w:val="FootnoteReference"/>
        </w:rPr>
        <w:footnoteReference w:id="1835"/>
      </w:r>
      <w:r>
        <w:t xml:space="preserve">. Of dat bij mensen geldt en hoe jarenlange toediening van een stofwisselingsactieve signaalstof uitwerkt, is niet onderzocht.</w:t>
      </w:r>
    </w:p>
    <w:p>
      <w:pPr>
        <w:numPr>
          <w:ilvl w:val="0"/>
          <w:numId w:val="1229"/>
        </w:numPr>
        <w:pStyle w:val="Compact"/>
      </w:pPr>
      <w:r>
        <w:rPr>
          <w:bCs/>
          <w:b/>
        </w:rPr>
        <w:t xml:space="preserve">Immuunreacties:</w:t>
      </w:r>
      <w:r>
        <w:t xml:space="preserve"> </w:t>
      </w:r>
      <w:r>
        <w:t xml:space="preserve">bij herhaalde injecties van een peptide kunnen antilichamen ontstaan; dat is voor MOTS-c niet onderzocht.</w:t>
      </w:r>
    </w:p>
    <w:p>
      <w:pPr>
        <w:pStyle w:val="FirstParagraph"/>
      </w:pPr>
      <w:r>
        <w:rPr>
          <w:bCs/>
          <w:b/>
        </w:rPr>
        <w:t xml:space="preserve">Grijze markt en sport:</w:t>
      </w:r>
      <w:r>
        <w:t xml:space="preserve"> </w:t>
      </w:r>
      <w:r>
        <w:t xml:space="preserve">MOTS-c behoort tot de populairste „longevity”- en fitnesspeptiden op internet en wordt verkocht als poeder voor injectie. Zuiverheid en gehalte zijn ongecontroleerd. Voor sporters is het gebruik uitdrukkelijk verboden (WADA S4).</w:t>
      </w:r>
    </w:p>
    <w:bookmarkEnd w:id="1836"/>
    <w:bookmarkStart w:id="1837" w:name="juridische-status-41"/>
    <w:p>
      <w:pPr>
        <w:pStyle w:val="Heading3"/>
      </w:pPr>
      <w:r>
        <w:t xml:space="preserve">Juridische status</w:t>
      </w:r>
    </w:p>
    <w:p>
      <w:pPr>
        <w:numPr>
          <w:ilvl w:val="0"/>
          <w:numId w:val="1230"/>
        </w:numPr>
        <w:pStyle w:val="Compact"/>
      </w:pPr>
      <w:r>
        <w:rPr>
          <w:bCs/>
          <w:b/>
        </w:rPr>
        <w:t xml:space="preserve">EU / Oostenrijk / Duitsland:</w:t>
      </w:r>
      <w:r>
        <w:t xml:space="preserve"> </w:t>
      </w:r>
      <w:r>
        <w:t xml:space="preserve">niet toegelaten; als stof met farmacologische werking geldt MOTS-c als geneesmiddel, verkoop voor gebruik bij mensen is niet toegestaan.</w:t>
      </w:r>
    </w:p>
    <w:p>
      <w:pPr>
        <w:numPr>
          <w:ilvl w:val="0"/>
          <w:numId w:val="1230"/>
        </w:numPr>
        <w:pStyle w:val="Compact"/>
      </w:pPr>
      <w:r>
        <w:rPr>
          <w:bCs/>
          <w:b/>
        </w:rPr>
        <w:t xml:space="preserve">VS:</w:t>
      </w:r>
      <w:r>
        <w:t xml:space="preserve"> </w:t>
      </w:r>
      <w:r>
        <w:t xml:space="preserve">niet toegelaten. Na het positieve PCAC-advies van juli 2026 zou MOTS-c in de toekomst in apotheekbereidingen mogen worden gebruikt, mits de FDA dat advies volgt; de beslissing was bij het afsluiten van de redactie nog niet genomen (stand oktober 2026, actuele situatie controleren).</w:t>
      </w:r>
    </w:p>
    <w:p>
      <w:pPr>
        <w:numPr>
          <w:ilvl w:val="0"/>
          <w:numId w:val="1230"/>
        </w:numPr>
        <w:pStyle w:val="Compact"/>
      </w:pPr>
      <w:r>
        <w:rPr>
          <w:bCs/>
          <w:b/>
        </w:rPr>
        <w:t xml:space="preserve">Sport:</w:t>
      </w:r>
      <w:r>
        <w:t xml:space="preserve"> </w:t>
      </w:r>
      <w:r>
        <w:t xml:space="preserve">verboden volgens de WADA-lijst, categorie S4 (stand 2026, actuele situatie controleren).</w:t>
      </w:r>
    </w:p>
    <w:bookmarkEnd w:id="1837"/>
    <w:bookmarkStart w:id="1840" w:name="lopende-studies-en-vooruitzichten-41"/>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1"/>
        </w:numPr>
        <w:pStyle w:val="Compact"/>
      </w:pPr>
      <w:r>
        <w:t xml:space="preserve">Een betrouwbaar geregistreerde studie waarin MOTS-c als werkzame stof wordt gegeven, bestaat niet.</w:t>
      </w:r>
    </w:p>
    <w:p>
      <w:pPr>
        <w:numPr>
          <w:ilvl w:val="0"/>
          <w:numId w:val="1231"/>
        </w:numPr>
        <w:pStyle w:val="Compact"/>
      </w:pPr>
      <w:r>
        <w:t xml:space="preserve">Meerdere observationele studies meten MOTS-c-spiegels, bijvoorbeeld bij niertransplantatie</w:t>
      </w:r>
      <w:r>
        <w:rPr>
          <w:rStyle w:val="FootnoteReference"/>
        </w:rPr>
        <w:footnoteReference w:id="1838"/>
      </w:r>
      <w:r>
        <w:t xml:space="preserve"> </w:t>
      </w:r>
      <w:r>
        <w:t xml:space="preserve">of bij diabetes onder verschillende geneesmiddelen</w:t>
      </w:r>
      <w:r>
        <w:rPr>
          <w:rStyle w:val="FootnoteReference"/>
        </w:rPr>
        <w:footnoteReference w:id="1839"/>
      </w:r>
      <w:r>
        <w:t xml:space="preserve">.</w:t>
      </w:r>
    </w:p>
    <w:p>
      <w:pPr>
        <w:pStyle w:val="FirstParagraph"/>
      </w:pPr>
      <w:r>
        <w:rPr>
          <w:bCs/>
          <w:b/>
        </w:rPr>
        <w:t xml:space="preserve">Inschatting:</w:t>
      </w:r>
      <w:r>
        <w:t xml:space="preserve"> </w:t>
      </w:r>
      <w:r>
        <w:t xml:space="preserve">de centrale vraag – verbetert toegediend MOTS-c bij mensen de insulinegevoeligheid? – is tot nu toe door niemand in een gepubliceerde studie onderzocht. Daarvoor zou eerst een gecontroleerde fase 1/2-studie met gepubliceerde resultaten nodig zijn. Tot dan berust elke uitspraak over een werking bij mensen op dierproeven en spiegelmetingen.</w:t>
      </w:r>
    </w:p>
    <w:bookmarkEnd w:id="1840"/>
    <w:bookmarkStart w:id="1841" w:name="conclusie-41"/>
    <w:p>
      <w:pPr>
        <w:pStyle w:val="Heading3"/>
      </w:pPr>
      <w:r>
        <w:t xml:space="preserve">Conclusie</w:t>
      </w:r>
    </w:p>
    <w:p>
      <w:pPr>
        <w:pStyle w:val="FirstParagraph"/>
      </w:pPr>
      <w:r>
        <w:t xml:space="preserve">MOTS-c is een lichaamseigen, in het mitochondriale erfelijk materiaal gecodeerd peptide dat bij muizen stofwisseling en prestatievermogen verbeterde en bij mensen na beweging stijgt. Observationele studies laten lagere spiegels zien bij overgewicht, leververvetting en vaatziekten, maar tonen geen oorzaak en geen nut van toediening aan. De enige afgeronde studie met een MOTS-c-afgeleide (CB4211) is niet in een vaktijdschrift gepubliceerd, en met MOTS-c zelf bestaat geen gepubliceerde studie bij mensen. De gegevens volstaan niet om nut of veiligheid bij mensen te beoordelen; in de sport is MOTS-c verboden.</w:t>
      </w:r>
    </w:p>
    <w:bookmarkEnd w:id="1841"/>
    <w:bookmarkEnd w:id="1842"/>
    <w:bookmarkStart w:id="1865" w:name="humanine"/>
    <w:p>
      <w:pPr>
        <w:pStyle w:val="Heading2"/>
      </w:pPr>
      <w:r>
        <w:t xml:space="preserve">Humanine</w:t>
      </w:r>
    </w:p>
    <w:bookmarkStart w:id="1843" w:name="profiel-42"/>
    <w:p>
      <w:pPr>
        <w:pStyle w:val="Heading3"/>
      </w:pPr>
      <w:r>
        <w:t xml:space="preserve">Profiel</w:t>
      </w:r>
    </w:p>
    <w:p>
      <w:pPr>
        <w:numPr>
          <w:ilvl w:val="0"/>
          <w:numId w:val="1232"/>
        </w:numPr>
        <w:pStyle w:val="Compact"/>
      </w:pPr>
      <w:r>
        <w:rPr>
          <w:bCs/>
          <w:b/>
        </w:rPr>
        <w:t xml:space="preserve">Soort en structuur:</w:t>
      </w:r>
      <w:r>
        <w:t xml:space="preserve"> </w:t>
      </w:r>
      <w:r>
        <w:t xml:space="preserve">lichaamseigen peptide van 24 aminozuren. Op de grijze markt en in het onderzoek wordt meestal de gewijzigde vorm</w:t>
      </w:r>
      <w:r>
        <w:t xml:space="preserve"> </w:t>
      </w:r>
      <w:r>
        <w:rPr>
          <w:bCs/>
          <w:b/>
        </w:rPr>
        <w:t xml:space="preserve">HNG</w:t>
      </w:r>
      <w:r>
        <w:t xml:space="preserve"> </w:t>
      </w:r>
      <w:r>
        <w:t xml:space="preserve">(humanine-G, ook S14G-humanine) gebruikt, waarbij op positie 14 serine door glycine is vervangen; die werkt in laboratoriumexperimenten duidelijk sterker.</w:t>
      </w:r>
    </w:p>
    <w:p>
      <w:pPr>
        <w:numPr>
          <w:ilvl w:val="0"/>
          <w:numId w:val="1232"/>
        </w:numPr>
        <w:pStyle w:val="Compact"/>
      </w:pPr>
      <w:r>
        <w:rPr>
          <w:bCs/>
          <w:b/>
        </w:rPr>
        <w:t xml:space="preserve">Herkomst:</w:t>
      </w:r>
      <w:r>
        <w:t xml:space="preserve"> </w:t>
      </w:r>
      <w:r>
        <w:t xml:space="preserve">in 2001 ontdekt door Japanse onderzoekers die in hersenweefsel van een mens met de ziekte van Alzheimer zochten naar factoren die zenuwcellen tegen afsterven beschermen – vandaar de naam. Het is gecodeerd in het erfelijk materiaal van de mitochondriën; vergelijkbare stukken bestaan ook in het erfelijk materiaal van de celkern.</w:t>
      </w:r>
    </w:p>
    <w:p>
      <w:pPr>
        <w:numPr>
          <w:ilvl w:val="0"/>
          <w:numId w:val="1232"/>
        </w:numPr>
        <w:pStyle w:val="Compact"/>
      </w:pPr>
      <w:r>
        <w:rPr>
          <w:bCs/>
          <w:b/>
        </w:rPr>
        <w:t xml:space="preserve">Werkingsprincipe:</w:t>
      </w:r>
      <w:r>
        <w:t xml:space="preserve"> </w:t>
      </w:r>
      <w:r>
        <w:t xml:space="preserve">„mitokine” (signaalstof van de mitochondriën) dat cellen zou beschermen tegen geprogrammeerde celdood. Het bindt onder meer aan een receptorcomplex van CNTF-receptor, WSX-1 en gp130 op het celoppervlak.</w:t>
      </w:r>
    </w:p>
    <w:p>
      <w:pPr>
        <w:numPr>
          <w:ilvl w:val="0"/>
          <w:numId w:val="1232"/>
        </w:numPr>
        <w:pStyle w:val="Compact"/>
      </w:pPr>
      <w:r>
        <w:rPr>
          <w:bCs/>
          <w:b/>
        </w:rPr>
        <w:t xml:space="preserve">Registratie EU:</w:t>
      </w:r>
      <w:r>
        <w:t xml:space="preserve"> </w:t>
      </w:r>
      <w:r>
        <w:t xml:space="preserve">nee.</w:t>
      </w:r>
    </w:p>
    <w:p>
      <w:pPr>
        <w:numPr>
          <w:ilvl w:val="0"/>
          <w:numId w:val="1232"/>
        </w:numPr>
        <w:pStyle w:val="Compact"/>
      </w:pPr>
      <w:r>
        <w:rPr>
          <w:bCs/>
          <w:b/>
        </w:rPr>
        <w:t xml:space="preserve">Registratie VS:</w:t>
      </w:r>
      <w:r>
        <w:t xml:space="preserve"> </w:t>
      </w:r>
      <w:r>
        <w:t xml:space="preserve">nee.</w:t>
      </w:r>
    </w:p>
    <w:p>
      <w:pPr>
        <w:numPr>
          <w:ilvl w:val="0"/>
          <w:numId w:val="1232"/>
        </w:numPr>
        <w:pStyle w:val="Compact"/>
      </w:pPr>
      <w:r>
        <w:rPr>
          <w:bCs/>
          <w:b/>
        </w:rPr>
        <w:t xml:space="preserve">WADA:</w:t>
      </w:r>
      <w:r>
        <w:t xml:space="preserve"> </w:t>
      </w:r>
      <w:r>
        <w:t xml:space="preserve">niet bij naam vermeld; als nergens toegelaten stof valt humanine resp. HNG naar onze inschatting onder de verzamelcategorie S0.</w:t>
      </w:r>
    </w:p>
    <w:p>
      <w:pPr>
        <w:numPr>
          <w:ilvl w:val="0"/>
          <w:numId w:val="1232"/>
        </w:numPr>
        <w:pStyle w:val="Compact"/>
      </w:pPr>
      <w:r>
        <w:rPr>
          <w:bCs/>
          <w:b/>
        </w:rPr>
        <w:t xml:space="preserve">Bewijsniveau:</w:t>
      </w:r>
      <w:r>
        <w:t xml:space="preserve"> </w:t>
      </w:r>
      <w:r>
        <w:rPr>
          <w:bCs/>
          <w:b/>
        </w:rPr>
        <w:t xml:space="preserve">D</w:t>
      </w:r>
      <w:r>
        <w:t xml:space="preserve"> </w:t>
      </w:r>
      <w:r>
        <w:t xml:space="preserve">voor toediening als werkzame stof – niet één studie waarin mensen humanine of HNG kregen; bij mensen zijn er alleen metingen van de lichaamseigen spiegels.</w:t>
      </w:r>
    </w:p>
    <w:bookmarkEnd w:id="1843"/>
    <w:bookmarkStart w:id="1847" w:name="hoe-het-zou-moeten-werken-42"/>
    <w:p>
      <w:pPr>
        <w:pStyle w:val="Heading3"/>
      </w:pPr>
      <w:r>
        <w:t xml:space="preserve">Hoe het zou moeten werken</w:t>
      </w:r>
    </w:p>
    <w:p>
      <w:pPr>
        <w:pStyle w:val="FirstParagraph"/>
      </w:pPr>
      <w:r>
        <w:t xml:space="preserve">De ontdekkers zochten in 2001 in een genenbank uit hersenweefsel naar stukken die zenuwcellen beschermen tegen de giftige effecten van alzheimergenen. Ze vonden een kort peptide dat in celkweken zenuwcellen behoedde voor talrijke alzheimertypische beschadigingen – tegen amyloïd-bèta en tegen het effect van meerdere erfelijke alzheimermutaties, maar niet tegen andere gifstoffen zoals glutamaat of prionfragmenten</w:t>
      </w:r>
      <w:r>
        <w:rPr>
          <w:rStyle w:val="FootnoteReference"/>
        </w:rPr>
        <w:footnoteReference w:id="1844"/>
      </w:r>
      <w:r>
        <w:t xml:space="preserve">. De variant HNG was daarbij werkzamer dan andere geteste beschermende factoren.</w:t>
      </w:r>
    </w:p>
    <w:p>
      <w:pPr>
        <w:pStyle w:val="BodyText"/>
      </w:pPr>
      <w:r>
        <w:t xml:space="preserve">Later toonde dezelfde groep aan dat humanine bindt aan een receptorcomplex dat behoort tot de familie van de cytokinereceptoren (CNTF-receptor, WSX-1 en gp130) en via het signaalmolecuul STAT3 werkt</w:t>
      </w:r>
      <w:r>
        <w:rPr>
          <w:rStyle w:val="FootnoteReference"/>
        </w:rPr>
        <w:footnoteReference w:id="1845"/>
      </w:r>
      <w:r>
        <w:t xml:space="preserve">. Daarnaast beschrijven laboratoriumstudies bindingen aan eiwitten die de celdood sturen, en aan de bindingspartner van groeifactoren IGFBP-3.</w:t>
      </w:r>
    </w:p>
    <w:p>
      <w:pPr>
        <w:pStyle w:val="BodyText"/>
      </w:pPr>
      <w:r>
        <w:t xml:space="preserve">Een bijzonderheid: humanine wordt net als MOTS-c (zie vorig hoofdstuk) gecodeerd in het erfelijk materiaal van de mitochondriën. Deze „mitochondriale peptiden” gelden als een nieuw signaalniveau waarlangs mitochondriën met de rest van het lichaam communiceren</w:t>
      </w:r>
      <w:r>
        <w:rPr>
          <w:rStyle w:val="FootnoteReference"/>
        </w:rPr>
        <w:footnoteReference w:id="1846"/>
      </w:r>
      <w:r>
        <w:t xml:space="preserve">.</w:t>
      </w:r>
    </w:p>
    <w:bookmarkEnd w:id="1847"/>
    <w:bookmarkStart w:id="1851" w:name="studies-bij-mensen-4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 als studie bij mensen geclassificeerde publicaties op; in geen daarvan werd humanine toegediend. Ze onderzoeken hoe de lichaamseigen spiegels veranderen door training, zuurstoftherapie of voedingssupplementen, of betreffen cellen van patiënten in het laboratorium. In totaal vermeldt PubMed ongeveer 550 publicaties over humanine. Op ClinicalTrials.gov zijn 3 studies geregistreerd, allemaal observationele studies naar humaninespiegels (bij hartoperaties, acuut nierfalen en niertransplantatie).</w:t>
      </w:r>
    </w:p>
    <w:bookmarkStart w:id="1849" w:name="spiegels-en-leeftijd"/>
    <w:p>
      <w:pPr>
        <w:pStyle w:val="Heading4"/>
      </w:pPr>
      <w:r>
        <w:t xml:space="preserve">Spiegels en leeftijd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Lee 2014, PMID 25040290</w:t>
            </w:r>
          </w:p>
        </w:tc>
        <w:tc>
          <w:tcPr/>
          <w:p>
            <w:pPr>
              <w:pStyle w:val="Compact"/>
              <w:jc w:val="left"/>
            </w:pPr>
            <w:r>
              <w:t xml:space="preserve">muizen en mensen, observatie en hormoontoediening</w:t>
            </w:r>
          </w:p>
        </w:tc>
        <w:tc>
          <w:tcPr/>
          <w:p>
            <w:pPr>
              <w:pStyle w:val="Compact"/>
              <w:jc w:val="left"/>
            </w:pPr>
            <w:r>
              <w:t xml:space="preserve">–</w:t>
            </w:r>
          </w:p>
        </w:tc>
        <w:tc>
          <w:tcPr/>
          <w:p>
            <w:pPr>
              <w:pStyle w:val="Compact"/>
              <w:jc w:val="left"/>
            </w:pPr>
            <w:r>
              <w:t xml:space="preserve">humaninespiegels dalen met de leeftijd; groeihormoon en IGF-1 verlaagden ze bij muizen en mensen</w:t>
            </w:r>
          </w:p>
        </w:tc>
      </w:tr>
      <w:tr>
        <w:tc>
          <w:tcPr/>
          <w:p>
            <w:pPr>
              <w:pStyle w:val="Compact"/>
              <w:jc w:val="left"/>
            </w:pPr>
            <w:r>
              <w:t xml:space="preserve">Yen 2020, PMID 32575074</w:t>
            </w:r>
          </w:p>
        </w:tc>
        <w:tc>
          <w:tcPr/>
          <w:p>
            <w:pPr>
              <w:pStyle w:val="Compact"/>
              <w:jc w:val="left"/>
            </w:pPr>
            <w:r>
              <w:t xml:space="preserve">kinderen van 100-jarigen en vergelijkingspersonen; diermodellen</w:t>
            </w:r>
          </w:p>
        </w:tc>
        <w:tc>
          <w:tcPr/>
          <w:p>
            <w:pPr>
              <w:pStyle w:val="Compact"/>
              <w:jc w:val="left"/>
            </w:pPr>
            <w:r>
              <w:t xml:space="preserve">dwarsdoorsnede</w:t>
            </w:r>
          </w:p>
        </w:tc>
        <w:tc>
          <w:tcPr/>
          <w:p>
            <w:pPr>
              <w:pStyle w:val="Compact"/>
              <w:jc w:val="left"/>
            </w:pPr>
            <w:r>
              <w:t xml:space="preserve">duidelijk hogere spiegels bij kinderen van 100-jarigen; lager bij alzheimer en MELAS</w:t>
            </w:r>
          </w:p>
        </w:tc>
      </w:tr>
      <w:tr>
        <w:tc>
          <w:tcPr/>
          <w:p>
            <w:pPr>
              <w:pStyle w:val="Compact"/>
              <w:jc w:val="left"/>
            </w:pPr>
            <w:r>
              <w:t xml:space="preserve">Miller 2024, PMID 38520065</w:t>
            </w:r>
          </w:p>
        </w:tc>
        <w:tc>
          <w:tcPr/>
          <w:p>
            <w:pPr>
              <w:pStyle w:val="Compact"/>
              <w:jc w:val="left"/>
            </w:pPr>
            <w:r>
              <w:t xml:space="preserve">100-jarigen met het alzheimerrisicogen APOE4; muismodel</w:t>
            </w:r>
          </w:p>
        </w:tc>
        <w:tc>
          <w:tcPr/>
          <w:p>
            <w:pPr>
              <w:pStyle w:val="Compact"/>
              <w:jc w:val="left"/>
            </w:pPr>
            <w:r>
              <w:t xml:space="preserve">genetische analyse</w:t>
            </w:r>
          </w:p>
        </w:tc>
        <w:tc>
          <w:tcPr/>
          <w:p>
            <w:pPr>
              <w:pStyle w:val="Compact"/>
              <w:jc w:val="left"/>
            </w:pPr>
            <w:r>
              <w:t xml:space="preserve">zeldzame humaninevariant P3S vaker bij langlevende APOE4-dragers</w:t>
            </w:r>
          </w:p>
        </w:tc>
      </w:tr>
      <w:tr>
        <w:tc>
          <w:tcPr/>
          <w:p>
            <w:pPr>
              <w:pStyle w:val="Compact"/>
              <w:jc w:val="left"/>
            </w:pPr>
            <w:r>
              <w:t xml:space="preserve">Gidlund 2016, PMID 27923980</w:t>
            </w:r>
          </w:p>
        </w:tc>
        <w:tc>
          <w:tcPr/>
          <w:p>
            <w:pPr>
              <w:pStyle w:val="Compact"/>
              <w:jc w:val="left"/>
            </w:pPr>
            <w:r>
              <w:t xml:space="preserve">55 mannen met verstoorde glucosestofwisseling, krachttraining, nordic walking of controle, gerandomiseerd</w:t>
            </w:r>
          </w:p>
        </w:tc>
        <w:tc>
          <w:tcPr/>
          <w:p>
            <w:pPr>
              <w:pStyle w:val="Compact"/>
              <w:jc w:val="left"/>
            </w:pPr>
            <w:r>
              <w:t xml:space="preserve">12 weken</w:t>
            </w:r>
          </w:p>
        </w:tc>
        <w:tc>
          <w:tcPr/>
          <w:p>
            <w:pPr>
              <w:pStyle w:val="Compact"/>
              <w:jc w:val="left"/>
            </w:pPr>
            <w:r>
              <w:t xml:space="preserve">humanine in de spier na krachttraining 35% hoger, in het bloed onveranderd</w:t>
            </w:r>
          </w:p>
        </w:tc>
      </w:tr>
      <w:tr>
        <w:tc>
          <w:tcPr/>
          <w:p>
            <w:pPr>
              <w:pStyle w:val="Compact"/>
              <w:jc w:val="left"/>
            </w:pPr>
            <w:r>
              <w:t xml:space="preserve">von Walden 2021, PMID 34351816</w:t>
            </w:r>
          </w:p>
        </w:tc>
        <w:tc>
          <w:tcPr/>
          <w:p>
            <w:pPr>
              <w:pStyle w:val="Compact"/>
              <w:jc w:val="left"/>
            </w:pPr>
            <w:r>
              <w:t xml:space="preserve">30 personen, één duur- of krachttraining of controle, gerandomiseerd</w:t>
            </w:r>
          </w:p>
        </w:tc>
        <w:tc>
          <w:tcPr/>
          <w:p>
            <w:pPr>
              <w:pStyle w:val="Compact"/>
              <w:jc w:val="left"/>
            </w:pPr>
            <w:r>
              <w:t xml:space="preserve">eenmalig</w:t>
            </w:r>
          </w:p>
        </w:tc>
        <w:tc>
          <w:tcPr/>
          <w:p>
            <w:pPr>
              <w:pStyle w:val="Compact"/>
              <w:jc w:val="left"/>
            </w:pPr>
            <w:r>
              <w:t xml:space="preserve">humanine in het bloed verhoogd na duurinspanning</w:t>
            </w:r>
          </w:p>
        </w:tc>
      </w:tr>
      <w:tr>
        <w:tc>
          <w:tcPr/>
          <w:p>
            <w:pPr>
              <w:pStyle w:val="Compact"/>
              <w:jc w:val="left"/>
            </w:pPr>
            <w:r>
              <w:t xml:space="preserve">Xu 2019, PMID 31134827</w:t>
            </w:r>
          </w:p>
        </w:tc>
        <w:tc>
          <w:tcPr/>
          <w:p>
            <w:pPr>
              <w:pStyle w:val="Compact"/>
              <w:jc w:val="left"/>
            </w:pPr>
            <w:r>
              <w:t xml:space="preserve">158 personen met vasculaire dementie, hyperbare zuurstoftherapie of standaard</w:t>
            </w:r>
          </w:p>
        </w:tc>
        <w:tc>
          <w:tcPr/>
          <w:p>
            <w:pPr>
              <w:pStyle w:val="Compact"/>
              <w:jc w:val="left"/>
            </w:pPr>
            <w:r>
              <w:t xml:space="preserve">12 weken</w:t>
            </w:r>
          </w:p>
        </w:tc>
        <w:tc>
          <w:tcPr/>
          <w:p>
            <w:pPr>
              <w:pStyle w:val="Compact"/>
              <w:jc w:val="left"/>
            </w:pPr>
            <w:r>
              <w:t xml:space="preserve">hogere humaninespiegels en MMSE-scores onder hyperbare therapie</w:t>
            </w:r>
          </w:p>
        </w:tc>
      </w:tr>
    </w:tbl>
    <w:p>
      <w:pPr>
        <w:pStyle w:val="BodyText"/>
      </w:pPr>
      <w:r>
        <w:t xml:space="preserve">De observaties leveren een samenhangend beeld op: humaninespiegels dalen met de leeftijd, zijn hoger bij kinderen van zeer oude mensen, lager bij sommige aandoeningen en stijgen door beweging. Interessant is het verband met het groeihormoonsysteem: groeihormoon en IGF-1 verlaagden de humaninespiegels bij muizen en mensen, en langlevende muizen met groeihormoontekort hadden verhoogde spiegels</w:t>
      </w:r>
      <w:r>
        <w:rPr>
          <w:rStyle w:val="FootnoteReference"/>
        </w:rPr>
        <w:footnoteReference w:id="1848"/>
      </w:r>
      <w:r>
        <w:t xml:space="preserve">. Dat is opmerkelijk, omdat op dezelfde grijze markt vaak groeihormoonvrijmakers worden aangeboden (zie Deel II · C).</w:t>
      </w:r>
    </w:p>
    <w:p>
      <w:pPr>
        <w:pStyle w:val="BodyText"/>
      </w:pPr>
      <w:r>
        <w:t xml:space="preserve">Maar ook hier geldt: een spiegel die samengaat met gezondheid, is geen bewijs dat toediening gezonder maakt. Humanine kan net zo goed een begeleidend kenmerk van gezonde mitochondriën zijn, zonder zelf de oorzaak te zijn.</w:t>
      </w:r>
    </w:p>
    <w:bookmarkEnd w:id="1849"/>
    <w:bookmarkStart w:id="1850" w:name="toediening-als-werkzame-stof"/>
    <w:p>
      <w:pPr>
        <w:pStyle w:val="Heading4"/>
      </w:pPr>
      <w:r>
        <w:t xml:space="preserve">Toediening als werkzame stof</w:t>
      </w:r>
    </w:p>
    <w:p>
      <w:pPr>
        <w:pStyle w:val="FirstParagraph"/>
      </w:pPr>
      <w:r>
        <w:t xml:space="preserve">Er is geen gepubliceerde studie en geen registratie waarin mensen humanine of HNG kregen (zoekopdracht oktober 2026). Ook casusbeschrijvingen van bijwerkingen na zelftoediening werden niet gevonden.</w:t>
      </w:r>
    </w:p>
    <w:bookmarkEnd w:id="1850"/>
    <w:bookmarkEnd w:id="1851"/>
    <w:bookmarkStart w:id="1857" w:name="dier--en-laboratoriumstudies-42"/>
    <w:p>
      <w:pPr>
        <w:pStyle w:val="Heading3"/>
      </w:pPr>
      <w:r>
        <w:t xml:space="preserve">Dier- en laboratoriumstudies</w:t>
      </w:r>
    </w:p>
    <w:p>
      <w:pPr>
        <w:pStyle w:val="FirstParagraph"/>
      </w:pPr>
      <w:r>
        <w:t xml:space="preserve">De preklinische literatuur is omvangrijk:</w:t>
      </w:r>
    </w:p>
    <w:p>
      <w:pPr>
        <w:numPr>
          <w:ilvl w:val="0"/>
          <w:numId w:val="1233"/>
        </w:numPr>
        <w:pStyle w:val="Compact"/>
      </w:pPr>
      <w:r>
        <w:rPr>
          <w:bCs/>
          <w:b/>
        </w:rPr>
        <w:t xml:space="preserve">Levensduur:</w:t>
      </w:r>
      <w:r>
        <w:t xml:space="preserve"> </w:t>
      </w:r>
      <w:r>
        <w:t xml:space="preserve">Bij rondwormen verlengde een verhoogde aanmaak van humanine de levensduur; bij muizen van middelbare leeftijd verbeterde HNG stofwisselingswaarden en verlaagde het ontstekingsmarkers</w:t>
      </w:r>
      <w:r>
        <w:rPr>
          <w:rStyle w:val="FootnoteReference"/>
        </w:rPr>
        <w:footnoteReference w:id="1852"/>
      </w:r>
      <w:r>
        <w:t xml:space="preserve">.</w:t>
      </w:r>
    </w:p>
    <w:p>
      <w:pPr>
        <w:numPr>
          <w:ilvl w:val="0"/>
          <w:numId w:val="1233"/>
        </w:numPr>
        <w:pStyle w:val="Compact"/>
      </w:pPr>
      <w:r>
        <w:rPr>
          <w:bCs/>
          <w:b/>
        </w:rPr>
        <w:t xml:space="preserve">Hart:</w:t>
      </w:r>
      <w:r>
        <w:t xml:space="preserve"> </w:t>
      </w:r>
      <w:r>
        <w:t xml:space="preserve">Bij muizen verkleinde HNG na een kunstmatig opgewekt hartinfarct het infarct</w:t>
      </w:r>
      <w:r>
        <w:rPr>
          <w:rStyle w:val="FootnoteReference"/>
        </w:rPr>
        <w:footnoteReference w:id="1853"/>
      </w:r>
      <w:r>
        <w:t xml:space="preserve">; een behandeling van 14 maanden van oude muizen verminderde de leeftijdsgebonden littekenvorming van de hartspier</w:t>
      </w:r>
      <w:r>
        <w:rPr>
          <w:rStyle w:val="FootnoteReference"/>
        </w:rPr>
        <w:footnoteReference w:id="1854"/>
      </w:r>
      <w:r>
        <w:t xml:space="preserve">.</w:t>
      </w:r>
    </w:p>
    <w:p>
      <w:pPr>
        <w:numPr>
          <w:ilvl w:val="0"/>
          <w:numId w:val="1233"/>
        </w:numPr>
        <w:pStyle w:val="Compact"/>
      </w:pPr>
      <w:r>
        <w:rPr>
          <w:bCs/>
          <w:b/>
        </w:rPr>
        <w:t xml:space="preserve">Alzheimermodellen:</w:t>
      </w:r>
      <w:r>
        <w:t xml:space="preserve"> </w:t>
      </w:r>
      <w:r>
        <w:t xml:space="preserve">De zeldzame variant P3S verminderde bij muizen met APOE4 de amyloïdafzettingen sterker dan normaal humanine</w:t>
      </w:r>
      <w:r>
        <w:rPr>
          <w:rStyle w:val="FootnoteReference"/>
        </w:rPr>
        <w:footnoteReference w:id="1855"/>
      </w:r>
      <w:r>
        <w:t xml:space="preserve">.</w:t>
      </w:r>
    </w:p>
    <w:p>
      <w:pPr>
        <w:numPr>
          <w:ilvl w:val="0"/>
          <w:numId w:val="1233"/>
        </w:numPr>
        <w:pStyle w:val="Compact"/>
      </w:pPr>
      <w:r>
        <w:rPr>
          <w:bCs/>
          <w:b/>
        </w:rPr>
        <w:t xml:space="preserve">Netvlies:</w:t>
      </w:r>
      <w:r>
        <w:t xml:space="preserve"> </w:t>
      </w:r>
      <w:r>
        <w:t xml:space="preserve">In celmodellen met mitochondriën van mensen met leeftijdsgebonden maculadegeneratie beschermde HNG tegen celschade</w:t>
      </w:r>
      <w:r>
        <w:rPr>
          <w:rStyle w:val="FootnoteReference"/>
        </w:rPr>
        <w:footnoteReference w:id="1856"/>
      </w:r>
      <w:r>
        <w:t xml:space="preserve">.</w:t>
      </w:r>
    </w:p>
    <w:bookmarkEnd w:id="1857"/>
    <w:bookmarkStart w:id="1860" w:name="risicos-en-bijwerkingen-42"/>
    <w:p>
      <w:pPr>
        <w:pStyle w:val="Heading3"/>
      </w:pPr>
      <w:r>
        <w:t xml:space="preserve">Risico’s en bijwerkingen</w:t>
      </w:r>
    </w:p>
    <w:p>
      <w:pPr>
        <w:pStyle w:val="FirstParagraph"/>
      </w:pPr>
      <w:r>
        <w:rPr>
          <w:bCs/>
          <w:b/>
        </w:rPr>
        <w:t xml:space="preserve">Aangetoond:</w:t>
      </w:r>
      <w:r>
        <w:t xml:space="preserve"> </w:t>
      </w:r>
      <w:r>
        <w:t xml:space="preserve">er zijn geen veiligheidsgegevens over toediening bij mensen.</w:t>
      </w:r>
    </w:p>
    <w:p>
      <w:pPr>
        <w:pStyle w:val="BodyText"/>
      </w:pPr>
      <w:r>
        <w:rPr>
          <w:bCs/>
          <w:b/>
        </w:rPr>
        <w:t xml:space="preserve">Theoretisch – met concrete waarschuwingssignalen uit het laboratorium:</w:t>
      </w:r>
    </w:p>
    <w:p>
      <w:pPr>
        <w:numPr>
          <w:ilvl w:val="0"/>
          <w:numId w:val="1234"/>
        </w:numPr>
        <w:pStyle w:val="Compact"/>
      </w:pPr>
      <w:r>
        <w:rPr>
          <w:bCs/>
          <w:b/>
        </w:rPr>
        <w:t xml:space="preserve">Kanker:</w:t>
      </w:r>
      <w:r>
        <w:t xml:space="preserve"> </w:t>
      </w:r>
      <w:r>
        <w:t xml:space="preserve">humanine beschermt cellen tegen geprogrammeerde celdood – en dat geldt ook voor kankercellen. Bij muizen met triple-negatieve borstkanker verminderde toegediend humanine de celdood in de tumor, verzwakte het het effect van de chemotherapie en versnelde het de tumorgroei en longuitzaaiingen. In biopten van dit type borstkanker was humanine in verhoogde mate aantoonbaar. De auteurs raden uitdrukkelijk voorzichtigheid aan bij het gebruik van humanine tegen degeneratieve aandoeningen</w:t>
      </w:r>
      <w:r>
        <w:rPr>
          <w:rStyle w:val="FootnoteReference"/>
        </w:rPr>
        <w:footnoteReference w:id="1858"/>
      </w:r>
      <w:r>
        <w:t xml:space="preserve">.</w:t>
      </w:r>
    </w:p>
    <w:p>
      <w:pPr>
        <w:numPr>
          <w:ilvl w:val="0"/>
          <w:numId w:val="1234"/>
        </w:numPr>
        <w:pStyle w:val="Compact"/>
      </w:pPr>
      <w:r>
        <w:rPr>
          <w:bCs/>
          <w:b/>
        </w:rPr>
        <w:t xml:space="preserve">Ontsteking bij verouderde cellen:</w:t>
      </w:r>
      <w:r>
        <w:t xml:space="preserve"> </w:t>
      </w:r>
      <w:r>
        <w:t xml:space="preserve">In celexperimenten versterkten humanine en MOTS-c de afgifte van ontstekingssignaalstoffen door verouderde („senescente”) cellen</w:t>
      </w:r>
      <w:r>
        <w:rPr>
          <w:rStyle w:val="FootnoteReference"/>
        </w:rPr>
        <w:footnoteReference w:id="1859"/>
      </w:r>
      <w:r>
        <w:t xml:space="preserve">.</w:t>
      </w:r>
    </w:p>
    <w:p>
      <w:pPr>
        <w:numPr>
          <w:ilvl w:val="0"/>
          <w:numId w:val="1234"/>
        </w:numPr>
        <w:pStyle w:val="Compact"/>
      </w:pPr>
      <w:r>
        <w:rPr>
          <w:bCs/>
          <w:b/>
        </w:rPr>
        <w:t xml:space="preserve">Immuunreacties:</w:t>
      </w:r>
      <w:r>
        <w:t xml:space="preserve"> </w:t>
      </w:r>
      <w:r>
        <w:t xml:space="preserve">bij herhaalde injectie van een peptide kunnen antilichamen ontstaan; niet onderzocht.</w:t>
      </w:r>
    </w:p>
    <w:p>
      <w:pPr>
        <w:pStyle w:val="FirstParagraph"/>
      </w:pPr>
      <w:r>
        <w:rPr>
          <w:bCs/>
          <w:b/>
        </w:rPr>
        <w:t xml:space="preserve">Grijze markt:</w:t>
      </w:r>
      <w:r>
        <w:t xml:space="preserve"> </w:t>
      </w:r>
      <w:r>
        <w:t xml:space="preserve">humanine en HNG worden als „longevitypeptiden” voor injectie aangeboden. Gehalte, zuiverheid en steriliteit zijn ongecontroleerd.</w:t>
      </w:r>
    </w:p>
    <w:bookmarkEnd w:id="1860"/>
    <w:bookmarkStart w:id="1861" w:name="juridische-status-42"/>
    <w:p>
      <w:pPr>
        <w:pStyle w:val="Heading3"/>
      </w:pPr>
      <w:r>
        <w:t xml:space="preserve">Juridische status</w:t>
      </w:r>
    </w:p>
    <w:p>
      <w:pPr>
        <w:numPr>
          <w:ilvl w:val="0"/>
          <w:numId w:val="1235"/>
        </w:numPr>
        <w:pStyle w:val="Compact"/>
      </w:pPr>
      <w:r>
        <w:rPr>
          <w:bCs/>
          <w:b/>
        </w:rPr>
        <w:t xml:space="preserve">EU / Oostenrijk / Duitsland:</w:t>
      </w:r>
      <w:r>
        <w:t xml:space="preserve"> </w:t>
      </w:r>
      <w:r>
        <w:t xml:space="preserve">niet toegelaten; als stof met farmacologische werking geldt humanine als geneesmiddel, verkoop voor gebruik bij mensen is niet toegestaan.</w:t>
      </w:r>
    </w:p>
    <w:p>
      <w:pPr>
        <w:numPr>
          <w:ilvl w:val="0"/>
          <w:numId w:val="1235"/>
        </w:numPr>
        <w:pStyle w:val="Compact"/>
      </w:pPr>
      <w:r>
        <w:rPr>
          <w:bCs/>
          <w:b/>
        </w:rPr>
        <w:t xml:space="preserve">VS:</w:t>
      </w:r>
      <w:r>
        <w:t xml:space="preserve"> </w:t>
      </w:r>
      <w:r>
        <w:t xml:space="preserve">niet toegelaten.</w:t>
      </w:r>
    </w:p>
    <w:p>
      <w:pPr>
        <w:numPr>
          <w:ilvl w:val="0"/>
          <w:numId w:val="1235"/>
        </w:numPr>
        <w:pStyle w:val="Compact"/>
      </w:pPr>
      <w:r>
        <w:rPr>
          <w:bCs/>
          <w:b/>
        </w:rPr>
        <w:t xml:space="preserve">Sport:</w:t>
      </w:r>
      <w:r>
        <w:t xml:space="preserve"> </w:t>
      </w:r>
      <w:r>
        <w:t xml:space="preserve">naar onze inschatting WADA-categorie S0 (stand 2026, actuele situatie controleren).</w:t>
      </w:r>
    </w:p>
    <w:bookmarkEnd w:id="1861"/>
    <w:bookmarkStart w:id="1863" w:name="lopende-studies-en-vooruitzichten-42"/>
    <w:p>
      <w:pPr>
        <w:pStyle w:val="Heading3"/>
      </w:pPr>
      <w:r>
        <w:t xml:space="preserve">Lopende studies en vooruitzichten</w:t>
      </w:r>
    </w:p>
    <w:p>
      <w:pPr>
        <w:pStyle w:val="FirstParagraph"/>
      </w:pPr>
      <w:r>
        <w:rPr>
          <w:bCs/>
          <w:b/>
        </w:rPr>
        <w:t xml:space="preserve">Vast staat:</w:t>
      </w:r>
      <w:r>
        <w:t xml:space="preserve"> </w:t>
      </w:r>
      <w:r>
        <w:t xml:space="preserve">geregistreerd zijn alleen observationele studies naar humaninespiegels, bijvoorbeeld na hartoperaties (NCT03431844, 106 deelnemers, afgerond) en bij niertransplantatie</w:t>
      </w:r>
      <w:r>
        <w:rPr>
          <w:rStyle w:val="FootnoteReference"/>
        </w:rPr>
        <w:footnoteReference w:id="1862"/>
      </w:r>
      <w:r>
        <w:t xml:space="preserve">. Een studie naar toediening van humanine bestaat niet.</w:t>
      </w:r>
    </w:p>
    <w:p>
      <w:pPr>
        <w:pStyle w:val="BodyText"/>
      </w:pPr>
      <w:r>
        <w:rPr>
          <w:bCs/>
          <w:b/>
        </w:rPr>
        <w:t xml:space="preserve">Inschatting:</w:t>
      </w:r>
      <w:r>
        <w:t xml:space="preserve"> </w:t>
      </w:r>
      <w:r>
        <w:t xml:space="preserve">humanine is een wetenschappelijk boeiend signaalpeptide en een mogelijke biomarker van veroudering. Of het ooit als geneesmiddel wordt onderzocht, is onzeker; de kankerbevindingen uit het diermodel zouden vóór elk gebruik bij mensen zorgvuldig moeten worden opgehelderd.</w:t>
      </w:r>
    </w:p>
    <w:bookmarkEnd w:id="1863"/>
    <w:bookmarkStart w:id="1864" w:name="conclusie-42"/>
    <w:p>
      <w:pPr>
        <w:pStyle w:val="Heading3"/>
      </w:pPr>
      <w:r>
        <w:t xml:space="preserve">Conclusie</w:t>
      </w:r>
    </w:p>
    <w:p>
      <w:pPr>
        <w:pStyle w:val="FirstParagraph"/>
      </w:pPr>
      <w:r>
        <w:t xml:space="preserve">Humanine is een lichaamseigen, mitochondriaal peptide dat in 2001 werd ontdekt als beschermende factor voor zenuwcellen. De spiegels dalen met de leeftijd, zijn hoger bij kinderen van 100-jarigen en stijgen door beweging; in dierproeven beschermde de variant HNG hart, hersenen en stofwisseling. Bij mensen is humanine nooit als werkzame stof gegeven, en bij muizen bevorderde het de groei van borstkanker. De gegevens volstaan niet om nut of veiligheid van toediening te beoordelen.</w:t>
      </w:r>
    </w:p>
    <w:bookmarkEnd w:id="1864"/>
    <w:bookmarkEnd w:id="1865"/>
    <w:bookmarkStart w:id="1905" w:name="ss-31-elamipretide"/>
    <w:p>
      <w:pPr>
        <w:pStyle w:val="Heading2"/>
      </w:pPr>
      <w:r>
        <w:t xml:space="preserve">SS-31 (elamipretide)</w:t>
      </w:r>
    </w:p>
    <w:bookmarkStart w:id="1866" w:name="profiel-43"/>
    <w:p>
      <w:pPr>
        <w:pStyle w:val="Heading3"/>
      </w:pPr>
      <w:r>
        <w:t xml:space="preserve">Profiel</w:t>
      </w:r>
    </w:p>
    <w:p>
      <w:pPr>
        <w:numPr>
          <w:ilvl w:val="0"/>
          <w:numId w:val="1236"/>
        </w:numPr>
        <w:pStyle w:val="Compact"/>
      </w:pPr>
      <w:r>
        <w:rPr>
          <w:bCs/>
          <w:b/>
        </w:rPr>
        <w:t xml:space="preserve">Soort en structuur:</w:t>
      </w:r>
      <w:r>
        <w:t xml:space="preserve"> </w:t>
      </w:r>
      <w:r>
        <w:t xml:space="preserve">synthetisch tetrapeptide van vier bouwstenen (D-arginine, dimethyltyrosine, lysine, fenylalanine), dat door een ongebruikelijke volgorde van positief geladen en ringvormige aminozuren celmembranen passeert. Onderzoeksaanduidingen SS-31, MTP-131 en Bendavia; werkzame stof elamipretide; handelsnaam Forzinity.</w:t>
      </w:r>
    </w:p>
    <w:p>
      <w:pPr>
        <w:numPr>
          <w:ilvl w:val="0"/>
          <w:numId w:val="1236"/>
        </w:numPr>
        <w:pStyle w:val="Compact"/>
      </w:pPr>
      <w:r>
        <w:rPr>
          <w:bCs/>
          <w:b/>
        </w:rPr>
        <w:t xml:space="preserve">Herkomst:</w:t>
      </w:r>
      <w:r>
        <w:t xml:space="preserve"> </w:t>
      </w:r>
      <w:r>
        <w:t xml:space="preserve">ontwikkeld door Hazel Szeto en Peter Schiller (vandaar „SS”-peptiden), klinisch verder ontwikkeld door het Amerikaanse bedrijf Stealth BioTherapeutics.</w:t>
      </w:r>
    </w:p>
    <w:p>
      <w:pPr>
        <w:numPr>
          <w:ilvl w:val="0"/>
          <w:numId w:val="1236"/>
        </w:numPr>
        <w:pStyle w:val="Compact"/>
      </w:pPr>
      <w:r>
        <w:rPr>
          <w:bCs/>
          <w:b/>
        </w:rPr>
        <w:t xml:space="preserve">Werkingsprincipe:</w:t>
      </w:r>
      <w:r>
        <w:t xml:space="preserve"> </w:t>
      </w:r>
      <w:r>
        <w:t xml:space="preserve">hoopt zich op aan het binnenmembraan van de mitochondriën en bindt daar aan cardiolipine, een vet dat onmisbaar is voor de energiewinning. Het zou de ademhalingsketen stabiliseren en schadelijke oxidatie beperken.</w:t>
      </w:r>
    </w:p>
    <w:p>
      <w:pPr>
        <w:numPr>
          <w:ilvl w:val="0"/>
          <w:numId w:val="1236"/>
        </w:numPr>
        <w:pStyle w:val="Compact"/>
      </w:pPr>
      <w:r>
        <w:rPr>
          <w:bCs/>
          <w:b/>
        </w:rPr>
        <w:t xml:space="preserve">Registratie EU:</w:t>
      </w:r>
      <w:r>
        <w:t xml:space="preserve"> </w:t>
      </w:r>
      <w:r>
        <w:t xml:space="preserve">nee.</w:t>
      </w:r>
    </w:p>
    <w:p>
      <w:pPr>
        <w:numPr>
          <w:ilvl w:val="0"/>
          <w:numId w:val="1236"/>
        </w:numPr>
        <w:pStyle w:val="Compact"/>
      </w:pPr>
      <w:r>
        <w:rPr>
          <w:bCs/>
          <w:b/>
        </w:rPr>
        <w:t xml:space="preserve">Registratie VS:</w:t>
      </w:r>
      <w:r>
        <w:t xml:space="preserve"> </w:t>
      </w:r>
      <w:r>
        <w:t xml:space="preserve">ja – in september 2025</w:t>
      </w:r>
      <w:r>
        <w:t xml:space="preserve"> </w:t>
      </w:r>
      <w:r>
        <w:rPr>
          <w:bCs/>
          <w:b/>
        </w:rPr>
        <w:t xml:space="preserve">versnelde toelating</w:t>
      </w:r>
      <w:r>
        <w:t xml:space="preserve"> </w:t>
      </w:r>
      <w:r>
        <w:t xml:space="preserve">(accelerated approval) als Forzinity voor het verbeteren van de spierkracht bij het syndroom van Barth voor volwassenen en kinderen vanaf 30 kg lichaamsgewicht. De toelating is gebonden aan een bevestigingsstudie.</w:t>
      </w:r>
    </w:p>
    <w:p>
      <w:pPr>
        <w:numPr>
          <w:ilvl w:val="0"/>
          <w:numId w:val="1236"/>
        </w:numPr>
        <w:pStyle w:val="Compact"/>
      </w:pPr>
      <w:r>
        <w:rPr>
          <w:bCs/>
          <w:b/>
        </w:rPr>
        <w:t xml:space="preserve">WADA:</w:t>
      </w:r>
      <w:r>
        <w:t xml:space="preserve"> </w:t>
      </w:r>
      <w:r>
        <w:t xml:space="preserve">niet bij naam vermeld.</w:t>
      </w:r>
    </w:p>
    <w:p>
      <w:pPr>
        <w:numPr>
          <w:ilvl w:val="0"/>
          <w:numId w:val="1236"/>
        </w:numPr>
        <w:pStyle w:val="Compact"/>
      </w:pPr>
      <w:r>
        <w:rPr>
          <w:bCs/>
          <w:b/>
        </w:rPr>
        <w:t xml:space="preserve">Bewijsniveau:</w:t>
      </w:r>
      <w:r>
        <w:t xml:space="preserve"> </w:t>
      </w:r>
      <w:r>
        <w:rPr>
          <w:bCs/>
          <w:b/>
        </w:rPr>
        <w:t xml:space="preserve">B</w:t>
      </w:r>
      <w:r>
        <w:t xml:space="preserve"> </w:t>
      </w:r>
      <w:r>
        <w:t xml:space="preserve">– talrijke gerandomiseerde studies, waaronder een fase 3-studie met 218 deelnemers; de meeste grote studies haalden echter hun primaire eindpunt niet, en de toelating berust op een zeer kleine studie bij een uiterst zeldzame aandoening.</w:t>
      </w:r>
    </w:p>
    <w:bookmarkEnd w:id="1866"/>
    <w:bookmarkStart w:id="1868" w:name="hoe-het-zou-moeten-werken-43"/>
    <w:p>
      <w:pPr>
        <w:pStyle w:val="Heading3"/>
      </w:pPr>
      <w:r>
        <w:t xml:space="preserve">Hoe het zou moeten werken</w:t>
      </w:r>
    </w:p>
    <w:p>
      <w:pPr>
        <w:pStyle w:val="FirstParagraph"/>
      </w:pPr>
      <w:r>
        <w:t xml:space="preserve">Mitochondriën winnen energie via een keten van eiwitcomplexen in hun binnenmembraan. Om deze complexen goed te laten samenwerken, is cardiolipine nodig – een bijzonder vet dat alleen in dit membraan voorkomt. Wordt cardiolipine beschadigd of ontbreekt het, dan werkt de ademhalingsketen slechter, en het eiwit cytochroom c kan van een elektronendrager veranderen in een schadelijk enzym (een peroxidase).</w:t>
      </w:r>
    </w:p>
    <w:p>
      <w:pPr>
        <w:pStyle w:val="BodyText"/>
      </w:pPr>
      <w:r>
        <w:t xml:space="preserve">SS-31 bindt volgens zijn ontwikkelaarster via elektrische en waterafstotende krachten selectief aan cardiolipine, voorkomt deze omzetting van cytochroom c en beschermt zo de structuur van de mitochondriën</w:t>
      </w:r>
      <w:r>
        <w:rPr>
          <w:rStyle w:val="FootnoteReference"/>
        </w:rPr>
        <w:footnoteReference w:id="1867"/>
      </w:r>
      <w:r>
        <w:t xml:space="preserve">. Het principe is in veel diermodellen van hart-, nier-, spier- en oogaandoeningen onderzocht.</w:t>
      </w:r>
    </w:p>
    <w:p>
      <w:pPr>
        <w:pStyle w:val="BodyText"/>
      </w:pPr>
      <w:r>
        <w:t xml:space="preserve">Het duidelijkst is het verband bij het</w:t>
      </w:r>
      <w:r>
        <w:t xml:space="preserve"> </w:t>
      </w:r>
      <w:r>
        <w:rPr>
          <w:bCs/>
          <w:b/>
        </w:rPr>
        <w:t xml:space="preserve">syndroom van Barth</w:t>
      </w:r>
      <w:r>
        <w:t xml:space="preserve">: bij deze zeer zeldzame, X-gebonden erfelijke aandoening, die bijna alleen jongens en mannen treft, is het gen</w:t>
      </w:r>
      <w:r>
        <w:t xml:space="preserve"> </w:t>
      </w:r>
      <w:r>
        <w:rPr>
          <w:iCs/>
          <w:i/>
        </w:rPr>
        <w:t xml:space="preserve">TAZ</w:t>
      </w:r>
      <w:r>
        <w:t xml:space="preserve"> </w:t>
      </w:r>
      <w:r>
        <w:t xml:space="preserve">defect, dat nodig is voor de ombouw van cardiolipine. Patiënten hebben hartspierzwakte, spierzwakte, sterke vermoeibaarheid en een verminderd aantal van bepaalde witte bloedcellen. Een werkzame stof die gericht op cardiolipine aangrijpt, ligt hier biologisch bijzonder voor de hand.</w:t>
      </w:r>
    </w:p>
    <w:bookmarkEnd w:id="1868"/>
    <w:bookmarkStart w:id="1887" w:name="studies-bij-mensen-4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19 als studie bij mensen geclassificeerde publicaties op; vier daarvan betreffen bij nadere controle andere werkzame stoffen (de afkorting „SS-31” komt ook elders voor). Op ClinicalTrials.gov waren 21 studies geregistreerd, bijna allemaal van de fabrikant, over het syndroom van Barth, mitochondriale myopathieën, hartfalen, hartinfarct, nierarteriestenose, droge maculadegeneratie en oogaandoeningen. Elamipretide is daarmee het best onderzochte peptide van dit deel.</w:t>
      </w:r>
    </w:p>
    <w:bookmarkStart w:id="1876" w:name="X0917eba8c114c82d624c20242b5f6db7382cbdc"/>
    <w:p>
      <w:pPr>
        <w:pStyle w:val="Heading4"/>
      </w:pPr>
      <w:r>
        <w:t xml:space="preserve">Syndroom van Barth: TAZPOWER en de toelating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TAZPOWER deel 1 (Reid Thompson 2021), PMID 33077895</w:t>
            </w:r>
          </w:p>
        </w:tc>
        <w:tc>
          <w:tcPr/>
          <w:p>
            <w:pPr>
              <w:pStyle w:val="Compact"/>
              <w:jc w:val="left"/>
            </w:pPr>
            <w:r>
              <w:t xml:space="preserve">12 personen, dubbelblind, cross-over tegen placebo</w:t>
            </w:r>
          </w:p>
        </w:tc>
        <w:tc>
          <w:tcPr/>
          <w:p>
            <w:pPr>
              <w:pStyle w:val="Compact"/>
              <w:jc w:val="left"/>
            </w:pPr>
            <w:r>
              <w:t xml:space="preserve">telkens 12 weken</w:t>
            </w:r>
          </w:p>
        </w:tc>
        <w:tc>
          <w:tcPr/>
          <w:p>
            <w:pPr>
              <w:pStyle w:val="Compact"/>
              <w:jc w:val="left"/>
            </w:pPr>
            <w:r>
              <w:t xml:space="preserve">beide primaire eindpunten (6-minutenlooptest, symptoomschaal) niet gehaald</w:t>
            </w:r>
          </w:p>
        </w:tc>
      </w:tr>
      <w:tr>
        <w:tc>
          <w:tcPr/>
          <w:p>
            <w:pPr>
              <w:pStyle w:val="Compact"/>
              <w:jc w:val="left"/>
            </w:pPr>
            <w:r>
              <w:t xml:space="preserve">TAZPOWER open verlenging, PMID 33077895</w:t>
            </w:r>
          </w:p>
        </w:tc>
        <w:tc>
          <w:tcPr/>
          <w:p>
            <w:pPr>
              <w:pStyle w:val="Compact"/>
              <w:jc w:val="left"/>
            </w:pPr>
            <w:r>
              <w:t xml:space="preserve">10 personen, allen met elamipretide</w:t>
            </w:r>
          </w:p>
        </w:tc>
        <w:tc>
          <w:tcPr/>
          <w:p>
            <w:pPr>
              <w:pStyle w:val="Compact"/>
              <w:jc w:val="left"/>
            </w:pPr>
            <w:r>
              <w:t xml:space="preserve">36 weken</w:t>
            </w:r>
          </w:p>
        </w:tc>
        <w:tc>
          <w:tcPr/>
          <w:p>
            <w:pPr>
              <w:pStyle w:val="Compact"/>
              <w:jc w:val="left"/>
            </w:pPr>
            <w:r>
              <w:t xml:space="preserve">loopafstand +95,9 m, symptoomschaal −2,1 punten</w:t>
            </w:r>
          </w:p>
        </w:tc>
      </w:tr>
      <w:tr>
        <w:tc>
          <w:tcPr/>
          <w:p>
            <w:pPr>
              <w:pStyle w:val="Compact"/>
              <w:jc w:val="left"/>
            </w:pPr>
            <w:r>
              <w:t xml:space="preserve">Verlenging tot 168 weken (Thompson 2024), PMID 38602181</w:t>
            </w:r>
          </w:p>
        </w:tc>
        <w:tc>
          <w:tcPr/>
          <w:p>
            <w:pPr>
              <w:pStyle w:val="Compact"/>
              <w:jc w:val="left"/>
            </w:pPr>
            <w:r>
              <w:t xml:space="preserve">10 geïncludeerd, 8 tot week 168</w:t>
            </w:r>
          </w:p>
        </w:tc>
        <w:tc>
          <w:tcPr/>
          <w:p>
            <w:pPr>
              <w:pStyle w:val="Compact"/>
              <w:jc w:val="left"/>
            </w:pPr>
            <w:r>
              <w:t xml:space="preserve">168 weken</w:t>
            </w:r>
          </w:p>
        </w:tc>
        <w:tc>
          <w:tcPr/>
          <w:p>
            <w:pPr>
              <w:pStyle w:val="Compact"/>
              <w:jc w:val="left"/>
            </w:pPr>
            <w:r>
              <w:t xml:space="preserve">loopafstand cumulatief +96,1 m; hartvolumes verbeterd</w:t>
            </w:r>
          </w:p>
        </w:tc>
      </w:tr>
      <w:tr>
        <w:tc>
          <w:tcPr/>
          <w:p>
            <w:pPr>
              <w:pStyle w:val="Compact"/>
              <w:jc w:val="left"/>
            </w:pPr>
            <w:r>
              <w:t xml:space="preserve">Vergelijking met natuurlijk beloop (Hornby 2022), PMID 36056411</w:t>
            </w:r>
          </w:p>
        </w:tc>
        <w:tc>
          <w:tcPr/>
          <w:p>
            <w:pPr>
              <w:pStyle w:val="Compact"/>
              <w:jc w:val="left"/>
            </w:pPr>
            <w:r>
              <w:t xml:space="preserve">8 behandelde vs. 19 onbehandelde personen uit ziekteregister</w:t>
            </w:r>
          </w:p>
        </w:tc>
        <w:tc>
          <w:tcPr/>
          <w:p>
            <w:pPr>
              <w:pStyle w:val="Compact"/>
              <w:jc w:val="left"/>
            </w:pPr>
            <w:r>
              <w:t xml:space="preserve">64–76 weken</w:t>
            </w:r>
          </w:p>
        </w:tc>
        <w:tc>
          <w:tcPr/>
          <w:p>
            <w:pPr>
              <w:pStyle w:val="Compact"/>
              <w:jc w:val="left"/>
            </w:pPr>
            <w:r>
              <w:t xml:space="preserve">verschil in looptest 79,7 resp. 91,0 m in het voordeel van elamipretide</w:t>
            </w:r>
          </w:p>
        </w:tc>
      </w:tr>
    </w:tbl>
    <w:p>
      <w:pPr>
        <w:pStyle w:val="BodyText"/>
      </w:pPr>
      <w:r>
        <w:t xml:space="preserve">De geschiedenis van de toelating laat exemplarisch zien hoe bij extreem zeldzame ziekten wordt beslist:</w:t>
      </w:r>
    </w:p>
    <w:p>
      <w:pPr>
        <w:pStyle w:val="BodyText"/>
      </w:pPr>
      <w:r>
        <w:rPr>
          <w:bCs/>
          <w:b/>
        </w:rPr>
        <w:t xml:space="preserve">Het gecontroleerde deel mislukte.</w:t>
      </w:r>
      <w:r>
        <w:t xml:space="preserve"> </w:t>
      </w:r>
      <w:r>
        <w:t xml:space="preserve">In TAZPOWER</w:t>
      </w:r>
      <w:r>
        <w:rPr>
          <w:rStyle w:val="FootnoteReference"/>
        </w:rPr>
        <w:footnoteReference w:id="1869"/>
      </w:r>
      <w:r>
        <w:t xml:space="preserve"> </w:t>
      </w:r>
      <w:r>
        <w:t xml:space="preserve">kregen twaalf personen met het syndroom van Barth twaalf weken lang dagelijks elamipretide onderhuids of placebo, en daarna telkens het andere. In dit geblindeerde deel werd noch op de 6-minutenlooptest noch op de symptoomschaal een significant verschil bereikt</w:t>
      </w:r>
      <w:r>
        <w:rPr>
          <w:rStyle w:val="FootnoteReference"/>
        </w:rPr>
        <w:footnoteReference w:id="1870"/>
      </w:r>
      <w:r>
        <w:t xml:space="preserve">.</w:t>
      </w:r>
    </w:p>
    <w:p>
      <w:pPr>
        <w:pStyle w:val="BodyText"/>
      </w:pPr>
      <w:r>
        <w:rPr>
          <w:bCs/>
          <w:b/>
        </w:rPr>
        <w:t xml:space="preserve">De open verlenging was positief.</w:t>
      </w:r>
      <w:r>
        <w:t xml:space="preserve"> </w:t>
      </w:r>
      <w:r>
        <w:t xml:space="preserve">Tien personen zetten de behandeling open voort. Na 36 weken liepen zij gemiddeld 95,9 m verder dan aan het begin; ook de strekkracht van de knie en afzonderlijke hartparameters verbeterden</w:t>
      </w:r>
      <w:r>
        <w:rPr>
          <w:rStyle w:val="FootnoteReference"/>
        </w:rPr>
        <w:footnoteReference w:id="1871"/>
      </w:r>
      <w:r>
        <w:t xml:space="preserve">. De verbetering hield aan tot week 168; acht personen bereikten dat tijdstip</w:t>
      </w:r>
      <w:r>
        <w:rPr>
          <w:rStyle w:val="FootnoteReference"/>
        </w:rPr>
        <w:footnoteReference w:id="1872"/>
      </w:r>
      <w:r>
        <w:t xml:space="preserve">. Zonder controlegroep valt echter niet te scheiden welk deel aan het geneesmiddel en welk aan gewenning aan de test, motivatie of toeval is toe te schrijven.</w:t>
      </w:r>
    </w:p>
    <w:p>
      <w:pPr>
        <w:pStyle w:val="BodyText"/>
      </w:pPr>
      <w:r>
        <w:rPr>
          <w:bCs/>
          <w:b/>
        </w:rPr>
        <w:t xml:space="preserve">Vergelijking met een registercontrole.</w:t>
      </w:r>
      <w:r>
        <w:t xml:space="preserve"> </w:t>
      </w:r>
      <w:r>
        <w:t xml:space="preserve">Om dat op te helderen, vergeleek een andere studie acht behandelde personen met 19 onbehandelde uit een observatie van het ziekteverloop. Het voordeel in de looptest bedroeg na 64 weken 79,7 m</w:t>
      </w:r>
      <w:r>
        <w:rPr>
          <w:rStyle w:val="FootnoteReference"/>
        </w:rPr>
        <w:footnoteReference w:id="1873"/>
      </w:r>
      <w:r>
        <w:t xml:space="preserve">. Zulke „historische controles” zijn bij zeldzame ziekten vaak de enige mogelijkheid, maar gelden als duidelijk zwakker dan een randomisatie.</w:t>
      </w:r>
    </w:p>
    <w:p>
      <w:pPr>
        <w:pStyle w:val="BodyText"/>
      </w:pPr>
      <w:r>
        <w:rPr>
          <w:bCs/>
          <w:b/>
        </w:rPr>
        <w:t xml:space="preserve">Het FDA-besluit van 2025.</w:t>
      </w:r>
      <w:r>
        <w:t xml:space="preserve"> </w:t>
      </w:r>
      <w:r>
        <w:t xml:space="preserve">De Amerikaanse geneesmiddelenautoriteit wees de aanvraag in mei 2025 eerst af (Complete Response Letter). In september 2025 verleende zij vervolgens een</w:t>
      </w:r>
      <w:r>
        <w:t xml:space="preserve"> </w:t>
      </w:r>
      <w:r>
        <w:rPr>
          <w:bCs/>
          <w:b/>
        </w:rPr>
        <w:t xml:space="preserve">versnelde toelating</w:t>
      </w:r>
      <w:r>
        <w:t xml:space="preserve"> </w:t>
      </w:r>
      <w:r>
        <w:t xml:space="preserve">voor elamipretide (Forzinity) voor het verbeteren van de spierkracht bij het syndroom van Barth voor patiënten vanaf 30 kg – als eerste ziektespecifieke behandeling van deze aandoening</w:t>
      </w:r>
      <w:r>
        <w:rPr>
          <w:rStyle w:val="FootnoteReference"/>
        </w:rPr>
        <w:footnoteReference w:id="1874"/>
      </w:r>
      <w:r>
        <w:t xml:space="preserve">. Grondslag was de verbetering van de strekkracht van de knie, die de autoriteit beschouwt als surrogaatmaat die een klinisch nut „redelijkerwijs waarschijnlijk” maakt. Een versnelde toelating verplicht de fabrikant tot een bevestigingsstudie; blijft het nut daarin uit, dan kan de toelating worden ingetrokken. Een dergelijke studie met 48 geplande deelnemers werft sinds juli 2026</w:t>
      </w:r>
      <w:r>
        <w:rPr>
          <w:rStyle w:val="FootnoteReference"/>
        </w:rPr>
        <w:footnoteReference w:id="1875"/>
      </w:r>
      <w:r>
        <w:t xml:space="preserve">.</w:t>
      </w:r>
    </w:p>
    <w:bookmarkEnd w:id="1876"/>
    <w:bookmarkStart w:id="1881" w:name="X12a95a74e8d8c8724c0d32a71f929619c0e950e"/>
    <w:p>
      <w:pPr>
        <w:pStyle w:val="Heading4"/>
      </w:pPr>
      <w:r>
        <w:t xml:space="preserve">Primaire mitochondriale myopathie: MMPOWER-3</w:t>
      </w:r>
    </w:p>
    <w:p>
      <w:pPr>
        <w:pStyle w:val="FirstParagraph"/>
      </w:pPr>
      <w:r>
        <w:t xml:space="preserve">Mitochondriale myopathieën zijn erfelijke aandoeningen waarbij de energiewinning in de spieren is verstoord; patiënten lijden aan spierzwakte en sterke vermoeibaarheid.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MMPOWER (Karaa 2018), PMID 29500292</w:t>
            </w:r>
          </w:p>
        </w:tc>
        <w:tc>
          <w:tcPr/>
          <w:p>
            <w:pPr>
              <w:pStyle w:val="Compact"/>
              <w:jc w:val="left"/>
            </w:pPr>
            <w:r>
              <w:t xml:space="preserve">36 personen, infuus in oplopende dosis tegen placebo</w:t>
            </w:r>
          </w:p>
        </w:tc>
        <w:tc>
          <w:tcPr/>
          <w:p>
            <w:pPr>
              <w:pStyle w:val="Compact"/>
              <w:jc w:val="left"/>
            </w:pPr>
            <w:r>
              <w:t xml:space="preserve">5 dagen</w:t>
            </w:r>
          </w:p>
        </w:tc>
        <w:tc>
          <w:tcPr/>
          <w:p>
            <w:pPr>
              <w:pStyle w:val="Compact"/>
              <w:jc w:val="left"/>
            </w:pPr>
            <w:r>
              <w:t xml:space="preserve">hoogste dosis +64,5 m in looptest vs. +20,4 m (p = 0,053)</w:t>
            </w:r>
          </w:p>
        </w:tc>
      </w:tr>
      <w:tr>
        <w:tc>
          <w:tcPr/>
          <w:p>
            <w:pPr>
              <w:pStyle w:val="Compact"/>
              <w:jc w:val="left"/>
            </w:pPr>
            <w:r>
              <w:t xml:space="preserve">MMPOWER-2 (Karaa 2020), PMID 32096613</w:t>
            </w:r>
          </w:p>
        </w:tc>
        <w:tc>
          <w:tcPr/>
          <w:p>
            <w:pPr>
              <w:pStyle w:val="Compact"/>
              <w:jc w:val="left"/>
            </w:pPr>
            <w:r>
              <w:t xml:space="preserve">30 personen, cross-over tegen placebo</w:t>
            </w:r>
          </w:p>
        </w:tc>
        <w:tc>
          <w:tcPr/>
          <w:p>
            <w:pPr>
              <w:pStyle w:val="Compact"/>
              <w:jc w:val="left"/>
            </w:pPr>
            <w:r>
              <w:t xml:space="preserve">telkens 4 weken</w:t>
            </w:r>
          </w:p>
        </w:tc>
        <w:tc>
          <w:tcPr/>
          <w:p>
            <w:pPr>
              <w:pStyle w:val="Compact"/>
              <w:jc w:val="left"/>
            </w:pPr>
            <w:r>
              <w:t xml:space="preserve">looptest +19,8 m (niet significant); minder vermoeidheid</w:t>
            </w:r>
          </w:p>
        </w:tc>
      </w:tr>
      <w:tr>
        <w:tc>
          <w:tcPr/>
          <w:p>
            <w:pPr>
              <w:pStyle w:val="Compact"/>
              <w:jc w:val="left"/>
            </w:pPr>
            <w:r>
              <w:t xml:space="preserve">MMPOWER-3 (Karaa 2023), PMID 37268435</w:t>
            </w:r>
          </w:p>
        </w:tc>
        <w:tc>
          <w:tcPr/>
          <w:p>
            <w:pPr>
              <w:pStyle w:val="Compact"/>
              <w:jc w:val="left"/>
            </w:pPr>
            <w:r>
              <w:t xml:space="preserve">218 personen, fase 3 tegen placebo</w:t>
            </w:r>
          </w:p>
        </w:tc>
        <w:tc>
          <w:tcPr/>
          <w:p>
            <w:pPr>
              <w:pStyle w:val="Compact"/>
              <w:jc w:val="left"/>
            </w:pPr>
            <w:r>
              <w:t xml:space="preserve">24 weken</w:t>
            </w:r>
          </w:p>
        </w:tc>
        <w:tc>
          <w:tcPr/>
          <w:p>
            <w:pPr>
              <w:pStyle w:val="Compact"/>
              <w:jc w:val="left"/>
            </w:pPr>
            <w:r>
              <w:t xml:space="preserve">beide primaire eindpunten niet gehaald; looptest −3,2 m verschil</w:t>
            </w:r>
          </w:p>
        </w:tc>
      </w:tr>
    </w:tbl>
    <w:p>
      <w:pPr>
        <w:pStyle w:val="BodyText"/>
      </w:pPr>
      <w:r>
        <w:t xml:space="preserve">Na bemoedigende kleine studies moest</w:t>
      </w:r>
      <w:r>
        <w:t xml:space="preserve"> </w:t>
      </w:r>
      <w:r>
        <w:rPr>
          <w:bCs/>
          <w:b/>
        </w:rPr>
        <w:t xml:space="preserve">MMPOWER-3</w:t>
      </w:r>
      <w:r>
        <w:rPr>
          <w:rStyle w:val="FootnoteReference"/>
        </w:rPr>
        <w:footnoteReference w:id="1877"/>
      </w:r>
      <w:r>
        <w:t xml:space="preserve"> </w:t>
      </w:r>
      <w:r>
        <w:t xml:space="preserve">de werkzaamheid aantonen. 218 volwassenen met genetisch bevestigde mitochondriale myopathie kregen 24 weken lang elamipretide of placebo. De studie haalde beide primaire eindpunten niet: op de 6-minutenlooptest lag het verschil op −3,2 m (95%-BI −18,7 tot 12,3), op de vermoeidheidsschaal was er eveneens geen verschil. De verdraagbaarheid was goed</w:t>
      </w:r>
      <w:r>
        <w:rPr>
          <w:rStyle w:val="FootnoteReference"/>
        </w:rPr>
        <w:footnoteReference w:id="1878"/>
      </w:r>
      <w:r>
        <w:t xml:space="preserve">. De auteurs beschouwen dit als bewijs van de hoogste klasse dat elamipretide loopafstand en vermoeidheid in deze groep niet verbetert.</w:t>
      </w:r>
    </w:p>
    <w:p>
      <w:pPr>
        <w:pStyle w:val="BodyText"/>
      </w:pPr>
      <w:r>
        <w:t xml:space="preserve">Een achteraf uitgevoerde analyse vond aanwijzingen voor een nut in een subgroep: personen met defecten in genen van de celkern die nodig zijn voor de vermenigvuldiging van het mitochondriale DNA (zoals</w:t>
      </w:r>
      <w:r>
        <w:t xml:space="preserve"> </w:t>
      </w:r>
      <w:r>
        <w:rPr>
          <w:iCs/>
          <w:i/>
        </w:rPr>
        <w:t xml:space="preserve">POLG</w:t>
      </w:r>
      <w:r>
        <w:t xml:space="preserve"> </w:t>
      </w:r>
      <w:r>
        <w:t xml:space="preserve">en</w:t>
      </w:r>
      <w:r>
        <w:t xml:space="preserve"> </w:t>
      </w:r>
      <w:r>
        <w:rPr>
          <w:iCs/>
          <w:i/>
        </w:rPr>
        <w:t xml:space="preserve">TWNK</w:t>
      </w:r>
      <w:r>
        <w:t xml:space="preserve">) liepen onder elamipretide 25,2 m verder tegenover 2,0 m onder placebo (p = 0,06)</w:t>
      </w:r>
      <w:r>
        <w:rPr>
          <w:rStyle w:val="FootnoteReference"/>
        </w:rPr>
        <w:footnoteReference w:id="1879"/>
      </w:r>
      <w:r>
        <w:t xml:space="preserve">. Achteraf uitgevoerde subgroepanalyses leveren hypothesen op, geen bewijs. Op die basis werd de fase 3-studie NuPOWER</w:t>
      </w:r>
      <w:r>
        <w:rPr>
          <w:rStyle w:val="FootnoteReference"/>
        </w:rPr>
        <w:footnoteReference w:id="1880"/>
      </w:r>
      <w:r>
        <w:t xml:space="preserve"> </w:t>
      </w:r>
      <w:r>
        <w:t xml:space="preserve">met 102 deelnemers uitgevoerd; volgens het register is ze sinds december 2024 afgerond, resultaten waren bij ons onderzoek niet gepubliceerd.</w:t>
      </w:r>
    </w:p>
    <w:bookmarkEnd w:id="1881"/>
    <w:bookmarkStart w:id="1886" w:name="hart-nier-oog-en-veroudering"/>
    <w:p>
      <w:pPr>
        <w:pStyle w:val="Heading4"/>
      </w:pPr>
      <w:r>
        <w:t xml:space="preserve">Hart, nier, oog en veroudering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EMBRACE STEMI (Gibson 2016), PMID 26586786</w:t>
            </w:r>
          </w:p>
        </w:tc>
        <w:tc>
          <w:tcPr/>
          <w:p>
            <w:pPr>
              <w:pStyle w:val="Compact"/>
              <w:jc w:val="left"/>
            </w:pPr>
            <w:r>
              <w:t xml:space="preserve">personen met eerste voorwandinfarct, infuus tijdens katheterbehandeling, dubbelblind</w:t>
            </w:r>
          </w:p>
        </w:tc>
        <w:tc>
          <w:tcPr/>
          <w:p>
            <w:pPr>
              <w:pStyle w:val="Compact"/>
              <w:jc w:val="left"/>
            </w:pPr>
            <w:r>
              <w:t xml:space="preserve">72 uur</w:t>
            </w:r>
          </w:p>
        </w:tc>
        <w:tc>
          <w:tcPr/>
          <w:p>
            <w:pPr>
              <w:pStyle w:val="Compact"/>
              <w:jc w:val="left"/>
            </w:pPr>
            <w:r>
              <w:t xml:space="preserve">infarctgrootte niet verminderd</w:t>
            </w:r>
          </w:p>
        </w:tc>
      </w:tr>
      <w:tr>
        <w:tc>
          <w:tcPr/>
          <w:p>
            <w:pPr>
              <w:pStyle w:val="Compact"/>
              <w:jc w:val="left"/>
            </w:pPr>
            <w:r>
              <w:t xml:space="preserve">PROGRESS-HF (Butler 2020), PMID 32068002</w:t>
            </w:r>
          </w:p>
        </w:tc>
        <w:tc>
          <w:tcPr/>
          <w:p>
            <w:pPr>
              <w:pStyle w:val="Compact"/>
              <w:jc w:val="left"/>
            </w:pPr>
            <w:r>
              <w:t xml:space="preserve">71 personen met hartfalen (HFrEF), tegen placebo</w:t>
            </w:r>
          </w:p>
        </w:tc>
        <w:tc>
          <w:tcPr/>
          <w:p>
            <w:pPr>
              <w:pStyle w:val="Compact"/>
              <w:jc w:val="left"/>
            </w:pPr>
            <w:r>
              <w:t xml:space="preserve">4 weken</w:t>
            </w:r>
          </w:p>
        </w:tc>
        <w:tc>
          <w:tcPr/>
          <w:p>
            <w:pPr>
              <w:pStyle w:val="Compact"/>
              <w:jc w:val="left"/>
            </w:pPr>
            <w:r>
              <w:t xml:space="preserve">geen verbetering van de hartvolumes</w:t>
            </w:r>
          </w:p>
        </w:tc>
      </w:tr>
      <w:tr>
        <w:tc>
          <w:tcPr/>
          <w:p>
            <w:pPr>
              <w:pStyle w:val="Compact"/>
              <w:jc w:val="left"/>
            </w:pPr>
            <w:r>
              <w:t xml:space="preserve">Daubert 2017, PMID 29217757</w:t>
            </w:r>
          </w:p>
        </w:tc>
        <w:tc>
          <w:tcPr/>
          <w:p>
            <w:pPr>
              <w:pStyle w:val="Compact"/>
              <w:jc w:val="left"/>
            </w:pPr>
            <w:r>
              <w:t xml:space="preserve">36 personen met hartfalen, eenmalig infuus</w:t>
            </w:r>
          </w:p>
        </w:tc>
        <w:tc>
          <w:tcPr/>
          <w:p>
            <w:pPr>
              <w:pStyle w:val="Compact"/>
              <w:jc w:val="left"/>
            </w:pPr>
            <w:r>
              <w:t xml:space="preserve">24 uur</w:t>
            </w:r>
          </w:p>
        </w:tc>
        <w:tc>
          <w:tcPr/>
          <w:p>
            <w:pPr>
              <w:pStyle w:val="Compact"/>
              <w:jc w:val="left"/>
            </w:pPr>
            <w:r>
              <w:t xml:space="preserve">kortstondig kleinere hartvolumes bij hoogste dosis</w:t>
            </w:r>
          </w:p>
        </w:tc>
      </w:tr>
      <w:tr>
        <w:tc>
          <w:tcPr/>
          <w:p>
            <w:pPr>
              <w:pStyle w:val="Compact"/>
              <w:jc w:val="left"/>
            </w:pPr>
            <w:r>
              <w:t xml:space="preserve">Saad 2017, PMID 28916603</w:t>
            </w:r>
          </w:p>
        </w:tc>
        <w:tc>
          <w:tcPr/>
          <w:p>
            <w:pPr>
              <w:pStyle w:val="Compact"/>
              <w:jc w:val="left"/>
            </w:pPr>
            <w:r>
              <w:t xml:space="preserve">14 personen met nierarterievernauwing bij stentbehandeling</w:t>
            </w:r>
          </w:p>
        </w:tc>
        <w:tc>
          <w:tcPr/>
          <w:p>
            <w:pPr>
              <w:pStyle w:val="Compact"/>
              <w:jc w:val="left"/>
            </w:pPr>
            <w:r>
              <w:t xml:space="preserve">3 maanden</w:t>
            </w:r>
          </w:p>
        </w:tc>
        <w:tc>
          <w:tcPr/>
          <w:p>
            <w:pPr>
              <w:pStyle w:val="Compact"/>
              <w:jc w:val="left"/>
            </w:pPr>
            <w:r>
              <w:t xml:space="preserve">minder zuurstoftekort, betere doorbloeding van de nier (pilotstudie)</w:t>
            </w:r>
          </w:p>
        </w:tc>
      </w:tr>
      <w:tr>
        <w:tc>
          <w:tcPr/>
          <w:p>
            <w:pPr>
              <w:pStyle w:val="Compact"/>
              <w:jc w:val="left"/>
            </w:pPr>
            <w:r>
              <w:t xml:space="preserve">ReCLAIM-2 (Ehlers 2025), PMID 39605874</w:t>
            </w:r>
          </w:p>
        </w:tc>
        <w:tc>
          <w:tcPr/>
          <w:p>
            <w:pPr>
              <w:pStyle w:val="Compact"/>
              <w:jc w:val="left"/>
            </w:pPr>
            <w:r>
              <w:t xml:space="preserve">176 personen met droge maculadegeneratie, tegen placebo</w:t>
            </w:r>
          </w:p>
        </w:tc>
        <w:tc>
          <w:tcPr/>
          <w:p>
            <w:pPr>
              <w:pStyle w:val="Compact"/>
              <w:jc w:val="left"/>
            </w:pPr>
            <w:r>
              <w:t xml:space="preserve">48 weken</w:t>
            </w:r>
          </w:p>
        </w:tc>
        <w:tc>
          <w:tcPr/>
          <w:p>
            <w:pPr>
              <w:pStyle w:val="Compact"/>
              <w:jc w:val="left"/>
            </w:pPr>
            <w:r>
              <w:t xml:space="preserve">primaire eindpunten niet gehaald; langzamer verlies van fotoreceptorstructuren (secundair eindpunt)</w:t>
            </w:r>
          </w:p>
        </w:tc>
      </w:tr>
      <w:tr>
        <w:tc>
          <w:tcPr/>
          <w:p>
            <w:pPr>
              <w:pStyle w:val="Compact"/>
              <w:jc w:val="left"/>
            </w:pPr>
            <w:r>
              <w:t xml:space="preserve">Roshanravan 2021, PMID 34264994</w:t>
            </w:r>
          </w:p>
        </w:tc>
        <w:tc>
          <w:tcPr/>
          <w:p>
            <w:pPr>
              <w:pStyle w:val="Compact"/>
              <w:jc w:val="left"/>
            </w:pPr>
            <w:r>
              <w:t xml:space="preserve">39 gezonde ouderen, eenmalig infuus tegen placebo</w:t>
            </w:r>
          </w:p>
        </w:tc>
        <w:tc>
          <w:tcPr/>
          <w:p>
            <w:pPr>
              <w:pStyle w:val="Compact"/>
              <w:jc w:val="left"/>
            </w:pPr>
            <w:r>
              <w:t xml:space="preserve">7 dagen</w:t>
            </w:r>
          </w:p>
        </w:tc>
        <w:tc>
          <w:tcPr/>
          <w:p>
            <w:pPr>
              <w:pStyle w:val="Compact"/>
              <w:jc w:val="left"/>
            </w:pPr>
            <w:r>
              <w:t xml:space="preserve">kortstondig hogere energiecapaciteit in een handspier, maar geen betere weerstand tegen vermoeidheid</w:t>
            </w:r>
          </w:p>
        </w:tc>
      </w:tr>
    </w:tbl>
    <w:p>
      <w:pPr>
        <w:pStyle w:val="BodyText"/>
      </w:pPr>
      <w:r>
        <w:t xml:space="preserve">Het patroon valt op: bij</w:t>
      </w:r>
      <w:r>
        <w:t xml:space="preserve"> </w:t>
      </w:r>
      <w:r>
        <w:rPr>
          <w:bCs/>
          <w:b/>
        </w:rPr>
        <w:t xml:space="preserve">hartinfarct</w:t>
      </w:r>
      <w:r>
        <w:t xml:space="preserve"> </w:t>
      </w:r>
      <w:r>
        <w:t xml:space="preserve">en</w:t>
      </w:r>
      <w:r>
        <w:t xml:space="preserve"> </w:t>
      </w:r>
      <w:r>
        <w:rPr>
          <w:bCs/>
          <w:b/>
        </w:rPr>
        <w:t xml:space="preserve">hartfalen</w:t>
      </w:r>
      <w:r>
        <w:t xml:space="preserve"> </w:t>
      </w:r>
      <w:r>
        <w:t xml:space="preserve">lieten de grotere gecontroleerde studies geen nut zien</w:t>
      </w:r>
      <w:r>
        <w:rPr>
          <w:rStyle w:val="FootnoteReference"/>
        </w:rPr>
        <w:footnoteReference w:id="1882"/>
      </w:r>
      <w:r>
        <w:t xml:space="preserve">. Bij</w:t>
      </w:r>
      <w:r>
        <w:t xml:space="preserve"> </w:t>
      </w:r>
      <w:r>
        <w:rPr>
          <w:bCs/>
          <w:b/>
        </w:rPr>
        <w:t xml:space="preserve">droge maculadegeneratie</w:t>
      </w:r>
      <w:r>
        <w:t xml:space="preserve">, een veelvoorkomende oorzaak van verlies van gezichtsvermogen op oudere leeftijd, haalde ReCLAIM-2 beide primaire eindpunten niet (gezichtsscherpte bij weinig licht en groei van het beschadigde netvliesoppervlak); een vooraf vastgelegd secundair eindpunt – het verlies van de fotoreceptorlaag – verliep onder elamipretide langzamer</w:t>
      </w:r>
      <w:r>
        <w:rPr>
          <w:rStyle w:val="FootnoteReference"/>
        </w:rPr>
        <w:footnoteReference w:id="1883"/>
      </w:r>
      <w:r>
        <w:t xml:space="preserve">. Deze meetwaarde dient nu als primair eindpunt van de lopende fase 3-studie ReNEW</w:t>
      </w:r>
      <w:r>
        <w:rPr>
          <w:rStyle w:val="FootnoteReference"/>
        </w:rPr>
        <w:footnoteReference w:id="1884"/>
      </w:r>
      <w:r>
        <w:t xml:space="preserve">.</w:t>
      </w:r>
    </w:p>
    <w:p>
      <w:pPr>
        <w:pStyle w:val="BodyText"/>
      </w:pPr>
      <w:r>
        <w:t xml:space="preserve">Interessant voor de longevityscene is de studie bij ouderen: één infuus verhoogde direct daarna de energiecapaciteit van een handspier; na zeven dagen was het effect verdwenen, en het uithoudingsvermogen van de spier verbeterde niet</w:t>
      </w:r>
      <w:r>
        <w:rPr>
          <w:rStyle w:val="FootnoteReference"/>
        </w:rPr>
        <w:footnoteReference w:id="1885"/>
      </w:r>
      <w:r>
        <w:t xml:space="preserve">. Daaruit valt geen „anti-aging”-nut af te leiden.</w:t>
      </w:r>
    </w:p>
    <w:bookmarkEnd w:id="1886"/>
    <w:bookmarkEnd w:id="1887"/>
    <w:bookmarkStart w:id="1891" w:name="dier--en-laboratoriumstudies-43"/>
    <w:p>
      <w:pPr>
        <w:pStyle w:val="Heading3"/>
      </w:pPr>
      <w:r>
        <w:t xml:space="preserve">Dier- en laboratoriumstudies</w:t>
      </w:r>
    </w:p>
    <w:p>
      <w:pPr>
        <w:pStyle w:val="FirstParagraph"/>
      </w:pPr>
      <w:r>
        <w:t xml:space="preserve">In diermodellen zijn gunstige effecten beschreven bij hartfalen, nierschade, spierzwakte, oog- en zenuwaandoeningen</w:t>
      </w:r>
      <w:r>
        <w:rPr>
          <w:rStyle w:val="FootnoteReference"/>
        </w:rPr>
        <w:footnoteReference w:id="1888"/>
      </w:r>
      <w:r>
        <w:t xml:space="preserve">. Bij honden met gevorderd hartfalen verbeterde een langdurige behandeling de pompfunctie en de functie van de mitochondriën</w:t>
      </w:r>
      <w:r>
        <w:rPr>
          <w:rStyle w:val="FootnoteReference"/>
        </w:rPr>
        <w:footnoteReference w:id="1889"/>
      </w:r>
      <w:r>
        <w:t xml:space="preserve">. In een rattenmodel van hartfalen met behouden pompfunctie verbeterde elamipretide weliswaar de energiestofwisseling van de hartspier, maar niet de hartfunctie</w:t>
      </w:r>
      <w:r>
        <w:rPr>
          <w:rStyle w:val="FootnoteReference"/>
        </w:rPr>
        <w:footnoteReference w:id="1890"/>
      </w:r>
      <w:r>
        <w:t xml:space="preserve">. Deze discrepantie tussen betere energiestofwisseling en ontbrekend klinisch nut weerspiegelt zich in de studies bij mensen.</w:t>
      </w:r>
    </w:p>
    <w:bookmarkEnd w:id="1891"/>
    <w:bookmarkStart w:id="1896" w:name="risicos-en-bijwerkingen-43"/>
    <w:p>
      <w:pPr>
        <w:pStyle w:val="Heading3"/>
      </w:pPr>
      <w:r>
        <w:t xml:space="preserve">Risico’s en bijwerkingen</w:t>
      </w:r>
    </w:p>
    <w:p>
      <w:pPr>
        <w:pStyle w:val="FirstParagraph"/>
      </w:pPr>
      <w:r>
        <w:rPr>
          <w:bCs/>
          <w:b/>
        </w:rPr>
        <w:t xml:space="preserve">Aangetoond:</w:t>
      </w:r>
    </w:p>
    <w:p>
      <w:pPr>
        <w:numPr>
          <w:ilvl w:val="0"/>
          <w:numId w:val="1237"/>
        </w:numPr>
        <w:pStyle w:val="Compact"/>
      </w:pPr>
      <w:r>
        <w:t xml:space="preserve">De meest voorkomende bijwerkingen zijn</w:t>
      </w:r>
      <w:r>
        <w:t xml:space="preserve"> </w:t>
      </w:r>
      <w:r>
        <w:rPr>
          <w:bCs/>
          <w:b/>
        </w:rPr>
        <w:t xml:space="preserve">reacties op de injectieplaats</w:t>
      </w:r>
      <w:r>
        <w:t xml:space="preserve"> </w:t>
      </w:r>
      <w:r>
        <w:t xml:space="preserve">(jeuk, pijn, blauwe plekken, roodheid). In MMPOWER-2 traden ze op bij 80% van de behandelden, meestal licht</w:t>
      </w:r>
      <w:r>
        <w:rPr>
          <w:rStyle w:val="FootnoteReference"/>
        </w:rPr>
        <w:footnoteReference w:id="1892"/>
      </w:r>
      <w:r>
        <w:t xml:space="preserve">. In ReCLAIM-2 meldde 86% onder elamipretide en 71% onder placebo enig ongewenst voorval</w:t>
      </w:r>
      <w:r>
        <w:rPr>
          <w:rStyle w:val="FootnoteReference"/>
        </w:rPr>
        <w:footnoteReference w:id="1893"/>
      </w:r>
      <w:r>
        <w:t xml:space="preserve">.</w:t>
      </w:r>
    </w:p>
    <w:p>
      <w:pPr>
        <w:numPr>
          <w:ilvl w:val="0"/>
          <w:numId w:val="1237"/>
        </w:numPr>
        <w:pStyle w:val="Compact"/>
      </w:pPr>
      <w:r>
        <w:t xml:space="preserve">Ernstige bijwerkingen kwamen in de studies niet vaker voor; in MMPOWER-3 waren de voorvallen overwegend licht tot matig</w:t>
      </w:r>
      <w:r>
        <w:rPr>
          <w:rStyle w:val="FootnoteReference"/>
        </w:rPr>
        <w:footnoteReference w:id="1894"/>
      </w:r>
      <w:r>
        <w:t xml:space="preserve">.</w:t>
      </w:r>
    </w:p>
    <w:p>
      <w:pPr>
        <w:numPr>
          <w:ilvl w:val="0"/>
          <w:numId w:val="1237"/>
        </w:numPr>
        <w:pStyle w:val="Compact"/>
      </w:pPr>
      <w:r>
        <w:t xml:space="preserve">Langetermijngegevens zijn er alleen voor enkele personen met het syndroom van Barth over ruim drie jaar</w:t>
      </w:r>
      <w:r>
        <w:rPr>
          <w:rStyle w:val="FootnoteReference"/>
        </w:rPr>
        <w:footnoteReference w:id="1895"/>
      </w:r>
      <w:r>
        <w:t xml:space="preserve">.</w:t>
      </w:r>
    </w:p>
    <w:p>
      <w:pPr>
        <w:pStyle w:val="FirstParagraph"/>
      </w:pPr>
      <w:r>
        <w:rPr>
          <w:bCs/>
          <w:b/>
        </w:rPr>
        <w:t xml:space="preserve">Theoretisch:</w:t>
      </w:r>
      <w:r>
        <w:t xml:space="preserve"> </w:t>
      </w:r>
      <w:r>
        <w:t xml:space="preserve">een werkzame stof die langdurig ingrijpt in de mitochondriën van alle lichaamscellen, zou bij jarenlang gebruik door gezonde mensen onbekende effecten kunnen hebben; daarover zijn geen gegevens.</w:t>
      </w:r>
    </w:p>
    <w:p>
      <w:pPr>
        <w:pStyle w:val="BodyText"/>
      </w:pPr>
      <w:r>
        <w:rPr>
          <w:bCs/>
          <w:b/>
        </w:rPr>
        <w:t xml:space="preserve">Grijze markt:</w:t>
      </w:r>
      <w:r>
        <w:t xml:space="preserve"> </w:t>
      </w:r>
      <w:r>
        <w:t xml:space="preserve">„SS-31” wordt online verkocht als poeder voor injectie voor „mitochondriale verjonging”. Deze producten zijn niet het toegelaten geneesmiddel; gehalte en zuiverheid zijn ongecontroleerd. Voor gezonde mensen is geen nut aangetoond.</w:t>
      </w:r>
    </w:p>
    <w:bookmarkEnd w:id="1896"/>
    <w:bookmarkStart w:id="1898" w:name="juridische-status-43"/>
    <w:p>
      <w:pPr>
        <w:pStyle w:val="Heading3"/>
      </w:pPr>
      <w:r>
        <w:t xml:space="preserve">Juridische status</w:t>
      </w:r>
    </w:p>
    <w:p>
      <w:pPr>
        <w:numPr>
          <w:ilvl w:val="0"/>
          <w:numId w:val="1238"/>
        </w:numPr>
        <w:pStyle w:val="Compact"/>
      </w:pPr>
      <w:r>
        <w:rPr>
          <w:bCs/>
          <w:b/>
        </w:rPr>
        <w:t xml:space="preserve">EU / Oostenrijk / Duitsland:</w:t>
      </w:r>
      <w:r>
        <w:t xml:space="preserve"> </w:t>
      </w:r>
      <w:r>
        <w:t xml:space="preserve">niet toegelaten. Elamipretide is een geneesmiddel; gebruik is alleen mogelijk in het kader van studies of compassionate-useprogramma’s.</w:t>
      </w:r>
    </w:p>
    <w:p>
      <w:pPr>
        <w:numPr>
          <w:ilvl w:val="0"/>
          <w:numId w:val="1238"/>
        </w:numPr>
        <w:pStyle w:val="Compact"/>
      </w:pPr>
      <w:r>
        <w:rPr>
          <w:bCs/>
          <w:b/>
        </w:rPr>
        <w:t xml:space="preserve">VS:</w:t>
      </w:r>
      <w:r>
        <w:t xml:space="preserve"> </w:t>
      </w:r>
      <w:r>
        <w:t xml:space="preserve">versneld toegelaten (Forzinity, september 2025) alleen voor het syndroom van Barth vanaf 30 kg lichaamsgewicht; zie de productinformatie en medische begeleiding. Voor andere aandoeningen is er een compassionate-useprogramma</w:t>
      </w:r>
      <w:r>
        <w:rPr>
          <w:rStyle w:val="FootnoteReference"/>
        </w:rPr>
        <w:footnoteReference w:id="1897"/>
      </w:r>
      <w:r>
        <w:t xml:space="preserve">.</w:t>
      </w:r>
    </w:p>
    <w:p>
      <w:pPr>
        <w:numPr>
          <w:ilvl w:val="0"/>
          <w:numId w:val="1238"/>
        </w:numPr>
        <w:pStyle w:val="Compact"/>
      </w:pPr>
      <w:r>
        <w:rPr>
          <w:bCs/>
          <w:b/>
        </w:rPr>
        <w:t xml:space="preserve">Sport:</w:t>
      </w:r>
      <w:r>
        <w:t xml:space="preserve"> </w:t>
      </w:r>
      <w:r>
        <w:t xml:space="preserve">niet bij naam op de WADA-lijst (stand 2026, actuele situatie controleren).</w:t>
      </w:r>
    </w:p>
    <w:bookmarkEnd w:id="1898"/>
    <w:bookmarkStart w:id="1903" w:name="lopende-studies-en-vooruitzichten-43"/>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9"/>
        </w:numPr>
        <w:pStyle w:val="Compact"/>
      </w:pPr>
      <w:r>
        <w:rPr>
          <w:bCs/>
          <w:b/>
        </w:rPr>
        <w:t xml:space="preserve">ReNEW</w:t>
      </w:r>
      <w:r>
        <w:rPr>
          <w:rStyle w:val="FootnoteReference"/>
        </w:rPr>
        <w:footnoteReference w:id="1899"/>
      </w:r>
      <w:r>
        <w:t xml:space="preserve">: fase 3 bij droge maculadegeneratie, 313 deelnemers, werving afgerond, gepland einde 2027.</w:t>
      </w:r>
    </w:p>
    <w:p>
      <w:pPr>
        <w:numPr>
          <w:ilvl w:val="0"/>
          <w:numId w:val="1239"/>
        </w:numPr>
        <w:pStyle w:val="Compact"/>
      </w:pPr>
      <w:r>
        <w:rPr>
          <w:bCs/>
          <w:b/>
        </w:rPr>
        <w:t xml:space="preserve">4TAZPower</w:t>
      </w:r>
      <w:r>
        <w:rPr>
          <w:rStyle w:val="FootnoteReference"/>
        </w:rPr>
        <w:footnoteReference w:id="1900"/>
      </w:r>
      <w:r>
        <w:t xml:space="preserve">: bevestigingsstudie bij het syndroom van Barth met 48 geplande deelnemers, werving loopt.</w:t>
      </w:r>
    </w:p>
    <w:p>
      <w:pPr>
        <w:numPr>
          <w:ilvl w:val="0"/>
          <w:numId w:val="1239"/>
        </w:numPr>
        <w:pStyle w:val="Compact"/>
      </w:pPr>
      <w:r>
        <w:rPr>
          <w:bCs/>
          <w:b/>
        </w:rPr>
        <w:t xml:space="preserve">NuPOWER</w:t>
      </w:r>
      <w:r>
        <w:rPr>
          <w:rStyle w:val="FootnoteReference"/>
        </w:rPr>
        <w:footnoteReference w:id="1901"/>
      </w:r>
      <w:r>
        <w:t xml:space="preserve">: fase 3 bij mitochondriale aandoening door mutaties in het kern-DNA, 102 deelnemers, afgerond; resultaten nog niet bekend.</w:t>
      </w:r>
    </w:p>
    <w:p>
      <w:pPr>
        <w:numPr>
          <w:ilvl w:val="0"/>
          <w:numId w:val="1239"/>
        </w:numPr>
        <w:pStyle w:val="Compact"/>
      </w:pPr>
      <w:r>
        <w:t xml:space="preserve">Een kleine fase 2-studie bij gezonde ouderen onderzoekt het lichamelijk functioneren</w:t>
      </w:r>
      <w:r>
        <w:rPr>
          <w:rStyle w:val="FootnoteReference"/>
        </w:rPr>
        <w:footnoteReference w:id="1902"/>
      </w:r>
      <w:r>
        <w:t xml:space="preserve">.</w:t>
      </w:r>
    </w:p>
    <w:p>
      <w:pPr>
        <w:pStyle w:val="FirstParagraph"/>
      </w:pPr>
      <w:r>
        <w:rPr>
          <w:bCs/>
          <w:b/>
        </w:rPr>
        <w:t xml:space="preserve">Inschatting:</w:t>
      </w:r>
      <w:r>
        <w:t xml:space="preserve"> </w:t>
      </w:r>
      <w:r>
        <w:t xml:space="preserve">of elamipretide buiten het syndroom van Barth een plaats vindt, wordt beslist door ReNEW en NuPOWER. De ervaring uit MMPOWER-3, EMBRACE en PROGRESS-HF maant tot voorzichtigheid: een overtuigend mechanisme garandeert geen klinisch nut.</w:t>
      </w:r>
    </w:p>
    <w:bookmarkEnd w:id="1903"/>
    <w:bookmarkStart w:id="1904" w:name="conclusie-43"/>
    <w:p>
      <w:pPr>
        <w:pStyle w:val="Heading3"/>
      </w:pPr>
      <w:r>
        <w:t xml:space="preserve">Conclusie</w:t>
      </w:r>
    </w:p>
    <w:p>
      <w:pPr>
        <w:pStyle w:val="FirstParagraph"/>
      </w:pPr>
      <w:r>
        <w:t xml:space="preserve">Elamipretide (SS-31) is een tetrapeptide dat aan cardiolipine in de mitochondriën bindt en in 2025 als eerste mitochondriale geneesmiddel in de VS een versnelde toelating kreeg voor het zeer zeldzame syndroom van Barth – op basis van een studie met twaalf personen, waarvan het gecontroleerde deel de primaire eindpunten niet haalde, en van open langetermijngegevens. In grotere gerandomiseerde studies bij mitochondriale myopathie, hartinfarct, hartfalen en maculadegeneratie werden de primaire eindpunten niet bereikt. Het geneesmiddel wordt goed verdragen; vooral reacties op de injectieplaats komen vaak voor. Voor gezonde mensen of als „anti-aging”-middel is er geen aangetoond nut.</w:t>
      </w:r>
    </w:p>
    <w:bookmarkEnd w:id="1904"/>
    <w:bookmarkEnd w:id="1905"/>
    <w:bookmarkStart w:id="1924" w:name="foxo4-dri"/>
    <w:p>
      <w:pPr>
        <w:pStyle w:val="Heading2"/>
      </w:pPr>
      <w:r>
        <w:t xml:space="preserve">FOXO4-DRI</w:t>
      </w:r>
    </w:p>
    <w:bookmarkStart w:id="1906" w:name="profiel-44"/>
    <w:p>
      <w:pPr>
        <w:pStyle w:val="Heading3"/>
      </w:pPr>
      <w:r>
        <w:t xml:space="preserve">Profiel</w:t>
      </w:r>
    </w:p>
    <w:p>
      <w:pPr>
        <w:numPr>
          <w:ilvl w:val="0"/>
          <w:numId w:val="1240"/>
        </w:numPr>
        <w:pStyle w:val="Compact"/>
      </w:pPr>
      <w:r>
        <w:rPr>
          <w:bCs/>
          <w:b/>
        </w:rPr>
        <w:t xml:space="preserve">Soort en structuur:</w:t>
      </w:r>
      <w:r>
        <w:t xml:space="preserve"> </w:t>
      </w:r>
      <w:r>
        <w:t xml:space="preserve">relatief lang synthetisch peptide, afgeleid van een gedeelte van het eiwit FOXO4. „DRI” staat voor</w:t>
      </w:r>
      <w:r>
        <w:t xml:space="preserve"> </w:t>
      </w:r>
      <w:r>
        <w:rPr>
          <w:iCs/>
          <w:i/>
        </w:rPr>
        <w:t xml:space="preserve">D-retro-inverso</w:t>
      </w:r>
      <w:r>
        <w:t xml:space="preserve">: het peptide is opgebouwd uit spiegelbeeldige D-aminozuren in omgekeerde volgorde. Daardoor wordt het door lichaamseigen enzymen nauwelijks afgebroken. Een gekoppeld, positief geladen gedeelte (afgeleid van een viruseiwit) moet het in cellen binnensluizen.</w:t>
      </w:r>
    </w:p>
    <w:p>
      <w:pPr>
        <w:numPr>
          <w:ilvl w:val="0"/>
          <w:numId w:val="1240"/>
        </w:numPr>
        <w:pStyle w:val="Compact"/>
      </w:pPr>
      <w:r>
        <w:rPr>
          <w:bCs/>
          <w:b/>
        </w:rPr>
        <w:t xml:space="preserve">Herkomst:</w:t>
      </w:r>
      <w:r>
        <w:t xml:space="preserve"> </w:t>
      </w:r>
      <w:r>
        <w:t xml:space="preserve">in 2017 gepresenteerd door een Nederlandse onderzoeksgroep rond Peter de Keizer (Erasmus MC Rotterdam).</w:t>
      </w:r>
    </w:p>
    <w:p>
      <w:pPr>
        <w:numPr>
          <w:ilvl w:val="0"/>
          <w:numId w:val="1240"/>
        </w:numPr>
        <w:pStyle w:val="Compact"/>
      </w:pPr>
      <w:r>
        <w:rPr>
          <w:bCs/>
          <w:b/>
        </w:rPr>
        <w:t xml:space="preserve">Werkingsprincipe:</w:t>
      </w:r>
      <w:r>
        <w:t xml:space="preserve"> </w:t>
      </w:r>
      <w:r>
        <w:rPr>
          <w:bCs/>
          <w:b/>
        </w:rPr>
        <w:t xml:space="preserve">senolyticum</w:t>
      </w:r>
      <w:r>
        <w:t xml:space="preserve"> </w:t>
      </w:r>
      <w:r>
        <w:t xml:space="preserve">– een stof die gericht verouderde, zogeheten senescente cellen in geprogrammeerde celdood zou drijven, door de binding tussen FOXO4 en het beschermende eiwit p53 te verstoren.</w:t>
      </w:r>
    </w:p>
    <w:p>
      <w:pPr>
        <w:numPr>
          <w:ilvl w:val="0"/>
          <w:numId w:val="1240"/>
        </w:numPr>
        <w:pStyle w:val="Compact"/>
      </w:pPr>
      <w:r>
        <w:rPr>
          <w:bCs/>
          <w:b/>
        </w:rPr>
        <w:t xml:space="preserve">Registratie EU:</w:t>
      </w:r>
      <w:r>
        <w:t xml:space="preserve"> </w:t>
      </w:r>
      <w:r>
        <w:t xml:space="preserve">nee.</w:t>
      </w:r>
    </w:p>
    <w:p>
      <w:pPr>
        <w:numPr>
          <w:ilvl w:val="0"/>
          <w:numId w:val="1240"/>
        </w:numPr>
        <w:pStyle w:val="Compact"/>
      </w:pPr>
      <w:r>
        <w:rPr>
          <w:bCs/>
          <w:b/>
        </w:rPr>
        <w:t xml:space="preserve">Registratie VS:</w:t>
      </w:r>
      <w:r>
        <w:t xml:space="preserve"> </w:t>
      </w:r>
      <w:r>
        <w:t xml:space="preserve">nee.</w:t>
      </w:r>
    </w:p>
    <w:p>
      <w:pPr>
        <w:numPr>
          <w:ilvl w:val="0"/>
          <w:numId w:val="1240"/>
        </w:numPr>
        <w:pStyle w:val="Compact"/>
      </w:pPr>
      <w:r>
        <w:rPr>
          <w:bCs/>
          <w:b/>
        </w:rPr>
        <w:t xml:space="preserve">WADA:</w:t>
      </w:r>
      <w:r>
        <w:t xml:space="preserve"> </w:t>
      </w:r>
      <w:r>
        <w:t xml:space="preserve">niet bij naam vermeld; als nergens toegelaten stof valt FOXO4-DRI naar onze inschatting onder de verzamelcategorie S0.</w:t>
      </w:r>
    </w:p>
    <w:p>
      <w:pPr>
        <w:numPr>
          <w:ilvl w:val="0"/>
          <w:numId w:val="1240"/>
        </w:numPr>
        <w:pStyle w:val="Compact"/>
      </w:pPr>
      <w:r>
        <w:rPr>
          <w:bCs/>
          <w:b/>
        </w:rPr>
        <w:t xml:space="preserve">Bewijsniveau:</w:t>
      </w:r>
      <w:r>
        <w:t xml:space="preserve"> </w:t>
      </w:r>
      <w:r>
        <w:rPr>
          <w:bCs/>
          <w:b/>
        </w:rPr>
        <w:t xml:space="preserve">D</w:t>
      </w:r>
      <w:r>
        <w:t xml:space="preserve"> </w:t>
      </w:r>
      <w:r>
        <w:t xml:space="preserve">– uitsluitend dier- en laboratoriumstudies.</w:t>
      </w:r>
    </w:p>
    <w:bookmarkEnd w:id="1906"/>
    <w:bookmarkStart w:id="1912" w:name="hoe-het-zou-moeten-werken-44"/>
    <w:p>
      <w:pPr>
        <w:pStyle w:val="Heading3"/>
      </w:pPr>
      <w:r>
        <w:t xml:space="preserve">Hoe het zou moeten werken</w:t>
      </w:r>
    </w:p>
    <w:p>
      <w:pPr>
        <w:pStyle w:val="FirstParagraph"/>
      </w:pPr>
      <w:r>
        <w:rPr>
          <w:bCs/>
          <w:b/>
        </w:rPr>
        <w:t xml:space="preserve">Senescente cellen</w:t>
      </w:r>
      <w:r>
        <w:t xml:space="preserve"> </w:t>
      </w:r>
      <w:r>
        <w:t xml:space="preserve">zijn cellen die zich na schade – bijvoorbeeld door straling, chemotherapie, oxidatieve stress of gewoon door veel delingen – niet meer delen, maar ook niet afsterven. Ze blijven in het weefsel achter en geven een mengsel af van ontstekingssignaalstoffen en weefselafbrekende enzymen, dat men SASP noemt (</w:t>
      </w:r>
      <w:r>
        <w:rPr>
          <w:iCs/>
          <w:i/>
        </w:rPr>
        <w:t xml:space="preserve">senescence-associated secretory phenotype</w:t>
      </w:r>
      <w:r>
        <w:t xml:space="preserve">). Met de leeftijd nemen ze in veel organen toe. Bij muizen bij wie zulke cellen genetisch gericht werden verwijderd, werden verschillende verouderingsverschijnselen vertraagd. Daaruit ontstond het idee van</w:t>
      </w:r>
      <w:r>
        <w:t xml:space="preserve"> </w:t>
      </w:r>
      <w:r>
        <w:rPr>
          <w:bCs/>
          <w:b/>
        </w:rPr>
        <w:t xml:space="preserve">senolytica</w:t>
      </w:r>
      <w:r>
        <w:t xml:space="preserve">: geneesmiddelen die senescente cellen opruimen.</w:t>
      </w:r>
    </w:p>
    <w:p>
      <w:pPr>
        <w:pStyle w:val="BodyText"/>
      </w:pPr>
      <w:r>
        <w:t xml:space="preserve">Senescente cellen overleven onder meer doordat ze zelfmoordprogramma’s onderdrukken. De Rotterdamse groep ontdekte dat het eiwit FOXO4 daarbij een sleutelrol speelt: het houdt het eiwit p53, dat anders de celdood zou inleiden, in de celkern vast. Het peptide FOXO4-DRI verstoort deze binding; p53 wordt uit de kern verdreven, en de senescente cel sterft. Gezonde, normaal delende cellen zouden daarvan grotendeels gespaard blijven</w:t>
      </w:r>
      <w:r>
        <w:rPr>
          <w:rStyle w:val="FootnoteReference"/>
        </w:rPr>
        <w:footnoteReference w:id="1907"/>
      </w:r>
      <w:r>
        <w:t xml:space="preserve">. Structuuronderzoek uit 2025 bevestigde dat FOXO4-DRI bindt aan een ongeordend gedeelte van p53 – waarbij ook het celbinnensluizende gedeelte van het peptide aan de binding deelneemt</w:t>
      </w:r>
      <w:r>
        <w:rPr>
          <w:rStyle w:val="FootnoteReference"/>
        </w:rPr>
        <w:footnoteReference w:id="1908"/>
      </w:r>
      <w:r>
        <w:t xml:space="preserve">.</w:t>
      </w:r>
    </w:p>
    <w:bookmarkStart w:id="1911" w:name="senolytica-bij-mensen-de-context"/>
    <w:p>
      <w:pPr>
        <w:pStyle w:val="Heading4"/>
      </w:pPr>
      <w:r>
        <w:t xml:space="preserve">Senolytica bij mensen: de context</w:t>
      </w:r>
    </w:p>
    <w:p>
      <w:pPr>
        <w:pStyle w:val="FirstParagraph"/>
      </w:pPr>
      <w:r>
        <w:t xml:space="preserve">FOXO4-DRI zelf is nooit bij mensen getest. Voor de inordening helpt een blik op andere senolytica die al klinisch zijn onderzocht – vooral de combinatie van het kankermiddel dasatinib en de plantenstof quercetine (kort D+Q):</w:t>
      </w:r>
    </w:p>
    <w:p>
      <w:pPr>
        <w:numPr>
          <w:ilvl w:val="0"/>
          <w:numId w:val="1241"/>
        </w:numPr>
        <w:pStyle w:val="Compact"/>
      </w:pPr>
      <w:r>
        <w:t xml:space="preserve">In een eerste open pilotstudie met 14 personen met idiopathische longfibrose verbeterden loopafstand en loopsnelheid, maar de longfunctie niet; er trad één ernstig ongewenst voorval op</w:t>
      </w:r>
      <w:r>
        <w:rPr>
          <w:rStyle w:val="FootnoteReference"/>
        </w:rPr>
        <w:footnoteReference w:id="1909"/>
      </w:r>
      <w:r>
        <w:t xml:space="preserve">.</w:t>
      </w:r>
    </w:p>
    <w:p>
      <w:pPr>
        <w:numPr>
          <w:ilvl w:val="0"/>
          <w:numId w:val="1241"/>
        </w:numPr>
        <w:pStyle w:val="Compact"/>
      </w:pPr>
      <w:r>
        <w:t xml:space="preserve">In een gerandomiseerde fase 2-studie met 60 vrouwen na de menopauze verlaagde D+Q de marker voor botafbraak niet (primair eindpunt niet gehaald); alleen in een achteraf bekeken subgroep met veel senescente cellen werden gunstige effecten gezien</w:t>
      </w:r>
      <w:r>
        <w:rPr>
          <w:rStyle w:val="FootnoteReference"/>
        </w:rPr>
        <w:footnoteReference w:id="1910"/>
      </w:r>
      <w:r>
        <w:t xml:space="preserve">.</w:t>
      </w:r>
    </w:p>
    <w:p>
      <w:pPr>
        <w:pStyle w:val="FirstParagraph"/>
      </w:pPr>
      <w:r>
        <w:t xml:space="preserve">Het klinische onderzoek naar senolytica staat dus nog aan het begin, en de eerste gecontroleerde resultaten vallen terughoudend uit. Dat is de achtergrond waartegen FOXO4-DRI op internet als „verjongingspeptide” wordt verkocht.</w:t>
      </w:r>
    </w:p>
    <w:bookmarkEnd w:id="1911"/>
    <w:bookmarkEnd w:id="1912"/>
    <w:bookmarkStart w:id="1914" w:name="studies-bij-mensen-4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FOXO4-DRI op; in totaal vermeldt PubMed ongeveer 20 publicaties met de term. Op ClinicalTrials.gov is geen studie geregistreerd. Ook casusbeschrijvingen van gebruik bij mensen of analyses van grijze-marktproducten werden niet gevonden.</w:t>
      </w:r>
    </w:p>
    <w:p>
      <w:pPr>
        <w:pStyle w:val="BodyText"/>
      </w:pPr>
      <w:r>
        <w:t xml:space="preserve">Het dichtst bij de mens komt een laboratoriumstudie met menselijke kraakbeencellen: bij cellen die voor een kraakbeentransplantatie in het laboratorium waren vermeerderd, verwijderde FOXO4-DRI meer dan de helft van de sterk vermeerderde (en daardoor vaker senescente) cellen, maar het verbeterde het vermogen om nieuw kraakbeen te vormen niet</w:t>
      </w:r>
      <w:r>
        <w:rPr>
          <w:rStyle w:val="FootnoteReference"/>
        </w:rPr>
        <w:footnoteReference w:id="1913"/>
      </w:r>
      <w:r>
        <w:t xml:space="preserve">.</w:t>
      </w:r>
    </w:p>
    <w:bookmarkEnd w:id="1914"/>
    <w:bookmarkStart w:id="1917" w:name="dier--en-laboratoriumstudies-44"/>
    <w:p>
      <w:pPr>
        <w:pStyle w:val="Heading3"/>
      </w:pPr>
      <w:r>
        <w:t xml:space="preserve">Dier- en laboratoriumstudies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Baar 2017, PMID 28340339</w:t>
            </w:r>
          </w:p>
        </w:tc>
        <w:tc>
          <w:tcPr/>
          <w:p>
            <w:pPr>
              <w:pStyle w:val="Compact"/>
              <w:jc w:val="left"/>
            </w:pPr>
            <w:r>
              <w:t xml:space="preserve">snel verouderende en natuurlijk verouderde muizen; schade door chemotherapie</w:t>
            </w:r>
          </w:p>
        </w:tc>
        <w:tc>
          <w:tcPr/>
          <w:p>
            <w:pPr>
              <w:pStyle w:val="Compact"/>
              <w:jc w:val="left"/>
            </w:pPr>
            <w:r>
              <w:t xml:space="preserve">betere fitheid, dichtere vacht, betere nierfunctie; bescherming tegen schade door doxorubicine</w:t>
            </w:r>
          </w:p>
        </w:tc>
      </w:tr>
      <w:tr>
        <w:tc>
          <w:tcPr/>
          <w:p>
            <w:pPr>
              <w:pStyle w:val="Compact"/>
              <w:jc w:val="left"/>
            </w:pPr>
            <w:r>
              <w:t xml:space="preserve">Zhang 2020, PMID 31959736</w:t>
            </w:r>
          </w:p>
        </w:tc>
        <w:tc>
          <w:tcPr/>
          <w:p>
            <w:pPr>
              <w:pStyle w:val="Compact"/>
              <w:jc w:val="left"/>
            </w:pPr>
            <w:r>
              <w:t xml:space="preserve">natuurlijk verouderde muizen</w:t>
            </w:r>
          </w:p>
        </w:tc>
        <w:tc>
          <w:tcPr/>
          <w:p>
            <w:pPr>
              <w:pStyle w:val="Compact"/>
              <w:jc w:val="left"/>
            </w:pPr>
            <w:r>
              <w:t xml:space="preserve">testosteronaanmaak in de testikels verbeterd</w:t>
            </w:r>
          </w:p>
        </w:tc>
      </w:tr>
      <w:tr>
        <w:tc>
          <w:tcPr/>
          <w:p>
            <w:pPr>
              <w:pStyle w:val="Compact"/>
              <w:jc w:val="left"/>
            </w:pPr>
            <w:r>
              <w:t xml:space="preserve">Han 2022, PMID 35510614</w:t>
            </w:r>
          </w:p>
        </w:tc>
        <w:tc>
          <w:tcPr/>
          <w:p>
            <w:pPr>
              <w:pStyle w:val="Compact"/>
              <w:jc w:val="left"/>
            </w:pPr>
            <w:r>
              <w:t xml:space="preserve">longfibrose bij muizen</w:t>
            </w:r>
          </w:p>
        </w:tc>
        <w:tc>
          <w:tcPr/>
          <w:p>
            <w:pPr>
              <w:pStyle w:val="Compact"/>
              <w:jc w:val="left"/>
            </w:pPr>
            <w:r>
              <w:t xml:space="preserve">minder littekenvorming</w:t>
            </w:r>
          </w:p>
        </w:tc>
      </w:tr>
      <w:tr>
        <w:tc>
          <w:tcPr/>
          <w:p>
            <w:pPr>
              <w:pStyle w:val="Compact"/>
              <w:jc w:val="left"/>
            </w:pPr>
            <w:r>
              <w:t xml:space="preserve">Kong 2025, PMID 39994346</w:t>
            </w:r>
          </w:p>
        </w:tc>
        <w:tc>
          <w:tcPr/>
          <w:p>
            <w:pPr>
              <w:pStyle w:val="Compact"/>
              <w:jc w:val="left"/>
            </w:pPr>
            <w:r>
              <w:t xml:space="preserve">keloïdweefsel (overmatige littekens) in het laboratorium</w:t>
            </w:r>
          </w:p>
        </w:tc>
        <w:tc>
          <w:tcPr/>
          <w:p>
            <w:pPr>
              <w:pStyle w:val="Compact"/>
              <w:jc w:val="left"/>
            </w:pPr>
            <w:r>
              <w:t xml:space="preserve">meer celdood van senescente bindweefselcellen</w:t>
            </w:r>
          </w:p>
        </w:tc>
      </w:tr>
      <w:tr>
        <w:tc>
          <w:tcPr/>
          <w:p>
            <w:pPr>
              <w:pStyle w:val="Compact"/>
              <w:jc w:val="left"/>
            </w:pPr>
            <w:r>
              <w:t xml:space="preserve">Born 2023, PMID 36515093</w:t>
            </w:r>
          </w:p>
        </w:tc>
        <w:tc>
          <w:tcPr/>
          <w:p>
            <w:pPr>
              <w:pStyle w:val="Compact"/>
              <w:jc w:val="left"/>
            </w:pPr>
            <w:r>
              <w:t xml:space="preserve">modellen van pulmonale hypertensie bij muizen en ratten</w:t>
            </w:r>
          </w:p>
        </w:tc>
        <w:tc>
          <w:tcPr/>
          <w:p>
            <w:pPr>
              <w:pStyle w:val="Compact"/>
              <w:jc w:val="left"/>
            </w:pPr>
            <w:r>
              <w:t xml:space="preserve">verwijdering van senescente cellen, ook met FOXO4-DRI,</w:t>
            </w:r>
            <w:r>
              <w:t xml:space="preserve"> </w:t>
            </w:r>
            <w:r>
              <w:rPr>
                <w:bCs/>
                <w:b/>
              </w:rPr>
              <w:t xml:space="preserve">verslechterde</w:t>
            </w:r>
            <w:r>
              <w:t xml:space="preserve"> </w:t>
            </w:r>
            <w:r>
              <w:t xml:space="preserve">de longcirculatie</w:t>
            </w:r>
          </w:p>
        </w:tc>
      </w:tr>
    </w:tbl>
    <w:p>
      <w:pPr>
        <w:pStyle w:val="BodyText"/>
      </w:pPr>
      <w:r>
        <w:t xml:space="preserve">De eerste beschrijving trok veel aandacht: bij snel verouderende muizen en bij natuurlijk verouderde dieren verbeterden lichamelijke fitheid, vachtbeeld en nierfunctie</w:t>
      </w:r>
      <w:r>
        <w:rPr>
          <w:rStyle w:val="FootnoteReference"/>
        </w:rPr>
        <w:footnoteReference w:id="1915"/>
      </w:r>
      <w:r>
        <w:t xml:space="preserve">. Latere publicaties van andere groepen, overwegend uit China, beschreven effecten op testikels, longen en huid.</w:t>
      </w:r>
    </w:p>
    <w:p>
      <w:pPr>
        <w:pStyle w:val="BodyText"/>
      </w:pPr>
      <w:r>
        <w:t xml:space="preserve">Een belangrijke tegenbevinding komt uit het cardiovasculaire onderzoek: in modellen van pulmonale hypertensie verslechterde het opruimen van senescente cellen – zowel genetisch als met de senolytica ABT263 of FOXO4-DRI – de druk in de longcirculatie en leidde het tot verlies van endotheelcellen van de longvaten. De auteurs concluderen dat senolytica de longvaten zouden kunnen schaden</w:t>
      </w:r>
      <w:r>
        <w:rPr>
          <w:rStyle w:val="FootnoteReference"/>
        </w:rPr>
        <w:footnoteReference w:id="1916"/>
      </w:r>
      <w:r>
        <w:t xml:space="preserve">. Dat laat zien: senescente cellen zijn niet alleen „oude ballast”, maar kunnen in sommige weefsels ook stabiliserende taken hebben.</w:t>
      </w:r>
    </w:p>
    <w:bookmarkEnd w:id="1917"/>
    <w:bookmarkStart w:id="1920" w:name="risicos-en-bijwerkingen-44"/>
    <w:p>
      <w:pPr>
        <w:pStyle w:val="Heading3"/>
      </w:pPr>
      <w:r>
        <w:t xml:space="preserve">Risico’s en bijwerkingen</w:t>
      </w:r>
    </w:p>
    <w:p>
      <w:pPr>
        <w:pStyle w:val="FirstParagraph"/>
      </w:pPr>
      <w:r>
        <w:rPr>
          <w:bCs/>
          <w:b/>
        </w:rPr>
        <w:t xml:space="preserve">Aangetoond:</w:t>
      </w:r>
      <w:r>
        <w:t xml:space="preserve"> </w:t>
      </w:r>
      <w:r>
        <w:t xml:space="preserve">geen gegevens bij mensen.</w:t>
      </w:r>
    </w:p>
    <w:p>
      <w:pPr>
        <w:pStyle w:val="BodyText"/>
      </w:pPr>
      <w:r>
        <w:rPr>
          <w:bCs/>
          <w:b/>
        </w:rPr>
        <w:t xml:space="preserve">Theoretisch – en deels ondersteund door dierdata:</w:t>
      </w:r>
    </w:p>
    <w:p>
      <w:pPr>
        <w:numPr>
          <w:ilvl w:val="0"/>
          <w:numId w:val="1242"/>
        </w:numPr>
        <w:pStyle w:val="Compact"/>
      </w:pPr>
      <w:r>
        <w:rPr>
          <w:bCs/>
          <w:b/>
        </w:rPr>
        <w:t xml:space="preserve">Bloedvaten en longen:</w:t>
      </w:r>
      <w:r>
        <w:t xml:space="preserve"> </w:t>
      </w:r>
      <w:r>
        <w:t xml:space="preserve">in het diermodel verslechterde FOXO4-DRI een bestaande pulmonale hypertensie</w:t>
      </w:r>
      <w:r>
        <w:rPr>
          <w:rStyle w:val="FootnoteReference"/>
        </w:rPr>
        <w:footnoteReference w:id="1918"/>
      </w:r>
      <w:r>
        <w:t xml:space="preserve">.</w:t>
      </w:r>
    </w:p>
    <w:p>
      <w:pPr>
        <w:numPr>
          <w:ilvl w:val="0"/>
          <w:numId w:val="1242"/>
        </w:numPr>
        <w:pStyle w:val="Compact"/>
      </w:pPr>
      <w:r>
        <w:rPr>
          <w:bCs/>
          <w:b/>
        </w:rPr>
        <w:t xml:space="preserve">p53 en kanker:</w:t>
      </w:r>
      <w:r>
        <w:t xml:space="preserve"> </w:t>
      </w:r>
      <w:r>
        <w:t xml:space="preserve">p53 is een van de belangrijkste tumoronderdrukkers van het lichaam. FOXO4-DRI verandert gericht waar p53 zich in de cel bevindt. Welke gevolgen dat op lange termijn heeft voor de afweer tegen kanker, is niet onderzocht. De ontwikkelaars zien het principe omgekeerd ook als benadering voor kankertherapie</w:t>
      </w:r>
      <w:r>
        <w:rPr>
          <w:rStyle w:val="FootnoteReference"/>
        </w:rPr>
        <w:footnoteReference w:id="1919"/>
      </w:r>
      <w:r>
        <w:t xml:space="preserve">.</w:t>
      </w:r>
    </w:p>
    <w:p>
      <w:pPr>
        <w:numPr>
          <w:ilvl w:val="0"/>
          <w:numId w:val="1242"/>
        </w:numPr>
        <w:pStyle w:val="Compact"/>
      </w:pPr>
      <w:r>
        <w:rPr>
          <w:bCs/>
          <w:b/>
        </w:rPr>
        <w:t xml:space="preserve">Wondgenezing en weefselherstel:</w:t>
      </w:r>
      <w:r>
        <w:t xml:space="preserve"> </w:t>
      </w:r>
      <w:r>
        <w:t xml:space="preserve">senescente cellen dragen ook bij aan wondgenezing en weefselombouw; het opruimen ervan kan deze processen verstoren.</w:t>
      </w:r>
    </w:p>
    <w:p>
      <w:pPr>
        <w:numPr>
          <w:ilvl w:val="0"/>
          <w:numId w:val="1242"/>
        </w:numPr>
        <w:pStyle w:val="Compact"/>
      </w:pPr>
      <w:r>
        <w:rPr>
          <w:bCs/>
          <w:b/>
        </w:rPr>
        <w:t xml:space="preserve">Immuunreacties:</w:t>
      </w:r>
      <w:r>
        <w:t xml:space="preserve"> </w:t>
      </w:r>
      <w:r>
        <w:t xml:space="preserve">het peptide bevat een gedeelte van een viruseiwit en is relatief groot; immuunreacties bij herhaalde toediening zijn denkbaar, maar niet onderzocht.</w:t>
      </w:r>
    </w:p>
    <w:p>
      <w:pPr>
        <w:pStyle w:val="FirstParagraph"/>
      </w:pPr>
      <w:r>
        <w:rPr>
          <w:bCs/>
          <w:b/>
        </w:rPr>
        <w:t xml:space="preserve">Grijze markt:</w:t>
      </w:r>
      <w:r>
        <w:t xml:space="preserve"> </w:t>
      </w:r>
      <w:r>
        <w:t xml:space="preserve">FOXO4-DRI wordt online aangeboden als „senolyticum” voor injectie, vaak tegen hoge prijzen. De productie van een lang peptide uit D-aminozuren is veeleisend; of verkochte producten werkelijk de juiste sequentie en zuiverheid hebben, is ongecontroleerd.</w:t>
      </w:r>
    </w:p>
    <w:bookmarkEnd w:id="1920"/>
    <w:bookmarkStart w:id="1921" w:name="juridische-status-44"/>
    <w:p>
      <w:pPr>
        <w:pStyle w:val="Heading3"/>
      </w:pPr>
      <w:r>
        <w:t xml:space="preserve">Juridische status</w:t>
      </w:r>
    </w:p>
    <w:p>
      <w:pPr>
        <w:numPr>
          <w:ilvl w:val="0"/>
          <w:numId w:val="1243"/>
        </w:numPr>
        <w:pStyle w:val="Compact"/>
      </w:pPr>
      <w:r>
        <w:rPr>
          <w:bCs/>
          <w:b/>
        </w:rPr>
        <w:t xml:space="preserve">EU / Oostenrijk / Duitsland:</w:t>
      </w:r>
      <w:r>
        <w:t xml:space="preserve"> </w:t>
      </w:r>
      <w:r>
        <w:t xml:space="preserve">niet toegelaten; als stof met farmacologische werking geldt FOXO4-DRI als geneesmiddel, verkoop voor gebruik bij mensen is niet toegestaan.</w:t>
      </w:r>
    </w:p>
    <w:p>
      <w:pPr>
        <w:numPr>
          <w:ilvl w:val="0"/>
          <w:numId w:val="1243"/>
        </w:numPr>
        <w:pStyle w:val="Compact"/>
      </w:pPr>
      <w:r>
        <w:rPr>
          <w:bCs/>
          <w:b/>
        </w:rPr>
        <w:t xml:space="preserve">VS:</w:t>
      </w:r>
      <w:r>
        <w:t xml:space="preserve"> </w:t>
      </w:r>
      <w:r>
        <w:t xml:space="preserve">niet toegelaten.</w:t>
      </w:r>
    </w:p>
    <w:p>
      <w:pPr>
        <w:numPr>
          <w:ilvl w:val="0"/>
          <w:numId w:val="1243"/>
        </w:numPr>
        <w:pStyle w:val="Compact"/>
      </w:pPr>
      <w:r>
        <w:rPr>
          <w:bCs/>
          <w:b/>
        </w:rPr>
        <w:t xml:space="preserve">Sport:</w:t>
      </w:r>
      <w:r>
        <w:t xml:space="preserve"> </w:t>
      </w:r>
      <w:r>
        <w:t xml:space="preserve">naar onze inschatting WADA-categorie S0 (stand 2026, actuele situatie controleren).</w:t>
      </w:r>
    </w:p>
    <w:bookmarkEnd w:id="1921"/>
    <w:bookmarkStart w:id="1922" w:name="lopende-studies-en-vooruitzichten-44"/>
    <w:p>
      <w:pPr>
        <w:pStyle w:val="Heading3"/>
      </w:pPr>
      <w:r>
        <w:t xml:space="preserve">Lopende studies en vooruitzichten</w:t>
      </w:r>
    </w:p>
    <w:p>
      <w:pPr>
        <w:pStyle w:val="FirstParagraph"/>
      </w:pPr>
      <w:r>
        <w:rPr>
          <w:bCs/>
          <w:b/>
        </w:rPr>
        <w:t xml:space="preserve">Vast staat:</w:t>
      </w:r>
      <w:r>
        <w:t xml:space="preserve"> </w:t>
      </w:r>
      <w:r>
        <w:t xml:space="preserve">geen geregistreerde klinische studie met FOXO4-DRI (zoekopdracht oktober 2026). De ontwikkelaarsgroep werkt aan verdere ontwikkelingen van het principe; klinische studies met senolytica lopen vooral met andere werkzame stoffen.</w:t>
      </w:r>
    </w:p>
    <w:p>
      <w:pPr>
        <w:pStyle w:val="BodyText"/>
      </w:pPr>
      <w:r>
        <w:rPr>
          <w:bCs/>
          <w:b/>
        </w:rPr>
        <w:t xml:space="preserve">Inschatting:</w:t>
      </w:r>
      <w:r>
        <w:t xml:space="preserve"> </w:t>
      </w:r>
      <w:r>
        <w:t xml:space="preserve">het onderzoek naar senolytica is een van de boeiendste gebieden van het verouderingsonderzoek, maar de eerste gecontroleerde studies bij mensen waren ontnuchterend. Voor FOXO4-DRI zouden eerst systematische toxiciteitsstudies en een eerste voorzichtige studie bij mensen nodig zijn – bij voorkeur bij een duidelijk omschreven aandoening, niet als algemene „anti-aging”.</w:t>
      </w:r>
    </w:p>
    <w:bookmarkEnd w:id="1922"/>
    <w:bookmarkStart w:id="1923" w:name="conclusie-44"/>
    <w:p>
      <w:pPr>
        <w:pStyle w:val="Heading3"/>
      </w:pPr>
      <w:r>
        <w:t xml:space="preserve">Conclusie</w:t>
      </w:r>
    </w:p>
    <w:p>
      <w:pPr>
        <w:pStyle w:val="FirstParagraph"/>
      </w:pPr>
      <w:r>
        <w:t xml:space="preserve">FOXO4-DRI is een kunstmatig peptide dat in celkweken en bij muizen gericht senescente cellen opruimde en bij verouderde dieren fitheid, vacht en nierfunctie verbeterde. Bij mensen is het nooit onderzocht. In diermodellen van pulmonale hypertensie verslechterde het opruimen van senescente cellen met FOXO4-DRI het ziekteverloop, en de ingreep in het kankerbeschermende eiwit p53 roept open vragen op. De gegevens volstaan niet om nut of veiligheid bij mensen te beoordelen.</w:t>
      </w:r>
    </w:p>
    <w:bookmarkEnd w:id="1923"/>
    <w:bookmarkEnd w:id="1924"/>
    <w:bookmarkStart w:id="1956" w:name="glutathion"/>
    <w:p>
      <w:pPr>
        <w:pStyle w:val="Heading2"/>
      </w:pPr>
      <w:r>
        <w:t xml:space="preserve">Glutathion</w:t>
      </w:r>
    </w:p>
    <w:bookmarkStart w:id="1925" w:name="profiel-45"/>
    <w:p>
      <w:pPr>
        <w:pStyle w:val="Heading3"/>
      </w:pPr>
      <w:r>
        <w:t xml:space="preserve">Profiel</w:t>
      </w:r>
    </w:p>
    <w:p>
      <w:pPr>
        <w:numPr>
          <w:ilvl w:val="0"/>
          <w:numId w:val="1244"/>
        </w:numPr>
        <w:pStyle w:val="Compact"/>
      </w:pPr>
      <w:r>
        <w:rPr>
          <w:bCs/>
          <w:b/>
        </w:rPr>
        <w:t xml:space="preserve">Soort en structuur:</w:t>
      </w:r>
      <w:r>
        <w:t xml:space="preserve"> </w:t>
      </w:r>
      <w:r>
        <w:t xml:space="preserve">tripeptide van drie aminozuren – glutaminezuur, cysteïne en glycine (γ-glutamyl-cysteïnyl-glycine, afgekort GSH). De gereduceerde vorm (GSH) is de actieve; bij de afweer tegen oxidatie worden twee moleculen verbonden tot geoxideerd glutathion (GSSG).</w:t>
      </w:r>
    </w:p>
    <w:p>
      <w:pPr>
        <w:numPr>
          <w:ilvl w:val="0"/>
          <w:numId w:val="1244"/>
        </w:numPr>
        <w:pStyle w:val="Compact"/>
      </w:pPr>
      <w:r>
        <w:rPr>
          <w:bCs/>
          <w:b/>
        </w:rPr>
        <w:t xml:space="preserve">Herkomst:</w:t>
      </w:r>
      <w:r>
        <w:t xml:space="preserve"> </w:t>
      </w:r>
      <w:r>
        <w:t xml:space="preserve">wordt door vrijwel alle lichaamscellen zelf aangemaakt, bijzonder veel in de lever. Als preparaat wordt het meestal geproduceerd door fermentatie met gisten.</w:t>
      </w:r>
    </w:p>
    <w:p>
      <w:pPr>
        <w:numPr>
          <w:ilvl w:val="0"/>
          <w:numId w:val="1244"/>
        </w:numPr>
        <w:pStyle w:val="Compact"/>
      </w:pPr>
      <w:r>
        <w:rPr>
          <w:bCs/>
          <w:b/>
        </w:rPr>
        <w:t xml:space="preserve">Werkingsprincipe:</w:t>
      </w:r>
      <w:r>
        <w:t xml:space="preserve"> </w:t>
      </w:r>
      <w:r>
        <w:t xml:space="preserve">belangrijkste lichaamseigen beschermende stof tegen oxidatie in cellen; betrokken bij de ontgifting van geneesmiddelen en schadelijke stoffen (bijvoorbeeld bij de afbraak van paracetamol) en bij de regulering van immuuncellen. In de huid verschuift het de pigmentvorming van het donkere naar het lichtere melanine.</w:t>
      </w:r>
    </w:p>
    <w:p>
      <w:pPr>
        <w:numPr>
          <w:ilvl w:val="0"/>
          <w:numId w:val="1244"/>
        </w:numPr>
        <w:pStyle w:val="Compact"/>
      </w:pPr>
      <w:r>
        <w:rPr>
          <w:bCs/>
          <w:b/>
        </w:rPr>
        <w:t xml:space="preserve">Registratie EU:</w:t>
      </w:r>
      <w:r>
        <w:t xml:space="preserve"> </w:t>
      </w:r>
      <w:r>
        <w:t xml:space="preserve">als voedingssupplement breed in de handel; als geneesmiddel voor injectie alleen in afzonderlijke landen voor nauw omschreven toepassingen, niet voor huidbleking.</w:t>
      </w:r>
    </w:p>
    <w:p>
      <w:pPr>
        <w:numPr>
          <w:ilvl w:val="0"/>
          <w:numId w:val="1244"/>
        </w:numPr>
        <w:pStyle w:val="Compact"/>
      </w:pPr>
      <w:r>
        <w:rPr>
          <w:bCs/>
          <w:b/>
        </w:rPr>
        <w:t xml:space="preserve">Registratie VS:</w:t>
      </w:r>
      <w:r>
        <w:t xml:space="preserve"> </w:t>
      </w:r>
      <w:r>
        <w:t xml:space="preserve">geen door de FDA toegelaten glutathiongeneesmiddel; verkrijgbaar als voedingssupplement en als apotheekbereiding.</w:t>
      </w:r>
    </w:p>
    <w:p>
      <w:pPr>
        <w:numPr>
          <w:ilvl w:val="0"/>
          <w:numId w:val="1244"/>
        </w:numPr>
        <w:pStyle w:val="Compact"/>
      </w:pPr>
      <w:r>
        <w:rPr>
          <w:bCs/>
          <w:b/>
        </w:rPr>
        <w:t xml:space="preserve">WADA:</w:t>
      </w:r>
      <w:r>
        <w:t xml:space="preserve"> </w:t>
      </w:r>
      <w:r>
        <w:t xml:space="preserve">glutathion zelf is niet verboden. Infusen of injecties van meer dan 100 ml binnen twaalf uur vallen echter onder de verboden methoden (M2), behalve in het kader van een ziekenhuisbehandeling of onderzoek.</w:t>
      </w:r>
    </w:p>
    <w:p>
      <w:pPr>
        <w:numPr>
          <w:ilvl w:val="0"/>
          <w:numId w:val="1244"/>
        </w:numPr>
        <w:pStyle w:val="Compact"/>
      </w:pPr>
      <w:r>
        <w:rPr>
          <w:bCs/>
          <w:b/>
        </w:rPr>
        <w:t xml:space="preserve">Bewijsniveau:</w:t>
      </w:r>
      <w:r>
        <w:t xml:space="preserve"> </w:t>
      </w:r>
      <w:r>
        <w:rPr>
          <w:bCs/>
          <w:b/>
        </w:rPr>
        <w:t xml:space="preserve">B</w:t>
      </w:r>
      <w:r>
        <w:t xml:space="preserve"> </w:t>
      </w:r>
      <w:r>
        <w:t xml:space="preserve">– talrijke gerandomiseerde, overwegend kleine studies met wisselende resultaten; geen toelating op basis van grote eindpuntstudies.</w:t>
      </w:r>
    </w:p>
    <w:bookmarkEnd w:id="1925"/>
    <w:bookmarkStart w:id="1926" w:name="hoe-het-zou-moeten-werken-45"/>
    <w:p>
      <w:pPr>
        <w:pStyle w:val="Heading3"/>
      </w:pPr>
      <w:r>
        <w:t xml:space="preserve">Hoe het zou moeten werken</w:t>
      </w:r>
    </w:p>
    <w:p>
      <w:pPr>
        <w:pStyle w:val="FirstParagraph"/>
      </w:pPr>
      <w:r>
        <w:t xml:space="preserve">Glutathion is een heel gewoon bestanddeel van elke cel. Het vangt reactieve zuurstofverbindingen weg, helpt enzymen bij de ontgifting en houdt andere beschermende stoffen zoals vitamine C en E in hun actieve vorm. Bij veel aandoeningen – zoals diabetes, leverziekten, hiv, parkinson – en met het ouder worden zijn de glutathionspiegels in bloed of weefsel lager. Daaruit ontstond het voor de hand liggende idee glutathion van buitenaf toe te dienen.</w:t>
      </w:r>
    </w:p>
    <w:p>
      <w:pPr>
        <w:pStyle w:val="BodyText"/>
      </w:pPr>
      <w:r>
        <w:t xml:space="preserve">Dat is om drie redenen moeilijker dan het klinkt:</w:t>
      </w:r>
    </w:p>
    <w:p>
      <w:pPr>
        <w:numPr>
          <w:ilvl w:val="0"/>
          <w:numId w:val="1245"/>
        </w:numPr>
        <w:pStyle w:val="Compact"/>
      </w:pPr>
      <w:r>
        <w:rPr>
          <w:bCs/>
          <w:b/>
        </w:rPr>
        <w:t xml:space="preserve">Vertering:</w:t>
      </w:r>
      <w:r>
        <w:t xml:space="preserve"> </w:t>
      </w:r>
      <w:r>
        <w:t xml:space="preserve">Als peptide wordt glutathion in de darm gedeeltelijk afgebroken; lang gold het daarom als nauwelijks werkzaam bij inslikken.</w:t>
      </w:r>
    </w:p>
    <w:p>
      <w:pPr>
        <w:numPr>
          <w:ilvl w:val="0"/>
          <w:numId w:val="1245"/>
        </w:numPr>
        <w:pStyle w:val="Compact"/>
      </w:pPr>
      <w:r>
        <w:rPr>
          <w:bCs/>
          <w:b/>
        </w:rPr>
        <w:t xml:space="preserve">Opname in cellen:</w:t>
      </w:r>
      <w:r>
        <w:t xml:space="preserve"> </w:t>
      </w:r>
      <w:r>
        <w:t xml:space="preserve">Glutathion wordt overwegend</w:t>
      </w:r>
      <w:r>
        <w:t xml:space="preserve"> </w:t>
      </w:r>
      <w:r>
        <w:rPr>
          <w:iCs/>
          <w:i/>
        </w:rPr>
        <w:t xml:space="preserve">in</w:t>
      </w:r>
      <w:r>
        <w:t xml:space="preserve"> </w:t>
      </w:r>
      <w:r>
        <w:t xml:space="preserve">de cellen aangemaakt; vanuit het bloed komt het er slechts beperkt in.</w:t>
      </w:r>
    </w:p>
    <w:p>
      <w:pPr>
        <w:numPr>
          <w:ilvl w:val="0"/>
          <w:numId w:val="1245"/>
        </w:numPr>
        <w:pStyle w:val="Compact"/>
      </w:pPr>
      <w:r>
        <w:rPr>
          <w:bCs/>
          <w:b/>
        </w:rPr>
        <w:t xml:space="preserve">Korte verblijfsduur:</w:t>
      </w:r>
      <w:r>
        <w:t xml:space="preserve"> </w:t>
      </w:r>
      <w:r>
        <w:t xml:space="preserve">Via een infuus toegediend glutathion wordt in het bloed snel afgebroken.</w:t>
      </w:r>
    </w:p>
    <w:p>
      <w:pPr>
        <w:pStyle w:val="FirstParagraph"/>
      </w:pPr>
      <w:r>
        <w:t xml:space="preserve">Daarom worden verschillende toedieningsvormen aangeboden: capsules en tabletten,</w:t>
      </w:r>
      <w:r>
        <w:t xml:space="preserve"> </w:t>
      </w:r>
      <w:r>
        <w:rPr>
          <w:bCs/>
          <w:b/>
        </w:rPr>
        <w:t xml:space="preserve">liposomaal</w:t>
      </w:r>
      <w:r>
        <w:t xml:space="preserve"> </w:t>
      </w:r>
      <w:r>
        <w:t xml:space="preserve">glutathion (verpakt in vetblaasjes), zuigtabletten en films voor het mondslijmvlies, neusspray, crèmes – en</w:t>
      </w:r>
      <w:r>
        <w:t xml:space="preserve"> </w:t>
      </w:r>
      <w:r>
        <w:rPr>
          <w:bCs/>
          <w:b/>
        </w:rPr>
        <w:t xml:space="preserve">infusen</w:t>
      </w:r>
      <w:r>
        <w:t xml:space="preserve"> </w:t>
      </w:r>
      <w:r>
        <w:t xml:space="preserve">in een ader. Daarnaast zijn er voorlopers zoals N-acetylcysteïne (NAC) of glycine plus NAC, die het lichaam voor de eigen aanmaak gebruikt; die zijn geen onderwerp van dit hoofdstuk.</w:t>
      </w:r>
    </w:p>
    <w:p>
      <w:pPr>
        <w:pStyle w:val="BodyText"/>
      </w:pPr>
      <w:r>
        <w:t xml:space="preserve">Voor huidbleking wordt een ander mechanisme aangenomen: glutathion remt in laboratoriumexperimenten het enzym tyrosinase en stuurt de pigmentvorming van donker eumelanine naar lichter feomelanine.</w:t>
      </w:r>
    </w:p>
    <w:bookmarkEnd w:id="1926"/>
    <w:bookmarkStart w:id="1946" w:name="studies-bij-mensen-4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161 als studie bij mensen geclassificeerde publicaties op, plus 15 overzichten en meta-analyses. Op ClinicalTrials.gov waren 273 studies geregistreerd. Beide getallen overschatten de directe gegevens aanzienlijk: veel treffers meten alleen glutathion als laboratoriumwaarde (bijvoorbeeld onder seleen, vitamines, sport of NAC) of betreffen het enzym glutathion-S-transferase. Studies waarin glutathion zelf werd gegeven, zijn een minderheid – maar toch enkele tientallen.</w:t>
      </w:r>
    </w:p>
    <w:bookmarkStart w:id="1930" w:name="komt-ingeslikt-glutathion-überhaupt-aan"/>
    <w:p>
      <w:pPr>
        <w:pStyle w:val="Heading4"/>
      </w:pPr>
      <w:r>
        <w:t xml:space="preserve">Komt ingeslikt glutathion überhaupt 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Allen 2011, PMID 21875351</w:t>
            </w:r>
          </w:p>
        </w:tc>
        <w:tc>
          <w:tcPr/>
          <w:p>
            <w:pPr>
              <w:pStyle w:val="Compact"/>
              <w:jc w:val="left"/>
            </w:pPr>
            <w:r>
              <w:t xml:space="preserve">40 gezonden, capsules tegen placebo, dubbelblind</w:t>
            </w:r>
          </w:p>
        </w:tc>
        <w:tc>
          <w:tcPr/>
          <w:p>
            <w:pPr>
              <w:pStyle w:val="Compact"/>
              <w:jc w:val="left"/>
            </w:pPr>
            <w:r>
              <w:t xml:space="preserve">4 weken</w:t>
            </w:r>
          </w:p>
        </w:tc>
        <w:tc>
          <w:tcPr/>
          <w:p>
            <w:pPr>
              <w:pStyle w:val="Compact"/>
              <w:jc w:val="left"/>
            </w:pPr>
            <w:r>
              <w:t xml:space="preserve">geen verandering van glutathionspiegels of oxidatiemarkers</w:t>
            </w:r>
          </w:p>
        </w:tc>
      </w:tr>
      <w:tr>
        <w:tc>
          <w:tcPr/>
          <w:p>
            <w:pPr>
              <w:pStyle w:val="Compact"/>
              <w:jc w:val="left"/>
            </w:pPr>
            <w:r>
              <w:t xml:space="preserve">Richie 2015, PMID 24791752</w:t>
            </w:r>
          </w:p>
        </w:tc>
        <w:tc>
          <w:tcPr/>
          <w:p>
            <w:pPr>
              <w:pStyle w:val="Compact"/>
              <w:jc w:val="left"/>
            </w:pPr>
            <w:r>
              <w:t xml:space="preserve">54 gezonden, twee doses tegen placebo, dubbelblind</w:t>
            </w:r>
          </w:p>
        </w:tc>
        <w:tc>
          <w:tcPr/>
          <w:p>
            <w:pPr>
              <w:pStyle w:val="Compact"/>
              <w:jc w:val="left"/>
            </w:pPr>
            <w:r>
              <w:t xml:space="preserve">6 maanden</w:t>
            </w:r>
          </w:p>
        </w:tc>
        <w:tc>
          <w:tcPr/>
          <w:p>
            <w:pPr>
              <w:pStyle w:val="Compact"/>
              <w:jc w:val="left"/>
            </w:pPr>
            <w:r>
              <w:t xml:space="preserve">spiegels in bloedcellen en plasma 30–35% hoger (hoge dosis); na stoppen terug</w:t>
            </w:r>
          </w:p>
        </w:tc>
      </w:tr>
      <w:tr>
        <w:tc>
          <w:tcPr/>
          <w:p>
            <w:pPr>
              <w:pStyle w:val="Compact"/>
              <w:jc w:val="left"/>
            </w:pPr>
            <w:r>
              <w:t xml:space="preserve">Sinha 2018, PMID 28853742</w:t>
            </w:r>
          </w:p>
        </w:tc>
        <w:tc>
          <w:tcPr/>
          <w:p>
            <w:pPr>
              <w:pStyle w:val="Compact"/>
              <w:jc w:val="left"/>
            </w:pPr>
            <w:r>
              <w:t xml:space="preserve">12 gezonden, liposomaal glutathion, zonder placebo</w:t>
            </w:r>
          </w:p>
        </w:tc>
        <w:tc>
          <w:tcPr/>
          <w:p>
            <w:pPr>
              <w:pStyle w:val="Compact"/>
              <w:jc w:val="left"/>
            </w:pPr>
            <w:r>
              <w:t xml:space="preserve">4 weken</w:t>
            </w:r>
          </w:p>
        </w:tc>
        <w:tc>
          <w:tcPr/>
          <w:p>
            <w:pPr>
              <w:pStyle w:val="Compact"/>
              <w:jc w:val="left"/>
            </w:pPr>
            <w:r>
              <w:t xml:space="preserve">spiegels in volbloed tot 40% hoger, in immuuncellen tot 100%</w:t>
            </w:r>
          </w:p>
        </w:tc>
      </w:tr>
      <w:tr>
        <w:tc>
          <w:tcPr/>
          <w:p>
            <w:pPr>
              <w:pStyle w:val="Compact"/>
              <w:jc w:val="left"/>
            </w:pPr>
            <w:r>
              <w:t xml:space="preserve">Schmitt 2015, PMID 26262996</w:t>
            </w:r>
          </w:p>
        </w:tc>
        <w:tc>
          <w:tcPr/>
          <w:p>
            <w:pPr>
              <w:pStyle w:val="Compact"/>
              <w:jc w:val="left"/>
            </w:pPr>
            <w:r>
              <w:t xml:space="preserve">20 personen met metabool syndroom, cross-over: capsule, sublinguale vorm, NAC</w:t>
            </w:r>
          </w:p>
        </w:tc>
        <w:tc>
          <w:tcPr/>
          <w:p>
            <w:pPr>
              <w:pStyle w:val="Compact"/>
              <w:jc w:val="left"/>
            </w:pPr>
            <w:r>
              <w:t xml:space="preserve">telkens 3 weken</w:t>
            </w:r>
          </w:p>
        </w:tc>
        <w:tc>
          <w:tcPr/>
          <w:p>
            <w:pPr>
              <w:pStyle w:val="Compact"/>
              <w:jc w:val="left"/>
            </w:pPr>
            <w:r>
              <w:t xml:space="preserve">sublinguale vorm verhoogde plasmaspiegels sterker dan capsules</w:t>
            </w:r>
          </w:p>
        </w:tc>
      </w:tr>
      <w:tr>
        <w:tc>
          <w:tcPr/>
          <w:p>
            <w:pPr>
              <w:pStyle w:val="Compact"/>
              <w:jc w:val="left"/>
            </w:pPr>
            <w:r>
              <w:t xml:space="preserve">Jung 2026, PMID 42392376</w:t>
            </w:r>
          </w:p>
        </w:tc>
        <w:tc>
          <w:tcPr/>
          <w:p>
            <w:pPr>
              <w:pStyle w:val="Compact"/>
              <w:jc w:val="left"/>
            </w:pPr>
            <w:r>
              <w:t xml:space="preserve">gezonden, film om in de mond op te lossen tegen tablet</w:t>
            </w:r>
          </w:p>
        </w:tc>
        <w:tc>
          <w:tcPr/>
          <w:p>
            <w:pPr>
              <w:pStyle w:val="Compact"/>
              <w:jc w:val="left"/>
            </w:pPr>
            <w:r>
              <w:t xml:space="preserve">enkele dosis en 4 weken</w:t>
            </w:r>
          </w:p>
        </w:tc>
        <w:tc>
          <w:tcPr/>
          <w:p>
            <w:pPr>
              <w:pStyle w:val="Compact"/>
              <w:jc w:val="left"/>
            </w:pPr>
            <w:r>
              <w:t xml:space="preserve">beide vormen verhoogden bloedspiegels; geen verandering van oxidatiemarkers</w:t>
            </w:r>
          </w:p>
        </w:tc>
      </w:tr>
    </w:tbl>
    <w:p>
      <w:pPr>
        <w:pStyle w:val="BodyText"/>
      </w:pPr>
      <w:r>
        <w:t xml:space="preserve">De vraag was lang omstreden. Een korte studie met 40 gezonde mensen vond na vier weken geen enkele verandering</w:t>
      </w:r>
      <w:r>
        <w:rPr>
          <w:rStyle w:val="FootnoteReference"/>
        </w:rPr>
        <w:footnoteReference w:id="1927"/>
      </w:r>
      <w:r>
        <w:t xml:space="preserve">. Een langere, eveneens dubbelblinde studie met 54 gezonde mensen vond daarentegen na zes maanden dosisafhankelijk hogere glutathionspiegels in bloed, bloedcellen en mondslijmvlies; een maand na het stoppen waren de waarden weer op het uitgangsniveau</w:t>
      </w:r>
      <w:r>
        <w:rPr>
          <w:rStyle w:val="FootnoteReference"/>
        </w:rPr>
        <w:footnoteReference w:id="1928"/>
      </w:r>
      <w:r>
        <w:t xml:space="preserve">. Een kleine pilotstudie zonder placebogroep meldde voor liposomaal glutathion al na een tot twee weken stijgingen</w:t>
      </w:r>
      <w:r>
        <w:rPr>
          <w:rStyle w:val="FootnoteReference"/>
        </w:rPr>
        <w:footnoteReference w:id="1929"/>
      </w:r>
      <w:r>
        <w:t xml:space="preserve">.</w:t>
      </w:r>
    </w:p>
    <w:p>
      <w:pPr>
        <w:pStyle w:val="BodyText"/>
      </w:pPr>
      <w:r>
        <w:t xml:space="preserve">Samengevat: ingeslikt glutathion kan de spiegels in het bloed meetbaar verhogen, vermoedelijk afhankelijk van dosis, duur en toedieningsvorm. Of hogere spiegels in het bloed ook tot gezondheidsvoordeel leiden, is een andere vraag.</w:t>
      </w:r>
    </w:p>
    <w:bookmarkEnd w:id="1930"/>
    <w:bookmarkStart w:id="1938" w:name="ziektegerelateerde-studies"/>
    <w:p>
      <w:pPr>
        <w:pStyle w:val="Heading4"/>
      </w:pPr>
      <w:r>
        <w:t xml:space="preserve">Ziektegerelateerde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Leal 2014, PMID 24619793</w:t>
            </w:r>
          </w:p>
        </w:tc>
        <w:tc>
          <w:tcPr/>
          <w:p>
            <w:pPr>
              <w:pStyle w:val="Compact"/>
              <w:jc w:val="left"/>
            </w:pPr>
            <w:r>
              <w:t xml:space="preserve">185 kankerpatiënten onder paclitaxel/carboplatine, infuus tegen placebo, fase 3</w:t>
            </w:r>
          </w:p>
        </w:tc>
        <w:tc>
          <w:tcPr/>
          <w:p>
            <w:pPr>
              <w:pStyle w:val="Compact"/>
              <w:jc w:val="left"/>
            </w:pPr>
            <w:r>
              <w:t xml:space="preserve">duur van de chemotherapie</w:t>
            </w:r>
          </w:p>
        </w:tc>
        <w:tc>
          <w:tcPr/>
          <w:p>
            <w:pPr>
              <w:pStyle w:val="Compact"/>
              <w:jc w:val="left"/>
            </w:pPr>
            <w:r>
              <w:rPr>
                <w:bCs/>
                <w:b/>
              </w:rPr>
              <w:t xml:space="preserve">geen</w:t>
            </w:r>
            <w:r>
              <w:t xml:space="preserve"> </w:t>
            </w:r>
            <w:r>
              <w:t xml:space="preserve">vermindering van zenuwschade door chemotherapie</w:t>
            </w:r>
          </w:p>
        </w:tc>
      </w:tr>
      <w:tr>
        <w:tc>
          <w:tcPr/>
          <w:p>
            <w:pPr>
              <w:pStyle w:val="Compact"/>
              <w:jc w:val="left"/>
            </w:pPr>
            <w:r>
              <w:t xml:space="preserve">Hauser 2009, PMID 19230029</w:t>
            </w:r>
          </w:p>
        </w:tc>
        <w:tc>
          <w:tcPr/>
          <w:p>
            <w:pPr>
              <w:pStyle w:val="Compact"/>
              <w:jc w:val="left"/>
            </w:pPr>
            <w:r>
              <w:t xml:space="preserve">21 personen met parkinson, infuus tegen placebo</w:t>
            </w:r>
          </w:p>
        </w:tc>
        <w:tc>
          <w:tcPr/>
          <w:p>
            <w:pPr>
              <w:pStyle w:val="Compact"/>
              <w:jc w:val="left"/>
            </w:pPr>
            <w:r>
              <w:t xml:space="preserve">4 weken</w:t>
            </w:r>
          </w:p>
        </w:tc>
        <w:tc>
          <w:tcPr/>
          <w:p>
            <w:pPr>
              <w:pStyle w:val="Compact"/>
              <w:jc w:val="left"/>
            </w:pPr>
            <w:r>
              <w:t xml:space="preserve">geen significant verschil op de parkinsonschaal</w:t>
            </w:r>
          </w:p>
        </w:tc>
      </w:tr>
      <w:tr>
        <w:tc>
          <w:tcPr/>
          <w:p>
            <w:pPr>
              <w:pStyle w:val="Compact"/>
              <w:jc w:val="left"/>
            </w:pPr>
            <w:r>
              <w:t xml:space="preserve">Mischley 2017, PMID 28436395</w:t>
            </w:r>
          </w:p>
        </w:tc>
        <w:tc>
          <w:tcPr/>
          <w:p>
            <w:pPr>
              <w:pStyle w:val="Compact"/>
              <w:jc w:val="left"/>
            </w:pPr>
            <w:r>
              <w:t xml:space="preserve">45 personen met parkinson, neusspray in twee doses tegen placebo</w:t>
            </w:r>
          </w:p>
        </w:tc>
        <w:tc>
          <w:tcPr/>
          <w:p>
            <w:pPr>
              <w:pStyle w:val="Compact"/>
              <w:jc w:val="left"/>
            </w:pPr>
            <w:r>
              <w:t xml:space="preserve">3 maanden</w:t>
            </w:r>
          </w:p>
        </w:tc>
        <w:tc>
          <w:tcPr/>
          <w:p>
            <w:pPr>
              <w:pStyle w:val="Compact"/>
              <w:jc w:val="left"/>
            </w:pPr>
            <w:r>
              <w:t xml:space="preserve">alle groepen verbeterden, glutathion niet beter dan placebo</w:t>
            </w:r>
          </w:p>
        </w:tc>
      </w:tr>
      <w:tr>
        <w:tc>
          <w:tcPr/>
          <w:p>
            <w:pPr>
              <w:pStyle w:val="Compact"/>
              <w:jc w:val="left"/>
            </w:pPr>
            <w:r>
              <w:t xml:space="preserve">Bozic 2020, PMID 32960827</w:t>
            </w:r>
          </w:p>
        </w:tc>
        <w:tc>
          <w:tcPr/>
          <w:p>
            <w:pPr>
              <w:pStyle w:val="Compact"/>
              <w:jc w:val="left"/>
            </w:pPr>
            <w:r>
              <w:t xml:space="preserve">58 kinderen met cystische fibrose, capsules tegen placebo</w:t>
            </w:r>
          </w:p>
        </w:tc>
        <w:tc>
          <w:tcPr/>
          <w:p>
            <w:pPr>
              <w:pStyle w:val="Compact"/>
              <w:jc w:val="left"/>
            </w:pPr>
            <w:r>
              <w:t xml:space="preserve">24 weken</w:t>
            </w:r>
          </w:p>
        </w:tc>
        <w:tc>
          <w:tcPr/>
          <w:p>
            <w:pPr>
              <w:pStyle w:val="Compact"/>
              <w:jc w:val="left"/>
            </w:pPr>
            <w:r>
              <w:t xml:space="preserve">geen effect op groei en ontstekingsmarkers</w:t>
            </w:r>
          </w:p>
        </w:tc>
      </w:tr>
      <w:tr>
        <w:tc>
          <w:tcPr/>
          <w:p>
            <w:pPr>
              <w:pStyle w:val="Compact"/>
              <w:jc w:val="left"/>
            </w:pPr>
            <w:r>
              <w:t xml:space="preserve">Søndergård 2021, PMID 33740389</w:t>
            </w:r>
          </w:p>
        </w:tc>
        <w:tc>
          <w:tcPr/>
          <w:p>
            <w:pPr>
              <w:pStyle w:val="Compact"/>
              <w:jc w:val="left"/>
            </w:pPr>
            <w:r>
              <w:t xml:space="preserve">20 mannen met overgewicht met en zonder diabetes type 2, tegen placebo</w:t>
            </w:r>
          </w:p>
        </w:tc>
        <w:tc>
          <w:tcPr/>
          <w:p>
            <w:pPr>
              <w:pStyle w:val="Compact"/>
              <w:jc w:val="left"/>
            </w:pPr>
            <w:r>
              <w:t xml:space="preserve">3 weken</w:t>
            </w:r>
          </w:p>
        </w:tc>
        <w:tc>
          <w:tcPr/>
          <w:p>
            <w:pPr>
              <w:pStyle w:val="Compact"/>
              <w:jc w:val="left"/>
            </w:pPr>
            <w:r>
              <w:t xml:space="preserve">insulinegevoeligheid verbeterd; oxidatiemarkers onveranderd</w:t>
            </w:r>
          </w:p>
        </w:tc>
      </w:tr>
      <w:tr>
        <w:tc>
          <w:tcPr/>
          <w:p>
            <w:pPr>
              <w:pStyle w:val="Compact"/>
              <w:jc w:val="left"/>
            </w:pPr>
            <w:r>
              <w:t xml:space="preserve">Honda 2017, PMID 28789631</w:t>
            </w:r>
          </w:p>
        </w:tc>
        <w:tc>
          <w:tcPr/>
          <w:p>
            <w:pPr>
              <w:pStyle w:val="Compact"/>
              <w:jc w:val="left"/>
            </w:pPr>
            <w:r>
              <w:t xml:space="preserve">34 personen met leververvetting, open, zonder controlegroep</w:t>
            </w:r>
          </w:p>
        </w:tc>
        <w:tc>
          <w:tcPr/>
          <w:p>
            <w:pPr>
              <w:pStyle w:val="Compact"/>
              <w:jc w:val="left"/>
            </w:pPr>
            <w:r>
              <w:t xml:space="preserve">4 maanden</w:t>
            </w:r>
          </w:p>
        </w:tc>
        <w:tc>
          <w:tcPr/>
          <w:p>
            <w:pPr>
              <w:pStyle w:val="Compact"/>
              <w:jc w:val="left"/>
            </w:pPr>
            <w:r>
              <w:t xml:space="preserve">leverwaarde ALT gedaald</w:t>
            </w:r>
          </w:p>
        </w:tc>
      </w:tr>
      <w:tr>
        <w:tc>
          <w:tcPr/>
          <w:p>
            <w:pPr>
              <w:pStyle w:val="Compact"/>
              <w:jc w:val="left"/>
            </w:pPr>
            <w:r>
              <w:t xml:space="preserve">Arrivi 2023, PMID 36083043</w:t>
            </w:r>
          </w:p>
        </w:tc>
        <w:tc>
          <w:tcPr/>
          <w:p>
            <w:pPr>
              <w:pStyle w:val="Compact"/>
              <w:jc w:val="left"/>
            </w:pPr>
            <w:r>
              <w:t xml:space="preserve">100 personen met hartinfarct, infuus tegen placebo (secundaire analyse)</w:t>
            </w:r>
          </w:p>
        </w:tc>
        <w:tc>
          <w:tcPr/>
          <w:p>
            <w:pPr>
              <w:pStyle w:val="Compact"/>
              <w:jc w:val="left"/>
            </w:pPr>
            <w:r>
              <w:t xml:space="preserve">ziekenhuisopname</w:t>
            </w:r>
          </w:p>
        </w:tc>
        <w:tc>
          <w:tcPr/>
          <w:p>
            <w:pPr>
              <w:pStyle w:val="Compact"/>
              <w:jc w:val="left"/>
            </w:pPr>
            <w:r>
              <w:t xml:space="preserve">ziekenhuisopname 8,6 in plaats van 10,8 dagen</w:t>
            </w:r>
          </w:p>
        </w:tc>
      </w:tr>
    </w:tbl>
    <w:p>
      <w:pPr>
        <w:pStyle w:val="BodyText"/>
      </w:pPr>
      <w:r>
        <w:t xml:space="preserve">Het beeld is ontnuchterend: de grootste en methodologisch sterkste studie – een fase 3-studie met 185 kankerpatiënten – vond geen bescherming tegen zenuwschade door chemotherapie; op afzonderlijke secundaire doelen scoorde placebo zelfs beter</w:t>
      </w:r>
      <w:r>
        <w:rPr>
          <w:rStyle w:val="FootnoteReference"/>
        </w:rPr>
        <w:footnoteReference w:id="1931"/>
      </w:r>
      <w:r>
        <w:t xml:space="preserve">. Bij parkinson was glutathion noch als infuus</w:t>
      </w:r>
      <w:r>
        <w:rPr>
          <w:rStyle w:val="FootnoteReference"/>
        </w:rPr>
        <w:footnoteReference w:id="1932"/>
      </w:r>
      <w:r>
        <w:t xml:space="preserve"> </w:t>
      </w:r>
      <w:r>
        <w:t xml:space="preserve">noch als neusspray beter dan placebo; in de neussprayestudie ontwikkelde één persoon onder de hogere dosis een hartspieraandoening</w:t>
      </w:r>
      <w:r>
        <w:rPr>
          <w:rStyle w:val="FootnoteReference"/>
        </w:rPr>
        <w:footnoteReference w:id="1933"/>
      </w:r>
      <w:r>
        <w:t xml:space="preserve">. Bij kinderen met cystische fibrose bleef de groei onbeïnvloed</w:t>
      </w:r>
      <w:r>
        <w:rPr>
          <w:rStyle w:val="FootnoteReference"/>
        </w:rPr>
        <w:footnoteReference w:id="1934"/>
      </w:r>
      <w:r>
        <w:t xml:space="preserve">.</w:t>
      </w:r>
    </w:p>
    <w:p>
      <w:pPr>
        <w:pStyle w:val="BodyText"/>
      </w:pPr>
      <w:r>
        <w:t xml:space="preserve">Positieve signalen komen uit kleine studies: bij 20 mannen met overgewicht verbeterde na drie weken de insulinegevoeligheid</w:t>
      </w:r>
      <w:r>
        <w:rPr>
          <w:rStyle w:val="FootnoteReference"/>
        </w:rPr>
        <w:footnoteReference w:id="1935"/>
      </w:r>
      <w:r>
        <w:t xml:space="preserve">; bij leververvetting daalden in een ongecontroleerde studie de leverwaarden</w:t>
      </w:r>
      <w:r>
        <w:rPr>
          <w:rStyle w:val="FootnoteReference"/>
        </w:rPr>
        <w:footnoteReference w:id="1936"/>
      </w:r>
      <w:r>
        <w:t xml:space="preserve">; na een hartinfarct was de ziekenhuisopname in een secundaire analyse korter</w:t>
      </w:r>
      <w:r>
        <w:rPr>
          <w:rStyle w:val="FootnoteReference"/>
        </w:rPr>
        <w:footnoteReference w:id="1937"/>
      </w:r>
      <w:r>
        <w:t xml:space="preserve">. Geen van deze bevindingen is tot nu toe in een grotere studie bevestigd.</w:t>
      </w:r>
    </w:p>
    <w:bookmarkEnd w:id="1938"/>
    <w:bookmarkStart w:id="1945" w:name="huidbleking-oraal-lokaal-intraveneus"/>
    <w:p>
      <w:pPr>
        <w:pStyle w:val="Heading4"/>
      </w:pPr>
      <w:r>
        <w:t xml:space="preserve">Huidbleking: oraal, lokaal, intraveneus</w:t>
      </w:r>
    </w:p>
    <w:p>
      <w:pPr>
        <w:pStyle w:val="FirstParagraph"/>
      </w:pPr>
      <w:r>
        <w:t xml:space="preserve">In delen van Azië, Afrika en in toenemende mate ook in Europa wordt glutathion vooral als „huidbleker” op de markt gebracht – in capsules, crèmes en in de vorm van infusen in schoonheidsklinieken.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Arjinpathana 2012, PMID 20524875</w:t>
            </w:r>
          </w:p>
        </w:tc>
        <w:tc>
          <w:tcPr/>
          <w:p>
            <w:pPr>
              <w:pStyle w:val="Compact"/>
              <w:jc w:val="left"/>
            </w:pPr>
            <w:r>
              <w:t xml:space="preserve">60 geneeskundestudenten in Thailand, capsules tegen placebo</w:t>
            </w:r>
          </w:p>
        </w:tc>
        <w:tc>
          <w:tcPr/>
          <w:p>
            <w:pPr>
              <w:pStyle w:val="Compact"/>
              <w:jc w:val="left"/>
            </w:pPr>
            <w:r>
              <w:t xml:space="preserve">4 weken</w:t>
            </w:r>
          </w:p>
        </w:tc>
        <w:tc>
          <w:tcPr/>
          <w:p>
            <w:pPr>
              <w:pStyle w:val="Compact"/>
              <w:jc w:val="left"/>
            </w:pPr>
            <w:r>
              <w:t xml:space="preserve">melanine-index op 2 van 6 meetplaatsen sterker verlaagd</w:t>
            </w:r>
          </w:p>
        </w:tc>
      </w:tr>
      <w:tr>
        <w:tc>
          <w:tcPr/>
          <w:p>
            <w:pPr>
              <w:pStyle w:val="Compact"/>
              <w:jc w:val="left"/>
            </w:pPr>
            <w:r>
              <w:t xml:space="preserve">Weschawalit 2017, PMID 28490897</w:t>
            </w:r>
          </w:p>
        </w:tc>
        <w:tc>
          <w:tcPr/>
          <w:p>
            <w:pPr>
              <w:pStyle w:val="Compact"/>
              <w:jc w:val="left"/>
            </w:pPr>
            <w:r>
              <w:t xml:space="preserve">gezonde vrouwen, gereduceerd of geoxideerd glutathion tegen placebo</w:t>
            </w:r>
          </w:p>
        </w:tc>
        <w:tc>
          <w:tcPr/>
          <w:p>
            <w:pPr>
              <w:pStyle w:val="Compact"/>
              <w:jc w:val="left"/>
            </w:pPr>
            <w:r>
              <w:t xml:space="preserve">12 weken</w:t>
            </w:r>
          </w:p>
        </w:tc>
        <w:tc>
          <w:tcPr/>
          <w:p>
            <w:pPr>
              <w:pStyle w:val="Compact"/>
              <w:jc w:val="left"/>
            </w:pPr>
            <w:r>
              <w:t xml:space="preserve">melanine-index neigend lager; deels minder rimpels</w:t>
            </w:r>
          </w:p>
        </w:tc>
      </w:tr>
      <w:tr>
        <w:tc>
          <w:tcPr/>
          <w:p>
            <w:pPr>
              <w:pStyle w:val="Compact"/>
              <w:jc w:val="left"/>
            </w:pPr>
            <w:r>
              <w:t xml:space="preserve">Handog 2016, PMID 26148180</w:t>
            </w:r>
          </w:p>
        </w:tc>
        <w:tc>
          <w:tcPr/>
          <w:p>
            <w:pPr>
              <w:pStyle w:val="Compact"/>
              <w:jc w:val="left"/>
            </w:pPr>
            <w:r>
              <w:t xml:space="preserve">30 vrouwen op de Filipijnen, zuigtablet, zonder controlegroep</w:t>
            </w:r>
          </w:p>
        </w:tc>
        <w:tc>
          <w:tcPr/>
          <w:p>
            <w:pPr>
              <w:pStyle w:val="Compact"/>
              <w:jc w:val="left"/>
            </w:pPr>
            <w:r>
              <w:t xml:space="preserve">8 weken</w:t>
            </w:r>
          </w:p>
        </w:tc>
        <w:tc>
          <w:tcPr/>
          <w:p>
            <w:pPr>
              <w:pStyle w:val="Compact"/>
              <w:jc w:val="left"/>
            </w:pPr>
            <w:r>
              <w:t xml:space="preserve">melanine-index gedaald</w:t>
            </w:r>
          </w:p>
        </w:tc>
      </w:tr>
      <w:tr>
        <w:tc>
          <w:tcPr/>
          <w:p>
            <w:pPr>
              <w:pStyle w:val="Compact"/>
              <w:jc w:val="left"/>
            </w:pPr>
            <w:r>
              <w:t xml:space="preserve">Wahab 2021, PMID 33871071</w:t>
            </w:r>
          </w:p>
        </w:tc>
        <w:tc>
          <w:tcPr/>
          <w:p>
            <w:pPr>
              <w:pStyle w:val="Compact"/>
              <w:jc w:val="left"/>
            </w:pPr>
            <w:r>
              <w:t xml:space="preserve">46 personen, combinatie crème en capsule tegen placebo</w:t>
            </w:r>
          </w:p>
        </w:tc>
        <w:tc>
          <w:tcPr/>
          <w:p>
            <w:pPr>
              <w:pStyle w:val="Compact"/>
              <w:jc w:val="left"/>
            </w:pPr>
            <w:r>
              <w:t xml:space="preserve">8 weken</w:t>
            </w:r>
          </w:p>
        </w:tc>
        <w:tc>
          <w:tcPr/>
          <w:p>
            <w:pPr>
              <w:pStyle w:val="Compact"/>
              <w:jc w:val="left"/>
            </w:pPr>
            <w:r>
              <w:t xml:space="preserve">combinatie mogelijk werkzamer dan afzonderlijk gebruik</w:t>
            </w:r>
          </w:p>
        </w:tc>
      </w:tr>
    </w:tbl>
    <w:p>
      <w:pPr>
        <w:pStyle w:val="BodyText"/>
      </w:pPr>
      <w:r>
        <w:rPr>
          <w:bCs/>
          <w:b/>
        </w:rPr>
        <w:t xml:space="preserve">Oraal en lokaal:</w:t>
      </w:r>
      <w:r>
        <w:t xml:space="preserve"> </w:t>
      </w:r>
      <w:r>
        <w:t xml:space="preserve">meerdere kleine gerandomiseerde studies laten een lichte verlichting zien, vooral op aan de zon blootgestelde plaatsen. In de eerste studie was het effect slechts op twee van zes meetplaatsen statistisch significant</w:t>
      </w:r>
      <w:r>
        <w:rPr>
          <w:rStyle w:val="FootnoteReference"/>
        </w:rPr>
        <w:footnoteReference w:id="1939"/>
      </w:r>
      <w:r>
        <w:t xml:space="preserve">. Een systematische review concludeerde in 2019 dat het bewijs vanwege de kwaliteit van de studies en tegenstrijdige bevindingen „nog niet eenduidig” is</w:t>
      </w:r>
      <w:r>
        <w:rPr>
          <w:rStyle w:val="FootnoteReference"/>
        </w:rPr>
        <w:footnoteReference w:id="1940"/>
      </w:r>
      <w:r>
        <w:t xml:space="preserve">. Een recentere review beoordeelt crèmes en capsules als matig werkzaam, met effecten die na het stoppen niet aanhouden</w:t>
      </w:r>
      <w:r>
        <w:rPr>
          <w:rStyle w:val="FootnoteReference"/>
        </w:rPr>
        <w:footnoteReference w:id="1941"/>
      </w:r>
      <w:r>
        <w:t xml:space="preserve">.</w:t>
      </w:r>
    </w:p>
    <w:p>
      <w:pPr>
        <w:pStyle w:val="BodyText"/>
      </w:pPr>
      <w:r>
        <w:rPr>
          <w:bCs/>
          <w:b/>
        </w:rPr>
        <w:t xml:space="preserve">Intraveneus:</w:t>
      </w:r>
      <w:r>
        <w:t xml:space="preserve"> </w:t>
      </w:r>
      <w:r>
        <w:t xml:space="preserve">voor infusen voor huidbleking is er volgens dezelfde review slechts één placebogecontroleerde studie, die geen significant verschil vond (37,5% tegenover 18,7%, p = 0,054). De auteurs achten intraveneus glutathion voor huidbleking wegens ontbrekende werkzaamheid en bijwerkingen</w:t>
      </w:r>
      <w:r>
        <w:t xml:space="preserve"> </w:t>
      </w:r>
      <w:r>
        <w:rPr>
          <w:bCs/>
          <w:b/>
        </w:rPr>
        <w:t xml:space="preserve">gecontra-indiceerd</w:t>
      </w:r>
      <w:r>
        <w:t xml:space="preserve">, dus niet verantwoord</w:t>
      </w:r>
      <w:r>
        <w:rPr>
          <w:rStyle w:val="FootnoteReference"/>
        </w:rPr>
        <w:footnoteReference w:id="1942"/>
      </w:r>
      <w:r>
        <w:t xml:space="preserve">. Een Zuid-Afrikaans overzicht vond niet één studie naar de veiligheid van herhaalde infusen bij welke toepassing dan ook</w:t>
      </w:r>
      <w:r>
        <w:rPr>
          <w:rStyle w:val="FootnoteReference"/>
        </w:rPr>
        <w:footnoteReference w:id="1943"/>
      </w:r>
      <w:r>
        <w:t xml:space="preserve">. In het British Medical Journal werd de praktijk bekritiseerd als „onethisch bleken”</w:t>
      </w:r>
      <w:r>
        <w:rPr>
          <w:rStyle w:val="FootnoteReference"/>
        </w:rPr>
        <w:footnoteReference w:id="1944"/>
      </w:r>
      <w:r>
        <w:t xml:space="preserve">.</w:t>
      </w:r>
    </w:p>
    <w:bookmarkEnd w:id="1945"/>
    <w:bookmarkEnd w:id="1946"/>
    <w:bookmarkStart w:id="1947" w:name="dier--en-laboratoriumstudies-45"/>
    <w:p>
      <w:pPr>
        <w:pStyle w:val="Heading3"/>
      </w:pPr>
      <w:r>
        <w:t xml:space="preserve">Dier- en laboratoriumstudies</w:t>
      </w:r>
    </w:p>
    <w:p>
      <w:pPr>
        <w:pStyle w:val="FirstParagraph"/>
      </w:pPr>
      <w:r>
        <w:t xml:space="preserve">Het laboratoriumonderzoek naar glutathion is enorm omvangrijk en betreft bijna elk gebied van de celbiologie. Relevant voor dit boek is vooral dat in cel- en dierproeven glutathion of de voorlopers ervan beschermden tegen oxidatieve schade, toxiciteit van geneesmiddelen en ontstekingsreacties – effecten die in de klinische studies bij mensen slechts gedeeltelijk en meestal zwak terug te vinden zijn.</w:t>
      </w:r>
    </w:p>
    <w:bookmarkEnd w:id="1947"/>
    <w:bookmarkStart w:id="1951" w:name="risicos-en-bijwerkingen-45"/>
    <w:p>
      <w:pPr>
        <w:pStyle w:val="Heading3"/>
      </w:pPr>
      <w:r>
        <w:t xml:space="preserve">Risico’s en bijwerkingen</w:t>
      </w:r>
    </w:p>
    <w:p>
      <w:pPr>
        <w:pStyle w:val="FirstParagraph"/>
      </w:pPr>
      <w:r>
        <w:rPr>
          <w:bCs/>
          <w:b/>
        </w:rPr>
        <w:t xml:space="preserve">Orale inname:</w:t>
      </w:r>
      <w:r>
        <w:t xml:space="preserve"> </w:t>
      </w:r>
      <w:r>
        <w:t xml:space="preserve">in de studies goed verdragen; sporadisch worden maag-darmklachten gemeld. Langetermijngegevens over meer dan zes maanden ontbreken grotendeels.</w:t>
      </w:r>
    </w:p>
    <w:p>
      <w:pPr>
        <w:pStyle w:val="BodyText"/>
      </w:pPr>
      <w:r>
        <w:rPr>
          <w:bCs/>
          <w:b/>
        </w:rPr>
        <w:t xml:space="preserve">Neusspray:</w:t>
      </w:r>
      <w:r>
        <w:t xml:space="preserve"> </w:t>
      </w:r>
      <w:r>
        <w:t xml:space="preserve">in een parkinsonstudie trad bij één persoon onder de hogere dosis een hartspieraandoening op; een verband is niet aangetoond</w:t>
      </w:r>
      <w:r>
        <w:rPr>
          <w:rStyle w:val="FootnoteReference"/>
        </w:rPr>
        <w:footnoteReference w:id="1948"/>
      </w:r>
      <w:r>
        <w:t xml:space="preserve">.</w:t>
      </w:r>
    </w:p>
    <w:p>
      <w:pPr>
        <w:pStyle w:val="BodyText"/>
      </w:pPr>
      <w:r>
        <w:rPr>
          <w:bCs/>
          <w:b/>
        </w:rPr>
        <w:t xml:space="preserve">Infusen – de eigenlijke risico’s:</w:t>
      </w:r>
    </w:p>
    <w:p>
      <w:pPr>
        <w:numPr>
          <w:ilvl w:val="0"/>
          <w:numId w:val="1246"/>
        </w:numPr>
        <w:pStyle w:val="Compact"/>
      </w:pPr>
      <w:r>
        <w:rPr>
          <w:bCs/>
          <w:b/>
        </w:rPr>
        <w:t xml:space="preserve">Verontreinigde bereidingen:</w:t>
      </w:r>
      <w:r>
        <w:t xml:space="preserve"> </w:t>
      </w:r>
      <w:r>
        <w:t xml:space="preserve">de Amerikaanse geneesmiddelenautoriteit FDA waarschuwde apotheken in 2019 om geen glutathion van een bepaalde groothandel voor infusen te gebruiken, nadat patiënten na infusen misselijkheid, braken en kortademigheid hadden ontwikkeld en verhoogde endotoxinewaarden (bestanddelen van bacteriën die koorts en shock kunnen veroorzaken) waren gemeten. In augustus 2026 riep de FDA apotheken opnieuw op geen glutathion van voedingssupplementkwaliteit voor injecties te gebruiken; na infusen uit een bepaalde batch was het tot koorts, koude rillingen, shockachtige toestanden en ziekenhuisopnames gekomen.</w:t>
      </w:r>
    </w:p>
    <w:p>
      <w:pPr>
        <w:numPr>
          <w:ilvl w:val="0"/>
          <w:numId w:val="1246"/>
        </w:numPr>
        <w:pStyle w:val="Compact"/>
      </w:pPr>
      <w:r>
        <w:rPr>
          <w:bCs/>
          <w:b/>
        </w:rPr>
        <w:t xml:space="preserve">Waarschuwingen van autoriteiten over huidbleking:</w:t>
      </w:r>
      <w:r>
        <w:t xml:space="preserve"> </w:t>
      </w:r>
      <w:r>
        <w:t xml:space="preserve">de Filipijnse geneesmiddelenautoriteit waarschuwde in 2011 en 2019 tegen glutathioninjecties voor huidbleking; zij noemde bijwerkingen van huiduitslag tot de levensbedreigende huidreacties stevens-johnsonsyndroom en toxische epidermale necrolyse, en risico’s door ondeskundige injecties zoals bloedvergiftiging en overdracht van infecties. Ook de Amerikaanse FDA waarschuwde consumenten dat er geen injectiepreparaten voor huidbleking zijn toegelaten en dat zulke producten onbekende, schadelijke bestanddelen kunnen bevatten.</w:t>
      </w:r>
    </w:p>
    <w:p>
      <w:pPr>
        <w:numPr>
          <w:ilvl w:val="0"/>
          <w:numId w:val="1246"/>
        </w:numPr>
        <w:pStyle w:val="Compact"/>
      </w:pPr>
      <w:r>
        <w:rPr>
          <w:bCs/>
          <w:b/>
        </w:rPr>
        <w:t xml:space="preserve">Huidkanker (theoretisch):</w:t>
      </w:r>
      <w:r>
        <w:t xml:space="preserve"> </w:t>
      </w:r>
      <w:r>
        <w:t xml:space="preserve">de verschuiving van donker naar licht melanine zou de natuurlijke zonbescherming van de huid kunnen verminderen</w:t>
      </w:r>
      <w:r>
        <w:rPr>
          <w:rStyle w:val="FootnoteReference"/>
        </w:rPr>
        <w:footnoteReference w:id="1949"/>
      </w:r>
      <w:r>
        <w:t xml:space="preserve">.</w:t>
      </w:r>
    </w:p>
    <w:p>
      <w:pPr>
        <w:pStyle w:val="FirstParagraph"/>
      </w:pPr>
      <w:r>
        <w:rPr>
          <w:bCs/>
          <w:b/>
        </w:rPr>
        <w:t xml:space="preserve">Interacties:</w:t>
      </w:r>
      <w:r>
        <w:t xml:space="preserve"> </w:t>
      </w:r>
      <w:r>
        <w:t xml:space="preserve">in een kankerstudie werd glutathion vóór de chemotherapie gegeven; de tijd tot progressie van de ziekte verschilde daar niet van placebo</w:t>
      </w:r>
      <w:r>
        <w:rPr>
          <w:rStyle w:val="FootnoteReference"/>
        </w:rPr>
        <w:footnoteReference w:id="1950"/>
      </w:r>
      <w:r>
        <w:t xml:space="preserve">. Principieel wordt besproken of antioxidanten het effect van sommige kankertherapieën zouden kunnen verzwakken. Wie onder behandeling is voor kanker, zou glutathion alleen na overleg met het behandelteam moeten innemen.</w:t>
      </w:r>
    </w:p>
    <w:bookmarkEnd w:id="1951"/>
    <w:bookmarkStart w:id="1952" w:name="juridische-status-45"/>
    <w:p>
      <w:pPr>
        <w:pStyle w:val="Heading3"/>
      </w:pPr>
      <w:r>
        <w:t xml:space="preserve">Juridische status</w:t>
      </w:r>
    </w:p>
    <w:p>
      <w:pPr>
        <w:numPr>
          <w:ilvl w:val="0"/>
          <w:numId w:val="1247"/>
        </w:numPr>
        <w:pStyle w:val="Compact"/>
      </w:pPr>
      <w:r>
        <w:rPr>
          <w:bCs/>
          <w:b/>
        </w:rPr>
        <w:t xml:space="preserve">EU / Oostenrijk / Duitsland:</w:t>
      </w:r>
      <w:r>
        <w:t xml:space="preserve"> </w:t>
      </w:r>
      <w:r>
        <w:t xml:space="preserve">glutathion wordt als voedingssupplement in capsules en poeders verkocht; gezondheidsbeweringen in reclame zijn zonder toegelaten health claims niet toegestaan. Infusen en injecties zijn geneesmiddelen; preparaten voor huidbleking per infuus zijn niet toegelaten. In afzonderlijke landen (naar onze kennis bijvoorbeeld Italië) zijn er toegelaten glutathioninjecties voor specifieke medische toepassingen; details staan in de betreffende productinformatie.</w:t>
      </w:r>
    </w:p>
    <w:p>
      <w:pPr>
        <w:numPr>
          <w:ilvl w:val="0"/>
          <w:numId w:val="1247"/>
        </w:numPr>
        <w:pStyle w:val="Compact"/>
      </w:pPr>
      <w:r>
        <w:rPr>
          <w:bCs/>
          <w:b/>
        </w:rPr>
        <w:t xml:space="preserve">VS:</w:t>
      </w:r>
      <w:r>
        <w:t xml:space="preserve"> </w:t>
      </w:r>
      <w:r>
        <w:t xml:space="preserve">geen toegelaten glutathiongeneesmiddel; voedingssupplementen zijn toegestaan, infusen worden als apotheekbereiding gemaakt en vallen onder de FDA-voorschriften voor steriele bereidingen.</w:t>
      </w:r>
    </w:p>
    <w:p>
      <w:pPr>
        <w:numPr>
          <w:ilvl w:val="0"/>
          <w:numId w:val="1247"/>
        </w:numPr>
        <w:pStyle w:val="Compact"/>
      </w:pPr>
      <w:r>
        <w:rPr>
          <w:bCs/>
          <w:b/>
        </w:rPr>
        <w:t xml:space="preserve">Sport:</w:t>
      </w:r>
      <w:r>
        <w:t xml:space="preserve"> </w:t>
      </w:r>
      <w:r>
        <w:t xml:space="preserve">glutathion is niet verboden; infusen van meer dan 100 ml in twaalf uur vallen buiten ziekenhuisbehandelingen onder WADA-methode M2 (stand 2026, actuele situatie controleren).</w:t>
      </w:r>
    </w:p>
    <w:bookmarkEnd w:id="1952"/>
    <w:bookmarkStart w:id="1954" w:name="lopende-studies-en-vooruitzichten-45"/>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48"/>
        </w:numPr>
        <w:pStyle w:val="Compact"/>
      </w:pPr>
      <w:r>
        <w:t xml:space="preserve">Een fase 1-studie in China onderzoekt glutathion naast immunotherapie en chemotherapie bij gevorderde longkanker (NCT06896422, 80 geplande deelnemers).</w:t>
      </w:r>
    </w:p>
    <w:p>
      <w:pPr>
        <w:numPr>
          <w:ilvl w:val="0"/>
          <w:numId w:val="1248"/>
        </w:numPr>
        <w:pStyle w:val="Compact"/>
      </w:pPr>
      <w:r>
        <w:t xml:space="preserve">Een studie naar door glutathion ondersteunde microneedling bij melasma (pigmentvlekken) is geregistreerd</w:t>
      </w:r>
      <w:r>
        <w:rPr>
          <w:rStyle w:val="FootnoteReference"/>
        </w:rPr>
        <w:footnoteReference w:id="1953"/>
      </w:r>
      <w:r>
        <w:t xml:space="preserve">.</w:t>
      </w:r>
    </w:p>
    <w:p>
      <w:pPr>
        <w:numPr>
          <w:ilvl w:val="0"/>
          <w:numId w:val="1248"/>
        </w:numPr>
        <w:pStyle w:val="Compact"/>
      </w:pPr>
      <w:r>
        <w:t xml:space="preserve">Meerdere kleine studies onderzoeken nieuwe toedieningsvormen (liposomaal, micellair) en herstel na sport, vaak gefinancierd door fabrikanten.</w:t>
      </w:r>
    </w:p>
    <w:p>
      <w:pPr>
        <w:pStyle w:val="FirstParagraph"/>
      </w:pPr>
      <w:r>
        <w:rPr>
          <w:bCs/>
          <w:b/>
        </w:rPr>
        <w:t xml:space="preserve">Inschatting:</w:t>
      </w:r>
      <w:r>
        <w:t xml:space="preserve"> </w:t>
      </w:r>
      <w:r>
        <w:t xml:space="preserve">de belangrijkste open vraag is niet meer of glutathion wordt opgenomen, maar of hogere spiegels klinisch iets opleveren. De grote studies tot nu toe pleiten eerder van niet. Bij infusen voor huidbleking of als „wellness-drip” wegen de risico’s zwaarder dan een niet-aangetoond nut.</w:t>
      </w:r>
    </w:p>
    <w:bookmarkEnd w:id="1954"/>
    <w:bookmarkStart w:id="1955" w:name="conclusie-45"/>
    <w:p>
      <w:pPr>
        <w:pStyle w:val="Heading3"/>
      </w:pPr>
      <w:r>
        <w:t xml:space="preserve">Conclusie</w:t>
      </w:r>
    </w:p>
    <w:p>
      <w:pPr>
        <w:pStyle w:val="FirstParagraph"/>
      </w:pPr>
      <w:r>
        <w:t xml:space="preserve">Glutathion is het belangrijkste lichaamseigen beschermende peptide tegen oxidatie; als capsule ingenomen kan het bij langere inname de bloedspiegels meetbaar verhogen. Klinisch lieten de grotere studies echter geen nut zien – noch tegen zenuwschade door chemotherapie noch bij parkinson of cystische fibrose; positieve aanwijzingen komen uit kleine studies. Capsules en crèmes maakten de huid in kleine studies licht en tijdelijk lichter. Infusen voor huidbleking zijn niet aantoonbaar werkzaam, niet toegelaten, en meerdere autoriteiten hebben er uitdrukkelijk voor gewaarschuwd vanwege ernstige bijwerkingen en verontreinigde preparaten.</w:t>
      </w:r>
    </w:p>
    <w:bookmarkEnd w:id="1955"/>
    <w:bookmarkEnd w:id="1956"/>
    <w:bookmarkEnd w:id="1957"/>
    <w:bookmarkStart w:id="2313" w:name="X2d3e7f947b6ed94474c7b82423b9a406b6683fd"/>
    <w:p>
      <w:pPr>
        <w:pStyle w:val="Heading1"/>
      </w:pPr>
      <w:r>
        <w:t xml:space="preserve">Deel II · E – Hormonen, seksualiteit en pigmentatie</w:t>
      </w:r>
    </w:p>
    <w:p>
      <w:pPr>
        <w:pStyle w:val="FirstParagraph"/>
      </w:pPr>
      <w:r>
        <w:t xml:space="preserve">De zes peptiden in deze groep werken op heel verschillende dingen in: huidskleur, seksueel verlangen, vruchtbaarheid en sociaal gedrag. Wat ze gemeen hebben, is dat ze lichaamseigen signaalroutes van de hersenen en de hormoonklieren nabootsen, die nauw met elkaar verweven zijn. Drie ervan behoren tot één familie, het melanocortinesysteem; drie andere sturen de hormonale as van de voortplanting aan of zijn daarmee verbonden.</w:t>
      </w:r>
    </w:p>
    <w:bookmarkStart w:id="1960" w:name="het-melanocortinesysteem"/>
    <w:p>
      <w:pPr>
        <w:pStyle w:val="Heading3"/>
      </w:pPr>
      <w:r>
        <w:t xml:space="preserve">Het melanocortinesysteem</w:t>
      </w:r>
    </w:p>
    <w:p>
      <w:pPr>
        <w:pStyle w:val="FirstParagraph"/>
      </w:pPr>
      <w:r>
        <w:t xml:space="preserve">Aan het begin staat een groot voorlopereiwit met de naam pro-opiomelanocortine (POMC). Enzymen knippen daaruit verschillende kleinere peptiden, waaronder het stresshormoon ACTH en de melanocytstimulerende hormonen (MSH), vooral alfa-MSH. Deze boodschapperstoffen heten samen melanocortinen. Ze werken via vijf receptoren, MC1R tot en met MC5R, die in verschillende weefsels zitten:</w:t>
      </w:r>
    </w:p>
    <w:p>
      <w:pPr>
        <w:numPr>
          <w:ilvl w:val="0"/>
          <w:numId w:val="1249"/>
        </w:numPr>
        <w:pStyle w:val="Compact"/>
      </w:pPr>
      <w:r>
        <w:rPr>
          <w:bCs/>
          <w:b/>
        </w:rPr>
        <w:t xml:space="preserve">MC1R</w:t>
      </w:r>
      <w:r>
        <w:t xml:space="preserve"> </w:t>
      </w:r>
      <w:r>
        <w:t xml:space="preserve">op de pigmentcellen van de huid bepaalt of deze donker, beschermend eumelanine aanmaken. Mensen met rood haar en een lichte huid dragen vaak minder werkzame varianten van deze receptor.</w:t>
      </w:r>
    </w:p>
    <w:p>
      <w:pPr>
        <w:numPr>
          <w:ilvl w:val="0"/>
          <w:numId w:val="1249"/>
        </w:numPr>
        <w:pStyle w:val="Compact"/>
      </w:pPr>
      <w:r>
        <w:rPr>
          <w:bCs/>
          <w:b/>
        </w:rPr>
        <w:t xml:space="preserve">MC2R</w:t>
      </w:r>
      <w:r>
        <w:t xml:space="preserve"> </w:t>
      </w:r>
      <w:r>
        <w:t xml:space="preserve">in de bijnier is de receptor voor ACTH en regelt de aanmaak van cortisol.</w:t>
      </w:r>
    </w:p>
    <w:p>
      <w:pPr>
        <w:numPr>
          <w:ilvl w:val="0"/>
          <w:numId w:val="1249"/>
        </w:numPr>
        <w:pStyle w:val="Compact"/>
      </w:pPr>
      <w:r>
        <w:rPr>
          <w:bCs/>
          <w:b/>
        </w:rPr>
        <w:t xml:space="preserve">MC3R en MC4R</w:t>
      </w:r>
      <w:r>
        <w:t xml:space="preserve"> </w:t>
      </w:r>
      <w:r>
        <w:t xml:space="preserve">in de hersenen beïnvloeden eetlust, energieverbruik en – zoals bij toeval bleek – seksuele opwinding. Defecten in MC4R zijn de meest voorkomende genetische oorzaak van ernstige obesitas.</w:t>
      </w:r>
    </w:p>
    <w:p>
      <w:pPr>
        <w:numPr>
          <w:ilvl w:val="0"/>
          <w:numId w:val="1249"/>
        </w:numPr>
        <w:pStyle w:val="Compact"/>
      </w:pPr>
      <w:r>
        <w:rPr>
          <w:bCs/>
          <w:b/>
        </w:rPr>
        <w:t xml:space="preserve">MC5R</w:t>
      </w:r>
      <w:r>
        <w:t xml:space="preserve"> </w:t>
      </w:r>
      <w:r>
        <w:t xml:space="preserve">werkt onder meer op talgklieren en andere klieren.</w:t>
      </w:r>
    </w:p>
    <w:p>
      <w:pPr>
        <w:pStyle w:val="FirstParagraph"/>
      </w:pPr>
      <w:r>
        <w:t xml:space="preserve">De geschiedenis van de drie melanocortinepeptiden in dit deel begint aan de Universiteit van Arizona. Daar ontwikkelden onderzoekers in de jaren 1980 en 1990 twee gestabiliseerde varianten van alfa-MSH om bruining zonder zon op te wekken: het lineaire melanotan I en het ringvormige melanotan II</w:t>
      </w:r>
      <w:r>
        <w:rPr>
          <w:rStyle w:val="FootnoteReference"/>
        </w:rPr>
        <w:footnoteReference w:id="1958"/>
      </w:r>
      <w:r>
        <w:t xml:space="preserve">. Bij proeven met melanotan II meldden mannen spontane erecties – de ontdekking dat melanocortinen in de hersenen de seksuele functie beïnvloeden</w:t>
      </w:r>
      <w:r>
        <w:rPr>
          <w:rStyle w:val="FootnoteReference"/>
        </w:rPr>
        <w:footnoteReference w:id="1959"/>
      </w:r>
      <w:r>
        <w:t xml:space="preserve">.</w:t>
      </w:r>
    </w:p>
    <w:p>
      <w:pPr>
        <w:pStyle w:val="BodyText"/>
      </w:pPr>
      <w:r>
        <w:t xml:space="preserve">Uit dit begin ontstonden drie wegen:</w:t>
      </w:r>
    </w:p>
    <w:p>
      <w:pPr>
        <w:numPr>
          <w:ilvl w:val="0"/>
          <w:numId w:val="1250"/>
        </w:numPr>
        <w:pStyle w:val="Compact"/>
      </w:pPr>
      <w:r>
        <w:rPr>
          <w:bCs/>
          <w:b/>
        </w:rPr>
        <w:t xml:space="preserve">Melanotan I</w:t>
      </w:r>
      <w:r>
        <w:t xml:space="preserve"> </w:t>
      </w:r>
      <w:r>
        <w:t xml:space="preserve">werd onder de naam</w:t>
      </w:r>
      <w:r>
        <w:t xml:space="preserve"> </w:t>
      </w:r>
      <w:r>
        <w:rPr>
          <w:bCs/>
          <w:b/>
        </w:rPr>
        <w:t xml:space="preserve">afamelanotide</w:t>
      </w:r>
      <w:r>
        <w:t xml:space="preserve"> </w:t>
      </w:r>
      <w:r>
        <w:t xml:space="preserve">doorontwikkeld tot een implantaat tegen een zeldzame, pijnlijke lichtgevoeligheid en is in de EU en de VS geregistreerd.</w:t>
      </w:r>
    </w:p>
    <w:p>
      <w:pPr>
        <w:numPr>
          <w:ilvl w:val="0"/>
          <w:numId w:val="1250"/>
        </w:numPr>
        <w:pStyle w:val="Compact"/>
      </w:pPr>
      <w:r>
        <w:rPr>
          <w:bCs/>
          <w:b/>
        </w:rPr>
        <w:t xml:space="preserve">Melanotan II</w:t>
      </w:r>
      <w:r>
        <w:t xml:space="preserve"> </w:t>
      </w:r>
      <w:r>
        <w:t xml:space="preserve">werd nooit geregistreerd, maar is als „bruiningsspuit” wijdverbreid op de grijze markt.</w:t>
      </w:r>
    </w:p>
    <w:p>
      <w:pPr>
        <w:numPr>
          <w:ilvl w:val="0"/>
          <w:numId w:val="1250"/>
        </w:numPr>
        <w:pStyle w:val="Compact"/>
      </w:pPr>
      <w:r>
        <w:rPr>
          <w:bCs/>
          <w:b/>
        </w:rPr>
        <w:t xml:space="preserve">Bremelanotide</w:t>
      </w:r>
      <w:r>
        <w:t xml:space="preserve">, een variant van melanotan II, is in de VS geregistreerd tegen een gering seksueel verlangen bij vrouwen.</w:t>
      </w:r>
    </w:p>
    <w:p>
      <w:pPr>
        <w:pStyle w:val="FirstParagraph"/>
      </w:pPr>
      <w:r>
        <w:t xml:space="preserve">Een vierde melanocortinemiddel, setmelanotide, richt zich specifiek op MC4R en wordt gebruikt bij zeldzame genetische vormen van obesitas; het wordt behandeld in Deel II · A. Hoe selectiever een middel één receptor aanspreekt, hoe gerichter het werkt. Melanotan II spreekt bijna alle receptoren aan en verenigt daardoor bruining, misselijkheid, verlies van eetlust en erecties in één molecuul.</w:t>
      </w:r>
    </w:p>
    <w:bookmarkEnd w:id="1960"/>
    <w:bookmarkStart w:id="1961" w:name="de-hormonale-as-van-de-voortplanting"/>
    <w:p>
      <w:pPr>
        <w:pStyle w:val="Heading3"/>
      </w:pPr>
      <w:r>
        <w:t xml:space="preserve">De hormonale as van de voortplanting</w:t>
      </w:r>
    </w:p>
    <w:p>
      <w:pPr>
        <w:pStyle w:val="FirstParagraph"/>
      </w:pPr>
      <w:r>
        <w:t xml:space="preserve">De drie andere peptiden in dit deel grijpen aan op de as die puberteit, cyclus en vruchtbaarheid aanstuurt.</w:t>
      </w:r>
      <w:r>
        <w:t xml:space="preserve"> </w:t>
      </w:r>
      <w:r>
        <w:rPr>
          <w:bCs/>
          <w:b/>
        </w:rPr>
        <w:t xml:space="preserve">Kisspeptine</w:t>
      </w:r>
      <w:r>
        <w:t xml:space="preserve"> </w:t>
      </w:r>
      <w:r>
        <w:t xml:space="preserve">schakelt in de hypothalamus de GnRH-zenuwcellen in.</w:t>
      </w:r>
      <w:r>
        <w:t xml:space="preserve"> </w:t>
      </w:r>
      <w:r>
        <w:rPr>
          <w:bCs/>
          <w:b/>
        </w:rPr>
        <w:t xml:space="preserve">Gonadoreline</w:t>
      </w:r>
      <w:r>
        <w:t xml:space="preserve"> </w:t>
      </w:r>
      <w:r>
        <w:t xml:space="preserve">is de synthetische vorm van GnRH zelf, dat in pulsen de hypofyse aanzet tot afgifte van LH en FSH. Beide laten een gemeenschappelijk principe zien: in het juiste ritme toegediend activeren ze de as; als aanhoudende prikkel remmen ze die af.</w:t>
      </w:r>
      <w:r>
        <w:t xml:space="preserve"> </w:t>
      </w:r>
      <w:r>
        <w:rPr>
          <w:bCs/>
          <w:b/>
        </w:rPr>
        <w:t xml:space="preserve">Oxytocine</w:t>
      </w:r>
      <w:r>
        <w:t xml:space="preserve"> </w:t>
      </w:r>
      <w:r>
        <w:t xml:space="preserve">ten slotte komt uit dezelfde hersengebieden, stuurt bevalling en borstvoeding aan en wordt al twintig jaar als neusspray voor sociaal gedrag onderzocht – met ontnuchterende resultaten.</w:t>
      </w:r>
    </w:p>
    <w:bookmarkEnd w:id="1961"/>
    <w:bookmarkStart w:id="1962" w:name="overzicht-3"/>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VS (Vyleesi), niet EU</w:t>
            </w:r>
          </w:p>
        </w:tc>
        <w:tc>
          <w:tcPr/>
          <w:p>
            <w:pPr>
              <w:pStyle w:val="Compact"/>
              <w:jc w:val="left"/>
            </w:pPr>
            <w:r>
              <w:t xml:space="preserve">Zin bij vrouwen met HSDD; klein effect, veel misselijkheid</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geen</w:t>
            </w:r>
          </w:p>
        </w:tc>
        <w:tc>
          <w:tcPr/>
          <w:p>
            <w:pPr>
              <w:pStyle w:val="Compact"/>
              <w:jc w:val="left"/>
            </w:pPr>
            <w:r>
              <w:t xml:space="preserve">Bruining via grijze markt; casusbeschrijvingen over moedervlekken en priapisme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en VS (Scenesse)</w:t>
            </w:r>
          </w:p>
        </w:tc>
        <w:tc>
          <w:tcPr/>
          <w:p>
            <w:pPr>
              <w:pStyle w:val="Compact"/>
              <w:jc w:val="left"/>
            </w:pPr>
            <w:r>
              <w:t xml:space="preserve">Lichtbescherming bij EPP; vitiligo in onderzoek</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Eicelrijping bij ivf, hormoontests; onderzoek</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als infuus (verloskunde)</w:t>
            </w:r>
          </w:p>
        </w:tc>
        <w:tc>
          <w:tcPr/>
          <w:p>
            <w:pPr>
              <w:pStyle w:val="Compact"/>
              <w:jc w:val="left"/>
            </w:pPr>
            <w:r>
              <w:t xml:space="preserve">Autisme en vertrouwen: grote studies negatief</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(EU), niet meer in de VS</w:t>
            </w:r>
          </w:p>
        </w:tc>
        <w:tc>
          <w:tcPr/>
          <w:p>
            <w:pPr>
              <w:pStyle w:val="Compact"/>
              <w:jc w:val="left"/>
            </w:pPr>
            <w:r>
              <w:t xml:space="preserve">GnRH-test en pomp bij kinderwens; dopingverbod</w:t>
            </w:r>
          </w:p>
        </w:tc>
      </w:tr>
    </w:tbl>
    <w:p>
      <w:pPr>
        <w:pStyle w:val="BodyText"/>
      </w:pPr>
      <w:r>
        <w:t xml:space="preserve">De registratiegegevens geven de stand van 2026 weer en moeten actueel worden gecontroleerd.</w:t>
      </w:r>
    </w:p>
    <w:bookmarkEnd w:id="1962"/>
    <w:bookmarkStart w:id="1963" w:name="leeswijzer-4"/>
    <w:p>
      <w:pPr>
        <w:pStyle w:val="Heading3"/>
      </w:pPr>
      <w:r>
        <w:t xml:space="preserve">Leeswijzer</w:t>
      </w:r>
    </w:p>
    <w:p>
      <w:pPr>
        <w:pStyle w:val="FirstParagraph"/>
      </w:pPr>
      <w:r>
        <w:t xml:space="preserve">Wie geïnteresseerd is in bruiningsmiddelen, kan het best de hoofdstukken over melanotan II en afamelanotide samen lezen: ze laten zien hoe verschillend hetzelfde basisidee kan uitpakken – de ene keer als getest geneesmiddel in een gespecialiseerde polikliniek, de andere keer als ongetest poeder van internet. Voor het thema seksualiteit loont de vergelijking van bremelanotide, kisspeptine en oxytocine; alle drie laten zien hoe sterk placebo-effecten op dit gebied zijn. Kisspeptine en gonadoreline verklaren samen de hormonale as van de vruchtbaarheid. Algemene informatie over producten van de grijze markt staat in Deel I, de risico’s in vergelijking in Deel IV.</w:t>
      </w:r>
    </w:p>
    <w:bookmarkEnd w:id="1963"/>
    <w:bookmarkStart w:id="2020" w:name="bremelanotide-pt-141"/>
    <w:p>
      <w:pPr>
        <w:pStyle w:val="Heading2"/>
      </w:pPr>
      <w:r>
        <w:t xml:space="preserve">Bremelanotide (PT-141)</w:t>
      </w:r>
    </w:p>
    <w:bookmarkStart w:id="1966" w:name="profiel-46"/>
    <w:p>
      <w:pPr>
        <w:pStyle w:val="Heading3"/>
      </w:pPr>
      <w:r>
        <w:t xml:space="preserve">Profiel</w:t>
      </w:r>
    </w:p>
    <w:p>
      <w:pPr>
        <w:numPr>
          <w:ilvl w:val="0"/>
          <w:numId w:val="1251"/>
        </w:numPr>
        <w:pStyle w:val="Compact"/>
      </w:pPr>
      <w:r>
        <w:rPr>
          <w:bCs/>
          <w:b/>
        </w:rPr>
        <w:t xml:space="preserve">Soort/structuur:</w:t>
      </w:r>
      <w:r>
        <w:t xml:space="preserve"> </w:t>
      </w:r>
      <w:r>
        <w:t xml:space="preserve">ringvormig (cyclisch) peptide van zeven aminozuren, synthetisch vervaardigd. Het is afgeleid van het lichaamseigen hormoon alfa-MSH (alfa-melanocytstimulerend hormoon) en is nauw verwant aan melanotan II (hoofdstuk 2E02). In de literatuur heet het ook PT-141.</w:t>
      </w:r>
    </w:p>
    <w:p>
      <w:pPr>
        <w:numPr>
          <w:ilvl w:val="0"/>
          <w:numId w:val="1251"/>
        </w:numPr>
        <w:pStyle w:val="Compact"/>
      </w:pPr>
      <w:r>
        <w:rPr>
          <w:bCs/>
          <w:b/>
        </w:rPr>
        <w:t xml:space="preserve">Herkomst:</w:t>
      </w:r>
      <w:r>
        <w:t xml:space="preserve"> </w:t>
      </w:r>
      <w:r>
        <w:t xml:space="preserve">ontstaan uit de ontwikkeling van melanotan II aan de Universiteit van Arizona; doorontwikkeld door het bedrijf Palatin Technologies</w:t>
      </w:r>
      <w:r>
        <w:rPr>
          <w:rStyle w:val="FootnoteReference"/>
        </w:rPr>
        <w:footnoteReference w:id="1964"/>
      </w:r>
      <w:r>
        <w:t xml:space="preserve">.</w:t>
      </w:r>
    </w:p>
    <w:p>
      <w:pPr>
        <w:numPr>
          <w:ilvl w:val="0"/>
          <w:numId w:val="1251"/>
        </w:numPr>
        <w:pStyle w:val="Compact"/>
      </w:pPr>
      <w:r>
        <w:rPr>
          <w:bCs/>
          <w:b/>
        </w:rPr>
        <w:t xml:space="preserve">Werkingsprincipe:</w:t>
      </w:r>
      <w:r>
        <w:t xml:space="preserve"> </w:t>
      </w:r>
      <w:r>
        <w:t xml:space="preserve">agonist van melanocortinereceptoren, vooral MC4R in de hersenen. Het werkt niet op de bloedvaten van de geslachtsorganen zoals sildenafil, maar op hersengebieden die bij seksueel verlangen betrokken zijn.</w:t>
      </w:r>
    </w:p>
    <w:p>
      <w:pPr>
        <w:numPr>
          <w:ilvl w:val="0"/>
          <w:numId w:val="1251"/>
        </w:numPr>
        <w:pStyle w:val="Compact"/>
      </w:pPr>
      <w:r>
        <w:rPr>
          <w:bCs/>
          <w:b/>
        </w:rPr>
        <w:t xml:space="preserve">Toedieningsvorm:</w:t>
      </w:r>
      <w:r>
        <w:t xml:space="preserve"> </w:t>
      </w:r>
      <w:r>
        <w:t xml:space="preserve">voorgevulde pen (auto-injector) voor toediening onder de huid naar behoefte, ongeveer 45 minuten vóór seksuele activiteit. Vroege studies gebruikten een neusspray.</w:t>
      </w:r>
    </w:p>
    <w:p>
      <w:pPr>
        <w:numPr>
          <w:ilvl w:val="0"/>
          <w:numId w:val="1251"/>
        </w:numPr>
        <w:pStyle w:val="Compact"/>
      </w:pPr>
      <w:r>
        <w:rPr>
          <w:bCs/>
          <w:b/>
        </w:rPr>
        <w:t xml:space="preserve">Registratie EU:</w:t>
      </w:r>
      <w:r>
        <w:t xml:space="preserve"> </w:t>
      </w:r>
      <w:r>
        <w:t xml:space="preserve">nee.</w:t>
      </w:r>
    </w:p>
    <w:p>
      <w:pPr>
        <w:numPr>
          <w:ilvl w:val="0"/>
          <w:numId w:val="1251"/>
        </w:numPr>
        <w:pStyle w:val="Compact"/>
      </w:pPr>
      <w:r>
        <w:rPr>
          <w:bCs/>
          <w:b/>
        </w:rPr>
        <w:t xml:space="preserve">Registratie VS:</w:t>
      </w:r>
      <w:r>
        <w:t xml:space="preserve"> </w:t>
      </w:r>
      <w:r>
        <w:t xml:space="preserve">ja, sinds 2019 als Vyleesi voor vrouwen vóór de menopauze met een verworven, gegeneraliseerde stoornis van het seksueel verlangen (hypoactieve seksuele verlangenstoornis, HSDD)</w:t>
      </w:r>
      <w:r>
        <w:rPr>
          <w:rStyle w:val="FootnoteReference"/>
        </w:rPr>
        <w:footnoteReference w:id="1965"/>
      </w:r>
      <w:r>
        <w:t xml:space="preserve">. Gebruik alleen op voorschrift van een arts en volgens de productinformatie.</w:t>
      </w:r>
    </w:p>
    <w:p>
      <w:pPr>
        <w:numPr>
          <w:ilvl w:val="0"/>
          <w:numId w:val="1251"/>
        </w:numPr>
        <w:pStyle w:val="Compact"/>
      </w:pPr>
      <w:r>
        <w:rPr>
          <w:bCs/>
          <w:b/>
        </w:rPr>
        <w:t xml:space="preserve">WADA:</w:t>
      </w:r>
      <w:r>
        <w:t xml:space="preserve"> </w:t>
      </w:r>
      <w:r>
        <w:t xml:space="preserve">niet bij naam vermeld.</w:t>
      </w:r>
    </w:p>
    <w:p>
      <w:pPr>
        <w:numPr>
          <w:ilvl w:val="0"/>
          <w:numId w:val="1251"/>
        </w:numPr>
        <w:pStyle w:val="Compact"/>
      </w:pPr>
      <w:r>
        <w:rPr>
          <w:bCs/>
          <w:b/>
        </w:rPr>
        <w:t xml:space="preserve">Bewijsniveau:</w:t>
      </w:r>
      <w:r>
        <w:t xml:space="preserve"> </w:t>
      </w:r>
      <w:r>
        <w:rPr>
          <w:bCs/>
          <w:b/>
        </w:rPr>
        <w:t xml:space="preserve">A</w:t>
      </w:r>
      <w:r>
        <w:t xml:space="preserve"> </w:t>
      </w:r>
      <w:r>
        <w:t xml:space="preserve">– twee grote gerandomiseerde fase 3-studies met samen meer dan 1.200 deelneemsters, registratie in de VS. Het klinische nut is echter klein en omstreden (zie hieronder).</w:t>
      </w:r>
    </w:p>
    <w:bookmarkEnd w:id="1966"/>
    <w:bookmarkStart w:id="1971" w:name="hoe-het-zou-moeten-werken-46"/>
    <w:p>
      <w:pPr>
        <w:pStyle w:val="Heading3"/>
      </w:pPr>
      <w:r>
        <w:t xml:space="preserve">Hoe het zou moeten werken</w:t>
      </w:r>
    </w:p>
    <w:p>
      <w:pPr>
        <w:pStyle w:val="FirstParagraph"/>
      </w:pPr>
      <w:r>
        <w:t xml:space="preserve">Het melanocortinesysteem is een netwerk van boodschapperstoffen en vijf receptoren (MC1R tot en met MC5R), dat in de inleiding van dit deel nader wordt beschreven. Voor bremelanotide is vooral de receptor MC4R belangrijk. Die zit onder meer in de hypothalamus, een stuurcentrum in de tussenhersenen, en beïnvloedt daar eetlust, energieverbruik en – zoals bij toeval bleek – seksuele opwinding.</w:t>
      </w:r>
    </w:p>
    <w:p>
      <w:pPr>
        <w:pStyle w:val="BodyText"/>
      </w:pPr>
      <w:r>
        <w:t xml:space="preserve">De ontdekking was een bijproduct van het bruiningsonderzoek: mannen die in de jaren 1990 melanotan II kregen om de huid te bruinen, meldden spontane erecties</w:t>
      </w:r>
      <w:r>
        <w:rPr>
          <w:rStyle w:val="FootnoteReference"/>
        </w:rPr>
        <w:footnoteReference w:id="1967"/>
      </w:r>
      <w:r>
        <w:t xml:space="preserve">. Bremelanotide is een licht gewijzigde vorm van dit molecuul. Het activeert meerdere melanocortinereceptoren, maar bij de gebruikte doses is MC4R de belangrijkste</w:t>
      </w:r>
      <w:r>
        <w:rPr>
          <w:rStyle w:val="FootnoteReference"/>
        </w:rPr>
        <w:footnoteReference w:id="1968"/>
      </w:r>
      <w:r>
        <w:t xml:space="preserve">. Helemaal zonder effect op de huid is het echter niet – dat verklaart de waargenomen pigmentvlekken.</w:t>
      </w:r>
    </w:p>
    <w:p>
      <w:pPr>
        <w:pStyle w:val="BodyText"/>
      </w:pPr>
      <w:r>
        <w:t xml:space="preserve">Hoe de activering van MC4R het seksueel verlangen precies beïnvloedt, is slechts gedeeltelijk begrepen. Dierproeven wijzen erop dat bremelanotide in een bepaald gebied van de hypothalamus (de mediale preoptische area) de afgifte van de boodschapperstof dopamine stimuleert, die seksueel verlangen bevordert</w:t>
      </w:r>
      <w:r>
        <w:rPr>
          <w:rStyle w:val="FootnoteReference"/>
        </w:rPr>
        <w:footnoteReference w:id="1969"/>
      </w:r>
      <w:r>
        <w:t xml:space="preserve">. Een Britse studie met functionele magnetische resonantie-imaging (fMRI) bij 31 vrouwen met HSDD vond onder een MC4R-agonist veranderde activiteit in hersengebieden die erotische prikkels verwerken</w:t>
      </w:r>
      <w:r>
        <w:rPr>
          <w:rStyle w:val="FootnoteReference"/>
        </w:rPr>
        <w:footnoteReference w:id="1970"/>
      </w:r>
      <w:r>
        <w:t xml:space="preserve">. De auteurs interpreteren dat als verminderde zelfobservatie en verhoogde ontvankelijkheid voor erotische prikkels – een interpretatie, geen bewezen verklaring.</w:t>
      </w:r>
    </w:p>
    <w:p>
      <w:pPr>
        <w:pStyle w:val="BodyText"/>
      </w:pPr>
      <w:r>
        <w:t xml:space="preserve">Belangrijk voor het begrip: de registratie is niet gericht op „meer zin” bij gezonde mensen, maar op een omschreven diagnose. HSDD betekent een aanhoudend gering seksueel verlangen dat lijdensdruk veroorzaakt en niet wordt verklaard door een andere aandoening, medicijnen of relatieproblemen.</w:t>
      </w:r>
    </w:p>
    <w:bookmarkEnd w:id="1971"/>
    <w:bookmarkStart w:id="1997" w:name="studies-bij-mensen-4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16</w:t>
      </w:r>
      <w:r>
        <w:t xml:space="preserve"> </w:t>
      </w:r>
      <w:r>
        <w:t xml:space="preserve">studies bij mensen in PubMed (</w:t>
      </w:r>
      <w:r>
        <w:rPr>
          <w:rStyle w:val="VerbatimChar"/>
        </w:rPr>
        <w:t xml:space="preserve">humanstudien_alle</w:t>
      </w:r>
      <w:r>
        <w:t xml:space="preserve">) en</w:t>
      </w:r>
      <w:r>
        <w:t xml:space="preserve"> </w:t>
      </w:r>
      <w:r>
        <w:rPr>
          <w:bCs/>
          <w:b/>
        </w:rPr>
        <w:t xml:space="preserve">10</w:t>
      </w:r>
      <w:r>
        <w:t xml:space="preserve"> </w:t>
      </w:r>
      <w:r>
        <w:t xml:space="preserve">registraties bij ClinicalTrials.gov. Daarnaast zijn er meerdere overzichtsartikelen en meta-analyses. Voor de beoordeling zijn vooral de twee registratiestudies RECONNECT, hun verlenging en de veiligheidsanalyse van het gehele ontwikkelingsprogramma van belang.</w:t>
      </w:r>
    </w:p>
    <w:bookmarkStart w:id="1977" w:name="vroege-studies-bij-mannen"/>
    <w:p>
      <w:pPr>
        <w:pStyle w:val="Heading4"/>
      </w:pPr>
      <w:r>
        <w:t xml:space="preserve">Vroege studies bij mannen</w:t>
      </w:r>
    </w:p>
    <w:p>
      <w:pPr>
        <w:pStyle w:val="FirstParagraph"/>
      </w:pPr>
      <w:r>
        <w:t xml:space="preserve">Bremelanotide werd eerst ontwikkeld als middel tegen erectiestoornissen. In fase 1-studies met neusspray</w:t>
      </w:r>
      <w:r>
        <w:rPr>
          <w:rStyle w:val="FootnoteReference"/>
        </w:rPr>
        <w:footnoteReference w:id="1972"/>
      </w:r>
      <w:r>
        <w:t xml:space="preserve"> </w:t>
      </w:r>
      <w:r>
        <w:t xml:space="preserve">en injectie</w:t>
      </w:r>
      <w:r>
        <w:rPr>
          <w:rStyle w:val="FootnoteReference"/>
        </w:rPr>
        <w:footnoteReference w:id="1973"/>
      </w:r>
      <w:r>
        <w:t xml:space="preserve"> </w:t>
      </w:r>
      <w:r>
        <w:t xml:space="preserve">wekte het bij gezonde mannen en bij mannen met een erectiestoornis meetbare erecties op, ook bij mannen die onvoldoende op Viagra reageerden. In een kleine studie met 19 patiënten versterkte een lage dosis bremelanotide het effect van een lage dosis sildenafil</w:t>
      </w:r>
      <w:r>
        <w:rPr>
          <w:rStyle w:val="FootnoteReference"/>
        </w:rPr>
        <w:footnoteReference w:id="1974"/>
      </w:r>
      <w:r>
        <w:t xml:space="preserve">.</w:t>
      </w:r>
    </w:p>
    <w:p>
      <w:pPr>
        <w:pStyle w:val="BodyText"/>
      </w:pPr>
      <w:r>
        <w:t xml:space="preserve">Een studie met 342 mannen bij wie sildenafil niet had gewerkt, rapporteerde een positief resultaat bij 33,5% onder bremelanotide-neusspray tegenover 8,5% onder placebo</w:t>
      </w:r>
      <w:r>
        <w:rPr>
          <w:rStyle w:val="FootnoteReference"/>
        </w:rPr>
        <w:footnoteReference w:id="1975"/>
      </w:r>
      <w:r>
        <w:t xml:space="preserve">. Dit artikel moet met voorzichtigheid worden gelezen: een tweede bremelanotidestudie van dezelfde eerste auteur bij vrouwen werd door het vaktijdschrift teruggetrokken, omdat methoden en resultaten niet controleerbaar waren</w:t>
      </w:r>
      <w:r>
        <w:rPr>
          <w:rStyle w:val="FootnoteReference"/>
        </w:rPr>
        <w:footnoteReference w:id="1976"/>
      </w:r>
      <w:r>
        <w:t xml:space="preserve">; ook andere artikelen van deze auteur werden teruggetrokken.</w:t>
      </w:r>
    </w:p>
    <w:p>
      <w:pPr>
        <w:pStyle w:val="BodyText"/>
      </w:pPr>
      <w:r>
        <w:t xml:space="preserve">De ontwikkeling van de neusspray werd gestaakt nadat in studies bloeddrukstijgingen waren opgevallen. Het bedrijf stapte over op de injectie en op vrouwen als doelgroep.</w:t>
      </w:r>
    </w:p>
    <w:bookmarkEnd w:id="1977"/>
    <w:bookmarkStart w:id="1981" w:name="dosisbepaling-bij-vrouwen"/>
    <w:p>
      <w:pPr>
        <w:pStyle w:val="Heading4"/>
      </w:pPr>
      <w:r>
        <w:t xml:space="preserve">Dosisbepaling bij vrouwen</w:t>
      </w:r>
    </w:p>
    <w:p>
      <w:pPr>
        <w:pStyle w:val="FirstParagraph"/>
      </w:pPr>
      <w:r>
        <w:t xml:space="preserve">Een eerste kleine laboratoriumstudie met 18 vrouwen met een opwindingsstoornis liet na een eenmalige toediening vaker matig tot sterk verlangen zien dan na placebo, maar geen meetbare verandering in de doorbloeding van de vagina bij het bekijken van erotische films</w:t>
      </w:r>
      <w:r>
        <w:rPr>
          <w:rStyle w:val="FootnoteReference"/>
        </w:rPr>
        <w:footnoteReference w:id="1978"/>
      </w:r>
      <w:r>
        <w:t xml:space="preserve">.</w:t>
      </w:r>
    </w:p>
    <w:p>
      <w:pPr>
        <w:pStyle w:val="BodyText"/>
      </w:pPr>
      <w:r>
        <w:t xml:space="preserve">De beslissende fase 2b-studie</w:t>
      </w:r>
      <w:r>
        <w:rPr>
          <w:rStyle w:val="FootnoteReference"/>
        </w:rPr>
        <w:footnoteReference w:id="1979"/>
      </w:r>
      <w:r>
        <w:t xml:space="preserve"> </w:t>
      </w:r>
      <w:r>
        <w:t xml:space="preserve">testte drie doseringen tegen placebo gedurende twaalf weken bij vrouwen vóór de menopauze. Er werden 327 deelneemsters geanalyseerd. Bij de twee hogere doses samen steeg het aantal „bevredigende seksuele gebeurtenissen” met 0,7 per maand tegenover 0,2 onder placebo. Op de vragenlijst FSFI (Female Sexual Function Index, een score voor seksueel functioneren) bedroeg de stijging 3,6 tegenover 1,9 punten. Een achteraf uitgevoerde analyse legde vast vanaf welke verandering een effect als klinisch relevant geldt; deze drempels werden daarna voor de fase 3-studies overgenomen</w:t>
      </w:r>
      <w:r>
        <w:rPr>
          <w:rStyle w:val="FootnoteReference"/>
        </w:rPr>
        <w:footnoteReference w:id="1980"/>
      </w:r>
      <w:r>
        <w:t xml:space="preserve">.</w:t>
      </w:r>
    </w:p>
    <w:bookmarkEnd w:id="1981"/>
    <w:bookmarkStart w:id="1985" w:name="de-registratiestudies-reconnect"/>
    <w:p>
      <w:pPr>
        <w:pStyle w:val="Heading4"/>
      </w:pPr>
      <w:r>
        <w:t xml:space="preserve">De registratiestudies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RECONNECT 301 en 302 (Kingsberg 2019), PMID 31599840</w:t>
            </w:r>
          </w:p>
        </w:tc>
        <w:tc>
          <w:tcPr/>
          <w:p>
            <w:pPr>
              <w:pStyle w:val="Compact"/>
              <w:jc w:val="left"/>
            </w:pPr>
            <w:r>
              <w:t xml:space="preserve">1.267 vrouwen vóór de menopauze met HSDD, twee RCT’s tegen placebo, gebruik naar behoefte</w:t>
            </w:r>
          </w:p>
        </w:tc>
        <w:tc>
          <w:tcPr/>
          <w:p>
            <w:pPr>
              <w:pStyle w:val="Compact"/>
              <w:jc w:val="left"/>
            </w:pPr>
            <w:r>
              <w:t xml:space="preserve">24 weken</w:t>
            </w:r>
          </w:p>
        </w:tc>
        <w:tc>
          <w:tcPr/>
          <w:p>
            <w:pPr>
              <w:pStyle w:val="Compact"/>
              <w:jc w:val="left"/>
            </w:pPr>
            <w:r>
              <w:t xml:space="preserve">Verlangen (FSFI-Desire) +0,35 punten meer dan placebo; lijdensdruk −0,33 punten sterker verlaagd</w:t>
            </w:r>
          </w:p>
        </w:tc>
      </w:tr>
      <w:tr>
        <w:tc>
          <w:tcPr/>
          <w:p>
            <w:pPr>
              <w:pStyle w:val="Compact"/>
              <w:jc w:val="left"/>
            </w:pPr>
            <w:r>
              <w:t xml:space="preserve">Open verlenging (Simon 2019), PMID 31599847</w:t>
            </w:r>
          </w:p>
        </w:tc>
        <w:tc>
          <w:tcPr/>
          <w:p>
            <w:pPr>
              <w:pStyle w:val="Compact"/>
              <w:jc w:val="left"/>
            </w:pPr>
            <w:r>
              <w:t xml:space="preserve">684 vrouwen uit beide studies, allen met bremelanotide</w:t>
            </w:r>
          </w:p>
        </w:tc>
        <w:tc>
          <w:tcPr/>
          <w:p>
            <w:pPr>
              <w:pStyle w:val="Compact"/>
              <w:jc w:val="left"/>
            </w:pPr>
            <w:r>
              <w:t xml:space="preserve">52 weken</w:t>
            </w:r>
          </w:p>
        </w:tc>
        <w:tc>
          <w:tcPr/>
          <w:p>
            <w:pPr>
              <w:pStyle w:val="Compact"/>
              <w:jc w:val="left"/>
            </w:pPr>
            <w:r>
              <w:t xml:space="preserve">272 voltooiden de verlenging; geen nieuwe veiligheidssignalen</w:t>
            </w:r>
          </w:p>
        </w:tc>
      </w:tr>
      <w:tr>
        <w:tc>
          <w:tcPr/>
          <w:p>
            <w:pPr>
              <w:pStyle w:val="Compact"/>
              <w:jc w:val="left"/>
            </w:pPr>
            <w:r>
              <w:t xml:space="preserve">Subgroepanalyse (Simon 2022), PMID 35230162</w:t>
            </w:r>
          </w:p>
        </w:tc>
        <w:tc>
          <w:tcPr/>
          <w:p>
            <w:pPr>
              <w:pStyle w:val="Compact"/>
              <w:jc w:val="left"/>
            </w:pPr>
            <w:r>
              <w:t xml:space="preserve">1.202 vrouwen uit beide studies</w:t>
            </w:r>
          </w:p>
        </w:tc>
        <w:tc>
          <w:tcPr/>
          <w:p>
            <w:pPr>
              <w:pStyle w:val="Compact"/>
              <w:jc w:val="left"/>
            </w:pPr>
            <w:r>
              <w:t xml:space="preserve">24 weken</w:t>
            </w:r>
          </w:p>
        </w:tc>
        <w:tc>
          <w:tcPr/>
          <w:p>
            <w:pPr>
              <w:pStyle w:val="Compact"/>
              <w:jc w:val="left"/>
            </w:pPr>
            <w:r>
              <w:t xml:space="preserve">Effect in bijna alle leeftijds-, gewichts- en hormoonsubgroepen vergelijkbaar</w:t>
            </w:r>
          </w:p>
        </w:tc>
      </w:tr>
      <w:tr>
        <w:tc>
          <w:tcPr/>
          <w:p>
            <w:pPr>
              <w:pStyle w:val="Compact"/>
              <w:jc w:val="left"/>
            </w:pPr>
            <w:r>
              <w:t xml:space="preserve">Veiligheidsanalyse (Clayton 2022), PMID 35147466</w:t>
            </w:r>
          </w:p>
        </w:tc>
        <w:tc>
          <w:tcPr/>
          <w:p>
            <w:pPr>
              <w:pStyle w:val="Compact"/>
              <w:jc w:val="left"/>
            </w:pPr>
            <w:r>
              <w:t xml:space="preserve">circa 3.500 personen in 43 studies</w:t>
            </w:r>
          </w:p>
        </w:tc>
        <w:tc>
          <w:tcPr/>
          <w:p>
            <w:pPr>
              <w:pStyle w:val="Compact"/>
              <w:jc w:val="left"/>
            </w:pPr>
            <w:r>
              <w:t xml:space="preserve">tot 18 maanden</w:t>
            </w:r>
          </w:p>
        </w:tc>
        <w:tc>
          <w:tcPr/>
          <w:p>
            <w:pPr>
              <w:pStyle w:val="Compact"/>
              <w:jc w:val="left"/>
            </w:pPr>
            <w:r>
              <w:t xml:space="preserve">Misselijkheid 40,0% vs. 1,3%, opvliegers 20,3% vs. 1,3%</w:t>
            </w:r>
          </w:p>
        </w:tc>
      </w:tr>
    </w:tbl>
    <w:p>
      <w:pPr>
        <w:pStyle w:val="BodyText"/>
      </w:pPr>
      <w:r>
        <w:t xml:space="preserve">De twee identieke studies 301 en 302</w:t>
      </w:r>
      <w:r>
        <w:rPr>
          <w:rStyle w:val="FootnoteReference"/>
        </w:rPr>
        <w:footnoteReference w:id="1982"/>
      </w:r>
      <w:r>
        <w:t xml:space="preserve"> </w:t>
      </w:r>
      <w:r>
        <w:t xml:space="preserve">liepen in 2015 en 2016, overwegend in de VS. De deelneemsters spoten zichzelf naar behoefte vóór seksuele activiteit 1,75 mg bremelanotide of placebo in met een auto-injector. Er werden twee primaire uitkomstmaten gemeten: het seksueel verlangen (Desire-domein van de FSFI, schaal van 1,2 tot 6) en de lijdensdruk door gering verlangen (één vraag uit de vragenlijst FSDS-DAO, schaal 0 tot 4).</w:t>
      </w:r>
    </w:p>
    <w:p>
      <w:pPr>
        <w:pStyle w:val="BodyText"/>
      </w:pPr>
      <w:r>
        <w:t xml:space="preserve">Beide studies haalden hun primaire doelen. In de gezamenlijke analyse steeg het verlangen 0,35 punten meer dan onder placebo, en daalde de lijdensdruk 0,33 punten meer</w:t>
      </w:r>
      <w:r>
        <w:rPr>
          <w:rStyle w:val="FootnoteReference"/>
        </w:rPr>
        <w:footnoteReference w:id="1983"/>
      </w:r>
      <w:r>
        <w:t xml:space="preserve">. Deze cijfers zijn statistisch eenduidig, maar klein: op een schaal tot 6 betekent een derde punt een bescheiden verschil. Ook onder placebo verbeterden de waarden duidelijk – een bekend patroon in de seksuele geneeskunde.</w:t>
      </w:r>
    </w:p>
    <w:p>
      <w:pPr>
        <w:pStyle w:val="BodyText"/>
      </w:pPr>
      <w:r>
        <w:t xml:space="preserve">In exitinterviews met 242 deelneemsters die nog niet wisten wat ze hadden gekregen, beschreven vrouwen onder bremelanotide vaker lichamelijke opwinding en meer verlangen; onder placebo noemden ze eerder betere communicatie in de relatie</w:t>
      </w:r>
      <w:r>
        <w:rPr>
          <w:rStyle w:val="FootnoteReference"/>
        </w:rPr>
        <w:footnoteReference w:id="1984"/>
      </w:r>
      <w:r>
        <w:t xml:space="preserve">.</w:t>
      </w:r>
    </w:p>
    <w:bookmarkEnd w:id="1985"/>
    <w:bookmarkStart w:id="1988" w:name="de-kritiek-op-de-registratiestudies"/>
    <w:p>
      <w:pPr>
        <w:pStyle w:val="Heading4"/>
      </w:pPr>
      <w:r>
        <w:t xml:space="preserve">De kritiek op de registratiestudies</w:t>
      </w:r>
    </w:p>
    <w:p>
      <w:pPr>
        <w:pStyle w:val="FirstParagraph"/>
      </w:pPr>
      <w:r>
        <w:t xml:space="preserve">Een onafhankelijke heranalyse op basis van de documenten die bij de Amerikaanse geneesmiddelenautoriteit FDA waren ingediend, kwam tot een ander eindoordeel</w:t>
      </w:r>
      <w:r>
        <w:rPr>
          <w:rStyle w:val="FootnoteReference"/>
        </w:rPr>
        <w:footnoteReference w:id="1986"/>
      </w:r>
      <w:r>
        <w:t xml:space="preserve">. De auteur bevestigt de kleine effecten, maar bekritiseert dat ongeveer 73% van de in het studieprotocol voorziene uitkomsten niet werd gepubliceerd. Twee bevindingen ontbraken in de hoofdpublicatie:</w:t>
      </w:r>
    </w:p>
    <w:p>
      <w:pPr>
        <w:numPr>
          <w:ilvl w:val="0"/>
          <w:numId w:val="1252"/>
        </w:numPr>
        <w:pStyle w:val="Compact"/>
      </w:pPr>
      <w:r>
        <w:t xml:space="preserve">Stoppen wegens bijwerkingen kwam onder bremelanotide duidelijk vaker voor (odds ratio 11,98). Rekenkundig stopte ongeveer één op de zes behandelde vrouwen wegens bijwerkingen die onder placebo niet zou zijn gestopt.</w:t>
      </w:r>
    </w:p>
    <w:p>
      <w:pPr>
        <w:numPr>
          <w:ilvl w:val="0"/>
          <w:numId w:val="1252"/>
        </w:numPr>
        <w:pStyle w:val="Compact"/>
      </w:pPr>
      <w:r>
        <w:t xml:space="preserve">Wie de studie voltooide en daarna overstapte naar de open verlenging, kwam vaker uit de placebogroep. Ook de veiligheidsanalyse van de fabrikant noemt deze cijfers: 70% van de bremelanotidegroep tegenover 87% van de placebogroep ging over naar de verlenging</w:t>
      </w:r>
      <w:r>
        <w:rPr>
          <w:rStyle w:val="FootnoteReference"/>
        </w:rPr>
        <w:footnoteReference w:id="1987"/>
      </w:r>
      <w:r>
        <w:t xml:space="preserve">.</w:t>
      </w:r>
    </w:p>
    <w:p>
      <w:pPr>
        <w:pStyle w:val="FirstParagraph"/>
      </w:pPr>
      <w:r>
        <w:t xml:space="preserve">Spielmans concludeert dat het middel voor de meeste vrouwen niet nuttig is. Dat is een scherp geformuleerde individuele mening, die echter berust op gegevens die ook de fabrikant heeft gepubliceerd.</w:t>
      </w:r>
    </w:p>
    <w:bookmarkEnd w:id="1988"/>
    <w:bookmarkStart w:id="1992" w:name="meta-analyses-1"/>
    <w:p>
      <w:pPr>
        <w:pStyle w:val="Heading4"/>
      </w:pPr>
      <w:r>
        <w:t xml:space="preserve">Meta-analyses</w:t>
      </w:r>
    </w:p>
    <w:p>
      <w:pPr>
        <w:pStyle w:val="FirstParagraph"/>
      </w:pPr>
      <w:r>
        <w:t xml:space="preserve">Een meta-analyse van geneesmiddelen tegen seksuele disfuncties bij vrouwen (waaronder bremelanotide, flibanserine en intranasale oxytocine) vond dat ongeveer 67,7% van de verbetering in de behandelgroepen ook onder placebo optrad</w:t>
      </w:r>
      <w:r>
        <w:rPr>
          <w:rStyle w:val="FootnoteReference"/>
        </w:rPr>
        <w:footnoteReference w:id="1989"/>
      </w:r>
      <w:r>
        <w:t xml:space="preserve">. Een recentere meta-analyse bevestigt voor bremelanotide kleine verbeteringen in verlangen en opwinding en een vermindering van de lijdensdruk, zonder vergelijking met psychotherapie</w:t>
      </w:r>
      <w:r>
        <w:rPr>
          <w:rStyle w:val="FootnoteReference"/>
        </w:rPr>
        <w:footnoteReference w:id="1990"/>
      </w:r>
      <w:r>
        <w:t xml:space="preserve">. Een overzicht van de bij ClinicalTrials.gov afgeronde studies bekritiseert uiteenlopende uitkomstmaten en onvolledige rapportage</w:t>
      </w:r>
      <w:r>
        <w:rPr>
          <w:rStyle w:val="FootnoteReference"/>
        </w:rPr>
        <w:footnoteReference w:id="1991"/>
      </w:r>
      <w:r>
        <w:t xml:space="preserve">.</w:t>
      </w:r>
    </w:p>
    <w:bookmarkEnd w:id="1992"/>
    <w:bookmarkStart w:id="1996" w:name="overige-vraagstellingen"/>
    <w:p>
      <w:pPr>
        <w:pStyle w:val="Heading4"/>
      </w:pPr>
      <w:r>
        <w:t xml:space="preserve">Overige vraagstellingen</w:t>
      </w:r>
    </w:p>
    <w:p>
      <w:pPr>
        <w:numPr>
          <w:ilvl w:val="0"/>
          <w:numId w:val="1253"/>
        </w:numPr>
        <w:pStyle w:val="Compact"/>
      </w:pPr>
      <w:r>
        <w:rPr>
          <w:bCs/>
          <w:b/>
        </w:rPr>
        <w:t xml:space="preserve">Alcohol:</w:t>
      </w:r>
      <w:r>
        <w:t xml:space="preserve"> </w:t>
      </w:r>
      <w:r>
        <w:t xml:space="preserve">in een fase 1-studie met 24 gezonde personen traden bij gelijktijdig alcoholgebruik geen relevante interacties op</w:t>
      </w:r>
      <w:r>
        <w:rPr>
          <w:rStyle w:val="FootnoteReference"/>
        </w:rPr>
        <w:footnoteReference w:id="1993"/>
      </w:r>
      <w:r>
        <w:t xml:space="preserve">.</w:t>
      </w:r>
    </w:p>
    <w:p>
      <w:pPr>
        <w:numPr>
          <w:ilvl w:val="0"/>
          <w:numId w:val="1253"/>
        </w:numPr>
        <w:pStyle w:val="Compact"/>
      </w:pPr>
      <w:r>
        <w:rPr>
          <w:bCs/>
          <w:b/>
        </w:rPr>
        <w:t xml:space="preserve">Gewicht:</w:t>
      </w:r>
      <w:r>
        <w:t xml:space="preserve"> </w:t>
      </w:r>
      <w:r>
        <w:t xml:space="preserve">omdat MC4R ook de eetlust stuurt, werd bremelanotide getest bij vrouwen met obesitas. In twee kleine fase 1-studies daalde de calorie-inname met ongeveer 400 kcal per dag; na 16 dagen lag het gewicht 1,3 kg onder dat van de placebogroep</w:t>
      </w:r>
      <w:r>
        <w:rPr>
          <w:rStyle w:val="FootnoteReference"/>
        </w:rPr>
        <w:footnoteReference w:id="1994"/>
      </w:r>
      <w:r>
        <w:t xml:space="preserve">. Dit zijn kortetermijngegevens zonder uitspraak over een langdurige behandeling.</w:t>
      </w:r>
    </w:p>
    <w:p>
      <w:pPr>
        <w:numPr>
          <w:ilvl w:val="0"/>
          <w:numId w:val="1253"/>
        </w:numPr>
        <w:pStyle w:val="Compact"/>
      </w:pPr>
      <w:r>
        <w:rPr>
          <w:bCs/>
          <w:b/>
        </w:rPr>
        <w:t xml:space="preserve">Hersenen:</w:t>
      </w:r>
      <w:r>
        <w:t xml:space="preserve"> </w:t>
      </w:r>
      <w:r>
        <w:t xml:space="preserve">de al genoemde fMRI-studie</w:t>
      </w:r>
      <w:r>
        <w:rPr>
          <w:rStyle w:val="FootnoteReference"/>
        </w:rPr>
        <w:footnoteReference w:id="1995"/>
      </w:r>
      <w:r>
        <w:t xml:space="preserve"> </w:t>
      </w:r>
      <w:r>
        <w:t xml:space="preserve">is een van de weinige studies die niet door de fabrikant werden geleid.</w:t>
      </w:r>
    </w:p>
    <w:bookmarkEnd w:id="1996"/>
    <w:bookmarkEnd w:id="1997"/>
    <w:bookmarkStart w:id="2001" w:name="dier--en-laboratoriumstudies-46"/>
    <w:p>
      <w:pPr>
        <w:pStyle w:val="Heading3"/>
      </w:pPr>
      <w:r>
        <w:t xml:space="preserve">Dier- en laboratoriumstudies</w:t>
      </w:r>
    </w:p>
    <w:p>
      <w:pPr>
        <w:pStyle w:val="FirstParagraph"/>
      </w:pPr>
      <w:r>
        <w:t xml:space="preserve">Het dieronderzoek naar bremelanotide is grotendeels bij ratten gedaan. Een overzichtsartikel vat het zo samen: bremelanotide activeert MC4R op zenuwcellen in de hypothalamus, die daarop meer dopamine afgeven; bij vrouwelijke ratten nam gedrag toe waarmee vrouwtjes seksuele interesse tonen</w:t>
      </w:r>
      <w:r>
        <w:rPr>
          <w:rStyle w:val="FootnoteReference"/>
        </w:rPr>
        <w:footnoteReference w:id="1998"/>
      </w:r>
      <w:r>
        <w:t xml:space="preserve">. Het overzicht is afkomstig van onderzoekers met banden met de ontwikkeling van het middel.</w:t>
      </w:r>
    </w:p>
    <w:p>
      <w:pPr>
        <w:pStyle w:val="BodyText"/>
      </w:pPr>
      <w:r>
        <w:t xml:space="preserve">Een onafhankelijke studie bij vrouwelijke hamsters kwam tot een ontnuchterend resultaat: bremelanotide veranderde noch de receptoren in het beloningssysteem, noch versterkte het de „beloningswaarde” van seksuele ontmoetingen in een gedragstest</w:t>
      </w:r>
      <w:r>
        <w:rPr>
          <w:rStyle w:val="FootnoteReference"/>
        </w:rPr>
        <w:footnoteReference w:id="1999"/>
      </w:r>
      <w:r>
        <w:t xml:space="preserve">. De auteurs concluderen dat het middel niet via het klassieke beloningscircuit werkt. Hoe het precies werkt, blijft dus open.</w:t>
      </w:r>
    </w:p>
    <w:p>
      <w:pPr>
        <w:pStyle w:val="BodyText"/>
      </w:pPr>
      <w:r>
        <w:t xml:space="preserve">In celkweken remde bremelanotide de groei van glioblastoomcellen, een type hersentumor</w:t>
      </w:r>
      <w:r>
        <w:rPr>
          <w:rStyle w:val="FootnoteReference"/>
        </w:rPr>
        <w:footnoteReference w:id="2000"/>
      </w:r>
      <w:r>
        <w:t xml:space="preserve">. Dat is een zuivere laboratoriumbevinding zonder klinische betekenis.</w:t>
      </w:r>
    </w:p>
    <w:bookmarkEnd w:id="2001"/>
    <w:bookmarkStart w:id="2012" w:name="risicos-en-bijwerkingen-46"/>
    <w:p>
      <w:pPr>
        <w:pStyle w:val="Heading3"/>
      </w:pPr>
      <w:r>
        <w:t xml:space="preserve">Risico’s en bijwerkingen</w:t>
      </w:r>
    </w:p>
    <w:bookmarkStart w:id="2007" w:name="aangetoond-7"/>
    <w:p>
      <w:pPr>
        <w:pStyle w:val="Heading4"/>
      </w:pPr>
      <w:r>
        <w:t xml:space="preserve">Aangetoond</w:t>
      </w:r>
    </w:p>
    <w:p>
      <w:pPr>
        <w:numPr>
          <w:ilvl w:val="0"/>
          <w:numId w:val="1254"/>
        </w:numPr>
        <w:pStyle w:val="Compact"/>
      </w:pPr>
      <w:r>
        <w:rPr>
          <w:bCs/>
          <w:b/>
        </w:rPr>
        <w:t xml:space="preserve">Misselijkheid:</w:t>
      </w:r>
      <w:r>
        <w:t xml:space="preserve"> </w:t>
      </w:r>
      <w:r>
        <w:t xml:space="preserve">de meest voorkomende bijwerking. In de fase 3-studies trof ze 40,0% tegenover 1,3% onder placebo en was ze de meest voorkomende reden om te stoppen</w:t>
      </w:r>
      <w:r>
        <w:rPr>
          <w:rStyle w:val="FootnoteReference"/>
        </w:rPr>
        <w:footnoteReference w:id="2002"/>
      </w:r>
      <w:r>
        <w:t xml:space="preserve">. Een aparte studie met 228 gezonde vrouwen onderzocht of het middel tegen misselijkheid ondansetron preventief helpt</w:t>
      </w:r>
      <w:r>
        <w:rPr>
          <w:rStyle w:val="FootnoteReference"/>
        </w:rPr>
        <w:footnoteReference w:id="2003"/>
      </w:r>
      <w:r>
        <w:t xml:space="preserve">.</w:t>
      </w:r>
    </w:p>
    <w:p>
      <w:pPr>
        <w:numPr>
          <w:ilvl w:val="0"/>
          <w:numId w:val="1254"/>
        </w:numPr>
        <w:pStyle w:val="Compact"/>
      </w:pPr>
      <w:r>
        <w:rPr>
          <w:bCs/>
          <w:b/>
        </w:rPr>
        <w:t xml:space="preserve">Opvliegers (flushing)</w:t>
      </w:r>
      <w:r>
        <w:t xml:space="preserve"> </w:t>
      </w:r>
      <w:r>
        <w:t xml:space="preserve">bij 20,3%,</w:t>
      </w:r>
      <w:r>
        <w:t xml:space="preserve"> </w:t>
      </w:r>
      <w:r>
        <w:rPr>
          <w:bCs/>
          <w:b/>
        </w:rPr>
        <w:t xml:space="preserve">hoofdpijn</w:t>
      </w:r>
      <w:r>
        <w:t xml:space="preserve"> </w:t>
      </w:r>
      <w:r>
        <w:t xml:space="preserve">bij 11,3%,</w:t>
      </w:r>
      <w:r>
        <w:t xml:space="preserve"> </w:t>
      </w:r>
      <w:r>
        <w:rPr>
          <w:bCs/>
          <w:b/>
        </w:rPr>
        <w:t xml:space="preserve">reacties op de injectieplaats</w:t>
      </w:r>
      <w:r>
        <w:t xml:space="preserve"> </w:t>
      </w:r>
      <w:r>
        <w:t xml:space="preserve">bij 5,4% (tegenover 1,3%, 1,9% en 0,5% onder placebo).</w:t>
      </w:r>
    </w:p>
    <w:p>
      <w:pPr>
        <w:numPr>
          <w:ilvl w:val="0"/>
          <w:numId w:val="1254"/>
        </w:numPr>
        <w:pStyle w:val="Compact"/>
      </w:pPr>
      <w:r>
        <w:rPr>
          <w:bCs/>
          <w:b/>
        </w:rPr>
        <w:t xml:space="preserve">Bloeddruk:</w:t>
      </w:r>
      <w:r>
        <w:t xml:space="preserve"> </w:t>
      </w:r>
      <w:r>
        <w:t xml:space="preserve">in een studie met 24-uursmeting bij 397 vrouwen steeg de bovendruk na toediening tijdelijk met 2,4 tot 3,2 mmHg; de pieken duurden meestal minder dan 15 minuten. Tegelijk daalde de hartslag met ongeveer 4,6 slagen per minuut</w:t>
      </w:r>
      <w:r>
        <w:rPr>
          <w:rStyle w:val="FootnoteReference"/>
        </w:rPr>
        <w:footnoteReference w:id="2004"/>
      </w:r>
      <w:r>
        <w:t xml:space="preserve">. De productinformatie raadt het gebruik daarom af bij ongecontroleerde hoge bloeddruk of bekende hart- en vaatziekte.</w:t>
      </w:r>
    </w:p>
    <w:p>
      <w:pPr>
        <w:numPr>
          <w:ilvl w:val="0"/>
          <w:numId w:val="1254"/>
        </w:numPr>
        <w:pStyle w:val="Compact"/>
      </w:pPr>
      <w:r>
        <w:rPr>
          <w:bCs/>
          <w:b/>
        </w:rPr>
        <w:t xml:space="preserve">Pigmentvlekken:</w:t>
      </w:r>
      <w:r>
        <w:t xml:space="preserve"> </w:t>
      </w:r>
      <w:r>
        <w:t xml:space="preserve">bij gebruik volgens de productinformatie zeldzaam. Werd bremelanotide echter op maximaal 16 opeenvolgende dagen gegeven, dan ontwikkelde meer dan een derde van de deelnemers omschreven donkere vlekken</w:t>
      </w:r>
      <w:r>
        <w:rPr>
          <w:rStyle w:val="FootnoteReference"/>
        </w:rPr>
        <w:footnoteReference w:id="2005"/>
      </w:r>
      <w:r>
        <w:t xml:space="preserve"> </w:t>
      </w:r>
      <w:r>
        <w:t xml:space="preserve">– een aanwijzing voor de restwerking op de pigmentreceptor.</w:t>
      </w:r>
    </w:p>
    <w:p>
      <w:pPr>
        <w:numPr>
          <w:ilvl w:val="0"/>
          <w:numId w:val="1254"/>
        </w:numPr>
        <w:pStyle w:val="Compact"/>
      </w:pPr>
      <w:r>
        <w:rPr>
          <w:bCs/>
          <w:b/>
        </w:rPr>
        <w:t xml:space="preserve">Interacties:</w:t>
      </w:r>
      <w:r>
        <w:t xml:space="preserve"> </w:t>
      </w:r>
      <w:r>
        <w:t xml:space="preserve">bremelanotide vertraagt kortstondig de maaglediging en verlaagde in studies de bloedspiegels van indometacine en naltrexon</w:t>
      </w:r>
      <w:r>
        <w:rPr>
          <w:rStyle w:val="FootnoteReference"/>
        </w:rPr>
        <w:footnoteReference w:id="2006"/>
      </w:r>
      <w:r>
        <w:t xml:space="preserve">.</w:t>
      </w:r>
    </w:p>
    <w:bookmarkEnd w:id="2007"/>
    <w:bookmarkStart w:id="2009" w:name="open"/>
    <w:p>
      <w:pPr>
        <w:pStyle w:val="Heading4"/>
      </w:pPr>
      <w:r>
        <w:t xml:space="preserve">Open</w:t>
      </w:r>
    </w:p>
    <w:p>
      <w:pPr>
        <w:pStyle w:val="FirstParagraph"/>
      </w:pPr>
      <w:r>
        <w:t xml:space="preserve">Voor de zwangerschap zijn onvoldoende gegevens beschikbaar. Een kleine studie meet momenteel de overgang naar de moedermelk</w:t>
      </w:r>
      <w:r>
        <w:rPr>
          <w:rStyle w:val="FootnoteReference"/>
        </w:rPr>
        <w:footnoteReference w:id="2008"/>
      </w:r>
      <w:r>
        <w:t xml:space="preserve">. Langetermijngegevens van meer dan 18 maanden ontbreken.</w:t>
      </w:r>
    </w:p>
    <w:bookmarkEnd w:id="2009"/>
    <w:bookmarkStart w:id="2011" w:name="grijze-markt-1"/>
    <w:p>
      <w:pPr>
        <w:pStyle w:val="Heading4"/>
      </w:pPr>
      <w:r>
        <w:t xml:space="preserve">Grijze markt</w:t>
      </w:r>
    </w:p>
    <w:p>
      <w:pPr>
        <w:pStyle w:val="FirstParagraph"/>
      </w:pPr>
      <w:r>
        <w:t xml:space="preserve">Onder de naam „PT-141” wordt bremelanotide op internet aangeboden als poeder voor zelfinjectie, vaak naast melanotan II. Forensische laboratoria identificeerden beide stoffen in door de politie in beslag genomen monsters uit de bodybuildingwereld</w:t>
      </w:r>
      <w:r>
        <w:rPr>
          <w:rStyle w:val="FootnoteReference"/>
        </w:rPr>
        <w:footnoteReference w:id="2010"/>
      </w:r>
      <w:r>
        <w:t xml:space="preserve">. Voor zulke producten gelden dezelfde risico’s als bij andere peptiden van de grijze markt (Deel I, hoofdstuk „De grijze markt”): onbekende zuiverheid, verkeerde hoeveelheden, verontreinigingen, niet-steriele productie. Van de bremelanotide-neusspray is bekend dat die sterker op de bloeddruk werkte; neussprays van de grijze markt zijn niet getest.</w:t>
      </w:r>
    </w:p>
    <w:bookmarkEnd w:id="2011"/>
    <w:bookmarkEnd w:id="2012"/>
    <w:bookmarkStart w:id="2014" w:name="juridische-status-46"/>
    <w:p>
      <w:pPr>
        <w:pStyle w:val="Heading3"/>
      </w:pPr>
      <w:r>
        <w:t xml:space="preserve">Juridische status</w:t>
      </w:r>
    </w:p>
    <w:p>
      <w:pPr>
        <w:pStyle w:val="FirstParagraph"/>
      </w:pPr>
      <w:r>
        <w:rPr>
          <w:iCs/>
          <w:i/>
        </w:rPr>
        <w:t xml:space="preserve">Stand 2026, actuele situatie controleren.</w:t>
      </w:r>
    </w:p>
    <w:p>
      <w:pPr>
        <w:numPr>
          <w:ilvl w:val="0"/>
          <w:numId w:val="1255"/>
        </w:numPr>
        <w:pStyle w:val="Compact"/>
      </w:pPr>
      <w:r>
        <w:rPr>
          <w:bCs/>
          <w:b/>
        </w:rPr>
        <w:t xml:space="preserve">EU:</w:t>
      </w:r>
      <w:r>
        <w:t xml:space="preserve"> </w:t>
      </w:r>
      <w:r>
        <w:t xml:space="preserve">geen registratie, en ook geen lopende registratieprocedure bekend. Verkoop voor gebruik bij mensen is in de EU niet toegestaan.</w:t>
      </w:r>
    </w:p>
    <w:p>
      <w:pPr>
        <w:numPr>
          <w:ilvl w:val="0"/>
          <w:numId w:val="1255"/>
        </w:numPr>
        <w:pStyle w:val="Compact"/>
      </w:pPr>
      <w:r>
        <w:rPr>
          <w:bCs/>
          <w:b/>
        </w:rPr>
        <w:t xml:space="preserve">Duitsland en Oostenrijk:</w:t>
      </w:r>
      <w:r>
        <w:t xml:space="preserve"> </w:t>
      </w:r>
      <w:r>
        <w:t xml:space="preserve">geen registratie. Een individuele invoer van een in de VS geregistreerd geneesmiddel op voorschrift van een arts is juridisch in beperkte mate mogelijk; producten van de grijze markt vallen daar niet onder.</w:t>
      </w:r>
    </w:p>
    <w:p>
      <w:pPr>
        <w:numPr>
          <w:ilvl w:val="0"/>
          <w:numId w:val="1255"/>
        </w:numPr>
        <w:pStyle w:val="Compact"/>
      </w:pPr>
      <w:r>
        <w:rPr>
          <w:bCs/>
          <w:b/>
        </w:rPr>
        <w:t xml:space="preserve">VS:</w:t>
      </w:r>
      <w:r>
        <w:t xml:space="preserve"> </w:t>
      </w:r>
      <w:r>
        <w:t xml:space="preserve">geregistreerd sinds juni 2019 (Vyleesi) voor vrouwen vóór de menopauze met verworven, gegeneraliseerde HSDD. Niet geregistreerd voor mannen, voor vrouwen na de menopauze of voor het vergroten van de zin bij gezonde mensen. De handelsrechten wisselden meerdere keren van eigenaar; volgens registervermeldingen is inmiddels het bedrijf Cosette Pharmaceuticals verantwoordelijk.</w:t>
      </w:r>
    </w:p>
    <w:p>
      <w:pPr>
        <w:numPr>
          <w:ilvl w:val="0"/>
          <w:numId w:val="1255"/>
        </w:numPr>
        <w:pStyle w:val="Compact"/>
      </w:pPr>
      <w:r>
        <w:rPr>
          <w:bCs/>
          <w:b/>
        </w:rPr>
        <w:t xml:space="preserve">Andere landen:</w:t>
      </w:r>
      <w:r>
        <w:t xml:space="preserve"> </w:t>
      </w:r>
      <w:r>
        <w:t xml:space="preserve">in Zuid-Korea liep een overbruggingsstudie met 193 vrouwen voor een registratie aldaar</w:t>
      </w:r>
      <w:r>
        <w:rPr>
          <w:rStyle w:val="FootnoteReference"/>
        </w:rPr>
        <w:footnoteReference w:id="2013"/>
      </w:r>
      <w:r>
        <w:t xml:space="preserve">.</w:t>
      </w:r>
    </w:p>
    <w:p>
      <w:pPr>
        <w:numPr>
          <w:ilvl w:val="0"/>
          <w:numId w:val="1255"/>
        </w:numPr>
        <w:pStyle w:val="Compact"/>
      </w:pPr>
      <w:r>
        <w:rPr>
          <w:bCs/>
          <w:b/>
        </w:rPr>
        <w:t xml:space="preserve">WADA:</w:t>
      </w:r>
      <w:r>
        <w:t xml:space="preserve"> </w:t>
      </w:r>
      <w:r>
        <w:t xml:space="preserve">niet bij naam vermeld. Controleer de actuele verboden lijst.</w:t>
      </w:r>
    </w:p>
    <w:bookmarkEnd w:id="2014"/>
    <w:bookmarkStart w:id="2018" w:name="lopende-studies-en-vooruitzichten-46"/>
    <w:p>
      <w:pPr>
        <w:pStyle w:val="Heading3"/>
      </w:pPr>
      <w:r>
        <w:t xml:space="preserve">Lopende studies en vooruitzichten</w:t>
      </w:r>
    </w:p>
    <w:p>
      <w:pPr>
        <w:pStyle w:val="FirstParagraph"/>
      </w:pPr>
      <w:r>
        <w:rPr>
          <w:bCs/>
          <w:b/>
        </w:rPr>
        <w:t xml:space="preserve">Zeker (geregistreerde studies):</w:t>
      </w:r>
    </w:p>
    <w:p>
      <w:pPr>
        <w:numPr>
          <w:ilvl w:val="0"/>
          <w:numId w:val="1256"/>
        </w:numPr>
        <w:pStyle w:val="Compact"/>
      </w:pPr>
      <w:r>
        <w:t xml:space="preserve">Een fase 2-studie met 108 personen test bremelanotide als aanvulling op tirzepatide bij obesitas</w:t>
      </w:r>
      <w:r>
        <w:rPr>
          <w:rStyle w:val="FootnoteReference"/>
        </w:rPr>
        <w:footnoteReference w:id="2015"/>
      </w:r>
      <w:r>
        <w:t xml:space="preserve">. De achtergrond is het eetlustremmende effect via MC4R. Gepubliceerde, peer-reviewed resultaten stonden bij het afsluiten van de redactie niet in PubMed.</w:t>
      </w:r>
    </w:p>
    <w:p>
      <w:pPr>
        <w:numPr>
          <w:ilvl w:val="0"/>
          <w:numId w:val="1256"/>
        </w:numPr>
        <w:pStyle w:val="Compact"/>
      </w:pPr>
      <w:r>
        <w:t xml:space="preserve">Een kleine open fase 2-studie met 16 personen bij diabetische nierziekte is afgerond</w:t>
      </w:r>
      <w:r>
        <w:rPr>
          <w:rStyle w:val="FootnoteReference"/>
        </w:rPr>
        <w:footnoteReference w:id="2016"/>
      </w:r>
      <w:r>
        <w:t xml:space="preserve">, eveneens zonder gepubliceerd resultaat in PubMed.</w:t>
      </w:r>
    </w:p>
    <w:p>
      <w:pPr>
        <w:numPr>
          <w:ilvl w:val="0"/>
          <w:numId w:val="1256"/>
        </w:numPr>
        <w:pStyle w:val="Compact"/>
      </w:pPr>
      <w:r>
        <w:t xml:space="preserve">De borstvoedingsstudie</w:t>
      </w:r>
      <w:r>
        <w:rPr>
          <w:rStyle w:val="FootnoteReference"/>
        </w:rPr>
        <w:footnoteReference w:id="2017"/>
      </w:r>
      <w:r>
        <w:t xml:space="preserve"> </w:t>
      </w:r>
      <w:r>
        <w:t xml:space="preserve">met 10 vrouwen werd in 2025 afgerond.</w:t>
      </w:r>
    </w:p>
    <w:p>
      <w:pPr>
        <w:pStyle w:val="FirstParagraph"/>
      </w:pPr>
      <w:r>
        <w:rPr>
          <w:bCs/>
          <w:b/>
        </w:rPr>
        <w:t xml:space="preserve">Inschatting van de auteur:</w:t>
      </w:r>
      <w:r>
        <w:t xml:space="preserve"> </w:t>
      </w:r>
      <w:r>
        <w:t xml:space="preserve">voor registratie in Europa ontbreekt naar de huidige stand de commerciële interesse; een aanvraag is niet bekend. Interessanter is de rol van MC4R in het obesitasonderzoek, waar met setmelanotide (hoofdstuk in Deel II · A) al een MC4R-agonist voor zeldzame genetische vormen is geregistreerd. Of bremelanotide hier een niche vindt, hangt af van de nog uitstaande studieresultaten.</w:t>
      </w:r>
    </w:p>
    <w:bookmarkEnd w:id="2018"/>
    <w:bookmarkStart w:id="2019" w:name="conclusie-46"/>
    <w:p>
      <w:pPr>
        <w:pStyle w:val="Heading3"/>
      </w:pPr>
      <w:r>
        <w:t xml:space="preserve">Conclusie</w:t>
      </w:r>
    </w:p>
    <w:p>
      <w:pPr>
        <w:pStyle w:val="FirstParagraph"/>
      </w:pPr>
      <w:r>
        <w:t xml:space="preserve">Bremelanotide is het enige geregistreerde geneesmiddel dat via het melanocortinesysteem in de hersenen op het seksueel verlangen gericht is – zij het alleen in de VS en alleen voor een nauw omschreven groep vrouwen. In twee grote fase 3-studies verbeterden verlangen en lijdensdruk statistisch eenduidig, maar in kleine mate en bij een groot placebo-effect. Misselijkheid treft bijna de helft van de gebruiksters en leidt vaak tot stoppen; kortstondige bloeddrukstijgingen vragen om voorzichtigheid bij cardiovasculaire risico’s. Producten van de grijze markt onder de naam „PT-141” zijn niet getest, en voor mannen of mensen zonder diagnose ontbreekt elk bewijs dat voor registratie zou volstaan.</w:t>
      </w:r>
    </w:p>
    <w:bookmarkEnd w:id="2019"/>
    <w:bookmarkEnd w:id="2020"/>
    <w:bookmarkStart w:id="2075" w:name="melanotan-ii"/>
    <w:p>
      <w:pPr>
        <w:pStyle w:val="Heading2"/>
      </w:pPr>
      <w:r>
        <w:t xml:space="preserve">Melanotan II</w:t>
      </w:r>
    </w:p>
    <w:bookmarkStart w:id="2023" w:name="profiel-47"/>
    <w:p>
      <w:pPr>
        <w:pStyle w:val="Heading3"/>
      </w:pPr>
      <w:r>
        <w:t xml:space="preserve">Profiel</w:t>
      </w:r>
    </w:p>
    <w:p>
      <w:pPr>
        <w:numPr>
          <w:ilvl w:val="0"/>
          <w:numId w:val="1257"/>
        </w:numPr>
        <w:pStyle w:val="Compact"/>
      </w:pPr>
      <w:r>
        <w:rPr>
          <w:bCs/>
          <w:b/>
        </w:rPr>
        <w:t xml:space="preserve">Soort/structuur:</w:t>
      </w:r>
      <w:r>
        <w:t xml:space="preserve"> </w:t>
      </w:r>
      <w:r>
        <w:t xml:space="preserve">ringvormig (cyclisch) peptide van zeven aminozuren, een ingekorte en chemisch gestabiliseerde variant van het lichaamseigen hormoon alfa-MSH. De ringstructuur beschermt tegen snelle afbraak en maakt het molecuul duidelijk werkzamer dan het natuurlijke voorbeeld</w:t>
      </w:r>
      <w:r>
        <w:rPr>
          <w:rStyle w:val="FootnoteReference"/>
        </w:rPr>
        <w:footnoteReference w:id="2021"/>
      </w:r>
      <w:r>
        <w:t xml:space="preserve">.</w:t>
      </w:r>
    </w:p>
    <w:p>
      <w:pPr>
        <w:numPr>
          <w:ilvl w:val="0"/>
          <w:numId w:val="1257"/>
        </w:numPr>
        <w:pStyle w:val="Compact"/>
      </w:pPr>
      <w:r>
        <w:rPr>
          <w:bCs/>
          <w:b/>
        </w:rPr>
        <w:t xml:space="preserve">Herkomst:</w:t>
      </w:r>
      <w:r>
        <w:t xml:space="preserve"> </w:t>
      </w:r>
      <w:r>
        <w:t xml:space="preserve">eind jaren 1980 en begin jaren 1990 ontwikkeld aan de Universiteit van Arizona in Tucson, oorspronkelijk met als doel bruining zonder zon op te wekken en zo huidkanker te voorkomen</w:t>
      </w:r>
      <w:r>
        <w:rPr>
          <w:rStyle w:val="FootnoteReference"/>
        </w:rPr>
        <w:footnoteReference w:id="2022"/>
      </w:r>
      <w:r>
        <w:t xml:space="preserve">.</w:t>
      </w:r>
    </w:p>
    <w:p>
      <w:pPr>
        <w:numPr>
          <w:ilvl w:val="0"/>
          <w:numId w:val="1257"/>
        </w:numPr>
        <w:pStyle w:val="Compact"/>
      </w:pPr>
      <w:r>
        <w:rPr>
          <w:bCs/>
          <w:b/>
        </w:rPr>
        <w:t xml:space="preserve">Werkingsprincipe:</w:t>
      </w:r>
      <w:r>
        <w:t xml:space="preserve"> </w:t>
      </w:r>
      <w:r>
        <w:t xml:space="preserve">niet-selectieve agonist van melanocortinereceptoren: MC1R (pigmentvorming in de huid), MC3R en MC4R (eetlust, seksuele functie) en andere.</w:t>
      </w:r>
    </w:p>
    <w:p>
      <w:pPr>
        <w:numPr>
          <w:ilvl w:val="0"/>
          <w:numId w:val="1257"/>
        </w:numPr>
        <w:pStyle w:val="Compact"/>
      </w:pPr>
      <w:r>
        <w:rPr>
          <w:bCs/>
          <w:b/>
        </w:rPr>
        <w:t xml:space="preserve">Registratie EU:</w:t>
      </w:r>
      <w:r>
        <w:t xml:space="preserve"> </w:t>
      </w:r>
      <w:r>
        <w:t xml:space="preserve">nee.</w:t>
      </w:r>
    </w:p>
    <w:p>
      <w:pPr>
        <w:numPr>
          <w:ilvl w:val="0"/>
          <w:numId w:val="1257"/>
        </w:numPr>
        <w:pStyle w:val="Compact"/>
      </w:pPr>
      <w:r>
        <w:rPr>
          <w:bCs/>
          <w:b/>
        </w:rPr>
        <w:t xml:space="preserve">Registratie VS:</w:t>
      </w:r>
      <w:r>
        <w:t xml:space="preserve"> </w:t>
      </w:r>
      <w:r>
        <w:t xml:space="preserve">nee.</w:t>
      </w:r>
    </w:p>
    <w:p>
      <w:pPr>
        <w:numPr>
          <w:ilvl w:val="0"/>
          <w:numId w:val="1257"/>
        </w:numPr>
        <w:pStyle w:val="Compact"/>
      </w:pPr>
      <w:r>
        <w:rPr>
          <w:bCs/>
          <w:b/>
        </w:rPr>
        <w:t xml:space="preserve">WADA:</w:t>
      </w:r>
      <w:r>
        <w:t xml:space="preserve"> </w:t>
      </w:r>
      <w:r>
        <w:t xml:space="preserve">niet bij naam genoemd; als nergens geregistreerde werkzame stof valt het onder groep S0 (niet-goedgekeurde substanties) en is het daarmee altijd verboden.</w:t>
      </w:r>
    </w:p>
    <w:p>
      <w:pPr>
        <w:numPr>
          <w:ilvl w:val="0"/>
          <w:numId w:val="1257"/>
        </w:numPr>
        <w:pStyle w:val="Compact"/>
      </w:pPr>
      <w:r>
        <w:rPr>
          <w:bCs/>
          <w:b/>
        </w:rPr>
        <w:t xml:space="preserve">Bewijsniveau:</w:t>
      </w:r>
      <w:r>
        <w:t xml:space="preserve"> </w:t>
      </w:r>
      <w:r>
        <w:rPr>
          <w:bCs/>
          <w:b/>
        </w:rPr>
        <w:t xml:space="preserve">C</w:t>
      </w:r>
      <w:r>
        <w:t xml:space="preserve"> </w:t>
      </w:r>
      <w:r>
        <w:t xml:space="preserve">– alleen zeer kleine pilotstudies uit de jaren 1990 met in totaal ongeveer twee dozijn deelnemers, aangevuld met talrijke casusbeschrijvingen over bijwerkingen bij ongecontroleerd eigen gebruik.</w:t>
      </w:r>
    </w:p>
    <w:bookmarkEnd w:id="2023"/>
    <w:bookmarkStart w:id="2025" w:name="hoe-het-zou-moeten-werken-47"/>
    <w:p>
      <w:pPr>
        <w:pStyle w:val="Heading3"/>
      </w:pPr>
      <w:r>
        <w:t xml:space="preserve">Hoe het zou moeten werken</w:t>
      </w:r>
    </w:p>
    <w:p>
      <w:pPr>
        <w:pStyle w:val="FirstParagraph"/>
      </w:pPr>
      <w:r>
        <w:t xml:space="preserve">De huid wordt bruin wanneer pigmentcellen (melanocyten) meer melanine aanmaken. Het signaal daarvoor komt onder meer van het hormoon alfa-MSH, dat bindt aan de receptor MC1R op de pigmentcellen. Na zonnebaden stijgt de aanmaak van alfa-MSH in de huid en schakelen de pigmentcellen over op het donkere, beschermende eumelanine.</w:t>
      </w:r>
    </w:p>
    <w:p>
      <w:pPr>
        <w:pStyle w:val="BodyText"/>
      </w:pPr>
      <w:r>
        <w:t xml:space="preserve">Melanotan II bootst dit signaal na – zonder dat uv-straling eerst de huid hoeft te beschadigen. Dat was het oorspronkelijke idee: een „bruine kleur uit de spuit” die tegen zonnebrand beschermt. Het probleem: melanotan II bindt niet alleen aan MC1R, maar ook aan de receptoren MC3R en MC4R in de hersenen. Die sturen eetlust, energieverbruik en seksuele opwinding aan. Daar komen de typische bijkomende effecten vandaan: misselijkheid, gapen en strekken, verminderde eetlust en spontane erecties.</w:t>
      </w:r>
    </w:p>
    <w:p>
      <w:pPr>
        <w:pStyle w:val="BodyText"/>
      </w:pPr>
      <w:r>
        <w:t xml:space="preserve">Uit het onderzoek naar deze „bijwerking” kwamen twee andere werkzame stoffen voort die, in tegenstelling tot melanotan II, klinisch verder werden ontwikkeld:</w:t>
      </w:r>
    </w:p>
    <w:p>
      <w:pPr>
        <w:numPr>
          <w:ilvl w:val="0"/>
          <w:numId w:val="1258"/>
        </w:numPr>
        <w:pStyle w:val="Compact"/>
      </w:pPr>
      <w:r>
        <w:rPr>
          <w:bCs/>
          <w:b/>
        </w:rPr>
        <w:t xml:space="preserve">Afamelanotide</w:t>
      </w:r>
      <w:r>
        <w:t xml:space="preserve">, vroeger melanotan I genoemd, is een lineair, langer molecuul dat bij voorkeur op de huid werkt en als implantaat is geregistreerd voor een zeldzame lichtziekte (hoofdstuk 2E03).</w:t>
      </w:r>
    </w:p>
    <w:p>
      <w:pPr>
        <w:numPr>
          <w:ilvl w:val="0"/>
          <w:numId w:val="1258"/>
        </w:numPr>
        <w:pStyle w:val="Compact"/>
      </w:pPr>
      <w:r>
        <w:rPr>
          <w:bCs/>
          <w:b/>
        </w:rPr>
        <w:t xml:space="preserve">Bremelanotide</w:t>
      </w:r>
      <w:r>
        <w:t xml:space="preserve"> </w:t>
      </w:r>
      <w:r>
        <w:t xml:space="preserve">(PT-141) is een licht gewijzigde vorm van melanotan II, die in de VS is geregistreerd voor de behandeling van gering seksueel verlangen bij vrouwen (hoofdstuk 2E01).</w:t>
      </w:r>
    </w:p>
    <w:p>
      <w:pPr>
        <w:pStyle w:val="FirstParagraph"/>
      </w:pPr>
      <w:r>
        <w:t xml:space="preserve">Op internet worden deze namen vaak door elkaar gebruikt. „Melanotan” zonder toevoeging kan afhankelijk van de aanbieder het ene of het andere betekenen – of iets heel anders</w:t>
      </w:r>
      <w:r>
        <w:rPr>
          <w:rStyle w:val="FootnoteReference"/>
        </w:rPr>
        <w:footnoteReference w:id="2024"/>
      </w:r>
      <w:r>
        <w:t xml:space="preserve">.</w:t>
      </w:r>
    </w:p>
    <w:bookmarkEnd w:id="2025"/>
    <w:bookmarkStart w:id="2039" w:name="studies-bij-mensen-4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8</w:t>
      </w:r>
      <w:r>
        <w:t xml:space="preserve"> </w:t>
      </w:r>
      <w:r>
        <w:t xml:space="preserve">studies bij mensen in PubMed (</w:t>
      </w:r>
      <w:r>
        <w:rPr>
          <w:rStyle w:val="VerbatimChar"/>
        </w:rPr>
        <w:t xml:space="preserve">humanstudien_alle</w:t>
      </w:r>
      <w:r>
        <w:t xml:space="preserve">) en één enkele registratie bij ClinicalTrials.gov, die bij controle niet betrouwbaar bleek (zie vooruitzichten) – er zijn dus</w:t>
      </w:r>
      <w:r>
        <w:t xml:space="preserve"> </w:t>
      </w:r>
      <w:r>
        <w:rPr>
          <w:bCs/>
          <w:b/>
        </w:rPr>
        <w:t xml:space="preserve">0</w:t>
      </w:r>
      <w:r>
        <w:t xml:space="preserve"> </w:t>
      </w:r>
      <w:r>
        <w:t xml:space="preserve">betrouwbare geregistreerde studies. Ook het PubMed-getal misleidt: vier van de acht studies onderzochten melanotan I, dus het latere afamelanotide, en niet melanotan II. Over melanotan II zelf bestaan slechts drie kleine oorspronkelijke studies en een samenvatting van dezelfde onderzoeksgroep. Veel uitgebreider is de literatuur over bijwerkingen: casusbeschrijvingen, casusreeksen, analyses van internetfora en laboratoriumonderzoek van producten van de grijze markt.</w:t>
      </w:r>
    </w:p>
    <w:bookmarkStart w:id="2029" w:name="de-klinische-studies-uit-de-jaren-1990"/>
    <w:p>
      <w:pPr>
        <w:pStyle w:val="Heading4"/>
      </w:pPr>
      <w:r>
        <w:t xml:space="preserve">De klinische studies uit de jaren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Dorr 1996, PMID 8637402</w:t>
            </w:r>
          </w:p>
        </w:tc>
        <w:tc>
          <w:tcPr/>
          <w:p>
            <w:pPr>
              <w:pStyle w:val="Compact"/>
              <w:jc w:val="left"/>
            </w:pPr>
            <w:r>
              <w:t xml:space="preserve">3 gezonde mannen, enkelblind, afwisselend werkzame stof en zoutoplossing</w:t>
            </w:r>
          </w:p>
        </w:tc>
        <w:tc>
          <w:tcPr/>
          <w:p>
            <w:pPr>
              <w:pStyle w:val="Compact"/>
              <w:jc w:val="left"/>
            </w:pPr>
            <w:r>
              <w:t xml:space="preserve">2 weken</w:t>
            </w:r>
          </w:p>
        </w:tc>
        <w:tc>
          <w:tcPr/>
          <w:p>
            <w:pPr>
              <w:pStyle w:val="Compact"/>
              <w:jc w:val="left"/>
            </w:pPr>
            <w:r>
              <w:t xml:space="preserve">Bruining van gezicht, bovenlichaam en billen bij 2 van 3; spontane erecties; misselijkheid, vermoeidheid</w:t>
            </w:r>
          </w:p>
        </w:tc>
      </w:tr>
      <w:tr>
        <w:tc>
          <w:tcPr/>
          <w:p>
            <w:pPr>
              <w:pStyle w:val="Compact"/>
              <w:jc w:val="left"/>
            </w:pPr>
            <w:r>
              <w:t xml:space="preserve">Wessells 1998, PMID 9679884</w:t>
            </w:r>
          </w:p>
        </w:tc>
        <w:tc>
          <w:tcPr/>
          <w:p>
            <w:pPr>
              <w:pStyle w:val="Compact"/>
              <w:jc w:val="left"/>
            </w:pPr>
            <w:r>
              <w:t xml:space="preserve">10 mannen met psychisch bepaalde erectiestoornis, dubbelblinde cross-overstudie tegen placebo</w:t>
            </w:r>
          </w:p>
        </w:tc>
        <w:tc>
          <w:tcPr/>
          <w:p>
            <w:pPr>
              <w:pStyle w:val="Compact"/>
              <w:jc w:val="left"/>
            </w:pPr>
            <w:r>
              <w:t xml:space="preserve">Eenmalige doses</w:t>
            </w:r>
          </w:p>
        </w:tc>
        <w:tc>
          <w:tcPr/>
          <w:p>
            <w:pPr>
              <w:pStyle w:val="Compact"/>
              <w:jc w:val="left"/>
            </w:pPr>
            <w:r>
              <w:t xml:space="preserve">Erecties bij 8 van 10; duur van hoge stijfheid 38,0 vs. 3,0 minuten</w:t>
            </w:r>
          </w:p>
        </w:tc>
      </w:tr>
      <w:tr>
        <w:tc>
          <w:tcPr/>
          <w:p>
            <w:pPr>
              <w:pStyle w:val="Compact"/>
              <w:jc w:val="left"/>
            </w:pPr>
            <w:r>
              <w:t xml:space="preserve">Wessells 2000, PMID 11018622</w:t>
            </w:r>
          </w:p>
        </w:tc>
        <w:tc>
          <w:tcPr/>
          <w:p>
            <w:pPr>
              <w:pStyle w:val="Compact"/>
              <w:jc w:val="left"/>
            </w:pPr>
            <w:r>
              <w:t xml:space="preserve">10 mannen met organisch bepaalde erectiestoornis, dubbelblinde cross-overstudie</w:t>
            </w:r>
          </w:p>
        </w:tc>
        <w:tc>
          <w:tcPr/>
          <w:p>
            <w:pPr>
              <w:pStyle w:val="Compact"/>
              <w:jc w:val="left"/>
            </w:pPr>
            <w:r>
              <w:t xml:space="preserve">Eenmalige doses</w:t>
            </w:r>
          </w:p>
        </w:tc>
        <w:tc>
          <w:tcPr/>
          <w:p>
            <w:pPr>
              <w:pStyle w:val="Compact"/>
              <w:jc w:val="left"/>
            </w:pPr>
            <w:r>
              <w:t xml:space="preserve">Erecties na 12 van 19 injecties vs. 1 van 21 placebodoses; 4 van 19 injecties met sterke misselijkheid</w:t>
            </w:r>
          </w:p>
        </w:tc>
      </w:tr>
      <w:tr>
        <w:tc>
          <w:tcPr/>
          <w:p>
            <w:pPr>
              <w:pStyle w:val="Compact"/>
              <w:jc w:val="left"/>
            </w:pPr>
            <w:r>
              <w:t xml:space="preserve">Wessells 2000 (samenvatting), PMID 11035391</w:t>
            </w:r>
          </w:p>
        </w:tc>
        <w:tc>
          <w:tcPr/>
          <w:p>
            <w:pPr>
              <w:pStyle w:val="Compact"/>
              <w:jc w:val="left"/>
            </w:pPr>
            <w:r>
              <w:t xml:space="preserve">beide studies samen, 20 mannen</w:t>
            </w:r>
          </w:p>
        </w:tc>
        <w:tc>
          <w:tcPr/>
          <w:p>
            <w:pPr>
              <w:pStyle w:val="Compact"/>
              <w:jc w:val="left"/>
            </w:pPr>
            <w:r>
              <w:t xml:space="preserve">Eenmalige doses</w:t>
            </w:r>
          </w:p>
        </w:tc>
        <w:tc>
          <w:tcPr/>
          <w:p>
            <w:pPr>
              <w:pStyle w:val="Compact"/>
              <w:jc w:val="left"/>
            </w:pPr>
            <w:r>
              <w:t xml:space="preserve">Erecties zonder seksuele prikkels bij 17 van 20; meer verlangen na 68% vs. 19% van de doses</w:t>
            </w:r>
          </w:p>
        </w:tc>
      </w:tr>
    </w:tbl>
    <w:p>
      <w:pPr>
        <w:pStyle w:val="BodyText"/>
      </w:pPr>
      <w:r>
        <w:t xml:space="preserve">De eerste studie bij mensen</w:t>
      </w:r>
      <w:r>
        <w:rPr>
          <w:rStyle w:val="FootnoteReference"/>
        </w:rPr>
        <w:footnoteReference w:id="2026"/>
      </w:r>
      <w:r>
        <w:t xml:space="preserve"> </w:t>
      </w:r>
      <w:r>
        <w:t xml:space="preserve">was een pilotstudie met slechts drie mannen. Al hier verschenen alle effecten die gebruikers later op internet beschrijven: twee van de drie mannen werden zichtbaar bruin, lichte misselijkheid trad op bij de meeste dosisniveaus, één kreeg sterkere vermoeidheid. Een „strek- en gaapcomplex” ging gepaard met spontane erecties, die afhankelijk van de dosis één tot vijf uur lang telkens terugkwamen.</w:t>
      </w:r>
    </w:p>
    <w:p>
      <w:pPr>
        <w:pStyle w:val="BodyText"/>
      </w:pPr>
      <w:r>
        <w:t xml:space="preserve">De onderzoeksgroep rond de uroloog Hunter Wessells volgde daarna het erectie-effect. In twee kleine cross-overstudies (elke deelnemer kreeg in willekeurige volgorde werkzame stof en placebo) wekte melanotan II bij de meerderheid van de mannen met een erectiestoornis erecties op, ook zonder seksuele prikkels</w:t>
      </w:r>
      <w:r>
        <w:rPr>
          <w:rStyle w:val="FootnoteReference"/>
        </w:rPr>
        <w:footnoteReference w:id="2027"/>
      </w:r>
      <w:r>
        <w:t xml:space="preserve">. In de samenvatting van beide studies meldden de mannen na 68% van de melanotandoses een verhoogd verlangen, na placebo bij 19%. Bij 12,9% trad sterke misselijkheid op</w:t>
      </w:r>
      <w:r>
        <w:rPr>
          <w:rStyle w:val="FootnoteReference"/>
        </w:rPr>
        <w:footnoteReference w:id="2028"/>
      </w:r>
      <w:r>
        <w:t xml:space="preserve">.</w:t>
      </w:r>
    </w:p>
    <w:p>
      <w:pPr>
        <w:pStyle w:val="BodyText"/>
      </w:pPr>
      <w:r>
        <w:t xml:space="preserve">Daarna eindigde het klinisch onderzoek naar melanotan II. De ontwikkeling stapte over op bremelanotide, dat als neusspray en later als injectie werd getest. Over bruining van de huid bij gezonde mensen bestaat geen enkele gecontroleerde studie met melanotan II.</w:t>
      </w:r>
    </w:p>
    <w:bookmarkEnd w:id="2029"/>
    <w:bookmarkStart w:id="2032" w:name="de-studies-over-melanotan-i"/>
    <w:p>
      <w:pPr>
        <w:pStyle w:val="Heading4"/>
      </w:pPr>
      <w:r>
        <w:t xml:space="preserve">De studies over melanotan I</w:t>
      </w:r>
    </w:p>
    <w:p>
      <w:pPr>
        <w:pStyle w:val="FirstParagraph"/>
      </w:pPr>
      <w:r>
        <w:t xml:space="preserve">Ter plaatsing: de overige studies uit de databasezoekopdracht betreffen melanotan I. Daarin vormden vrijwilligers na injecties meer eumelanine, in de huid van de onderarm bijna twee keer zoveel als daarvoor</w:t>
      </w:r>
      <w:r>
        <w:rPr>
          <w:rStyle w:val="FootnoteReference"/>
        </w:rPr>
        <w:footnoteReference w:id="2030"/>
      </w:r>
      <w:r>
        <w:t xml:space="preserve">. In combinatie met zonlicht werd de bruine kleur sterker en hield ze langer aan</w:t>
      </w:r>
      <w:r>
        <w:rPr>
          <w:rStyle w:val="FootnoteReference"/>
        </w:rPr>
        <w:footnoteReference w:id="2031"/>
      </w:r>
      <w:r>
        <w:t xml:space="preserve">. Deze resultaten horen bij de geschiedenis van afamelanotide en kunnen niet worden overgedragen op melanotan II, dat sterker in de hersenen werkt.</w:t>
      </w:r>
    </w:p>
    <w:bookmarkEnd w:id="2032"/>
    <w:bookmarkStart w:id="2038" w:name="wie-melanotan-ii-gebruikt"/>
    <w:p>
      <w:pPr>
        <w:pStyle w:val="Heading4"/>
      </w:pPr>
      <w:r>
        <w:t xml:space="preserve">Wie melanotan II gebruikt</w:t>
      </w:r>
    </w:p>
    <w:p>
      <w:pPr>
        <w:pStyle w:val="FirstParagraph"/>
      </w:pPr>
      <w:r>
        <w:t xml:space="preserve">Omdat melanotan II nooit is geregistreerd, komt bijna alle kennis over het huidige gebruik uit waarnemingen buiten studies. Al in 2009 beschreven Britse deskundigen in het British Medical Journal de verspreiding van melanotan I en II onder de algemene bevolking</w:t>
      </w:r>
      <w:r>
        <w:rPr>
          <w:rStyle w:val="FootnoteReference"/>
        </w:rPr>
        <w:footnoteReference w:id="2033"/>
      </w:r>
      <w:r>
        <w:t xml:space="preserve">. Een systematisch overzicht rekende melanotan tot de vaak geïnjecteerde middelen voor lichaams- en prestatieoptimalisatie, naast anabole steroïden en groeihormoon</w:t>
      </w:r>
      <w:r>
        <w:rPr>
          <w:rStyle w:val="FootnoteReference"/>
        </w:rPr>
        <w:footnoteReference w:id="2034"/>
      </w:r>
      <w:r>
        <w:t xml:space="preserve">.</w:t>
      </w:r>
    </w:p>
    <w:p>
      <w:pPr>
        <w:pStyle w:val="BodyText"/>
      </w:pPr>
      <w:r>
        <w:t xml:space="preserve">Een analyse van Britse en Ierse internetfora uit 2016 en 2017 beoordeelde 623 berichten van 205 personen</w:t>
      </w:r>
      <w:r>
        <w:rPr>
          <w:rStyle w:val="FootnoteReference"/>
        </w:rPr>
        <w:footnoteReference w:id="2035"/>
      </w:r>
      <w:r>
        <w:t xml:space="preserve">. Als motieven noemden de gebruikers vooral een gebruinde teint vóór vakanties en vóór bodybuildingwedstrijden. De fora lieten desinformatie zien, zelf bedachte doseringsschema’s, de combinatie met zonnebanken en andere riskante praktijken. Een online-enquête onder gebruikers beschrijft hoe gemakkelijk de stof te verkrijgen was</w:t>
      </w:r>
      <w:r>
        <w:rPr>
          <w:rStyle w:val="FootnoteReference"/>
        </w:rPr>
        <w:footnoteReference w:id="2036"/>
      </w:r>
      <w:r>
        <w:t xml:space="preserve">.</w:t>
      </w:r>
    </w:p>
    <w:p>
      <w:pPr>
        <w:pStyle w:val="BodyText"/>
      </w:pPr>
      <w:r>
        <w:t xml:space="preserve">In de afgelopen jaren is de reclame steeds meer verschoven naar sociale media zoals TikTok, waar melanotan als „Barbie Drug” wordt aangeprezen. Meerdere dermatologische vaktijdschriften hebben zulke inhoud geanalyseerd en waarschuwen tegen het bagatelliseren ervan</w:t>
      </w:r>
      <w:r>
        <w:rPr>
          <w:rStyle w:val="FootnoteReference"/>
        </w:rPr>
        <w:footnoteReference w:id="2037"/>
      </w:r>
      <w:r>
        <w:t xml:space="preserve">.</w:t>
      </w:r>
    </w:p>
    <w:bookmarkEnd w:id="2038"/>
    <w:bookmarkEnd w:id="2039"/>
    <w:bookmarkStart w:id="2043" w:name="dier--en-laboratoriumstudies-47"/>
    <w:p>
      <w:pPr>
        <w:pStyle w:val="Heading3"/>
      </w:pPr>
      <w:r>
        <w:t xml:space="preserve">Dier- en laboratoriumstudies</w:t>
      </w:r>
    </w:p>
    <w:p>
      <w:pPr>
        <w:pStyle w:val="FirstParagraph"/>
      </w:pPr>
      <w:r>
        <w:t xml:space="preserve">Melanotan II is in het fundamenteel onderzoek een standaardinstrument om melanocortinereceptoren te activeren. Dierproeven zijn daarom talrijk, maar beantwoorden meestal vragen uit het hersenonderzoek en gaan niet over de veiligheid bij mensen:</w:t>
      </w:r>
    </w:p>
    <w:p>
      <w:pPr>
        <w:numPr>
          <w:ilvl w:val="0"/>
          <w:numId w:val="1259"/>
        </w:numPr>
        <w:pStyle w:val="Compact"/>
      </w:pPr>
      <w:r>
        <w:rPr>
          <w:bCs/>
          <w:b/>
        </w:rPr>
        <w:t xml:space="preserve">Gewicht en vet:</w:t>
      </w:r>
      <w:r>
        <w:t xml:space="preserve"> </w:t>
      </w:r>
      <w:r>
        <w:t xml:space="preserve">bij muizen en ratten met overgewicht op een vetrijk dieet verlaagde melanotan II het gewicht en de vetmassa, vooral via een lagere voedselinname</w:t>
      </w:r>
      <w:r>
        <w:rPr>
          <w:rStyle w:val="FootnoteReference"/>
        </w:rPr>
        <w:footnoteReference w:id="2040"/>
      </w:r>
      <w:r>
        <w:t xml:space="preserve">.</w:t>
      </w:r>
    </w:p>
    <w:p>
      <w:pPr>
        <w:numPr>
          <w:ilvl w:val="0"/>
          <w:numId w:val="1259"/>
        </w:numPr>
        <w:pStyle w:val="Compact"/>
      </w:pPr>
      <w:r>
        <w:rPr>
          <w:bCs/>
          <w:b/>
        </w:rPr>
        <w:t xml:space="preserve">Lichaamstemperatuur:</w:t>
      </w:r>
      <w:r>
        <w:t xml:space="preserve"> </w:t>
      </w:r>
      <w:r>
        <w:t xml:space="preserve">bij muizen veroorzaakte het een tijdelijke sterke onderkoeling, gemedieerd door mestcellen en histamine</w:t>
      </w:r>
      <w:r>
        <w:rPr>
          <w:rStyle w:val="FootnoteReference"/>
        </w:rPr>
        <w:footnoteReference w:id="2041"/>
      </w:r>
      <w:r>
        <w:t xml:space="preserve">.</w:t>
      </w:r>
    </w:p>
    <w:p>
      <w:pPr>
        <w:numPr>
          <w:ilvl w:val="0"/>
          <w:numId w:val="1259"/>
        </w:numPr>
        <w:pStyle w:val="Compact"/>
      </w:pPr>
      <w:r>
        <w:rPr>
          <w:bCs/>
          <w:b/>
        </w:rPr>
        <w:t xml:space="preserve">Sociaal gedrag:</w:t>
      </w:r>
      <w:r>
        <w:t xml:space="preserve"> </w:t>
      </w:r>
      <w:r>
        <w:t xml:space="preserve">in een muismodel voor autisme verbeterde een toediening van een week de maten voor sociaal gedrag</w:t>
      </w:r>
      <w:r>
        <w:rPr>
          <w:rStyle w:val="FootnoteReference"/>
        </w:rPr>
        <w:footnoteReference w:id="2042"/>
      </w:r>
      <w:r>
        <w:t xml:space="preserve">. De vermoede route loopt via een activering van het oxytocinesysteem (hoofdstuk 2E05).</w:t>
      </w:r>
    </w:p>
    <w:p>
      <w:pPr>
        <w:pStyle w:val="FirstParagraph"/>
      </w:pPr>
      <w:r>
        <w:t xml:space="preserve">Geen van deze resultaten is bij mensen bevestigd.</w:t>
      </w:r>
    </w:p>
    <w:bookmarkEnd w:id="2043"/>
    <w:bookmarkStart w:id="2069" w:name="risicos-en-bijwerkingen-47"/>
    <w:p>
      <w:pPr>
        <w:pStyle w:val="Heading3"/>
      </w:pPr>
      <w:r>
        <w:t xml:space="preserve">Risico’s en bijwerkingen</w:t>
      </w:r>
    </w:p>
    <w:p>
      <w:pPr>
        <w:pStyle w:val="FirstParagraph"/>
      </w:pPr>
      <w:r>
        <w:t xml:space="preserve">De risico’s van melanotan II zijn in drie groepen in te delen: de te verwachten effecten via de melanocortinereceptoren, de huidveranderingen met de open vraag naar huidkanker, en ernstige afzonderlijke gevallen.</w:t>
      </w:r>
    </w:p>
    <w:bookmarkStart w:id="2048" w:name="te-verwachten-effecten"/>
    <w:p>
      <w:pPr>
        <w:pStyle w:val="Heading4"/>
      </w:pPr>
      <w:r>
        <w:t xml:space="preserve">Te verwachten effecten</w:t>
      </w:r>
    </w:p>
    <w:p>
      <w:pPr>
        <w:pStyle w:val="FirstParagraph"/>
      </w:pPr>
      <w:r>
        <w:t xml:space="preserve">Misselijkheid, roodheid van het gezicht, gapen en strekken, verlies van eetlust, vermoeidheid en spontane erecties traden al in de studies op</w:t>
      </w:r>
      <w:r>
        <w:rPr>
          <w:rStyle w:val="FootnoteReference"/>
        </w:rPr>
        <w:footnoteReference w:id="2044"/>
      </w:r>
      <w:r>
        <w:t xml:space="preserve">. De pigmentatie betreft niet alleen de huid: casusbeschrijvingen beschrijven dwarslopende donkere strepen in de vingernagels</w:t>
      </w:r>
      <w:r>
        <w:rPr>
          <w:rStyle w:val="FootnoteReference"/>
        </w:rPr>
        <w:footnoteReference w:id="2045"/>
      </w:r>
      <w:r>
        <w:t xml:space="preserve"> </w:t>
      </w:r>
      <w:r>
        <w:t xml:space="preserve">en pigmentveranderingen van het mondslijmvlies</w:t>
      </w:r>
      <w:r>
        <w:rPr>
          <w:rStyle w:val="FootnoteReference"/>
        </w:rPr>
        <w:footnoteReference w:id="2046"/>
      </w:r>
      <w:r>
        <w:t xml:space="preserve">. Paradoxaal genoeg zijn ook lichte, ontkleurde vlekken beschreven</w:t>
      </w:r>
      <w:r>
        <w:rPr>
          <w:rStyle w:val="FootnoteReference"/>
        </w:rPr>
        <w:footnoteReference w:id="2047"/>
      </w:r>
      <w:r>
        <w:t xml:space="preserve">.</w:t>
      </w:r>
    </w:p>
    <w:bookmarkEnd w:id="2048"/>
    <w:bookmarkStart w:id="2056" w:name="moedervlekken-en-melanoom"/>
    <w:p>
      <w:pPr>
        <w:pStyle w:val="Heading4"/>
      </w:pPr>
      <w:r>
        <w:t xml:space="preserve">Moedervlekken en melanoom</w:t>
      </w:r>
    </w:p>
    <w:p>
      <w:pPr>
        <w:pStyle w:val="FirstParagraph"/>
      </w:pPr>
      <w:r>
        <w:t xml:space="preserve">Dit is de zorg die dermatologen het meest bezighoudt. Melanotan II stimuleert alle pigmentcellen, ook die in bestaande moedervlekken (naevi). Meerdere casusbeschrijvingen beschrijven:</w:t>
      </w:r>
    </w:p>
    <w:p>
      <w:pPr>
        <w:numPr>
          <w:ilvl w:val="0"/>
          <w:numId w:val="1260"/>
        </w:numPr>
        <w:pStyle w:val="Compact"/>
      </w:pPr>
      <w:r>
        <w:rPr>
          <w:bCs/>
          <w:b/>
        </w:rPr>
        <w:t xml:space="preserve">nieuw ontstane moedervlekken in groten getale</w:t>
      </w:r>
      <w:r>
        <w:t xml:space="preserve"> </w:t>
      </w:r>
      <w:r>
        <w:t xml:space="preserve">(eruptieve naevi) na melanotaninjecties</w:t>
      </w:r>
      <w:r>
        <w:rPr>
          <w:rStyle w:val="FootnoteReference"/>
        </w:rPr>
        <w:footnoteReference w:id="2049"/>
      </w:r>
      <w:r>
        <w:t xml:space="preserve">, deels met een opvallend, atypisch uiterlijk</w:t>
      </w:r>
      <w:r>
        <w:rPr>
          <w:rStyle w:val="FootnoteReference"/>
        </w:rPr>
        <w:footnoteReference w:id="2050"/>
      </w:r>
      <w:r>
        <w:t xml:space="preserve">;</w:t>
      </w:r>
    </w:p>
    <w:p>
      <w:pPr>
        <w:numPr>
          <w:ilvl w:val="0"/>
          <w:numId w:val="1260"/>
        </w:numPr>
        <w:pStyle w:val="Compact"/>
      </w:pPr>
      <w:r>
        <w:rPr>
          <w:bCs/>
          <w:b/>
        </w:rPr>
        <w:t xml:space="preserve">donkerder wordende en veranderende bestaande moedervlekken</w:t>
      </w:r>
      <w:r>
        <w:t xml:space="preserve">;</w:t>
      </w:r>
    </w:p>
    <w:p>
      <w:pPr>
        <w:numPr>
          <w:ilvl w:val="0"/>
          <w:numId w:val="1260"/>
        </w:numPr>
        <w:pStyle w:val="Compact"/>
      </w:pPr>
      <w:r>
        <w:rPr>
          <w:bCs/>
          <w:b/>
        </w:rPr>
        <w:t xml:space="preserve">melanomen</w:t>
      </w:r>
      <w:r>
        <w:t xml:space="preserve">, dus zwarte huidkanker, tijdens of kort na het gebruik</w:t>
      </w:r>
      <w:r>
        <w:rPr>
          <w:rStyle w:val="FootnoteReference"/>
        </w:rPr>
        <w:footnoteReference w:id="2051"/>
      </w:r>
      <w:r>
        <w:t xml:space="preserve">. Een 20-jarige vrouw met een lichte huid ontwikkelde drie maanden na een zelfbehandeling van drie tot vier weken, gecombineerd met zonnebankbezoeken, een melanoom op de bil</w:t>
      </w:r>
      <w:r>
        <w:rPr>
          <w:rStyle w:val="FootnoteReference"/>
        </w:rPr>
        <w:footnoteReference w:id="2052"/>
      </w:r>
      <w:r>
        <w:t xml:space="preserve">. Een in 2025 gepubliceerd geval beschrijft een melanoom van het mondslijmvlies bij een 22-jarige die een melanotan II-neusspray had gebruikt</w:t>
      </w:r>
      <w:r>
        <w:rPr>
          <w:rStyle w:val="FootnoteReference"/>
        </w:rPr>
        <w:footnoteReference w:id="2053"/>
      </w:r>
      <w:r>
        <w:t xml:space="preserve">.</w:t>
      </w:r>
    </w:p>
    <w:p>
      <w:pPr>
        <w:pStyle w:val="FirstParagraph"/>
      </w:pPr>
      <w:r>
        <w:t xml:space="preserve">Een overzicht van alle gepubliceerde gevallen van plotseling ontstane moedervlekken (179 personen) vond onder de uitlokkende factoren naast immunosuppressie en chemotherapie ook melanotan; 16% van de gevallen had ten minste één dysplastische, dus opvallend veranderde moedervlek</w:t>
      </w:r>
      <w:r>
        <w:rPr>
          <w:rStyle w:val="FootnoteReference"/>
        </w:rPr>
        <w:footnoteReference w:id="2054"/>
      </w:r>
      <w:r>
        <w:t xml:space="preserve">.</w:t>
      </w:r>
    </w:p>
    <w:p>
      <w:pPr>
        <w:pStyle w:val="BodyText"/>
      </w:pPr>
      <w:r>
        <w:rPr>
          <w:bCs/>
          <w:b/>
        </w:rPr>
        <w:t xml:space="preserve">Wat deze gegevens betekenen:</w:t>
      </w:r>
      <w:r>
        <w:t xml:space="preserve"> </w:t>
      </w:r>
      <w:r>
        <w:t xml:space="preserve">casusbeschrijvingen bewijzen geen oorzakelijk verband. Veel betrokkenen gebruikten tegelijk zonnebanken of zonden intensief, wat het melanoomrisico onafhankelijk verhoogt. Een overzicht concludeert dat een verband niet sluitend is aangetoond, maar dat de opeenstapeling reden tot voorzichtigheid geeft</w:t>
      </w:r>
      <w:r>
        <w:rPr>
          <w:rStyle w:val="FootnoteReference"/>
        </w:rPr>
        <w:footnoteReference w:id="2055"/>
      </w:r>
      <w:r>
        <w:t xml:space="preserve">. Omdat melanotan II nooit systematisch is onderzocht, kan niemand zeggen hoe hoog een mogelijk risico is. Ter vergelijking: voor het verwante, geregistreerde afamelanotide liet een onderzoek met dermatoscopie alleen tijdelijke veranderingen van de moedervlekken zien zonder aanwijzingen voor kwaadaardige ontaarding (hoofdstuk 2E03) – deze gegevens gelden echter niet voor melanotan II.</w:t>
      </w:r>
    </w:p>
    <w:bookmarkEnd w:id="2056"/>
    <w:bookmarkStart w:id="2064" w:name="ernstige-afzonderlijke-gevallen"/>
    <w:p>
      <w:pPr>
        <w:pStyle w:val="Heading4"/>
      </w:pPr>
      <w:r>
        <w:t xml:space="preserve">Ernstige afzonderlijke gevallen</w:t>
      </w:r>
    </w:p>
    <w:p>
      <w:pPr>
        <w:numPr>
          <w:ilvl w:val="0"/>
          <w:numId w:val="1261"/>
        </w:numPr>
        <w:pStyle w:val="Compact"/>
      </w:pPr>
      <w:r>
        <w:rPr>
          <w:bCs/>
          <w:b/>
        </w:rPr>
        <w:t xml:space="preserve">Priapisme:</w:t>
      </w:r>
      <w:r>
        <w:t xml:space="preserve"> </w:t>
      </w:r>
      <w:r>
        <w:t xml:space="preserve">pijnlijke aanhoudende erectie, een urologisch spoedgeval. Meerdere casusbeschrijvingen beschrijven dit na melanotaninjecties</w:t>
      </w:r>
      <w:r>
        <w:rPr>
          <w:rStyle w:val="FootnoteReference"/>
        </w:rPr>
        <w:footnoteReference w:id="2057"/>
      </w:r>
      <w:r>
        <w:t xml:space="preserve">. In één geval moest operatief worden ontlast</w:t>
      </w:r>
      <w:r>
        <w:rPr>
          <w:rStyle w:val="FootnoteReference"/>
        </w:rPr>
        <w:footnoteReference w:id="2058"/>
      </w:r>
      <w:r>
        <w:t xml:space="preserve">; in een ander geval was het erectievermogen vier weken later nog niet hersteld</w:t>
      </w:r>
      <w:r>
        <w:rPr>
          <w:rStyle w:val="FootnoteReference"/>
        </w:rPr>
        <w:footnoteReference w:id="2059"/>
      </w:r>
      <w:r>
        <w:t xml:space="preserve">.</w:t>
      </w:r>
    </w:p>
    <w:p>
      <w:pPr>
        <w:numPr>
          <w:ilvl w:val="0"/>
          <w:numId w:val="1261"/>
        </w:numPr>
        <w:pStyle w:val="Compact"/>
      </w:pPr>
      <w:r>
        <w:rPr>
          <w:bCs/>
          <w:b/>
        </w:rPr>
        <w:t xml:space="preserve">Spierafbraak en nierschade:</w:t>
      </w:r>
      <w:r>
        <w:t xml:space="preserve"> </w:t>
      </w:r>
      <w:r>
        <w:t xml:space="preserve">een 39-jarige man spoot naar eigen zeggen zesmaal de aanbevolen starthoeveelheid in. Hij ontwikkelde hartkloppingen, onrust en een ernstige spierafbraak (rabdomyolyse) met een stijging van het spierenzym CK tot 17.773 IU/L en tijdelijke nierschade; de stof werd in het laboratorium bevestigd als melanotan II</w:t>
      </w:r>
      <w:r>
        <w:rPr>
          <w:rStyle w:val="FootnoteReference"/>
        </w:rPr>
        <w:footnoteReference w:id="2060"/>
      </w:r>
      <w:r>
        <w:t xml:space="preserve">.</w:t>
      </w:r>
    </w:p>
    <w:p>
      <w:pPr>
        <w:numPr>
          <w:ilvl w:val="0"/>
          <w:numId w:val="1261"/>
        </w:numPr>
        <w:pStyle w:val="Compact"/>
      </w:pPr>
      <w:r>
        <w:rPr>
          <w:bCs/>
          <w:b/>
        </w:rPr>
        <w:t xml:space="preserve">Nierinfarct:</w:t>
      </w:r>
      <w:r>
        <w:t xml:space="preserve"> </w:t>
      </w:r>
      <w:r>
        <w:t xml:space="preserve">een casusbeschrijving met literatuuroverzicht vermoedt melanotan II als oorzaak van een afsluiting van niervaten</w:t>
      </w:r>
      <w:r>
        <w:rPr>
          <w:rStyle w:val="FootnoteReference"/>
        </w:rPr>
        <w:footnoteReference w:id="2061"/>
      </w:r>
      <w:r>
        <w:t xml:space="preserve">.</w:t>
      </w:r>
    </w:p>
    <w:p>
      <w:pPr>
        <w:numPr>
          <w:ilvl w:val="0"/>
          <w:numId w:val="1261"/>
        </w:numPr>
        <w:pStyle w:val="Compact"/>
      </w:pPr>
      <w:r>
        <w:rPr>
          <w:bCs/>
          <w:b/>
        </w:rPr>
        <w:t xml:space="preserve">Hersenzwelling:</w:t>
      </w:r>
      <w:r>
        <w:t xml:space="preserve"> </w:t>
      </w:r>
      <w:r>
        <w:t xml:space="preserve">een casusbeschrijving beschrijft een posterieur reversibel encefalopathiesyndroom (PRES), een zwelling in het achterhoofdsgebied van de hersenen, in samenhang met melanotan</w:t>
      </w:r>
      <w:r>
        <w:rPr>
          <w:rStyle w:val="FootnoteReference"/>
        </w:rPr>
        <w:footnoteReference w:id="2062"/>
      </w:r>
      <w:r>
        <w:t xml:space="preserve">.</w:t>
      </w:r>
    </w:p>
    <w:p>
      <w:pPr>
        <w:numPr>
          <w:ilvl w:val="0"/>
          <w:numId w:val="1261"/>
        </w:numPr>
        <w:pStyle w:val="Compact"/>
      </w:pPr>
      <w:r>
        <w:rPr>
          <w:bCs/>
          <w:b/>
        </w:rPr>
        <w:t xml:space="preserve">Huidontsteking:</w:t>
      </w:r>
      <w:r>
        <w:t xml:space="preserve"> </w:t>
      </w:r>
      <w:r>
        <w:t xml:space="preserve">ook een pyoderma gangraenosum, een ernstige zwerende huidaandoening, is beschreven</w:t>
      </w:r>
      <w:r>
        <w:rPr>
          <w:rStyle w:val="FootnoteReference"/>
        </w:rPr>
        <w:footnoteReference w:id="2063"/>
      </w:r>
      <w:r>
        <w:t xml:space="preserve">.</w:t>
      </w:r>
    </w:p>
    <w:bookmarkEnd w:id="2064"/>
    <w:bookmarkStart w:id="2068" w:name="risicos-van-de-grijze-markt-1"/>
    <w:p>
      <w:pPr>
        <w:pStyle w:val="Heading4"/>
      </w:pPr>
      <w:r>
        <w:t xml:space="preserve">Risico’s van de grijze markt</w:t>
      </w:r>
    </w:p>
    <w:p>
      <w:pPr>
        <w:pStyle w:val="FirstParagraph"/>
      </w:pPr>
      <w:r>
        <w:t xml:space="preserve">Een laboratorium kocht flesjes melanotan II bij drie webwinkels. Alle beloofden 10 mg per flesje; in werkelijkheid bevatten ze tussen 4,32 en 8,84 mg. In producten van twee winkels werd 4,1 tot 5,9% onbekende verontreinigingen gevonden</w:t>
      </w:r>
      <w:r>
        <w:rPr>
          <w:rStyle w:val="FootnoteReference"/>
        </w:rPr>
        <w:footnoteReference w:id="2065"/>
      </w:r>
      <w:r>
        <w:t xml:space="preserve">. Een forensisch laboratorium bepaalde in een in beslag genomen monster een zuiverheid van 30%</w:t>
      </w:r>
      <w:r>
        <w:rPr>
          <w:rStyle w:val="FootnoteReference"/>
        </w:rPr>
        <w:footnoteReference w:id="2066"/>
      </w:r>
      <w:r>
        <w:t xml:space="preserve">. Daarbij komen de risico’s van niet-steriele bereiding en gedeelde naalden, waar deskundigen uitdrukkelijk op wijzen</w:t>
      </w:r>
      <w:r>
        <w:rPr>
          <w:rStyle w:val="FootnoteReference"/>
        </w:rPr>
        <w:footnoteReference w:id="2067"/>
      </w:r>
      <w:r>
        <w:t xml:space="preserve">. Meer over zuiverheid en vervalsingen op de grijze markt staat in Deel I en Deel IV.</w:t>
      </w:r>
    </w:p>
    <w:bookmarkEnd w:id="2068"/>
    <w:bookmarkEnd w:id="2069"/>
    <w:bookmarkStart w:id="2072" w:name="juridische-status-47"/>
    <w:p>
      <w:pPr>
        <w:pStyle w:val="Heading3"/>
      </w:pPr>
      <w:r>
        <w:t xml:space="preserve">Juridische status</w:t>
      </w:r>
    </w:p>
    <w:p>
      <w:pPr>
        <w:pStyle w:val="FirstParagraph"/>
      </w:pPr>
      <w:r>
        <w:rPr>
          <w:iCs/>
          <w:i/>
        </w:rPr>
        <w:t xml:space="preserve">Stand 2026, actuele situatie controleren.</w:t>
      </w:r>
    </w:p>
    <w:p>
      <w:pPr>
        <w:numPr>
          <w:ilvl w:val="0"/>
          <w:numId w:val="1262"/>
        </w:numPr>
        <w:pStyle w:val="Compact"/>
      </w:pPr>
      <w:r>
        <w:rPr>
          <w:bCs/>
          <w:b/>
        </w:rPr>
        <w:t xml:space="preserve">EU:</w:t>
      </w:r>
      <w:r>
        <w:t xml:space="preserve"> </w:t>
      </w:r>
      <w:r>
        <w:t xml:space="preserve">melanotan II is in geen enkele lidstaat geregistreerd. Omdat het wordt aangeboden voor gebruik bij mensen met effect op lichaamsfuncties, geldt het juridisch als geneesmiddel; productie, invoer en verkoop zonder registratie zijn verboden. Het opschrift „alleen voor onderzoeksdoeleinden” verandert daar niets aan.</w:t>
      </w:r>
    </w:p>
    <w:p>
      <w:pPr>
        <w:numPr>
          <w:ilvl w:val="0"/>
          <w:numId w:val="1262"/>
        </w:numPr>
        <w:pStyle w:val="Compact"/>
      </w:pPr>
      <w:r>
        <w:rPr>
          <w:bCs/>
          <w:b/>
        </w:rPr>
        <w:t xml:space="preserve">Duitsland en Oostenrijk:</w:t>
      </w:r>
      <w:r>
        <w:t xml:space="preserve"> </w:t>
      </w:r>
      <w:r>
        <w:t xml:space="preserve">niet geregistreerd. Verstrekking voor gebruik bij mensen is in strijd met de respectieve geneesmiddelenwet. Autoriteiten en douane nemen zendingen in beslag.</w:t>
      </w:r>
    </w:p>
    <w:p>
      <w:pPr>
        <w:numPr>
          <w:ilvl w:val="0"/>
          <w:numId w:val="1262"/>
        </w:numPr>
        <w:pStyle w:val="Compact"/>
      </w:pPr>
      <w:r>
        <w:rPr>
          <w:bCs/>
          <w:b/>
        </w:rPr>
        <w:t xml:space="preserve">Waarschuwingen van autoriteiten:</w:t>
      </w:r>
      <w:r>
        <w:t xml:space="preserve"> </w:t>
      </w:r>
      <w:r>
        <w:t xml:space="preserve">meerdere nationale geneesmiddelen- en gezondheidsautoriteiten hebben gewaarschuwd voor melanotan I en II</w:t>
      </w:r>
      <w:r>
        <w:rPr>
          <w:rStyle w:val="FootnoteReference"/>
        </w:rPr>
        <w:footnoteReference w:id="2070"/>
      </w:r>
      <w:r>
        <w:t xml:space="preserve">. Naar weten van de auteur behoorden de autoriteiten in het Verenigd Koninkrijk en Ierland vanaf 2008 tot de eersten; later volgden andere Europese landen en Australië. In het Verenigd Koninkrijk is de verkoop uitdrukkelijk illegaal</w:t>
      </w:r>
      <w:r>
        <w:rPr>
          <w:rStyle w:val="FootnoteReference"/>
        </w:rPr>
        <w:footnoteReference w:id="2071"/>
      </w:r>
      <w:r>
        <w:t xml:space="preserve">.</w:t>
      </w:r>
    </w:p>
    <w:p>
      <w:pPr>
        <w:numPr>
          <w:ilvl w:val="0"/>
          <w:numId w:val="1262"/>
        </w:numPr>
        <w:pStyle w:val="Compact"/>
      </w:pPr>
      <w:r>
        <w:rPr>
          <w:bCs/>
          <w:b/>
        </w:rPr>
        <w:t xml:space="preserve">VS:</w:t>
      </w:r>
      <w:r>
        <w:t xml:space="preserve"> </w:t>
      </w:r>
      <w:r>
        <w:t xml:space="preserve">geen FDA-registratie; de verkoop als geneesmiddel voor gebruik bij mensen is niet toegestaan.</w:t>
      </w:r>
    </w:p>
    <w:p>
      <w:pPr>
        <w:numPr>
          <w:ilvl w:val="0"/>
          <w:numId w:val="1262"/>
        </w:numPr>
        <w:pStyle w:val="Compact"/>
      </w:pPr>
      <w:r>
        <w:rPr>
          <w:bCs/>
          <w:b/>
        </w:rPr>
        <w:t xml:space="preserve">WADA:</w:t>
      </w:r>
      <w:r>
        <w:t xml:space="preserve"> </w:t>
      </w:r>
      <w:r>
        <w:t xml:space="preserve">verboden als niet-goedgekeurde substantie (S0).</w:t>
      </w:r>
    </w:p>
    <w:bookmarkEnd w:id="2072"/>
    <w:bookmarkStart w:id="2073" w:name="lopende-studies-en-vooruitzichten-47"/>
    <w:p>
      <w:pPr>
        <w:pStyle w:val="Heading3"/>
      </w:pPr>
      <w:r>
        <w:t xml:space="preserve">Lopende studies en vooruitzichten</w:t>
      </w:r>
    </w:p>
    <w:p>
      <w:pPr>
        <w:pStyle w:val="FirstParagraph"/>
      </w:pPr>
      <w:r>
        <w:rPr>
          <w:bCs/>
          <w:b/>
        </w:rPr>
        <w:t xml:space="preserve">Zeker (geregistreerde studies):</w:t>
      </w:r>
      <w:r>
        <w:t xml:space="preserve"> </w:t>
      </w:r>
      <w:r>
        <w:t xml:space="preserve">geen. Bij ClinicalTrials.gov stond weliswaar een registratie over melanotan II bij vitiligo; de sponsor van deze registratie heeft echter ook registraties ingediend die zichzelf als fictief omschrijven. De registratie wordt daarom hier niet als echte studie meegeteld. Dat laat terloops zien: ook een registratie in een register is geen bewijs dat een studie daadwerkelijk plaatsvindt.</w:t>
      </w:r>
    </w:p>
    <w:p>
      <w:pPr>
        <w:pStyle w:val="BodyText"/>
      </w:pPr>
      <w:r>
        <w:rPr>
          <w:bCs/>
          <w:b/>
        </w:rPr>
        <w:t xml:space="preserve">Inschatting van de auteur:</w:t>
      </w:r>
      <w:r>
        <w:t xml:space="preserve"> </w:t>
      </w:r>
      <w:r>
        <w:t xml:space="preserve">voor een registratie als bruiningsmiddel bij gezonde mensen bestaat geen realistische weg: het nut is cosmetisch, de bijwerkingen via de hersenen zijn uitgesproken, en de vraag naar moedervlekken en melanoom zou in grote, langdurige studies moeten worden opgehelderd. Medisch zinvolle toepassingen van melanocortine-agonisten worden nagestreefd met selectievere moleculen – afamelanotide voor de huid, bremelanotide en setmelanotide voor de hersenen. De populariteit op sociale media zal het aantal casusbeschrijvingen waarschijnlijk verder doen stijgen.</w:t>
      </w:r>
    </w:p>
    <w:bookmarkEnd w:id="2073"/>
    <w:bookmarkStart w:id="2074" w:name="conclusie-47"/>
    <w:p>
      <w:pPr>
        <w:pStyle w:val="Heading3"/>
      </w:pPr>
      <w:r>
        <w:t xml:space="preserve">Conclusie</w:t>
      </w:r>
    </w:p>
    <w:p>
      <w:pPr>
        <w:pStyle w:val="FirstParagraph"/>
      </w:pPr>
      <w:r>
        <w:t xml:space="preserve">Melanotan II is een onderzoekspeptide uit de jaren 1990 dat slechts bij ongeveer twee dozijn mensen in kleine studies is getest en nooit een registratie heeft gekregen. Het maakt de huid bruin, maar veroorzaakt via receptoren in de hersenen regelmatig misselijkheid en spontane erecties. Casusbeschrijvingen beschrijven nieuwe en veranderde moedervlekken, melanomen, priapisme en spierafbraak; een oorzakelijk verband met huidkanker is niet bewezen, maar ook niet uitgesloten. Producten van de grijze markt bevatten bij laboratoriumanalyses minder werkzame stof dan aangegeven en onbekende verontreinigingen. De gegevens zijn onvoldoende om melanotan II als veilig te bestempelen.</w:t>
      </w:r>
    </w:p>
    <w:bookmarkEnd w:id="2074"/>
    <w:bookmarkEnd w:id="2075"/>
    <w:bookmarkStart w:id="2135" w:name="afamelanotide"/>
    <w:p>
      <w:pPr>
        <w:pStyle w:val="Heading2"/>
      </w:pPr>
      <w:r>
        <w:t xml:space="preserve">Afamelanotide</w:t>
      </w:r>
    </w:p>
    <w:bookmarkStart w:id="2078" w:name="profiel-48"/>
    <w:p>
      <w:pPr>
        <w:pStyle w:val="Heading3"/>
      </w:pPr>
      <w:r>
        <w:t xml:space="preserve">Profiel</w:t>
      </w:r>
    </w:p>
    <w:p>
      <w:pPr>
        <w:numPr>
          <w:ilvl w:val="0"/>
          <w:numId w:val="1263"/>
        </w:numPr>
        <w:pStyle w:val="Compact"/>
      </w:pPr>
      <w:r>
        <w:rPr>
          <w:bCs/>
          <w:b/>
        </w:rPr>
        <w:t xml:space="preserve">Soort/structuur:</w:t>
      </w:r>
      <w:r>
        <w:t xml:space="preserve"> </w:t>
      </w:r>
      <w:r>
        <w:t xml:space="preserve">lineair peptide van 13 aminozuren. Het komt overeen met het lichaamseigen hormoon alfa-MSH, waarin twee bouwstenen zijn vervangen (op positie 4 norleucine, op positie 7 de spiegelbeeldige D-vorm van fenylalanine). Deze wijzigingen maken het stabieler en werkzamer. Vroegere namen: melanotan I, MT-I, NDP-MSH, CUV1647.</w:t>
      </w:r>
    </w:p>
    <w:p>
      <w:pPr>
        <w:numPr>
          <w:ilvl w:val="0"/>
          <w:numId w:val="1263"/>
        </w:numPr>
        <w:pStyle w:val="Compact"/>
      </w:pPr>
      <w:r>
        <w:rPr>
          <w:bCs/>
          <w:b/>
        </w:rPr>
        <w:t xml:space="preserve">Herkomst:</w:t>
      </w:r>
      <w:r>
        <w:t xml:space="preserve"> </w:t>
      </w:r>
      <w:r>
        <w:t xml:space="preserve">ontwikkeld aan de Universiteit van Arizona samen met melanotan II</w:t>
      </w:r>
      <w:r>
        <w:rPr>
          <w:rStyle w:val="FootnoteReference"/>
        </w:rPr>
        <w:footnoteReference w:id="2076"/>
      </w:r>
      <w:r>
        <w:t xml:space="preserve">; later door het Australische bedrijf Clinuvel doorontwikkeld tot geneesmiddel.</w:t>
      </w:r>
    </w:p>
    <w:p>
      <w:pPr>
        <w:numPr>
          <w:ilvl w:val="0"/>
          <w:numId w:val="1263"/>
        </w:numPr>
        <w:pStyle w:val="Compact"/>
      </w:pPr>
      <w:r>
        <w:rPr>
          <w:bCs/>
          <w:b/>
        </w:rPr>
        <w:t xml:space="preserve">Werkingsprincipe:</w:t>
      </w:r>
      <w:r>
        <w:t xml:space="preserve"> </w:t>
      </w:r>
      <w:r>
        <w:t xml:space="preserve">agonist van de melanocortine-1-receptor (MC1R) van de pigmentcellen. Het stimuleert de aanmaak van het donkere, lichtbeschermende pigment eumelanine – zonder voorafgaande uv-straling.</w:t>
      </w:r>
    </w:p>
    <w:p>
      <w:pPr>
        <w:numPr>
          <w:ilvl w:val="0"/>
          <w:numId w:val="1263"/>
        </w:numPr>
        <w:pStyle w:val="Compact"/>
      </w:pPr>
      <w:r>
        <w:rPr>
          <w:bCs/>
          <w:b/>
        </w:rPr>
        <w:t xml:space="preserve">Toedieningsvorm:</w:t>
      </w:r>
      <w:r>
        <w:t xml:space="preserve"> </w:t>
      </w:r>
      <w:r>
        <w:t xml:space="preserve">klein, vanzelf oplossend implantaat (16 mg) dat onder de huid wordt geplaatst en de werkzame stof gedurende weken afgeeft. Het wordt in gespecialiseerde centra geplaatst.</w:t>
      </w:r>
    </w:p>
    <w:p>
      <w:pPr>
        <w:numPr>
          <w:ilvl w:val="0"/>
          <w:numId w:val="1263"/>
        </w:numPr>
        <w:pStyle w:val="Compact"/>
      </w:pPr>
      <w:r>
        <w:rPr>
          <w:bCs/>
          <w:b/>
        </w:rPr>
        <w:t xml:space="preserve">Registratie EU:</w:t>
      </w:r>
      <w:r>
        <w:t xml:space="preserve"> </w:t>
      </w:r>
      <w:r>
        <w:t xml:space="preserve">ja, sinds 2014 (Scenesse) ter voorkoming van lichtschade bij volwassenen met erytropoëtische protoporfyrie (EPP). De registratie was aan voorwaarden gebonden, onder meer een veiligheidsstudie na registratie en een patiëntenregister</w:t>
      </w:r>
      <w:r>
        <w:rPr>
          <w:rStyle w:val="FootnoteReference"/>
        </w:rPr>
        <w:footnoteReference w:id="2077"/>
      </w:r>
      <w:r>
        <w:t xml:space="preserve">.</w:t>
      </w:r>
    </w:p>
    <w:p>
      <w:pPr>
        <w:numPr>
          <w:ilvl w:val="0"/>
          <w:numId w:val="1263"/>
        </w:numPr>
        <w:pStyle w:val="Compact"/>
      </w:pPr>
      <w:r>
        <w:rPr>
          <w:bCs/>
          <w:b/>
        </w:rPr>
        <w:t xml:space="preserve">Registratie VS:</w:t>
      </w:r>
      <w:r>
        <w:t xml:space="preserve"> </w:t>
      </w:r>
      <w:r>
        <w:t xml:space="preserve">ja, sinds 2019 voor volwassenen met EPP.</w:t>
      </w:r>
    </w:p>
    <w:p>
      <w:pPr>
        <w:numPr>
          <w:ilvl w:val="0"/>
          <w:numId w:val="1263"/>
        </w:numPr>
        <w:pStyle w:val="Compact"/>
      </w:pPr>
      <w:r>
        <w:rPr>
          <w:bCs/>
          <w:b/>
        </w:rPr>
        <w:t xml:space="preserve">WADA:</w:t>
      </w:r>
      <w:r>
        <w:t xml:space="preserve"> </w:t>
      </w:r>
      <w:r>
        <w:t xml:space="preserve">niet vermeld.</w:t>
      </w:r>
    </w:p>
    <w:p>
      <w:pPr>
        <w:numPr>
          <w:ilvl w:val="0"/>
          <w:numId w:val="1263"/>
        </w:numPr>
        <w:pStyle w:val="Compact"/>
      </w:pPr>
      <w:r>
        <w:rPr>
          <w:bCs/>
          <w:b/>
        </w:rPr>
        <w:t xml:space="preserve">Bewijsniveau:</w:t>
      </w:r>
      <w:r>
        <w:t xml:space="preserve"> </w:t>
      </w:r>
      <w:r>
        <w:rPr>
          <w:bCs/>
          <w:b/>
        </w:rPr>
        <w:t xml:space="preserve">A</w:t>
      </w:r>
      <w:r>
        <w:t xml:space="preserve"> </w:t>
      </w:r>
      <w:r>
        <w:t xml:space="preserve">– registratie in EU en VS op basis van twee gerandomiseerde, placebogecontroleerde studies, aangevuld met meerdere langetermijncohorten. Door de zeldzaamheid van de aandoening zijn de studies kleiner dan bij volksziekten.</w:t>
      </w:r>
    </w:p>
    <w:bookmarkEnd w:id="2078"/>
    <w:bookmarkStart w:id="2081" w:name="hoe-het-zou-moeten-werken-48"/>
    <w:p>
      <w:pPr>
        <w:pStyle w:val="Heading3"/>
      </w:pPr>
      <w:r>
        <w:t xml:space="preserve">Hoe het zou moeten werken</w:t>
      </w:r>
    </w:p>
    <w:p>
      <w:pPr>
        <w:pStyle w:val="FirstParagraph"/>
      </w:pPr>
      <w:r>
        <w:t xml:space="preserve">Erytropoëtische protoporfyrie (EPP) is een zeldzame erfelijke ziekte. In Europa is ten minste één op de 140.000 personen getroffen</w:t>
      </w:r>
      <w:r>
        <w:rPr>
          <w:rStyle w:val="FootnoteReference"/>
        </w:rPr>
        <w:footnoteReference w:id="2079"/>
      </w:r>
      <w:r>
        <w:t xml:space="preserve">. Door een enzymdefect in de aanmaak van de rode bloedkleurstof hoopt een voorstadium, protoporfyrine IX, zich op in bloed en huid. Deze stof wordt door zichtbaar licht geactiveerd en beschadigt dan weefsel en kleine bloedvaten van de huid.</w:t>
      </w:r>
    </w:p>
    <w:p>
      <w:pPr>
        <w:pStyle w:val="BodyText"/>
      </w:pPr>
      <w:r>
        <w:t xml:space="preserve">Het gevolg zijn brandende, vaak dagenlang aanhoudende pijnen na enkele minuten in het zonlicht – vaak zonder zichtbare huidveranderingen. Patiënten mijden van kindsbeen af het daglicht. Gewone zonnebescherming helpt nauwelijks, omdat vooral zichtbaar licht en niet uv-straling de reactie uitlokt. Een deel van de patiënten ontwikkelt bovendien leverschade, omdat het overtollige protoporfyrine via de gal wordt uitgescheiden</w:t>
      </w:r>
      <w:r>
        <w:rPr>
          <w:rStyle w:val="FootnoteReference"/>
        </w:rPr>
        <w:footnoteReference w:id="2080"/>
      </w:r>
      <w:r>
        <w:t xml:space="preserve">.</w:t>
      </w:r>
    </w:p>
    <w:p>
      <w:pPr>
        <w:pStyle w:val="BodyText"/>
      </w:pPr>
      <w:r>
        <w:t xml:space="preserve">Afamelanotide grijpt niet aan op de oorzaak, maar op de huid: het maakt die bruiner, en het extra eumelanine vangt een deel van het licht op voordat het het protoporfyrine bereikt. Laboratoriumproeven wijzen bovendien op ontstekingsremmende en antioxidatieve effecten. Hoeveel daarvan bij mensen een rol speelt, is onduidelijk.</w:t>
      </w:r>
    </w:p>
    <w:p>
      <w:pPr>
        <w:pStyle w:val="BodyText"/>
      </w:pPr>
      <w:r>
        <w:t xml:space="preserve">Anders dan melanotan II (hoofdstuk 2E02) werkt afamelanotide overwegend op de pigmentreceptor MC1R en slechts weinig op de receptoren in de hersenen. Daarom komen misselijkheid en seksuele bijeffecten duidelijk minder vaak voor.</w:t>
      </w:r>
    </w:p>
    <w:bookmarkEnd w:id="2081"/>
    <w:bookmarkStart w:id="2109" w:name="studies-bij-mensen-4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10</w:t>
      </w:r>
      <w:r>
        <w:t xml:space="preserve"> </w:t>
      </w:r>
      <w:r>
        <w:t xml:space="preserve">studies bij mensen in PubMed (</w:t>
      </w:r>
      <w:r>
        <w:rPr>
          <w:rStyle w:val="VerbatimChar"/>
        </w:rPr>
        <w:t xml:space="preserve">humanstudien_alle</w:t>
      </w:r>
      <w:r>
        <w:t xml:space="preserve">) en</w:t>
      </w:r>
      <w:r>
        <w:t xml:space="preserve"> </w:t>
      </w:r>
      <w:r>
        <w:rPr>
          <w:bCs/>
          <w:b/>
        </w:rPr>
        <w:t xml:space="preserve">23</w:t>
      </w:r>
      <w:r>
        <w:t xml:space="preserve"> </w:t>
      </w:r>
      <w:r>
        <w:t xml:space="preserve">registraties bij ClinicalTrials.gov. De zoekopdracht omvat echter alleen de naam „afamelanotide”; oudere studies onder de naam melanotan I of NDP-MSH en meerdere cohortstudies zijn daarin niet opgenomen en worden hier aanvullend besproken.</w:t>
      </w:r>
    </w:p>
    <w:bookmarkStart w:id="2085" w:name="Xac35460b691cf1df7860dd2b59d01dd08bb3a71"/>
    <w:p>
      <w:pPr>
        <w:pStyle w:val="Heading4"/>
      </w:pPr>
      <w:r>
        <w:t xml:space="preserve">Voorgeschiedenis: melanotan I bij gezonde mensen</w:t>
      </w:r>
    </w:p>
    <w:p>
      <w:pPr>
        <w:pStyle w:val="FirstParagraph"/>
      </w:pPr>
      <w:r>
        <w:t xml:space="preserve">In de jaren 1990 en begin jaren 2000 kregen gezonde vrijwilligers in Arizona dagelijkse injecties. Hun huid werd donkerder in het gezicht, aan de hals en op de onderarmen; het eumelaninegehalte van de huid van de onderarm steeg gemiddeld met 98%</w:t>
      </w:r>
      <w:r>
        <w:rPr>
          <w:rStyle w:val="FootnoteReference"/>
        </w:rPr>
        <w:footnoteReference w:id="2082"/>
      </w:r>
      <w:r>
        <w:t xml:space="preserve">. In combinatie met zonlicht werd de huid sterker en langer bruin, en de deelnemers zonder werkzame stof hadden 50% meer zontijd nodig voor dezelfde bruine kleur</w:t>
      </w:r>
      <w:r>
        <w:rPr>
          <w:rStyle w:val="FootnoteReference"/>
        </w:rPr>
        <w:footnoteReference w:id="2083"/>
      </w:r>
      <w:r>
        <w:t xml:space="preserve">. In een studie met 77 personen met een lichte huid was het effect bij dragers van bepaalde MC1R-genvarianten – dus bij mensen met een bijzonder zongevoelige huid – zelfs sterker</w:t>
      </w:r>
      <w:r>
        <w:rPr>
          <w:rStyle w:val="FootnoteReference"/>
        </w:rPr>
        <w:footnoteReference w:id="2084"/>
      </w:r>
      <w:r>
        <w:t xml:space="preserve">. Het plan om er een bescherming tegen huidkanker voor de algemene bevolking van te maken, werd niet verder gevolgd.</w:t>
      </w:r>
    </w:p>
    <w:bookmarkEnd w:id="2085"/>
    <w:bookmarkStart w:id="2089" w:name="de-registratiestudies-bij-epp"/>
    <w:p>
      <w:pPr>
        <w:pStyle w:val="Heading4"/>
      </w:pPr>
      <w:r>
        <w:t xml:space="preserve">De registratiestudies bij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Harms 2009, PMID 19656325</w:t>
            </w:r>
          </w:p>
        </w:tc>
        <w:tc>
          <w:tcPr/>
          <w:p>
            <w:pPr>
              <w:pStyle w:val="Compact"/>
              <w:jc w:val="left"/>
            </w:pPr>
            <w:r>
              <w:t xml:space="preserve">5 personen met EPP, open pilotstudie</w:t>
            </w:r>
          </w:p>
        </w:tc>
        <w:tc>
          <w:tcPr/>
          <w:p>
            <w:pPr>
              <w:pStyle w:val="Compact"/>
              <w:jc w:val="left"/>
            </w:pPr>
            <w:r>
              <w:t xml:space="preserve">120 dagen</w:t>
            </w:r>
          </w:p>
        </w:tc>
        <w:tc>
          <w:tcPr/>
          <w:p>
            <w:pPr>
              <w:pStyle w:val="Compact"/>
              <w:jc w:val="left"/>
            </w:pPr>
            <w:r>
              <w:t xml:space="preserve">Tolerantie voor licht duidelijk verhoogd</w:t>
            </w:r>
          </w:p>
        </w:tc>
      </w:tr>
      <w:tr>
        <w:tc>
          <w:tcPr/>
          <w:p>
            <w:pPr>
              <w:pStyle w:val="Compact"/>
              <w:jc w:val="left"/>
            </w:pPr>
            <w:r>
              <w:t xml:space="preserve">EU-studie (Langendonk 2015), PMID 26132941</w:t>
            </w:r>
          </w:p>
        </w:tc>
        <w:tc>
          <w:tcPr/>
          <w:p>
            <w:pPr>
              <w:pStyle w:val="Compact"/>
              <w:jc w:val="left"/>
            </w:pPr>
            <w:r>
              <w:t xml:space="preserve">74 personen, RCT tegen placebo-implantaat</w:t>
            </w:r>
          </w:p>
        </w:tc>
        <w:tc>
          <w:tcPr/>
          <w:p>
            <w:pPr>
              <w:pStyle w:val="Compact"/>
              <w:jc w:val="left"/>
            </w:pPr>
            <w:r>
              <w:t xml:space="preserve">9 maanden</w:t>
            </w:r>
          </w:p>
        </w:tc>
        <w:tc>
          <w:tcPr/>
          <w:p>
            <w:pPr>
              <w:pStyle w:val="Compact"/>
              <w:jc w:val="left"/>
            </w:pPr>
            <w:r>
              <w:t xml:space="preserve">pijnvrije tijd in direct zonlicht mediaan 6,0 vs. 0,8 uur; 77 vs. 146 lichtreacties</w:t>
            </w:r>
          </w:p>
        </w:tc>
      </w:tr>
      <w:tr>
        <w:tc>
          <w:tcPr/>
          <w:p>
            <w:pPr>
              <w:pStyle w:val="Compact"/>
              <w:jc w:val="left"/>
            </w:pPr>
            <w:r>
              <w:t xml:space="preserve">VS-studie (Langendonk 2015), PMID 26132941</w:t>
            </w:r>
          </w:p>
        </w:tc>
        <w:tc>
          <w:tcPr/>
          <w:p>
            <w:pPr>
              <w:pStyle w:val="Compact"/>
              <w:jc w:val="left"/>
            </w:pPr>
            <w:r>
              <w:t xml:space="preserve">94 personen, RCT tegen placebo-implantaat</w:t>
            </w:r>
          </w:p>
        </w:tc>
        <w:tc>
          <w:tcPr/>
          <w:p>
            <w:pPr>
              <w:pStyle w:val="Compact"/>
              <w:jc w:val="left"/>
            </w:pPr>
            <w:r>
              <w:t xml:space="preserve">6 maanden</w:t>
            </w:r>
          </w:p>
        </w:tc>
        <w:tc>
          <w:tcPr/>
          <w:p>
            <w:pPr>
              <w:pStyle w:val="Compact"/>
              <w:jc w:val="left"/>
            </w:pPr>
            <w:r>
              <w:t xml:space="preserve">pijnvrije tijd in direct zonlicht mediaan 69,4 vs. 40,8 uur</w:t>
            </w:r>
          </w:p>
        </w:tc>
      </w:tr>
      <w:tr>
        <w:tc>
          <w:tcPr/>
          <w:p>
            <w:pPr>
              <w:pStyle w:val="Compact"/>
              <w:jc w:val="left"/>
            </w:pPr>
            <w:r>
              <w:t xml:space="preserve">Systematisch overzicht (Heerfordt 2023), PMID 36525819</w:t>
            </w:r>
          </w:p>
        </w:tc>
        <w:tc>
          <w:tcPr/>
          <w:p>
            <w:pPr>
              <w:pStyle w:val="Compact"/>
              <w:jc w:val="left"/>
            </w:pPr>
            <w:r>
              <w:t xml:space="preserve">40 studies over 18 behandelingen bij EPP</w:t>
            </w:r>
          </w:p>
        </w:tc>
        <w:tc>
          <w:tcPr/>
          <w:p>
            <w:pPr>
              <w:pStyle w:val="Compact"/>
              <w:jc w:val="left"/>
            </w:pPr>
            <w:r>
              <w:t xml:space="preserve">–</w:t>
            </w:r>
          </w:p>
        </w:tc>
        <w:tc>
          <w:tcPr/>
          <w:p>
            <w:pPr>
              <w:pStyle w:val="Compact"/>
              <w:jc w:val="left"/>
            </w:pPr>
            <w:r>
              <w:t xml:space="preserve">matig positief effect voor afamelanotide en minerale zonnebescherming; geen effect voor bètacaroteen e.a.</w:t>
            </w:r>
          </w:p>
        </w:tc>
      </w:tr>
    </w:tbl>
    <w:p>
      <w:pPr>
        <w:pStyle w:val="BodyText"/>
      </w:pPr>
      <w:r>
        <w:t xml:space="preserve">In de eerste pilotstudie kregen vijf patiënten twee implantaten met een tussenpoos van 60 dagen. Daarna verdroegen ze in een gestandaardiseerde lichttest duidelijk meer licht, en de melaninedichtheid van de huid steeg</w:t>
      </w:r>
      <w:r>
        <w:rPr>
          <w:rStyle w:val="FootnoteReference"/>
        </w:rPr>
        <w:footnoteReference w:id="2086"/>
      </w:r>
      <w:r>
        <w:t xml:space="preserve">.</w:t>
      </w:r>
    </w:p>
    <w:p>
      <w:pPr>
        <w:pStyle w:val="BodyText"/>
      </w:pPr>
      <w:r>
        <w:t xml:space="preserve">De registratie berust op twee dubbelblinde studies die samen in het New England Journal of Medicine werden gepubliceerd</w:t>
      </w:r>
      <w:r>
        <w:rPr>
          <w:rStyle w:val="FootnoteReference"/>
        </w:rPr>
        <w:footnoteReference w:id="2087"/>
      </w:r>
      <w:r>
        <w:t xml:space="preserve">. Elke 60 dagen kregen de deelnemers een implantaat met afamelanotide of een schijnimplantaat. De primaire uitkomstmaat was het aantal uren in direct zonlicht zonder pijn, dat de deelnemers in een dagboek bijhielden.</w:t>
      </w:r>
    </w:p>
    <w:p>
      <w:pPr>
        <w:pStyle w:val="BodyText"/>
      </w:pPr>
      <w:r>
        <w:t xml:space="preserve">Beide studies lieten een voordeel voor afamelanotide zien, en in beide verbeterde de kwaliteit van leven. De absolute cijfers zijn echter ontnuchterend: in de Europese studie brachten de deelnemers over negen maanden mediaan zes uur pijnvrij in direct zonlicht door, onder placebo nog geen uur. Dat de waarden zo laag zijn, ligt ook aan de ziekte zelf: wie jarenlang pijn heeft ervaren, blijft de zon mijden, ook als hij die beter verdraagt. Zo’n dagboekmeting hangt bovendien sterk af van weer en seizoen, wat de studies moeilijk vergelijkbaar maakt</w:t>
      </w:r>
      <w:r>
        <w:rPr>
          <w:rStyle w:val="FootnoteReference"/>
        </w:rPr>
        <w:footnoteReference w:id="2088"/>
      </w:r>
      <w:r>
        <w:t xml:space="preserve">.</w:t>
      </w:r>
    </w:p>
    <w:bookmarkEnd w:id="2089"/>
    <w:bookmarkStart w:id="2093" w:name="langetermijngegevens-uit-de-praktijk"/>
    <w:p>
      <w:pPr>
        <w:pStyle w:val="Heading4"/>
      </w:pPr>
      <w:r>
        <w:t xml:space="preserve">Langetermijngegevens uit de praktijk</w:t>
      </w:r>
    </w:p>
    <w:p>
      <w:pPr>
        <w:pStyle w:val="FirstParagraph"/>
      </w:pPr>
      <w:r>
        <w:t xml:space="preserve">Omdat de registratiestudies kort en klein waren, zijn waarnemingen uit de routinezorg bijzonder belangrijk.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Biolcati 2015, PMID 25494545</w:t>
            </w:r>
          </w:p>
        </w:tc>
        <w:tc>
          <w:tcPr/>
          <w:p>
            <w:pPr>
              <w:pStyle w:val="Compact"/>
              <w:jc w:val="left"/>
            </w:pPr>
            <w:r>
              <w:t xml:space="preserve">115 personen in Rome en Zürich, 1.023 implantaten, observationele studie</w:t>
            </w:r>
          </w:p>
        </w:tc>
        <w:tc>
          <w:tcPr/>
          <w:p>
            <w:pPr>
              <w:pStyle w:val="Compact"/>
              <w:jc w:val="left"/>
            </w:pPr>
            <w:r>
              <w:t xml:space="preserve">tot 8 jaar</w:t>
            </w:r>
          </w:p>
        </w:tc>
        <w:tc>
          <w:tcPr/>
          <w:p>
            <w:pPr>
              <w:pStyle w:val="Compact"/>
              <w:jc w:val="left"/>
            </w:pPr>
            <w:r>
              <w:t xml:space="preserve">Kwaliteit van leven van 31% naar 74% van de maximale waarde</w:t>
            </w:r>
          </w:p>
        </w:tc>
      </w:tr>
      <w:tr>
        <w:tc>
          <w:tcPr/>
          <w:p>
            <w:pPr>
              <w:pStyle w:val="Compact"/>
              <w:jc w:val="left"/>
            </w:pPr>
            <w:r>
              <w:t xml:space="preserve">Wensink 2020, PMID 32186677</w:t>
            </w:r>
          </w:p>
        </w:tc>
        <w:tc>
          <w:tcPr/>
          <w:p>
            <w:pPr>
              <w:pStyle w:val="Compact"/>
              <w:jc w:val="left"/>
            </w:pPr>
            <w:r>
              <w:t xml:space="preserve">117 personen in Rotterdam, prospectief cohort</w:t>
            </w:r>
          </w:p>
        </w:tc>
        <w:tc>
          <w:tcPr/>
          <w:p>
            <w:pPr>
              <w:pStyle w:val="Compact"/>
              <w:jc w:val="left"/>
            </w:pPr>
            <w:r>
              <w:t xml:space="preserve">mediaan 2 jaar</w:t>
            </w:r>
          </w:p>
        </w:tc>
        <w:tc>
          <w:tcPr/>
          <w:p>
            <w:pPr>
              <w:pStyle w:val="Compact"/>
              <w:jc w:val="left"/>
            </w:pPr>
            <w:r>
              <w:t xml:space="preserve">6,1 uur per week meer buiten; 98% zette de behandeling voort</w:t>
            </w:r>
          </w:p>
        </w:tc>
      </w:tr>
      <w:tr>
        <w:tc>
          <w:tcPr/>
          <w:p>
            <w:pPr>
              <w:pStyle w:val="Compact"/>
              <w:jc w:val="left"/>
            </w:pPr>
            <w:r>
              <w:t xml:space="preserve">Homey 2025, PMID 40082741</w:t>
            </w:r>
          </w:p>
        </w:tc>
        <w:tc>
          <w:tcPr/>
          <w:p>
            <w:pPr>
              <w:pStyle w:val="Compact"/>
              <w:jc w:val="left"/>
            </w:pPr>
            <w:r>
              <w:t xml:space="preserve">200 personen in Duitsland, veiligheidsstudie na registratie</w:t>
            </w:r>
          </w:p>
        </w:tc>
        <w:tc>
          <w:tcPr/>
          <w:p>
            <w:pPr>
              <w:pStyle w:val="Compact"/>
              <w:jc w:val="left"/>
            </w:pPr>
            <w:r>
              <w:t xml:space="preserve">lopend</w:t>
            </w:r>
          </w:p>
        </w:tc>
        <w:tc>
          <w:tcPr/>
          <w:p>
            <w:pPr>
              <w:pStyle w:val="Compact"/>
              <w:jc w:val="left"/>
            </w:pPr>
            <w:r>
              <w:t xml:space="preserve">Kwaliteit van leven significant beter; 91,0% zette de behandeling voort</w:t>
            </w:r>
          </w:p>
        </w:tc>
      </w:tr>
      <w:tr>
        <w:tc>
          <w:tcPr/>
          <w:p>
            <w:pPr>
              <w:pStyle w:val="Compact"/>
              <w:jc w:val="left"/>
            </w:pPr>
            <w:r>
              <w:t xml:space="preserve">Seidl-Philipp 2026, PMID 41793078</w:t>
            </w:r>
          </w:p>
        </w:tc>
        <w:tc>
          <w:tcPr/>
          <w:p>
            <w:pPr>
              <w:pStyle w:val="Compact"/>
              <w:jc w:val="left"/>
            </w:pPr>
            <w:r>
              <w:t xml:space="preserve">20 personen in Oostenrijk</w:t>
            </w:r>
          </w:p>
        </w:tc>
        <w:tc>
          <w:tcPr/>
          <w:p>
            <w:pPr>
              <w:pStyle w:val="Compact"/>
              <w:jc w:val="left"/>
            </w:pPr>
            <w:r>
              <w:t xml:space="preserve">2023</w:t>
            </w:r>
          </w:p>
        </w:tc>
        <w:tc>
          <w:tcPr/>
          <w:p>
            <w:pPr>
              <w:pStyle w:val="Compact"/>
              <w:jc w:val="left"/>
            </w:pPr>
            <w:r>
              <w:t xml:space="preserve">Lichttolerantie mediaan 15 naar 250 minuten; lichtreacties bij 88% vs. 33%</w:t>
            </w:r>
          </w:p>
        </w:tc>
      </w:tr>
    </w:tbl>
    <w:p>
      <w:pPr>
        <w:pStyle w:val="BodyText"/>
      </w:pPr>
      <w:r>
        <w:t xml:space="preserve">De Italiaans-Zwitserse observationele studie omvatte behandelingen sinds 2006. Slechts drie personen gaven aan dat het effect niet aan hun verwachtingen voldeed; 23% onderbrak om andere redenen, bijvoorbeeld wegens zwangerschap of kosten</w:t>
      </w:r>
      <w:r>
        <w:rPr>
          <w:rStyle w:val="FootnoteReference"/>
        </w:rPr>
        <w:footnoteReference w:id="2090"/>
      </w:r>
      <w:r>
        <w:t xml:space="preserve">. In het Nederlandse cohort werden lichtreacties minder pijnlijk, maar hun aantal en duur veranderden niet significant</w:t>
      </w:r>
      <w:r>
        <w:rPr>
          <w:rStyle w:val="FootnoteReference"/>
        </w:rPr>
        <w:footnoteReference w:id="2091"/>
      </w:r>
      <w:r>
        <w:t xml:space="preserve">. De Oostenrijkse analyse van alle 20 in 2023 behandelde personen laat bijzonder duidelijke verbeteringen van de kwaliteit van leven zien</w:t>
      </w:r>
      <w:r>
        <w:rPr>
          <w:rStyle w:val="FootnoteReference"/>
        </w:rPr>
        <w:footnoteReference w:id="2092"/>
      </w:r>
      <w:r>
        <w:t xml:space="preserve">.</w:t>
      </w:r>
    </w:p>
    <w:p>
      <w:pPr>
        <w:pStyle w:val="BodyText"/>
      </w:pPr>
      <w:r>
        <w:t xml:space="preserve">Deze cohorten hebben geen controlegroep. Wie goed reageert, blijft eerder in behandeling, en de verwachting van een duur geneesmiddel beïnvloedt wat mensen zelf rapporteren. De zonder uitzondering hoge percentages voortzetting bij een behandeling die elke twee maanden een doktersbezoek vereist, zijn toch een opmerkelijk signaal.</w:t>
      </w:r>
    </w:p>
    <w:bookmarkEnd w:id="2093"/>
    <w:bookmarkStart w:id="2097" w:name="verdere-waarnemingen-bij-epp"/>
    <w:p>
      <w:pPr>
        <w:pStyle w:val="Heading4"/>
      </w:pPr>
      <w:r>
        <w:t xml:space="preserve">Verdere waarnemingen bij EPP</w:t>
      </w:r>
    </w:p>
    <w:p>
      <w:pPr>
        <w:numPr>
          <w:ilvl w:val="0"/>
          <w:numId w:val="1264"/>
        </w:numPr>
        <w:pStyle w:val="Compact"/>
      </w:pPr>
      <w:r>
        <w:rPr>
          <w:bCs/>
          <w:b/>
        </w:rPr>
        <w:t xml:space="preserve">Lever:</w:t>
      </w:r>
      <w:r>
        <w:t xml:space="preserve"> </w:t>
      </w:r>
      <w:r>
        <w:t xml:space="preserve">in een Zwitserse analyse van 70 behandelden met bijna 3.000 leverwaarden daalden de leverwaarde ALAT en het bilirubine naarmate er in het voorgaande jaar meer implantaten waren geplaatst</w:t>
      </w:r>
      <w:r>
        <w:rPr>
          <w:rStyle w:val="FootnoteReference"/>
        </w:rPr>
        <w:footnoteReference w:id="2094"/>
      </w:r>
      <w:r>
        <w:t xml:space="preserve">. Dit is een verband uit observationele gegevens, geen bewijs van leverbescherming.</w:t>
      </w:r>
    </w:p>
    <w:p>
      <w:pPr>
        <w:numPr>
          <w:ilvl w:val="0"/>
          <w:numId w:val="1264"/>
        </w:numPr>
        <w:pStyle w:val="Compact"/>
      </w:pPr>
      <w:r>
        <w:rPr>
          <w:bCs/>
          <w:b/>
        </w:rPr>
        <w:t xml:space="preserve">Vitamine D:</w:t>
      </w:r>
      <w:r>
        <w:t xml:space="preserve"> </w:t>
      </w:r>
      <w:r>
        <w:t xml:space="preserve">afamelanotide veranderde de vitamine D-spiegel niet. In een studie met 230 personen bleef een tekort bij 71,8% bestaan; alleen toediening van vitamine D3 verhoogde de waarden</w:t>
      </w:r>
      <w:r>
        <w:rPr>
          <w:rStyle w:val="FootnoteReference"/>
        </w:rPr>
        <w:footnoteReference w:id="2095"/>
      </w:r>
      <w:r>
        <w:t xml:space="preserve">.</w:t>
      </w:r>
    </w:p>
    <w:p>
      <w:pPr>
        <w:numPr>
          <w:ilvl w:val="0"/>
          <w:numId w:val="1264"/>
        </w:numPr>
        <w:pStyle w:val="Compact"/>
      </w:pPr>
      <w:r>
        <w:rPr>
          <w:bCs/>
          <w:b/>
        </w:rPr>
        <w:t xml:space="preserve">Antistoffen:</w:t>
      </w:r>
      <w:r>
        <w:t xml:space="preserve"> </w:t>
      </w:r>
      <w:r>
        <w:t xml:space="preserve">bij 23 van 26 personen werden gedurende maximaal zes jaar geen antistoffen tegen de werkzame stof gevormd; drie hadden al vóór de behandeling meetbare antistoffen, die niet veranderden</w:t>
      </w:r>
      <w:r>
        <w:rPr>
          <w:rStyle w:val="FootnoteReference"/>
        </w:rPr>
        <w:footnoteReference w:id="2096"/>
      </w:r>
      <w:r>
        <w:t xml:space="preserve">.</w:t>
      </w:r>
    </w:p>
    <w:bookmarkEnd w:id="2097"/>
    <w:bookmarkStart w:id="2102" w:name="vitiligo"/>
    <w:p>
      <w:pPr>
        <w:pStyle w:val="Heading4"/>
      </w:pPr>
      <w:r>
        <w:t xml:space="preserve">Vitiligo</w:t>
      </w:r>
    </w:p>
    <w:p>
      <w:pPr>
        <w:pStyle w:val="FirstParagraph"/>
      </w:pPr>
      <w:r>
        <w:t xml:space="preserve">Bij vitiligo vernietigt het immuunsysteem pigmentcellen; er ontstaan lichte vlekken. De standaardbehandeling is lichttherapie met smalband-UVB. Afamelanotide zou de resterende pigmentcellen extra moeten stimuleren.</w:t>
      </w:r>
    </w:p>
    <w:p>
      <w:pPr>
        <w:pStyle w:val="BodyText"/>
      </w:pPr>
      <w:r>
        <w:t xml:space="preserve">Na een casusreeks met vier personen</w:t>
      </w:r>
      <w:r>
        <w:rPr>
          <w:rStyle w:val="FootnoteReference"/>
        </w:rPr>
        <w:footnoteReference w:id="2098"/>
      </w:r>
      <w:r>
        <w:t xml:space="preserve"> </w:t>
      </w:r>
      <w:r>
        <w:t xml:space="preserve">volgde een gerandomiseerde studie met 55 deelnemers</w:t>
      </w:r>
      <w:r>
        <w:rPr>
          <w:rStyle w:val="FootnoteReference"/>
        </w:rPr>
        <w:footnoteReference w:id="2099"/>
      </w:r>
      <w:r>
        <w:t xml:space="preserve">. De combinatie van lichttherapie en maandelijkse implantaten leidde sneller tot nieuwe pigmentatie dan lichttherapie alleen. Na 168 dagen was in de combinatiearm 48,64% van het oppervlak gerepigmenteerd, onder lichttherapie alleen 33,26%. Het voordeel was vooral te zien bij donkerdere huidtypen (IV tot VI). Een nadeel waar deskundigen op wijzen: ook de gezonde huid wordt donkerder, zodat het contrast met de lichte vlekken aanvankelijk kan toenemen</w:t>
      </w:r>
      <w:r>
        <w:rPr>
          <w:rStyle w:val="FootnoteReference"/>
        </w:rPr>
        <w:footnoteReference w:id="2100"/>
      </w:r>
      <w:r>
        <w:t xml:space="preserve">. Een studie bij Aziatische patiënten werd eveneens gepubliceerd</w:t>
      </w:r>
      <w:r>
        <w:rPr>
          <w:rStyle w:val="FootnoteReference"/>
        </w:rPr>
        <w:footnoteReference w:id="2101"/>
      </w:r>
      <w:r>
        <w:t xml:space="preserve">.</w:t>
      </w:r>
    </w:p>
    <w:bookmarkEnd w:id="2102"/>
    <w:bookmarkStart w:id="2108" w:name="andere-toepassingen-in-pilotstudies"/>
    <w:p>
      <w:pPr>
        <w:pStyle w:val="Heading4"/>
      </w:pPr>
      <w:r>
        <w:t xml:space="preserve">Andere toepassingen in pilotstudies</w:t>
      </w:r>
    </w:p>
    <w:p>
      <w:pPr>
        <w:pStyle w:val="FirstParagraph"/>
      </w:pPr>
      <w:r>
        <w:t xml:space="preserve">De volgende resultaten komen uit zeer kleine, meestal open studies en moeten als hypothesen worden opgevat:</w:t>
      </w:r>
    </w:p>
    <w:p>
      <w:pPr>
        <w:numPr>
          <w:ilvl w:val="0"/>
          <w:numId w:val="1265"/>
        </w:numPr>
        <w:pStyle w:val="Compact"/>
      </w:pPr>
      <w:r>
        <w:rPr>
          <w:bCs/>
          <w:b/>
        </w:rPr>
        <w:t xml:space="preserve">Zonne-urticaria</w:t>
      </w:r>
      <w:r>
        <w:t xml:space="preserve"> </w:t>
      </w:r>
      <w:r>
        <w:t xml:space="preserve">(netelroos door licht): bij 5 personen na één implantaat minder kwaddelvorming</w:t>
      </w:r>
      <w:r>
        <w:rPr>
          <w:rStyle w:val="FootnoteReference"/>
        </w:rPr>
        <w:footnoteReference w:id="2103"/>
      </w:r>
      <w:r>
        <w:t xml:space="preserve">.</w:t>
      </w:r>
    </w:p>
    <w:p>
      <w:pPr>
        <w:numPr>
          <w:ilvl w:val="0"/>
          <w:numId w:val="1265"/>
        </w:numPr>
        <w:pStyle w:val="Compact"/>
      </w:pPr>
      <w:r>
        <w:rPr>
          <w:bCs/>
          <w:b/>
        </w:rPr>
        <w:t xml:space="preserve">Acne:</w:t>
      </w:r>
      <w:r>
        <w:t xml:space="preserve"> </w:t>
      </w:r>
      <w:r>
        <w:t xml:space="preserve">bij 3 personen minder ontstoken laesies</w:t>
      </w:r>
      <w:r>
        <w:rPr>
          <w:rStyle w:val="FootnoteReference"/>
        </w:rPr>
        <w:footnoteReference w:id="2104"/>
      </w:r>
      <w:r>
        <w:t xml:space="preserve">.</w:t>
      </w:r>
    </w:p>
    <w:p>
      <w:pPr>
        <w:numPr>
          <w:ilvl w:val="0"/>
          <w:numId w:val="1265"/>
        </w:numPr>
        <w:pStyle w:val="Compact"/>
      </w:pPr>
      <w:r>
        <w:rPr>
          <w:bCs/>
          <w:b/>
        </w:rPr>
        <w:t xml:space="preserve">Ziekte van Hailey-Hailey</w:t>
      </w:r>
      <w:r>
        <w:t xml:space="preserve"> </w:t>
      </w:r>
      <w:r>
        <w:t xml:space="preserve">(erfelijke blaarziekte): genezing van de huidlaesies bij 2 personen</w:t>
      </w:r>
      <w:r>
        <w:rPr>
          <w:rStyle w:val="FootnoteReference"/>
        </w:rPr>
        <w:footnoteReference w:id="2105"/>
      </w:r>
      <w:r>
        <w:t xml:space="preserve">.</w:t>
      </w:r>
    </w:p>
    <w:p>
      <w:pPr>
        <w:numPr>
          <w:ilvl w:val="0"/>
          <w:numId w:val="1265"/>
        </w:numPr>
        <w:pStyle w:val="Compact"/>
      </w:pPr>
      <w:r>
        <w:rPr>
          <w:bCs/>
          <w:b/>
        </w:rPr>
        <w:t xml:space="preserve">Beroerte:</w:t>
      </w:r>
      <w:r>
        <w:t xml:space="preserve"> </w:t>
      </w:r>
      <w:r>
        <w:t xml:space="preserve">in een open haalbaarheidsstudie met 6 personen was de toediening uitvoerbaar; één persoon overleed aan een nieuwe beroerte, die de onderzoekers niet aan het middel toeschreven</w:t>
      </w:r>
      <w:r>
        <w:rPr>
          <w:rStyle w:val="FootnoteReference"/>
        </w:rPr>
        <w:footnoteReference w:id="2106"/>
      </w:r>
      <w:r>
        <w:t xml:space="preserve">.</w:t>
      </w:r>
    </w:p>
    <w:p>
      <w:pPr>
        <w:numPr>
          <w:ilvl w:val="0"/>
          <w:numId w:val="1265"/>
        </w:numPr>
        <w:pStyle w:val="Compact"/>
      </w:pPr>
      <w:r>
        <w:rPr>
          <w:bCs/>
          <w:b/>
        </w:rPr>
        <w:t xml:space="preserve">Gezonde huid:</w:t>
      </w:r>
      <w:r>
        <w:t xml:space="preserve"> </w:t>
      </w:r>
      <w:r>
        <w:t xml:space="preserve">bij 9 gezonde vrijwilligers was de roodheid van de huid na uv-bestraling zes dagen na het implantaat geringer</w:t>
      </w:r>
      <w:r>
        <w:rPr>
          <w:rStyle w:val="FootnoteReference"/>
        </w:rPr>
        <w:footnoteReference w:id="2107"/>
      </w:r>
      <w:r>
        <w:t xml:space="preserve">.</w:t>
      </w:r>
    </w:p>
    <w:bookmarkEnd w:id="2108"/>
    <w:bookmarkEnd w:id="2109"/>
    <w:bookmarkStart w:id="2112" w:name="dier--en-laboratoriumstudies-48"/>
    <w:p>
      <w:pPr>
        <w:pStyle w:val="Heading3"/>
      </w:pPr>
      <w:r>
        <w:t xml:space="preserve">Dier- en laboratoriumstudies</w:t>
      </w:r>
    </w:p>
    <w:p>
      <w:pPr>
        <w:pStyle w:val="FirstParagraph"/>
      </w:pPr>
      <w:r>
        <w:t xml:space="preserve">In celkweken heeft afamelanotide antioxidatieve effecten. In huidcellen van mensen met de ziekte van Hailey-Hailey activeerde het de beschermende factor Nrf2 en herstelde het de verstoorde celdeling gedeeltelijk</w:t>
      </w:r>
      <w:r>
        <w:rPr>
          <w:rStyle w:val="FootnoteReference"/>
        </w:rPr>
        <w:footnoteReference w:id="2110"/>
      </w:r>
      <w:r>
        <w:t xml:space="preserve">. Onderzoek naar stabiliteit en afbraakproducten van de werkzame stof betreft de geneesmiddelkwaliteit</w:t>
      </w:r>
      <w:r>
        <w:rPr>
          <w:rStyle w:val="FootnoteReference"/>
        </w:rPr>
        <w:footnoteReference w:id="2111"/>
      </w:r>
      <w:r>
        <w:t xml:space="preserve">. Voor de beoordeling bij mensen spelen dierlijke gegevens tegenwoordig een ondergeschikte rol, omdat de klinische gegevens zeggingskrachtiger zijn.</w:t>
      </w:r>
    </w:p>
    <w:bookmarkEnd w:id="2112"/>
    <w:bookmarkStart w:id="2123" w:name="risicos-en-bijwerkingen-48"/>
    <w:p>
      <w:pPr>
        <w:pStyle w:val="Heading3"/>
      </w:pPr>
      <w:r>
        <w:t xml:space="preserve">Risico’s en bijwerkingen</w:t>
      </w:r>
    </w:p>
    <w:bookmarkStart w:id="2117" w:name="aangetoond-8"/>
    <w:p>
      <w:pPr>
        <w:pStyle w:val="Heading4"/>
      </w:pPr>
      <w:r>
        <w:t xml:space="preserve">Aangetoond</w:t>
      </w:r>
    </w:p>
    <w:p>
      <w:pPr>
        <w:numPr>
          <w:ilvl w:val="0"/>
          <w:numId w:val="1266"/>
        </w:numPr>
        <w:pStyle w:val="Compact"/>
      </w:pPr>
      <w:r>
        <w:rPr>
          <w:bCs/>
          <w:b/>
        </w:rPr>
        <w:t xml:space="preserve">Vaak voorkomende, meestal lichte bijwerkingen:</w:t>
      </w:r>
      <w:r>
        <w:t xml:space="preserve"> </w:t>
      </w:r>
      <w:r>
        <w:t xml:space="preserve">misselijkheid, hoofdpijn, vermoeidheid en reacties op de plaats waar het implantaat is ingebracht</w:t>
      </w:r>
      <w:r>
        <w:rPr>
          <w:rStyle w:val="FootnoteReference"/>
        </w:rPr>
        <w:footnoteReference w:id="2113"/>
      </w:r>
      <w:r>
        <w:t xml:space="preserve">. Ernstige ongewenste voorvallen werden in de registratiestudies niet aan de werkzame stof toegeschreven.</w:t>
      </w:r>
    </w:p>
    <w:p>
      <w:pPr>
        <w:numPr>
          <w:ilvl w:val="0"/>
          <w:numId w:val="1266"/>
        </w:numPr>
        <w:pStyle w:val="Compact"/>
      </w:pPr>
      <w:r>
        <w:rPr>
          <w:bCs/>
          <w:b/>
        </w:rPr>
        <w:t xml:space="preserve">Donkerdere huid en moedervlekken:</w:t>
      </w:r>
      <w:r>
        <w:t xml:space="preserve"> </w:t>
      </w:r>
      <w:r>
        <w:t xml:space="preserve">de bruining is het beoogde effect. Moedervlekken en sproeten worden ook donkerder. In een studie met 15 personen en 103 moedervlekken waren onder de dermatoscoop tijdelijke veranderingen te zien, die na een jaar waren teruggelopen; nieuwe moedervlekken of aanwijzingen voor kwaadaardigheid traden niet op</w:t>
      </w:r>
      <w:r>
        <w:rPr>
          <w:rStyle w:val="FootnoteReference"/>
        </w:rPr>
        <w:footnoteReference w:id="2114"/>
      </w:r>
      <w:r>
        <w:t xml:space="preserve">. De productinformatie voorziet in regelmatige huidcontroles.</w:t>
      </w:r>
    </w:p>
    <w:p>
      <w:pPr>
        <w:numPr>
          <w:ilvl w:val="0"/>
          <w:numId w:val="1266"/>
        </w:numPr>
        <w:pStyle w:val="Compact"/>
      </w:pPr>
      <w:r>
        <w:rPr>
          <w:bCs/>
          <w:b/>
        </w:rPr>
        <w:t xml:space="preserve">Pigmentveranderingen van het mondslijmvlies</w:t>
      </w:r>
      <w:r>
        <w:t xml:space="preserve"> </w:t>
      </w:r>
      <w:r>
        <w:t xml:space="preserve">zijn beschreven (de Baat 2020, PMID 32459219; het overzicht mengt echter bevindingen over het geregistreerde implantaat met bevindingen over melanotan van de grijze markt), evenals een geval van schijnbare ontkleuring bij gelijktijdig constitutioneel eczeem</w:t>
      </w:r>
      <w:r>
        <w:rPr>
          <w:rStyle w:val="FootnoteReference"/>
        </w:rPr>
        <w:footnoteReference w:id="2115"/>
      </w:r>
      <w:r>
        <w:t xml:space="preserve">.</w:t>
      </w:r>
    </w:p>
    <w:p>
      <w:pPr>
        <w:numPr>
          <w:ilvl w:val="0"/>
          <w:numId w:val="1266"/>
        </w:numPr>
        <w:pStyle w:val="Compact"/>
      </w:pPr>
      <w:r>
        <w:rPr>
          <w:bCs/>
          <w:b/>
        </w:rPr>
        <w:t xml:space="preserve">Geen effect op vitamine D:</w:t>
      </w:r>
      <w:r>
        <w:t xml:space="preserve"> </w:t>
      </w:r>
      <w:r>
        <w:t xml:space="preserve">zie hierboven</w:t>
      </w:r>
      <w:r>
        <w:rPr>
          <w:rStyle w:val="FootnoteReference"/>
        </w:rPr>
        <w:footnoteReference w:id="2116"/>
      </w:r>
      <w:r>
        <w:t xml:space="preserve">.</w:t>
      </w:r>
    </w:p>
    <w:bookmarkEnd w:id="2117"/>
    <w:bookmarkStart w:id="2120" w:name="open-1"/>
    <w:p>
      <w:pPr>
        <w:pStyle w:val="Heading4"/>
      </w:pPr>
      <w:r>
        <w:t xml:space="preserve">Open</w:t>
      </w:r>
    </w:p>
    <w:p>
      <w:pPr>
        <w:pStyle w:val="FirstParagraph"/>
      </w:pPr>
      <w:r>
        <w:t xml:space="preserve">Gegevens over zwangerschap ontbreken grotendeels; in de praktijk wordt de behandeling onderbroken. Voor kinderen en jongeren is afamelanotide niet geregistreerd</w:t>
      </w:r>
      <w:r>
        <w:rPr>
          <w:rStyle w:val="FootnoteReference"/>
        </w:rPr>
        <w:footnoteReference w:id="2118"/>
      </w:r>
      <w:r>
        <w:t xml:space="preserve">, hoewel EPP meestal in de vroege kindertijd begint. Enkele behandelingen van kinderen buiten de registratie zijn als casusbeschrijvingen gepubliceerd</w:t>
      </w:r>
      <w:r>
        <w:rPr>
          <w:rStyle w:val="FootnoteReference"/>
        </w:rPr>
        <w:footnoteReference w:id="2119"/>
      </w:r>
      <w:r>
        <w:t xml:space="preserve">. Of de tientallen jaren durende stimulatie van de pigmentcellen het risico op huidkanker beïnvloedt, valt met de tot nu toe beschikbare observatieperioden niet definitief te zeggen.</w:t>
      </w:r>
    </w:p>
    <w:bookmarkEnd w:id="2120"/>
    <w:bookmarkStart w:id="2122" w:name="onderscheid-met-de-grijze-markt"/>
    <w:p>
      <w:pPr>
        <w:pStyle w:val="Heading4"/>
      </w:pPr>
      <w:r>
        <w:t xml:space="preserve">Onderscheid met de grijze markt</w:t>
      </w:r>
    </w:p>
    <w:p>
      <w:pPr>
        <w:pStyle w:val="FirstParagraph"/>
      </w:pPr>
      <w:r>
        <w:t xml:space="preserve">Op internet wordt „melanotan I” aangeboden als bruiningsmiddel. Zulke producten hebben met het geregistreerde implantaat alleen de naam van de werkzame stof gemeen: ze worden verkocht als poeder voor zelfinjectie, zuiverheid en gehalte zijn niet gecontroleerd, en er is geen medische controle van de huid. De veiligheidsgegevens uit de EPP-behandeling kunnen daar niet op worden overgedragen</w:t>
      </w:r>
      <w:r>
        <w:rPr>
          <w:rStyle w:val="FootnoteReference"/>
        </w:rPr>
        <w:footnoteReference w:id="2121"/>
      </w:r>
      <w:r>
        <w:t xml:space="preserve">.</w:t>
      </w:r>
    </w:p>
    <w:bookmarkEnd w:id="2122"/>
    <w:bookmarkEnd w:id="2123"/>
    <w:bookmarkStart w:id="2127" w:name="juridische-status-48"/>
    <w:p>
      <w:pPr>
        <w:pStyle w:val="Heading3"/>
      </w:pPr>
      <w:r>
        <w:t xml:space="preserve">Juridische status</w:t>
      </w:r>
    </w:p>
    <w:p>
      <w:pPr>
        <w:pStyle w:val="FirstParagraph"/>
      </w:pPr>
      <w:r>
        <w:rPr>
          <w:iCs/>
          <w:i/>
        </w:rPr>
        <w:t xml:space="preserve">Stand 2026, actuele situatie controleren.</w:t>
      </w:r>
    </w:p>
    <w:p>
      <w:pPr>
        <w:numPr>
          <w:ilvl w:val="0"/>
          <w:numId w:val="1267"/>
        </w:numPr>
        <w:pStyle w:val="Compact"/>
      </w:pPr>
      <w:r>
        <w:rPr>
          <w:bCs/>
          <w:b/>
        </w:rPr>
        <w:t xml:space="preserve">EU:</w:t>
      </w:r>
      <w:r>
        <w:t xml:space="preserve"> </w:t>
      </w:r>
      <w:r>
        <w:t xml:space="preserve">centraal geregistreerd sinds 2014 als weesgeneesmiddel (Scenesse) voor volwassenen met EPP. De behandeling vindt plaats in gespecialiseerde centra; een veiligheidsstudie en een Europees register maken deel uit van de voorwaarden</w:t>
      </w:r>
      <w:r>
        <w:rPr>
          <w:rStyle w:val="FootnoteReference"/>
        </w:rPr>
        <w:footnoteReference w:id="2124"/>
      </w:r>
      <w:r>
        <w:t xml:space="preserve">.</w:t>
      </w:r>
    </w:p>
    <w:p>
      <w:pPr>
        <w:numPr>
          <w:ilvl w:val="0"/>
          <w:numId w:val="1267"/>
        </w:numPr>
        <w:pStyle w:val="Compact"/>
      </w:pPr>
      <w:r>
        <w:rPr>
          <w:bCs/>
          <w:b/>
        </w:rPr>
        <w:t xml:space="preserve">Duitsland en Oostenrijk:</w:t>
      </w:r>
      <w:r>
        <w:t xml:space="preserve"> </w:t>
      </w:r>
      <w:r>
        <w:t xml:space="preserve">beschikbaar via gespecialiseerde porfyrie- en dermatologische klinieken; vergoeding moet per geval worden geregeld. Uit beide landen zijn behandelcohorten gepubliceerd</w:t>
      </w:r>
      <w:r>
        <w:rPr>
          <w:rStyle w:val="FootnoteReference"/>
        </w:rPr>
        <w:footnoteReference w:id="2125"/>
      </w:r>
      <w:r>
        <w:t xml:space="preserve">.</w:t>
      </w:r>
    </w:p>
    <w:p>
      <w:pPr>
        <w:numPr>
          <w:ilvl w:val="0"/>
          <w:numId w:val="1267"/>
        </w:numPr>
        <w:pStyle w:val="Compact"/>
      </w:pPr>
      <w:r>
        <w:rPr>
          <w:bCs/>
          <w:b/>
        </w:rPr>
        <w:t xml:space="preserve">VS:</w:t>
      </w:r>
      <w:r>
        <w:t xml:space="preserve"> </w:t>
      </w:r>
      <w:r>
        <w:t xml:space="preserve">geregistreerd sinds 2019 voor volwassenen met EPP en lichtreacties.</w:t>
      </w:r>
    </w:p>
    <w:p>
      <w:pPr>
        <w:numPr>
          <w:ilvl w:val="0"/>
          <w:numId w:val="1267"/>
        </w:numPr>
        <w:pStyle w:val="Compact"/>
      </w:pPr>
      <w:r>
        <w:rPr>
          <w:bCs/>
          <w:b/>
        </w:rPr>
        <w:t xml:space="preserve">Kosten:</w:t>
      </w:r>
      <w:r>
        <w:t xml:space="preserve"> </w:t>
      </w:r>
      <w:r>
        <w:t xml:space="preserve">afamelanotide behoort tot de dure geneesmiddelen voor zeldzame ziekten. In Engeland wees de beoordelingsinstantie NICE de financiering af – als tot nu toe enige therapie in haar programma voor zeer zeldzame ziekten. Patiëntenvertegenwoordigers bekritiseren de daarbij gebruikte berekening</w:t>
      </w:r>
      <w:r>
        <w:rPr>
          <w:rStyle w:val="FootnoteReference"/>
        </w:rPr>
        <w:footnoteReference w:id="2126"/>
      </w:r>
      <w:r>
        <w:t xml:space="preserve">.</w:t>
      </w:r>
    </w:p>
    <w:p>
      <w:pPr>
        <w:numPr>
          <w:ilvl w:val="0"/>
          <w:numId w:val="1267"/>
        </w:numPr>
        <w:pStyle w:val="Compact"/>
      </w:pPr>
      <w:r>
        <w:rPr>
          <w:bCs/>
          <w:b/>
        </w:rPr>
        <w:t xml:space="preserve">WADA:</w:t>
      </w:r>
      <w:r>
        <w:t xml:space="preserve"> </w:t>
      </w:r>
      <w:r>
        <w:t xml:space="preserve">niet vermeld.</w:t>
      </w:r>
    </w:p>
    <w:bookmarkEnd w:id="2127"/>
    <w:bookmarkStart w:id="2133" w:name="lopende-studies-en-vooruitzichten-48"/>
    <w:p>
      <w:pPr>
        <w:pStyle w:val="Heading3"/>
      </w:pPr>
      <w:r>
        <w:t xml:space="preserve">Lopende studies en vooruitzichten</w:t>
      </w:r>
    </w:p>
    <w:p>
      <w:pPr>
        <w:pStyle w:val="FirstParagraph"/>
      </w:pPr>
      <w:r>
        <w:rPr>
          <w:bCs/>
          <w:b/>
        </w:rPr>
        <w:t xml:space="preserve">Zeker (geregistreerde studies):</w:t>
      </w:r>
    </w:p>
    <w:p>
      <w:pPr>
        <w:numPr>
          <w:ilvl w:val="0"/>
          <w:numId w:val="1268"/>
        </w:numPr>
        <w:pStyle w:val="Compact"/>
      </w:pPr>
      <w:r>
        <w:rPr>
          <w:bCs/>
          <w:b/>
        </w:rPr>
        <w:t xml:space="preserve">Vitiligo, fase 3:</w:t>
      </w:r>
      <w:r>
        <w:t xml:space="preserve"> </w:t>
      </w:r>
      <w:r>
        <w:t xml:space="preserve">een studie met 200 personen vergelijkt afamelanotide plus smalband-UVB met lichttherapie alleen</w:t>
      </w:r>
      <w:r>
        <w:rPr>
          <w:rStyle w:val="FootnoteReference"/>
        </w:rPr>
        <w:footnoteReference w:id="2128"/>
      </w:r>
      <w:r>
        <w:t xml:space="preserve">. Het geplande einde lag in juni 2026; peer-reviewed resultaten waren bij het afsluiten van de redactie niet in PubMed gepubliceerd. Een kleine studie naar vitiligo in het gezicht</w:t>
      </w:r>
      <w:r>
        <w:rPr>
          <w:rStyle w:val="FootnoteReference"/>
        </w:rPr>
        <w:footnoteReference w:id="2129"/>
      </w:r>
      <w:r>
        <w:t xml:space="preserve"> </w:t>
      </w:r>
      <w:r>
        <w:t xml:space="preserve">is geregistreerd.</w:t>
      </w:r>
    </w:p>
    <w:p>
      <w:pPr>
        <w:numPr>
          <w:ilvl w:val="0"/>
          <w:numId w:val="1268"/>
        </w:numPr>
        <w:pStyle w:val="Compact"/>
      </w:pPr>
      <w:r>
        <w:rPr>
          <w:bCs/>
          <w:b/>
        </w:rPr>
        <w:t xml:space="preserve">Andere zeldzame lichtziekten:</w:t>
      </w:r>
      <w:r>
        <w:t xml:space="preserve"> </w:t>
      </w:r>
      <w:r>
        <w:t xml:space="preserve">kleine fase 2-studies naar porphyria variegata (NCT05854784, afgerond) en naar xeroderma pigmentosum, een erfelijke ziekte met verstoord herstel van uv-schade</w:t>
      </w:r>
      <w:r>
        <w:rPr>
          <w:rStyle w:val="FootnoteReference"/>
        </w:rPr>
        <w:footnoteReference w:id="2130"/>
      </w:r>
      <w:r>
        <w:t xml:space="preserve">.</w:t>
      </w:r>
    </w:p>
    <w:p>
      <w:pPr>
        <w:numPr>
          <w:ilvl w:val="0"/>
          <w:numId w:val="1268"/>
        </w:numPr>
        <w:pStyle w:val="Compact"/>
      </w:pPr>
      <w:r>
        <w:rPr>
          <w:bCs/>
          <w:b/>
        </w:rPr>
        <w:t xml:space="preserve">Farmacologie:</w:t>
      </w:r>
      <w:r>
        <w:t xml:space="preserve"> </w:t>
      </w:r>
      <w:r>
        <w:t xml:space="preserve">een studie naar de farmacokinetiek bij EPP met 28 personen is afgerond</w:t>
      </w:r>
      <w:r>
        <w:rPr>
          <w:rStyle w:val="FootnoteReference"/>
        </w:rPr>
        <w:footnoteReference w:id="2131"/>
      </w:r>
      <w:r>
        <w:t xml:space="preserve">.</w:t>
      </w:r>
    </w:p>
    <w:p>
      <w:pPr>
        <w:pStyle w:val="FirstParagraph"/>
      </w:pPr>
      <w:r>
        <w:rPr>
          <w:bCs/>
          <w:b/>
        </w:rPr>
        <w:t xml:space="preserve">Nieuwe concurrentie:</w:t>
      </w:r>
      <w:r>
        <w:t xml:space="preserve"> </w:t>
      </w:r>
      <w:r>
        <w:t xml:space="preserve">voor EPP worden twee tabletten ontwikkeld: dersimelagon, een niet-peptidische MC1R-agonist, en bitopertine, dat aangrijpt op de aanmaak van de rode bloedkleurstof. Beide lieten in studies effecten zien ten opzichte van placebo; vergelijkingen met afamelanotide ontbreken nog</w:t>
      </w:r>
      <w:r>
        <w:rPr>
          <w:rStyle w:val="FootnoteReference"/>
        </w:rPr>
        <w:footnoteReference w:id="2132"/>
      </w:r>
      <w:r>
        <w:t xml:space="preserve">.</w:t>
      </w:r>
    </w:p>
    <w:p>
      <w:pPr>
        <w:pStyle w:val="BodyText"/>
      </w:pPr>
      <w:r>
        <w:rPr>
          <w:bCs/>
          <w:b/>
        </w:rPr>
        <w:t xml:space="preserve">Inschatting van de auteur:</w:t>
      </w:r>
      <w:r>
        <w:t xml:space="preserve"> </w:t>
      </w:r>
      <w:r>
        <w:t xml:space="preserve">afamelanotide blijft voorlopig de referentie voor EPP. Of het bij vitiligo een rol speelt, hangt af van het resultaat van de fase 3-studie; de combinatie met lichttherapie is bewerkelijk, en met de JAK-remmercrèmes zijn er inmiddels andere opties. Een registratie voor jongeren zou voor EPP bijzonder belangrijk zijn, omdat de ziekte in de kindertijd begint.</w:t>
      </w:r>
    </w:p>
    <w:bookmarkEnd w:id="2133"/>
    <w:bookmarkStart w:id="2134" w:name="conclusie-48"/>
    <w:p>
      <w:pPr>
        <w:pStyle w:val="Heading3"/>
      </w:pPr>
      <w:r>
        <w:t xml:space="preserve">Conclusie</w:t>
      </w:r>
    </w:p>
    <w:p>
      <w:pPr>
        <w:pStyle w:val="FirstParagraph"/>
      </w:pPr>
      <w:r>
        <w:t xml:space="preserve">Afamelanotide is het best onderzochte en het enige in de EU geregistreerde peptide dat de bruining van de huid via het melanocortinesysteem stimuleert. Bij volwassenen met erytropoëtische protoporfyrie verlengde het in twee gerandomiseerde studies de pijnvrije tijd in het zonlicht en verbeterde het de kwaliteit van leven; langetermijncohorten uit meerdere landen laten hoge percentages voortzetting zien bij overwegend lichte bijwerkingen. Bij vitiligo versnelde het in een gerandomiseerde studie de repigmentatie onder lichttherapie; de fase 3-resultaten worden nog verwacht. Met „melanotan I” van de grijze markt voor cosmetische bruining heeft het gecontroleerde implantaat in de gespecialiseerde polikliniek vrijwel niets gemeen.</w:t>
      </w:r>
    </w:p>
    <w:bookmarkEnd w:id="2134"/>
    <w:bookmarkEnd w:id="2135"/>
    <w:bookmarkStart w:id="2194" w:name="kisspeptine"/>
    <w:p>
      <w:pPr>
        <w:pStyle w:val="Heading2"/>
      </w:pPr>
      <w:r>
        <w:t xml:space="preserve">Kisspeptine</w:t>
      </w:r>
    </w:p>
    <w:bookmarkStart w:id="2138" w:name="profiel-49"/>
    <w:p>
      <w:pPr>
        <w:pStyle w:val="Heading3"/>
      </w:pPr>
      <w:r>
        <w:t xml:space="preserve">Profiel</w:t>
      </w:r>
    </w:p>
    <w:p>
      <w:pPr>
        <w:numPr>
          <w:ilvl w:val="0"/>
          <w:numId w:val="1269"/>
        </w:numPr>
        <w:pStyle w:val="Compact"/>
      </w:pPr>
      <w:r>
        <w:rPr>
          <w:bCs/>
          <w:b/>
        </w:rPr>
        <w:t xml:space="preserve">Soort/structuur:</w:t>
      </w:r>
      <w:r>
        <w:t xml:space="preserve"> </w:t>
      </w:r>
      <w:r>
        <w:t xml:space="preserve">lichaamseigen peptidefamilie. Het gen KISS1 levert een voorlopereiwit waaruit stukken van verschillende lengte ontstaan: kisspeptine-54 (54 aminozuren, de vorm die in het bloed overheerst), kisspeptine-14, -13 en -10. De kortste vorm, kisspeptine-10, bevat al het volledig werkzame deel. In studies worden de natuurlijke vormen gebruikt en synthetische, stabielere varianten (zoals MVT-602 en TAK-448).</w:t>
      </w:r>
    </w:p>
    <w:p>
      <w:pPr>
        <w:numPr>
          <w:ilvl w:val="0"/>
          <w:numId w:val="1269"/>
        </w:numPr>
        <w:pStyle w:val="Compact"/>
      </w:pPr>
      <w:r>
        <w:rPr>
          <w:bCs/>
          <w:b/>
        </w:rPr>
        <w:t xml:space="preserve">Herkomst:</w:t>
      </w:r>
      <w:r>
        <w:t xml:space="preserve"> </w:t>
      </w:r>
      <w:r>
        <w:t xml:space="preserve">in 1996 eerst ontdekt als gen dat de uitzaaiing van melanoomcellen afremt</w:t>
      </w:r>
      <w:r>
        <w:rPr>
          <w:rStyle w:val="FootnoteReference"/>
        </w:rPr>
        <w:footnoteReference w:id="2136"/>
      </w:r>
      <w:r>
        <w:t xml:space="preserve">. De naam gaat terug op de stad Hershey in Pennsylvania, thuis van de chocoladesoort „Kisses”. In 2001 werd het peptide geïdentificeerd als boodschapperstof van een tot dan toe „verweesde” receptor en eerst metastine genoemd</w:t>
      </w:r>
      <w:r>
        <w:rPr>
          <w:rStyle w:val="FootnoteReference"/>
        </w:rPr>
        <w:footnoteReference w:id="2137"/>
      </w:r>
      <w:r>
        <w:t xml:space="preserve">.</w:t>
      </w:r>
    </w:p>
    <w:p>
      <w:pPr>
        <w:numPr>
          <w:ilvl w:val="0"/>
          <w:numId w:val="1269"/>
        </w:numPr>
        <w:pStyle w:val="Compact"/>
      </w:pPr>
      <w:r>
        <w:rPr>
          <w:bCs/>
          <w:b/>
        </w:rPr>
        <w:t xml:space="preserve">Werkingsprincipe:</w:t>
      </w:r>
      <w:r>
        <w:t xml:space="preserve"> </w:t>
      </w:r>
      <w:r>
        <w:t xml:space="preserve">agonist van de kisspeptinereceptor (KISS1R, vroeger GPR54) op de GnRH-zenuwcellen in de hypothalamus. Kisspeptine is de belangrijkste bekende aanzet tot de afgifte van GnRH en daarmee voor de hele hormonale as van de voortplanting.</w:t>
      </w:r>
    </w:p>
    <w:p>
      <w:pPr>
        <w:numPr>
          <w:ilvl w:val="0"/>
          <w:numId w:val="1269"/>
        </w:numPr>
        <w:pStyle w:val="Compact"/>
      </w:pPr>
      <w:r>
        <w:rPr>
          <w:bCs/>
          <w:b/>
        </w:rPr>
        <w:t xml:space="preserve">Registratie EU:</w:t>
      </w:r>
      <w:r>
        <w:t xml:space="preserve"> </w:t>
      </w:r>
      <w:r>
        <w:t xml:space="preserve">nee.</w:t>
      </w:r>
    </w:p>
    <w:p>
      <w:pPr>
        <w:numPr>
          <w:ilvl w:val="0"/>
          <w:numId w:val="1269"/>
        </w:numPr>
        <w:pStyle w:val="Compact"/>
      </w:pPr>
      <w:r>
        <w:rPr>
          <w:bCs/>
          <w:b/>
        </w:rPr>
        <w:t xml:space="preserve">Registratie VS:</w:t>
      </w:r>
      <w:r>
        <w:t xml:space="preserve"> </w:t>
      </w:r>
      <w:r>
        <w:t xml:space="preserve">nee.</w:t>
      </w:r>
    </w:p>
    <w:p>
      <w:pPr>
        <w:numPr>
          <w:ilvl w:val="0"/>
          <w:numId w:val="1269"/>
        </w:numPr>
        <w:pStyle w:val="Compact"/>
      </w:pPr>
      <w:r>
        <w:rPr>
          <w:bCs/>
          <w:b/>
        </w:rPr>
        <w:t xml:space="preserve">WADA:</w:t>
      </w:r>
      <w:r>
        <w:t xml:space="preserve"> </w:t>
      </w:r>
      <w:r>
        <w:t xml:space="preserve">niet bij naam genoemd. Als niet-goedgekeurde werkzame stof valt kisspeptine onder S0; bij mannen omvat bovendien groep S2 vrijmakende factoren van het luteïniserend hormoon.</w:t>
      </w:r>
    </w:p>
    <w:p>
      <w:pPr>
        <w:numPr>
          <w:ilvl w:val="0"/>
          <w:numId w:val="1269"/>
        </w:numPr>
        <w:pStyle w:val="Compact"/>
      </w:pPr>
      <w:r>
        <w:rPr>
          <w:bCs/>
          <w:b/>
        </w:rPr>
        <w:t xml:space="preserve">Bewijsniveau:</w:t>
      </w:r>
      <w:r>
        <w:t xml:space="preserve"> </w:t>
      </w:r>
      <w:r>
        <w:rPr>
          <w:bCs/>
          <w:b/>
        </w:rPr>
        <w:t xml:space="preserve">B</w:t>
      </w:r>
      <w:r>
        <w:t xml:space="preserve"> </w:t>
      </w:r>
      <w:r>
        <w:t xml:space="preserve">– talrijke kleine, deels gerandomiseerde studies en meerdere gerandomiseerde fase 2-studies, vooral uit Londen en Boston. Geen fase 3-studie, geen registratie.</w:t>
      </w:r>
    </w:p>
    <w:bookmarkEnd w:id="2138"/>
    <w:bookmarkStart w:id="2140" w:name="hoe-het-zou-moeten-werken-49"/>
    <w:p>
      <w:pPr>
        <w:pStyle w:val="Heading3"/>
      </w:pPr>
      <w:r>
        <w:t xml:space="preserve">Hoe het zou moeten werken</w:t>
      </w:r>
    </w:p>
    <w:p>
      <w:pPr>
        <w:pStyle w:val="FirstParagraph"/>
      </w:pPr>
      <w:r>
        <w:t xml:space="preserve">De voortplanting van de mens wordt aangestuurd door een keten van hormonen. Bovenaan staat het hormoon GnRH (gonadotropine-releasing hormoon) uit de hypothalamus, dat in pulsen wordt afgegeven. Het zet de hypofyse aan tot afgifte van de hormonen LH (luteïniserend hormoon) en FSH (follikelstimulerend hormoon). Die sturen op hun beurt eierstokken en zaadballen aan: eicelrijping en eisprong, zaadcelvorming, productie van oestrogeen en testosteron. Het hoofdstuk over gonadoreline (2E06) beschrijft deze as nader.</w:t>
      </w:r>
    </w:p>
    <w:p>
      <w:pPr>
        <w:pStyle w:val="BodyText"/>
      </w:pPr>
      <w:r>
        <w:t xml:space="preserve">Kisspeptine zit één niveau boven GnRH. Speciale zenuwcellen in de hypothalamus geven het af en „schakelen” daarmee de GnRH-cellen in. Hoe centraal deze functie is, bleek in 2003: mensen met een defecte kisspeptinereceptor komen niet in de puberteit en blijven onvruchtbaar</w:t>
      </w:r>
      <w:r>
        <w:rPr>
          <w:rStyle w:val="FootnoteReference"/>
        </w:rPr>
        <w:footnoteReference w:id="2139"/>
      </w:r>
      <w:r>
        <w:t xml:space="preserve">.</w:t>
      </w:r>
    </w:p>
    <w:p>
      <w:pPr>
        <w:pStyle w:val="BodyText"/>
      </w:pPr>
      <w:r>
        <w:t xml:space="preserve">Voor de geneeskunde is kisspeptine om twee redenen interessant:</w:t>
      </w:r>
    </w:p>
    <w:p>
      <w:pPr>
        <w:numPr>
          <w:ilvl w:val="0"/>
          <w:numId w:val="1270"/>
        </w:numPr>
        <w:pStyle w:val="Compact"/>
      </w:pPr>
      <w:r>
        <w:rPr>
          <w:bCs/>
          <w:b/>
        </w:rPr>
        <w:t xml:space="preserve">Het werkt „van bovenaf”.</w:t>
      </w:r>
      <w:r>
        <w:t xml:space="preserve"> </w:t>
      </w:r>
      <w:r>
        <w:t xml:space="preserve">Anders dan geneesmiddelen die LH of FSH rechtstreeks vervangen, stimuleert kisspeptine de lichaamseigen GnRH-afgifte. De daaropvolgende hormoonafgifte blijft onderworpen aan de natuurlijke terugkoppelingen. Dat maakt een overstimulatie van de eierstokken minder waarschijnlijk.</w:t>
      </w:r>
    </w:p>
    <w:p>
      <w:pPr>
        <w:numPr>
          <w:ilvl w:val="0"/>
          <w:numId w:val="1270"/>
        </w:numPr>
        <w:pStyle w:val="Compact"/>
      </w:pPr>
      <w:r>
        <w:rPr>
          <w:bCs/>
          <w:b/>
        </w:rPr>
        <w:t xml:space="preserve">Kortdurend werkt het stimulerend, langdurig remmend.</w:t>
      </w:r>
      <w:r>
        <w:t xml:space="preserve"> </w:t>
      </w:r>
      <w:r>
        <w:t xml:space="preserve">Bij ononderbroken toediening wennen de receptoren aan het signaal (tachyfylaxie) en schakelt de hormonale as terug. Dat is een probleem als men de vruchtbaarheid wil bevorderen – en een kans als men hormonen wil verlagen, bijvoorbeeld bij prostaatkanker.</w:t>
      </w:r>
    </w:p>
    <w:p>
      <w:pPr>
        <w:pStyle w:val="FirstParagraph"/>
      </w:pPr>
      <w:r>
        <w:t xml:space="preserve">Kisspeptinereceptoren komen ook voor in hersengebieden die emoties en seksuele prikkels verwerken. Daaruit ontstond het idee dat kisspeptine het seksueel verlangen zou kunnen beïnvloeden.</w:t>
      </w:r>
    </w:p>
    <w:bookmarkEnd w:id="2140"/>
    <w:bookmarkStart w:id="2175" w:name="studies-bij-mensen-4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37</w:t>
      </w:r>
      <w:r>
        <w:t xml:space="preserve"> </w:t>
      </w:r>
      <w:r>
        <w:t xml:space="preserve">studies bij mensen in PubMed (</w:t>
      </w:r>
      <w:r>
        <w:rPr>
          <w:rStyle w:val="VerbatimChar"/>
        </w:rPr>
        <w:t xml:space="preserve">humanstudien_alle</w:t>
      </w:r>
      <w:r>
        <w:t xml:space="preserve">) en</w:t>
      </w:r>
      <w:r>
        <w:t xml:space="preserve"> </w:t>
      </w:r>
      <w:r>
        <w:rPr>
          <w:bCs/>
          <w:b/>
        </w:rPr>
        <w:t xml:space="preserve">36</w:t>
      </w:r>
      <w:r>
        <w:t xml:space="preserve"> </w:t>
      </w:r>
      <w:r>
        <w:t xml:space="preserve">registraties bij ClinicalTrials.gov. Niet in al deze studies wordt kisspeptine toegediend: sommige meten alleen kisspeptinespiegels in het bloed, bijvoorbeeld tijdens de zwangerschap. De toediening van kisspeptine bij mensen werd door weinig onderzoeksgroepen vooruitgebracht, vooral aan het Imperial College London en het Massachusetts General Hospital in Boston. De meeste studies hebben minder dan 50 deelnemers.</w:t>
      </w:r>
    </w:p>
    <w:bookmarkStart w:id="2145" w:name="eerste-toedieningen-en-basiskennis"/>
    <w:p>
      <w:pPr>
        <w:pStyle w:val="Heading4"/>
      </w:pPr>
      <w:r>
        <w:t xml:space="preserve">Eerste toedieningen en basiskennis</w:t>
      </w:r>
    </w:p>
    <w:p>
      <w:pPr>
        <w:pStyle w:val="FirstParagraph"/>
      </w:pPr>
      <w:r>
        <w:t xml:space="preserve">Aan de eerste studie bij mensen namen in 2005 zes gezonde mannen deel. Een infuus van 90 minuten met kisspeptine-54 verhoogde LH, FSH en testosteron significant ten opzichte van zoutoplossing</w:t>
      </w:r>
      <w:r>
        <w:rPr>
          <w:rStyle w:val="FootnoteReference"/>
        </w:rPr>
        <w:footnoteReference w:id="2141"/>
      </w:r>
      <w:r>
        <w:t xml:space="preserve">. De halfwaardetijd in het bloed lag op bijna 28 minuten. Bij vrouwen hangt het effect sterk af van de cyclusfase en is het kort vóór de eisprong het sterkst</w:t>
      </w:r>
      <w:r>
        <w:rPr>
          <w:rStyle w:val="FootnoteReference"/>
        </w:rPr>
        <w:footnoteReference w:id="2142"/>
      </w:r>
      <w:r>
        <w:t xml:space="preserve">.</w:t>
      </w:r>
    </w:p>
    <w:p>
      <w:pPr>
        <w:pStyle w:val="BodyText"/>
      </w:pPr>
      <w:r>
        <w:t xml:space="preserve">Kisspeptine-10 veroorzaakte bij gezonde mannen snel een dosisafhankelijke LH-stijging en verhoogde bij continu infuus de frequentie van de LH-pulsen</w:t>
      </w:r>
      <w:r>
        <w:rPr>
          <w:rStyle w:val="FootnoteReference"/>
        </w:rPr>
        <w:footnoteReference w:id="2143"/>
      </w:r>
      <w:r>
        <w:t xml:space="preserve">. Kinderen met een vertraagde puberteit reageerden zeer verschillend: sommigen hadden een duidelijke respons, anderen geen</w:t>
      </w:r>
      <w:r>
        <w:rPr>
          <w:rStyle w:val="FootnoteReference"/>
        </w:rPr>
        <w:footnoteReference w:id="2144"/>
      </w:r>
      <w:r>
        <w:t xml:space="preserve">. Dat zou in de toekomst kunnen helpen om een louter uitgestelde puberteit te onderscheiden van een blijvend hormoontekort.</w:t>
      </w:r>
    </w:p>
    <w:bookmarkEnd w:id="2145"/>
    <w:bookmarkStart w:id="2152" w:name="vruchtbaarheidsbehandeling-eicelrijping"/>
    <w:p>
      <w:pPr>
        <w:pStyle w:val="Heading4"/>
      </w:pPr>
      <w:r>
        <w:t xml:space="preserve">Vruchtbaarheidsbehandeling: eicelrijping</w:t>
      </w:r>
    </w:p>
    <w:p>
      <w:pPr>
        <w:pStyle w:val="FirstParagraph"/>
      </w:pPr>
      <w:r>
        <w:t xml:space="preserve">De tot nu toe verst ontwikkelde toepassing is het opwekken van de eicelrijping bij kunstmatige bevruchting (ivf). Normaal wordt daarvoor het hormoon hCG ingespoten. hCG werkt lang en kan bij gevoelige vrouwen een ovarieel hyperstimulatiesyndroom (OHSS) uitlokken – een vochtverschuiving die in het uiterste geval levensgevaarlijk is. Kisspeptine wekt in plaats daarvan een lichaamseigen, kortere LH-golf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Jayasena 2014, PMID 25036713</w:t>
            </w:r>
          </w:p>
        </w:tc>
        <w:tc>
          <w:tcPr/>
          <w:p>
            <w:pPr>
              <w:pStyle w:val="Compact"/>
              <w:jc w:val="left"/>
            </w:pPr>
            <w:r>
              <w:t xml:space="preserve">53 vrouwen in ivf-behandeling, dosisstudie zonder controlegroep</w:t>
            </w:r>
          </w:p>
        </w:tc>
        <w:tc>
          <w:tcPr/>
          <w:p>
            <w:pPr>
              <w:pStyle w:val="Compact"/>
              <w:jc w:val="left"/>
            </w:pPr>
            <w:r>
              <w:t xml:space="preserve">één cyclus</w:t>
            </w:r>
          </w:p>
        </w:tc>
        <w:tc>
          <w:tcPr/>
          <w:p>
            <w:pPr>
              <w:pStyle w:val="Compact"/>
              <w:jc w:val="left"/>
            </w:pPr>
            <w:r>
              <w:t xml:space="preserve">Eicelrijping bij alle doses; klinische zwangerschap 23%</w:t>
            </w:r>
          </w:p>
        </w:tc>
      </w:tr>
      <w:tr>
        <w:tc>
          <w:tcPr/>
          <w:p>
            <w:pPr>
              <w:pStyle w:val="Compact"/>
              <w:jc w:val="left"/>
            </w:pPr>
            <w:r>
              <w:t xml:space="preserve">Abbara 2015, PMID 26192876</w:t>
            </w:r>
          </w:p>
        </w:tc>
        <w:tc>
          <w:tcPr/>
          <w:p>
            <w:pPr>
              <w:pStyle w:val="Compact"/>
              <w:jc w:val="left"/>
            </w:pPr>
            <w:r>
              <w:t xml:space="preserve">60 vrouwen met hoog OHSS-risico, gerandomiseerde dosisstudie</w:t>
            </w:r>
          </w:p>
        </w:tc>
        <w:tc>
          <w:tcPr/>
          <w:p>
            <w:pPr>
              <w:pStyle w:val="Compact"/>
              <w:jc w:val="left"/>
            </w:pPr>
            <w:r>
              <w:t xml:space="preserve">één cyclus</w:t>
            </w:r>
          </w:p>
        </w:tc>
        <w:tc>
          <w:tcPr/>
          <w:p>
            <w:pPr>
              <w:pStyle w:val="Compact"/>
              <w:jc w:val="left"/>
            </w:pPr>
            <w:r>
              <w:t xml:space="preserve">Eicelrijping bij 95%; levendgeboorte 45% per transfer; geen matig of ernstig OHSS</w:t>
            </w:r>
          </w:p>
        </w:tc>
      </w:tr>
      <w:tr>
        <w:tc>
          <w:tcPr/>
          <w:p>
            <w:pPr>
              <w:pStyle w:val="Compact"/>
              <w:jc w:val="left"/>
            </w:pPr>
            <w:r>
              <w:t xml:space="preserve">Abbara 2017, PMID 28854728</w:t>
            </w:r>
          </w:p>
        </w:tc>
        <w:tc>
          <w:tcPr/>
          <w:p>
            <w:pPr>
              <w:pStyle w:val="Compact"/>
              <w:jc w:val="left"/>
            </w:pPr>
            <w:r>
              <w:t xml:space="preserve">62 vrouwen met hoog OHSS-risico, RCT: tweede dosis vs. zoutoplossing</w:t>
            </w:r>
          </w:p>
        </w:tc>
        <w:tc>
          <w:tcPr/>
          <w:p>
            <w:pPr>
              <w:pStyle w:val="Compact"/>
              <w:jc w:val="left"/>
            </w:pPr>
            <w:r>
              <w:t xml:space="preserve">één cyclus</w:t>
            </w:r>
          </w:p>
        </w:tc>
        <w:tc>
          <w:tcPr/>
          <w:p>
            <w:pPr>
              <w:pStyle w:val="Compact"/>
              <w:jc w:val="left"/>
            </w:pPr>
            <w:r>
              <w:t xml:space="preserve">voldoende eicelopbrengst bij 71% vs. 45%</w:t>
            </w:r>
          </w:p>
        </w:tc>
      </w:tr>
      <w:tr>
        <w:tc>
          <w:tcPr/>
          <w:p>
            <w:pPr>
              <w:pStyle w:val="Compact"/>
              <w:jc w:val="left"/>
            </w:pPr>
            <w:r>
              <w:t xml:space="preserve">Abbara 2024, PMID 37925096</w:t>
            </w:r>
          </w:p>
        </w:tc>
        <w:tc>
          <w:tcPr/>
          <w:p>
            <w:pPr>
              <w:pStyle w:val="Compact"/>
              <w:jc w:val="left"/>
            </w:pPr>
            <w:r>
              <w:t xml:space="preserve">24 resp. 75 gezonde vrouwen, twee RCT’s met de analoog MVT-602</w:t>
            </w:r>
          </w:p>
        </w:tc>
        <w:tc>
          <w:tcPr/>
          <w:p>
            <w:pPr>
              <w:pStyle w:val="Compact"/>
              <w:jc w:val="left"/>
            </w:pPr>
            <w:r>
              <w:t xml:space="preserve">eenmalige dosis</w:t>
            </w:r>
          </w:p>
        </w:tc>
        <w:tc>
          <w:tcPr/>
          <w:p>
            <w:pPr>
              <w:pStyle w:val="Compact"/>
              <w:jc w:val="left"/>
            </w:pPr>
            <w:r>
              <w:t xml:space="preserve">LH-stijging vergelijkbaar met het natuurlijke midden van de cyclus; eisprong binnen 5 dagen bij maximaal 100%</w:t>
            </w:r>
          </w:p>
        </w:tc>
      </w:tr>
    </w:tbl>
    <w:p>
      <w:pPr>
        <w:pStyle w:val="BodyText"/>
      </w:pPr>
      <w:r>
        <w:t xml:space="preserve">In de eerste studie</w:t>
      </w:r>
      <w:r>
        <w:rPr>
          <w:rStyle w:val="FootnoteReference"/>
        </w:rPr>
        <w:footnoteReference w:id="2146"/>
      </w:r>
      <w:r>
        <w:t xml:space="preserve"> </w:t>
      </w:r>
      <w:r>
        <w:t xml:space="preserve">kregen 53 vrouwen één enkele kisspeptine-injectie. Bij alle geteste doses rijpten eicellen; bij 49 vrouwen werden embryo’s teruggeplaatst, twaalf werden klinisch zwanger. Daarmee was voor het eerst aangetoond dat na een door kisspeptine gestuurde eicelrijping een zwangerschap mogelijk is.</w:t>
      </w:r>
    </w:p>
    <w:p>
      <w:pPr>
        <w:pStyle w:val="BodyText"/>
      </w:pPr>
      <w:r>
        <w:t xml:space="preserve">De vervolgstudie richtte zich op vrouwen met een hoog risico op overstimulatie</w:t>
      </w:r>
      <w:r>
        <w:rPr>
          <w:rStyle w:val="FootnoteReference"/>
        </w:rPr>
        <w:footnoteReference w:id="2147"/>
      </w:r>
      <w:r>
        <w:t xml:space="preserve">. Geen van de 60 vrouwen ontwikkelde een matig of ernstig OHSS; het percentage levendgeborenen per embryotransfer bedroeg 45%. Een tweede kisspeptinedosis tien uur na de eerste verbeterde de opbrengst van rijpe eicellen</w:t>
      </w:r>
      <w:r>
        <w:rPr>
          <w:rStyle w:val="FootnoteReference"/>
        </w:rPr>
        <w:footnoteReference w:id="2148"/>
      </w:r>
      <w:r>
        <w:t xml:space="preserve">.</w:t>
      </w:r>
    </w:p>
    <w:p>
      <w:pPr>
        <w:pStyle w:val="BodyText"/>
      </w:pPr>
      <w:r>
        <w:rPr>
          <w:bCs/>
          <w:b/>
        </w:rPr>
        <w:t xml:space="preserve">Plaatsing:</w:t>
      </w:r>
      <w:r>
        <w:t xml:space="preserve"> </w:t>
      </w:r>
      <w:r>
        <w:t xml:space="preserve">deze studies laten zien dat het principe werkt. Ze waren echter niet opgezet om kisspeptine rechtstreeks te vergelijken met de gevestigde alternatieven – naast hCG bestaat er voor hoogrisicopatiënten al het opwekken met een GnRH-agonist. De auteurs vragen zelf om zulke vergelijkende studies</w:t>
      </w:r>
      <w:r>
        <w:rPr>
          <w:rStyle w:val="FootnoteReference"/>
        </w:rPr>
        <w:footnoteReference w:id="2149"/>
      </w:r>
      <w:r>
        <w:t xml:space="preserve">.</w:t>
      </w:r>
    </w:p>
    <w:p>
      <w:pPr>
        <w:pStyle w:val="BodyText"/>
      </w:pPr>
      <w:r>
        <w:t xml:space="preserve">De synthetische analoog MVT-602 werkt duidelijk langer dan natuurlijk kisspeptine: de LH-piek kwam bij gezonde vrouwen na ongeveer 21 in plaats van 5 uur, de totale hoeveelheid afgegeven LH was ongeveer vier keer zo groot</w:t>
      </w:r>
      <w:r>
        <w:rPr>
          <w:rStyle w:val="FootnoteReference"/>
        </w:rPr>
        <w:footnoteReference w:id="2150"/>
      </w:r>
      <w:r>
        <w:t xml:space="preserve">. In twee gerandomiseerde studies met in totaal 99 vrouwen werd MVT-602 goed verdragen en wekte het in de tweede studie binnen vijf dagen een eisprong op, afhankelijk van de dosis bij 75 tot 100% van de vrouwen – maar ook bij 60% onder placebo, omdat de deelneemsters gezond waren</w:t>
      </w:r>
      <w:r>
        <w:rPr>
          <w:rStyle w:val="FootnoteReference"/>
        </w:rPr>
        <w:footnoteReference w:id="2151"/>
      </w:r>
      <w:r>
        <w:t xml:space="preserve">.</w:t>
      </w:r>
    </w:p>
    <w:bookmarkEnd w:id="2152"/>
    <w:bookmarkStart w:id="2158" w:name="uitblijvende-menstruatie-en-pcos"/>
    <w:p>
      <w:pPr>
        <w:pStyle w:val="Heading4"/>
      </w:pPr>
      <w:r>
        <w:t xml:space="preserve">Uitblijvende menstruatie en PCOS</w:t>
      </w:r>
    </w:p>
    <w:p>
      <w:pPr>
        <w:pStyle w:val="FirstParagraph"/>
      </w:pPr>
      <w:r>
        <w:t xml:space="preserve">Bij hypothalame amenorroe blijft de menstruatie uit omdat de hersenen – vaak door ondergewicht, intensief sporten of stress – te weinig GnRH afgeven. Eén kisspeptine-injectie verhoogde bij getroffen vrouwen LH en FSH krachtig. Bij toediening twee keer per dag gedurende twee weken was het effect echter bijna verdwenen</w:t>
      </w:r>
      <w:r>
        <w:rPr>
          <w:rStyle w:val="FootnoteReference"/>
        </w:rPr>
        <w:footnoteReference w:id="2153"/>
      </w:r>
      <w:r>
        <w:t xml:space="preserve">. Toediening twee keer per week leidde slechts tot gedeeltelijke gewenning</w:t>
      </w:r>
      <w:r>
        <w:rPr>
          <w:rStyle w:val="FootnoteReference"/>
        </w:rPr>
        <w:footnoteReference w:id="2154"/>
      </w:r>
      <w:r>
        <w:t xml:space="preserve">, en een continu infuus verdrievoudigde tijdelijk het aantal LH-pulsen</w:t>
      </w:r>
      <w:r>
        <w:rPr>
          <w:rStyle w:val="FootnoteReference"/>
        </w:rPr>
        <w:footnoteReference w:id="2155"/>
      </w:r>
      <w:r>
        <w:t xml:space="preserve">. Bij mensen met een genetisch defect in het neurokinine B-systeem herstelde een kisspeptine-infuus de pulsatiele hormoonafgifte</w:t>
      </w:r>
      <w:r>
        <w:rPr>
          <w:rStyle w:val="FootnoteReference"/>
        </w:rPr>
        <w:footnoteReference w:id="2156"/>
      </w:r>
      <w:r>
        <w:t xml:space="preserve">.</w:t>
      </w:r>
    </w:p>
    <w:p>
      <w:pPr>
        <w:pStyle w:val="BodyText"/>
      </w:pPr>
      <w:r>
        <w:t xml:space="preserve">Bij het polycysteus ovariumsyndroom (PCOS) ligt het ingewikkelder. In een pilotstudie met 12 vrouwen verhoogde kisspeptine de LH-spiegel slechts licht; twee vrouwen hadden een eisprong, bij de meesten gebeurde er niets</w:t>
      </w:r>
      <w:r>
        <w:rPr>
          <w:rStyle w:val="FootnoteReference"/>
        </w:rPr>
        <w:footnoteReference w:id="2157"/>
      </w:r>
      <w:r>
        <w:t xml:space="preserve">.</w:t>
      </w:r>
    </w:p>
    <w:bookmarkEnd w:id="2158"/>
    <w:bookmarkStart w:id="2161" w:name="mannen-testosteron-en-diabetes"/>
    <w:p>
      <w:pPr>
        <w:pStyle w:val="Heading4"/>
      </w:pPr>
      <w:r>
        <w:t xml:space="preserve">Mannen: testosteron en diabetes</w:t>
      </w:r>
    </w:p>
    <w:p>
      <w:pPr>
        <w:pStyle w:val="FirstParagraph"/>
      </w:pPr>
      <w:r>
        <w:t xml:space="preserve">Bij vijf mannen met diabetes type 2 en een verlaagd testosteron verhoogde een kisspeptine-10-infuus LH, de LH-pulsfrequentie en testosteron</w:t>
      </w:r>
      <w:r>
        <w:rPr>
          <w:rStyle w:val="FootnoteReference"/>
        </w:rPr>
        <w:footnoteReference w:id="2159"/>
      </w:r>
      <w:r>
        <w:t xml:space="preserve">. Een nieuwe studie met 15 gezonde mannen liet zien dat dagelijkse infusies van acht uur onder de huid de hormoonafgifte twaalf dagen lang in stand hielden, terwijl een continu infuus na vijf dagen geen effect meer had op LH en FSH</w:t>
      </w:r>
      <w:r>
        <w:rPr>
          <w:rStyle w:val="FootnoteReference"/>
        </w:rPr>
        <w:footnoteReference w:id="2160"/>
      </w:r>
      <w:r>
        <w:t xml:space="preserve">. Dat is een belangrijke stap richting een mogelijke langdurige behandeling.</w:t>
      </w:r>
    </w:p>
    <w:bookmarkEnd w:id="2161"/>
    <w:bookmarkStart w:id="2165" w:name="seksueel-verlangen-en-hersenen"/>
    <w:p>
      <w:pPr>
        <w:pStyle w:val="Heading4"/>
      </w:pPr>
      <w:r>
        <w:t xml:space="preserve">Seksueel verlangen en hersenen</w:t>
      </w:r>
    </w:p>
    <w:p>
      <w:pPr>
        <w:pStyle w:val="FirstParagraph"/>
      </w:pPr>
      <w:r>
        <w:t xml:space="preserve">De Londense groep onderzocht met functionele magnetische resonantie-imaging (fMRI) hoe kisspeptine de verwerking van erotische beelden verandert.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Comninos 2017, PMID 28112678</w:t>
            </w:r>
          </w:p>
        </w:tc>
        <w:tc>
          <w:tcPr/>
          <w:p>
            <w:pPr>
              <w:pStyle w:val="Compact"/>
              <w:jc w:val="left"/>
            </w:pPr>
            <w:r>
              <w:t xml:space="preserve">29 gezonde jonge mannen, cross-overstudie tegen placebo</w:t>
            </w:r>
          </w:p>
        </w:tc>
        <w:tc>
          <w:tcPr/>
          <w:p>
            <w:pPr>
              <w:pStyle w:val="Compact"/>
              <w:jc w:val="left"/>
            </w:pPr>
            <w:r>
              <w:t xml:space="preserve">eenmalig infuus</w:t>
            </w:r>
          </w:p>
        </w:tc>
        <w:tc>
          <w:tcPr/>
          <w:p>
            <w:pPr>
              <w:pStyle w:val="Compact"/>
              <w:jc w:val="left"/>
            </w:pPr>
            <w:r>
              <w:t xml:space="preserve">meer activiteit in limbische hersengebieden bij seksuele prikkels; minder negatieve stemming</w:t>
            </w:r>
          </w:p>
        </w:tc>
      </w:tr>
      <w:tr>
        <w:tc>
          <w:tcPr/>
          <w:p>
            <w:pPr>
              <w:pStyle w:val="Compact"/>
              <w:jc w:val="left"/>
            </w:pPr>
            <w:r>
              <w:t xml:space="preserve">Thurston 2022, PMID 36287566</w:t>
            </w:r>
          </w:p>
        </w:tc>
        <w:tc>
          <w:tcPr/>
          <w:p>
            <w:pPr>
              <w:pStyle w:val="Compact"/>
              <w:jc w:val="left"/>
            </w:pPr>
            <w:r>
              <w:t xml:space="preserve">32 vrouwen met HSDD, dubbelblinde cross-overstudie</w:t>
            </w:r>
          </w:p>
        </w:tc>
        <w:tc>
          <w:tcPr/>
          <w:p>
            <w:pPr>
              <w:pStyle w:val="Compact"/>
              <w:jc w:val="left"/>
            </w:pPr>
            <w:r>
              <w:t xml:space="preserve">75 minuten</w:t>
            </w:r>
          </w:p>
        </w:tc>
        <w:tc>
          <w:tcPr/>
          <w:p>
            <w:pPr>
              <w:pStyle w:val="Compact"/>
              <w:jc w:val="left"/>
            </w:pPr>
            <w:r>
              <w:t xml:space="preserve">veranderde activiteit in hersengebieden voor seksuele prikkels en aantrekkelijkheid; geen bijwerkingen</w:t>
            </w:r>
          </w:p>
        </w:tc>
      </w:tr>
      <w:tr>
        <w:tc>
          <w:tcPr/>
          <w:p>
            <w:pPr>
              <w:pStyle w:val="Compact"/>
              <w:jc w:val="left"/>
            </w:pPr>
            <w:r>
              <w:t xml:space="preserve">Mills 2023, PMID 36735255</w:t>
            </w:r>
          </w:p>
        </w:tc>
        <w:tc>
          <w:tcPr/>
          <w:p>
            <w:pPr>
              <w:pStyle w:val="Compact"/>
              <w:jc w:val="left"/>
            </w:pPr>
            <w:r>
              <w:t xml:space="preserve">32 mannen met HSDD, dubbelblinde cross-overstudie</w:t>
            </w:r>
          </w:p>
        </w:tc>
        <w:tc>
          <w:tcPr/>
          <w:p>
            <w:pPr>
              <w:pStyle w:val="Compact"/>
              <w:jc w:val="left"/>
            </w:pPr>
            <w:r>
              <w:t xml:space="preserve">75 minuten</w:t>
            </w:r>
          </w:p>
        </w:tc>
        <w:tc>
          <w:tcPr/>
          <w:p>
            <w:pPr>
              <w:pStyle w:val="Compact"/>
              <w:jc w:val="left"/>
            </w:pPr>
            <w:r>
              <w:t xml:space="preserve">veranderde hersenactiviteit; zwelling van de penis bij erotische video’s tot 56% sterker dan onder placebo</w:t>
            </w:r>
          </w:p>
        </w:tc>
      </w:tr>
    </w:tbl>
    <w:p>
      <w:pPr>
        <w:pStyle w:val="BodyText"/>
      </w:pPr>
      <w:r>
        <w:t xml:space="preserve">HSDD (hypoactieve seksuele verlangenstoornis) betekent een aanhoudend gering seksueel verlangen met lijdensdruk. Bij mannen met HSDD versterkte een eenmalig kisspeptine-infuus niet alleen de activiteit van seksuele hersengebieden, maar ook de meetbare lichamelijke opwinding en afzonderlijke opgaven over verlangen, zoals het „uitkijken naar seks”</w:t>
      </w:r>
      <w:r>
        <w:rPr>
          <w:rStyle w:val="FootnoteReference"/>
        </w:rPr>
        <w:footnoteReference w:id="2162"/>
      </w:r>
      <w:r>
        <w:t xml:space="preserve">. Bij vrouwen met HSDD correleerden de veranderingen in hersenactiviteit met de lijdensdruk en de seksuele afkeer</w:t>
      </w:r>
      <w:r>
        <w:rPr>
          <w:rStyle w:val="FootnoteReference"/>
        </w:rPr>
        <w:footnoteReference w:id="2163"/>
      </w:r>
      <w:r>
        <w:t xml:space="preserve">.</w:t>
      </w:r>
    </w:p>
    <w:p>
      <w:pPr>
        <w:pStyle w:val="BodyText"/>
      </w:pPr>
      <w:r>
        <w:rPr>
          <w:bCs/>
          <w:b/>
        </w:rPr>
        <w:t xml:space="preserve">Plaatsing:</w:t>
      </w:r>
      <w:r>
        <w:t xml:space="preserve"> </w:t>
      </w:r>
      <w:r>
        <w:t xml:space="preserve">deze studies testen één infuus in het laboratorium, met hersenactiviteit als primaire uitkomstmaat. Ze zeggen niets over de vraag of kisspeptine in het dagelijks leven gedurende weken de seksuele beleving verbetert. Toediening als infuus is ongeschikt voor een behandeling in het dagelijks leven. Een studie met 95 personen vond geen effect op angst, cortisol, bloeddruk of hartslag</w:t>
      </w:r>
      <w:r>
        <w:rPr>
          <w:rStyle w:val="FootnoteReference"/>
        </w:rPr>
        <w:footnoteReference w:id="2164"/>
      </w:r>
      <w:r>
        <w:t xml:space="preserve"> </w:t>
      </w:r>
      <w:r>
        <w:t xml:space="preserve">– een geruststelling wat de verdraagbaarheid betreft, geen bewijs van werkzaamheid.</w:t>
      </w:r>
    </w:p>
    <w:bookmarkEnd w:id="2165"/>
    <w:bookmarkStart w:id="2167" w:name="neusspray"/>
    <w:p>
      <w:pPr>
        <w:pStyle w:val="Heading4"/>
      </w:pPr>
      <w:r>
        <w:t xml:space="preserve">Neusspray</w:t>
      </w:r>
    </w:p>
    <w:p>
      <w:pPr>
        <w:pStyle w:val="FirstParagraph"/>
      </w:pPr>
      <w:r>
        <w:t xml:space="preserve">Een neusspray met kisspeptine-54 verhoogde LH bij gezonde mannen en vrouwen en bij vrouwen met hypothalame amenorroe, zonder bijwerkingen</w:t>
      </w:r>
      <w:r>
        <w:rPr>
          <w:rStyle w:val="FootnoteReference"/>
        </w:rPr>
        <w:footnoteReference w:id="2166"/>
      </w:r>
      <w:r>
        <w:t xml:space="preserve">. Dat wijst op een mogelijke weg naar een behandeling zonder naald. Bij muizen werd kisspeptine aangetoond in het reukslijmvlies, wat wijst op een route via het reuksysteem.</w:t>
      </w:r>
    </w:p>
    <w:bookmarkEnd w:id="2167"/>
    <w:bookmarkStart w:id="2171" w:name="overige-bevindingen"/>
    <w:p>
      <w:pPr>
        <w:pStyle w:val="Heading4"/>
      </w:pPr>
      <w:r>
        <w:t xml:space="preserve">Overige bevindingen</w:t>
      </w:r>
    </w:p>
    <w:p>
      <w:pPr>
        <w:numPr>
          <w:ilvl w:val="0"/>
          <w:numId w:val="1271"/>
        </w:numPr>
        <w:pStyle w:val="Compact"/>
      </w:pPr>
      <w:r>
        <w:rPr>
          <w:bCs/>
          <w:b/>
        </w:rPr>
        <w:t xml:space="preserve">Botten:</w:t>
      </w:r>
      <w:r>
        <w:t xml:space="preserve"> </w:t>
      </w:r>
      <w:r>
        <w:t xml:space="preserve">bij 26 gezonde mannen steeg na een kisspeptinetoediening de botopbouwmarker osteocalcine met maximaal 20,3%</w:t>
      </w:r>
      <w:r>
        <w:rPr>
          <w:rStyle w:val="FootnoteReference"/>
        </w:rPr>
        <w:footnoteReference w:id="2168"/>
      </w:r>
      <w:r>
        <w:t xml:space="preserve">.</w:t>
      </w:r>
    </w:p>
    <w:p>
      <w:pPr>
        <w:numPr>
          <w:ilvl w:val="0"/>
          <w:numId w:val="1271"/>
        </w:numPr>
        <w:pStyle w:val="Compact"/>
      </w:pPr>
      <w:r>
        <w:rPr>
          <w:bCs/>
          <w:b/>
        </w:rPr>
        <w:t xml:space="preserve">Stofwisseling:</w:t>
      </w:r>
      <w:r>
        <w:t xml:space="preserve"> </w:t>
      </w:r>
      <w:r>
        <w:t xml:space="preserve">bij 15 gezonde mannen verhoogde kisspeptine de insulineafgifte na suikertoediening, zonder eetlust of eetmenge te veranderen</w:t>
      </w:r>
      <w:r>
        <w:rPr>
          <w:rStyle w:val="FootnoteReference"/>
        </w:rPr>
        <w:footnoteReference w:id="2169"/>
      </w:r>
      <w:r>
        <w:t xml:space="preserve">.</w:t>
      </w:r>
    </w:p>
    <w:p>
      <w:pPr>
        <w:numPr>
          <w:ilvl w:val="0"/>
          <w:numId w:val="1271"/>
        </w:numPr>
        <w:pStyle w:val="Compact"/>
      </w:pPr>
      <w:r>
        <w:rPr>
          <w:bCs/>
          <w:b/>
        </w:rPr>
        <w:t xml:space="preserve">Oxytocine:</w:t>
      </w:r>
      <w:r>
        <w:t xml:space="preserve"> </w:t>
      </w:r>
      <w:r>
        <w:t xml:space="preserve">na een kisspeptine-injectie steeg de oxytocinespiegel in het bloed, bij mannen sterker dan bij vrouwen</w:t>
      </w:r>
      <w:r>
        <w:rPr>
          <w:rStyle w:val="FootnoteReference"/>
        </w:rPr>
        <w:footnoteReference w:id="2170"/>
      </w:r>
      <w:r>
        <w:t xml:space="preserve">. Dat wordt onderzocht als mogelijke test voor een oxytocinetekort (hoofdstuk 2E05).</w:t>
      </w:r>
    </w:p>
    <w:bookmarkEnd w:id="2171"/>
    <w:bookmarkStart w:id="2174" w:name="het-omgekeerde-hormonen-verlagen"/>
    <w:p>
      <w:pPr>
        <w:pStyle w:val="Heading4"/>
      </w:pPr>
      <w:r>
        <w:t xml:space="preserve">Het omgekeerde: hormonen verlagen</w:t>
      </w:r>
    </w:p>
    <w:p>
      <w:pPr>
        <w:pStyle w:val="FirstParagraph"/>
      </w:pPr>
      <w:r>
        <w:t xml:space="preserve">De synthetische analoog TAK-448 werd bij continue toediening een hormoonblokker. Bij gezonde mannen boven de 50 daalde testosteron na een week continu infuus tot het niveau van een castratie; bij mannen met prostaatkanker verlaagde een depotinjectie testosteron en de tumormarker PSA</w:t>
      </w:r>
      <w:r>
        <w:rPr>
          <w:rStyle w:val="FootnoteReference"/>
        </w:rPr>
        <w:footnoteReference w:id="2172"/>
      </w:r>
      <w:r>
        <w:t xml:space="preserve">. Twee andere fase 2-studies van de fabrikant werden voortijdig beëindigd</w:t>
      </w:r>
      <w:r>
        <w:rPr>
          <w:rStyle w:val="FootnoteReference"/>
        </w:rPr>
        <w:footnoteReference w:id="2173"/>
      </w:r>
      <w:r>
        <w:t xml:space="preserve">.</w:t>
      </w:r>
    </w:p>
    <w:bookmarkEnd w:id="2174"/>
    <w:bookmarkEnd w:id="2175"/>
    <w:bookmarkStart w:id="2180" w:name="dier--en-laboratoriumstudies-49"/>
    <w:p>
      <w:pPr>
        <w:pStyle w:val="Heading3"/>
      </w:pPr>
      <w:r>
        <w:t xml:space="preserve">Dier- en laboratoriumstudies</w:t>
      </w:r>
    </w:p>
    <w:p>
      <w:pPr>
        <w:pStyle w:val="FirstParagraph"/>
      </w:pPr>
      <w:r>
        <w:t xml:space="preserve">De rol van kisspeptine bij puberteit en voortplanting werd eerst aangetoond bij muizen met een uitgeschakeld receptorgen; de dieren blijven geslachtelijk onrijp</w:t>
      </w:r>
      <w:r>
        <w:rPr>
          <w:rStyle w:val="FootnoteReference"/>
        </w:rPr>
        <w:footnoteReference w:id="2176"/>
      </w:r>
      <w:r>
        <w:t xml:space="preserve">. Oorspronkelijk werd het peptide beschreven als rem op uitzaaiing: in celkweek en bij muizen remde het de verspreiding van melanoomcellen</w:t>
      </w:r>
      <w:r>
        <w:rPr>
          <w:rStyle w:val="FootnoteReference"/>
        </w:rPr>
        <w:footnoteReference w:id="2177"/>
      </w:r>
      <w:r>
        <w:t xml:space="preserve">. Of dat therapeutisch bruikbaar is, is open.</w:t>
      </w:r>
    </w:p>
    <w:p>
      <w:pPr>
        <w:pStyle w:val="BodyText"/>
      </w:pPr>
      <w:r>
        <w:t xml:space="preserve">In rattenmodellen voor PCOS herstelde kisspeptine bij een deel van de dieren de eisprong, bij andere niet</w:t>
      </w:r>
      <w:r>
        <w:rPr>
          <w:rStyle w:val="FootnoteReference"/>
        </w:rPr>
        <w:footnoteReference w:id="2178"/>
      </w:r>
      <w:r>
        <w:t xml:space="preserve">. Het fundamenteel onderzoek naar kisspeptine en neurokinine B is samengevat in een overzichtsartikel</w:t>
      </w:r>
      <w:r>
        <w:rPr>
          <w:rStyle w:val="FootnoteReference"/>
        </w:rPr>
        <w:footnoteReference w:id="2179"/>
      </w:r>
      <w:r>
        <w:t xml:space="preserve">.</w:t>
      </w:r>
    </w:p>
    <w:bookmarkEnd w:id="2180"/>
    <w:bookmarkStart w:id="2188" w:name="risicos-en-bijwerkingen-49"/>
    <w:p>
      <w:pPr>
        <w:pStyle w:val="Heading3"/>
      </w:pPr>
      <w:r>
        <w:t xml:space="preserve">Risico’s en bijwerkingen</w:t>
      </w:r>
    </w:p>
    <w:bookmarkStart w:id="2185" w:name="aangetoond-9"/>
    <w:p>
      <w:pPr>
        <w:pStyle w:val="Heading4"/>
      </w:pPr>
      <w:r>
        <w:t xml:space="preserve">Aangetoond</w:t>
      </w:r>
    </w:p>
    <w:p>
      <w:pPr>
        <w:pStyle w:val="FirstParagraph"/>
      </w:pPr>
      <w:r>
        <w:t xml:space="preserve">In alle gepubliceerde studies werd kisspeptine goed verdragen. Meerdere studies melden uitdrukkelijk geen bijwerkingen</w:t>
      </w:r>
      <w:r>
        <w:rPr>
          <w:rStyle w:val="FootnoteReference"/>
        </w:rPr>
        <w:footnoteReference w:id="2181"/>
      </w:r>
      <w:r>
        <w:t xml:space="preserve">. Kisspeptine veranderde groeihormoon, prolactine en het schildklierstimulerende TSH niet</w:t>
      </w:r>
      <w:r>
        <w:rPr>
          <w:rStyle w:val="FootnoteReference"/>
        </w:rPr>
        <w:footnoteReference w:id="2182"/>
      </w:r>
      <w:r>
        <w:t xml:space="preserve"> </w:t>
      </w:r>
      <w:r>
        <w:t xml:space="preserve">en had geen invloed op angst, bloeddruk of hartslag</w:t>
      </w:r>
      <w:r>
        <w:rPr>
          <w:rStyle w:val="FootnoteReference"/>
        </w:rPr>
        <w:footnoteReference w:id="2183"/>
      </w:r>
      <w:r>
        <w:t xml:space="preserve">. Bij de analoog TAK-448 traden lichte tot matige bijwerkingen op bij 26% van de behandelden</w:t>
      </w:r>
      <w:r>
        <w:rPr>
          <w:rStyle w:val="FootnoteReference"/>
        </w:rPr>
        <w:footnoteReference w:id="2184"/>
      </w:r>
      <w:r>
        <w:t xml:space="preserve">.</w:t>
      </w:r>
    </w:p>
    <w:bookmarkEnd w:id="2185"/>
    <w:bookmarkStart w:id="2186" w:name="theoretisch-en-open"/>
    <w:p>
      <w:pPr>
        <w:pStyle w:val="Heading4"/>
      </w:pPr>
      <w:r>
        <w:t xml:space="preserve">Theoretisch en open</w:t>
      </w:r>
    </w:p>
    <w:p>
      <w:pPr>
        <w:numPr>
          <w:ilvl w:val="0"/>
          <w:numId w:val="1272"/>
        </w:numPr>
        <w:pStyle w:val="Compact"/>
      </w:pPr>
      <w:r>
        <w:rPr>
          <w:bCs/>
          <w:b/>
        </w:rPr>
        <w:t xml:space="preserve">Gewenning en hormoondaling:</w:t>
      </w:r>
      <w:r>
        <w:t xml:space="preserve"> </w:t>
      </w:r>
      <w:r>
        <w:t xml:space="preserve">bij continue toediening kan het omgekeerde van het gewenste effect optreden, zoals de studies met TAK-448 laten zien. Wie kisspeptine zonder medische controle gebruikt, riskeert dus een onderdrukking van de eigen hormonale as.</w:t>
      </w:r>
    </w:p>
    <w:p>
      <w:pPr>
        <w:numPr>
          <w:ilvl w:val="0"/>
          <w:numId w:val="1272"/>
        </w:numPr>
        <w:pStyle w:val="Compact"/>
      </w:pPr>
      <w:r>
        <w:rPr>
          <w:bCs/>
          <w:b/>
        </w:rPr>
        <w:t xml:space="preserve">Langetermijngegevens</w:t>
      </w:r>
      <w:r>
        <w:t xml:space="preserve"> </w:t>
      </w:r>
      <w:r>
        <w:t xml:space="preserve">ontbreken. De langste studies liepen acht weken.</w:t>
      </w:r>
    </w:p>
    <w:p>
      <w:pPr>
        <w:numPr>
          <w:ilvl w:val="0"/>
          <w:numId w:val="1272"/>
        </w:numPr>
        <w:pStyle w:val="Compact"/>
      </w:pPr>
      <w:r>
        <w:rPr>
          <w:bCs/>
          <w:b/>
        </w:rPr>
        <w:t xml:space="preserve">Zwangerschap:</w:t>
      </w:r>
      <w:r>
        <w:t xml:space="preserve"> </w:t>
      </w:r>
      <w:r>
        <w:t xml:space="preserve">bij gebruik in ivf werden kinderen geboren; systematische gegevens over de gezondheid van deze kinderen zijn niet gepubliceerd.</w:t>
      </w:r>
    </w:p>
    <w:bookmarkEnd w:id="2186"/>
    <w:bookmarkStart w:id="2187" w:name="grijze-markt-2"/>
    <w:p>
      <w:pPr>
        <w:pStyle w:val="Heading4"/>
      </w:pPr>
      <w:r>
        <w:t xml:space="preserve">Grijze markt</w:t>
      </w:r>
    </w:p>
    <w:p>
      <w:pPr>
        <w:pStyle w:val="FirstParagraph"/>
      </w:pPr>
      <w:r>
        <w:t xml:space="preserve">Kisspeptine-10 wordt op internet aangeboden als „research peptide” en op fora aangeprezen voor het verhogen van testosteron of libido. Studies naar zulke producten bestaan niet. Door de korte halfwaardetijd en de gewenning bij frequente toediening is een aanhoudend effect bij eigen gebruik niet aangetoond; zuiverheid en gehalte zijn niet gecontroleerd (zie Deel I en Deel IV).</w:t>
      </w:r>
    </w:p>
    <w:bookmarkEnd w:id="2187"/>
    <w:bookmarkEnd w:id="2188"/>
    <w:bookmarkStart w:id="2189" w:name="juridische-status-49"/>
    <w:p>
      <w:pPr>
        <w:pStyle w:val="Heading3"/>
      </w:pPr>
      <w:r>
        <w:t xml:space="preserve">Juridische status</w:t>
      </w:r>
    </w:p>
    <w:p>
      <w:pPr>
        <w:pStyle w:val="FirstParagraph"/>
      </w:pPr>
      <w:r>
        <w:rPr>
          <w:iCs/>
          <w:i/>
        </w:rPr>
        <w:t xml:space="preserve">Stand 2026, actuele situatie controleren.</w:t>
      </w:r>
    </w:p>
    <w:p>
      <w:pPr>
        <w:numPr>
          <w:ilvl w:val="0"/>
          <w:numId w:val="1273"/>
        </w:numPr>
        <w:pStyle w:val="Compact"/>
      </w:pPr>
      <w:r>
        <w:rPr>
          <w:bCs/>
          <w:b/>
        </w:rPr>
        <w:t xml:space="preserve">EU, Duitsland, Oostenrijk:</w:t>
      </w:r>
      <w:r>
        <w:t xml:space="preserve"> </w:t>
      </w:r>
      <w:r>
        <w:t xml:space="preserve">geen registratie. Kisspeptine mag bij mensen alleen worden toegepast in het kader van goedgekeurde klinische studies. Verkoop voor gebruik bij mensen is niet toegestaan.</w:t>
      </w:r>
    </w:p>
    <w:p>
      <w:pPr>
        <w:numPr>
          <w:ilvl w:val="0"/>
          <w:numId w:val="1273"/>
        </w:numPr>
        <w:pStyle w:val="Compact"/>
      </w:pPr>
      <w:r>
        <w:rPr>
          <w:bCs/>
          <w:b/>
        </w:rPr>
        <w:t xml:space="preserve">VS:</w:t>
      </w:r>
      <w:r>
        <w:t xml:space="preserve"> </w:t>
      </w:r>
      <w:r>
        <w:t xml:space="preserve">geen registratie; gebruik alleen in studies met toestemming van de FDA.</w:t>
      </w:r>
    </w:p>
    <w:p>
      <w:pPr>
        <w:numPr>
          <w:ilvl w:val="0"/>
          <w:numId w:val="1273"/>
        </w:numPr>
        <w:pStyle w:val="Compact"/>
      </w:pPr>
      <w:r>
        <w:rPr>
          <w:bCs/>
          <w:b/>
        </w:rPr>
        <w:t xml:space="preserve">WADA:</w:t>
      </w:r>
      <w:r>
        <w:t xml:space="preserve"> </w:t>
      </w:r>
      <w:r>
        <w:t xml:space="preserve">bij mannen zijn vrijmakende factoren van LH verboden volgens S2, niet-goedgekeurde werkzame stoffen in het algemeen volgens S0. Kisspeptine wordt niet bij naam genoemd, maar valt naar inschatting van de auteur onder deze groepen.</w:t>
      </w:r>
    </w:p>
    <w:bookmarkEnd w:id="2189"/>
    <w:bookmarkStart w:id="2192" w:name="lopende-studies-en-vooruitzichten-49"/>
    <w:p>
      <w:pPr>
        <w:pStyle w:val="Heading3"/>
      </w:pPr>
      <w:r>
        <w:t xml:space="preserve">Lopende studies en vooruitzichten</w:t>
      </w:r>
    </w:p>
    <w:p>
      <w:pPr>
        <w:pStyle w:val="FirstParagraph"/>
      </w:pPr>
      <w:r>
        <w:rPr>
          <w:bCs/>
          <w:b/>
        </w:rPr>
        <w:t xml:space="preserve">Zeker (geregistreerde studies):</w:t>
      </w:r>
    </w:p>
    <w:p>
      <w:pPr>
        <w:numPr>
          <w:ilvl w:val="0"/>
          <w:numId w:val="1274"/>
        </w:numPr>
        <w:pStyle w:val="Compact"/>
      </w:pPr>
      <w:r>
        <w:rPr>
          <w:bCs/>
          <w:b/>
        </w:rPr>
        <w:t xml:space="preserve">Massachusetts General Hospital, Boston:</w:t>
      </w:r>
      <w:r>
        <w:t xml:space="preserve"> </w:t>
      </w:r>
      <w:r>
        <w:t xml:space="preserve">meerdere fase 1- en fase 2-studies met herhaalde toediening van kisspeptine onder de huid bij aangeboren hormoontekort (idiopathisch hypogonadotroop hypogonadisme, NCT05896293, 36 personen, tot 2028) en bij hypothalame amenorroe (NCT07224438, 20 personen, tot 2030). Een andere studie gebruikt kisspeptine als test voor de functie van de GnRH-zenuwcellen</w:t>
      </w:r>
      <w:r>
        <w:rPr>
          <w:rStyle w:val="FootnoteReference"/>
        </w:rPr>
        <w:footnoteReference w:id="2190"/>
      </w:r>
      <w:r>
        <w:t xml:space="preserve">.</w:t>
      </w:r>
    </w:p>
    <w:p>
      <w:pPr>
        <w:numPr>
          <w:ilvl w:val="0"/>
          <w:numId w:val="1274"/>
        </w:numPr>
        <w:pStyle w:val="Compact"/>
      </w:pPr>
      <w:r>
        <w:rPr>
          <w:bCs/>
          <w:b/>
        </w:rPr>
        <w:t xml:space="preserve">Imperial College London:</w:t>
      </w:r>
      <w:r>
        <w:t xml:space="preserve"> </w:t>
      </w:r>
      <w:r>
        <w:t xml:space="preserve">een sinds 2014 lopende studie naar de hormoonafgifte bij langere kisspeptinetoediening (NCT02081924, 76 personen).</w:t>
      </w:r>
    </w:p>
    <w:p>
      <w:pPr>
        <w:numPr>
          <w:ilvl w:val="0"/>
          <w:numId w:val="1274"/>
        </w:numPr>
        <w:pStyle w:val="Compact"/>
      </w:pPr>
      <w:r>
        <w:t xml:space="preserve">Een fase 2-studie met pulsatiele kisspeptinetoediening bij hypogonadisme is afgerond</w:t>
      </w:r>
      <w:r>
        <w:rPr>
          <w:rStyle w:val="FootnoteReference"/>
        </w:rPr>
        <w:footnoteReference w:id="2191"/>
      </w:r>
      <w:r>
        <w:t xml:space="preserve">; resultaten waren bij het afsluiten van de redactie niet in PubMed gepubliceerd.</w:t>
      </w:r>
    </w:p>
    <w:p>
      <w:pPr>
        <w:pStyle w:val="FirstParagraph"/>
      </w:pPr>
      <w:r>
        <w:rPr>
          <w:bCs/>
          <w:b/>
        </w:rPr>
        <w:t xml:space="preserve">Inschatting van de auteur:</w:t>
      </w:r>
      <w:r>
        <w:t xml:space="preserve"> </w:t>
      </w:r>
      <w:r>
        <w:t xml:space="preserve">kisspeptine is wat de basiskennis betreft een van de wetenschappelijk meest solide peptiden in dit boek – de rol in de puberteit is genetisch bewezen. De klinische ontwikkeling verloopt echter traag, omdat ze overwegend door universiteiten wordt gedragen. Het meest realistisch lijkt een registratie voor eicelrijping bij vrouwen met OHSS-risico of als diagnostische test voor puberteitsstoornissen; daarvoor zouden echter grotere vergelijkende studies nodig zijn. Voor de behandeling van seksuele lusteloosheid ontbreekt tot nu toe elk bewijs van nut in het dagelijks leven.</w:t>
      </w:r>
    </w:p>
    <w:bookmarkEnd w:id="2192"/>
    <w:bookmarkStart w:id="2193" w:name="conclusie-49"/>
    <w:p>
      <w:pPr>
        <w:pStyle w:val="Heading3"/>
      </w:pPr>
      <w:r>
        <w:t xml:space="preserve">Conclusie</w:t>
      </w:r>
    </w:p>
    <w:p>
      <w:pPr>
        <w:pStyle w:val="FirstParagraph"/>
      </w:pPr>
      <w:r>
        <w:t xml:space="preserve">Kisspeptine is de lichaamseigen hoofdschakelaar van de voortplantingshormonen, zoals mensen met een receptordefect indrukwekkend laten zien. In kleine studies wekte het betrouwbaar LH-afgifte op en maakte het bij vrouwen met een hoog overstimulatierisico eicelrijping zonder ernstig OHSS mogelijk. Laboratoriumstudies met hersenbeeldvorming wijzen op effecten bij de verwerking van seksuele prikkels, maar zijn geen bewijs van nut in het dagelijks leven. Het grootste praktische obstakel is de gewenning bij frequente toediening, die tot onderdrukking van de hormonale as kan leiden. Kisspeptine is nergens geregistreerd; buiten studies bestaat er geen geteste toepassing.</w:t>
      </w:r>
    </w:p>
    <w:bookmarkEnd w:id="2193"/>
    <w:bookmarkEnd w:id="2194"/>
    <w:bookmarkStart w:id="2274" w:name="oxytocine-neusspray"/>
    <w:p>
      <w:pPr>
        <w:pStyle w:val="Heading2"/>
      </w:pPr>
      <w:r>
        <w:t xml:space="preserve">Oxytocine (neusspray)</w:t>
      </w:r>
    </w:p>
    <w:bookmarkStart w:id="2195" w:name="profiel-50"/>
    <w:p>
      <w:pPr>
        <w:pStyle w:val="Heading3"/>
      </w:pPr>
      <w:r>
        <w:t xml:space="preserve">Profiel</w:t>
      </w:r>
    </w:p>
    <w:p>
      <w:pPr>
        <w:numPr>
          <w:ilvl w:val="0"/>
          <w:numId w:val="1275"/>
        </w:numPr>
        <w:pStyle w:val="Compact"/>
      </w:pPr>
      <w:r>
        <w:rPr>
          <w:bCs/>
          <w:b/>
        </w:rPr>
        <w:t xml:space="preserve">Soort/structuur:</w:t>
      </w:r>
      <w:r>
        <w:t xml:space="preserve"> </w:t>
      </w:r>
      <w:r>
        <w:t xml:space="preserve">lichaamseigen peptidehormoon van negen aminozuren. Twee zwavelbruggen sluiten er zes van tot een ring. Oxytocine is nauw verwant aan het hormoon vasopressine (antidiuretisch hormoon), dat slechts in twee bouwstenen verschilt.</w:t>
      </w:r>
    </w:p>
    <w:p>
      <w:pPr>
        <w:numPr>
          <w:ilvl w:val="0"/>
          <w:numId w:val="1275"/>
        </w:numPr>
        <w:pStyle w:val="Compact"/>
      </w:pPr>
      <w:r>
        <w:rPr>
          <w:bCs/>
          <w:b/>
        </w:rPr>
        <w:t xml:space="preserve">Herkomst:</w:t>
      </w:r>
      <w:r>
        <w:t xml:space="preserve"> </w:t>
      </w:r>
      <w:r>
        <w:t xml:space="preserve">gevormd in zenuwcellen van de hypothalamus en door de achterkwab van de hypofyse aan het bloed afgegeven; tegelijk een boodschapperstof binnen de hersenen. Oxytocine was in 1953 het eerste peptidehormoon dat in het laboratorium werd nagemaakt; Vincent du Vigneaud kreeg daarvoor in 1955 de Nobelprijs voor de Scheikunde.</w:t>
      </w:r>
    </w:p>
    <w:p>
      <w:pPr>
        <w:numPr>
          <w:ilvl w:val="0"/>
          <w:numId w:val="1275"/>
        </w:numPr>
        <w:pStyle w:val="Compact"/>
      </w:pPr>
      <w:r>
        <w:rPr>
          <w:bCs/>
          <w:b/>
        </w:rPr>
        <w:t xml:space="preserve">Werkingsprincipe:</w:t>
      </w:r>
      <w:r>
        <w:t xml:space="preserve"> </w:t>
      </w:r>
      <w:r>
        <w:t xml:space="preserve">agonist van de oxytocinereceptor. In het lichaam wekt het weeën en de toeschietreflex op; in de hersenen is het betrokken bij hechting, sociaal gedrag en stressregulatie.</w:t>
      </w:r>
    </w:p>
    <w:p>
      <w:pPr>
        <w:numPr>
          <w:ilvl w:val="0"/>
          <w:numId w:val="1275"/>
        </w:numPr>
        <w:pStyle w:val="Compact"/>
      </w:pPr>
      <w:r>
        <w:rPr>
          <w:bCs/>
          <w:b/>
        </w:rPr>
        <w:t xml:space="preserve">Registratie EU en VS (injectie/infuus):</w:t>
      </w:r>
      <w:r>
        <w:t xml:space="preserve"> </w:t>
      </w:r>
      <w:r>
        <w:t xml:space="preserve">ja, al tientallen jaren in de verloskunde, voor het inleiden en ondersteunen van weeën en ter voorkoming van ernstig bloedverlies na de bevalling.</w:t>
      </w:r>
    </w:p>
    <w:p>
      <w:pPr>
        <w:numPr>
          <w:ilvl w:val="0"/>
          <w:numId w:val="1275"/>
        </w:numPr>
        <w:pStyle w:val="Compact"/>
      </w:pPr>
      <w:r>
        <w:rPr>
          <w:bCs/>
          <w:b/>
        </w:rPr>
        <w:t xml:space="preserve">Registratie als neusspray:</w:t>
      </w:r>
      <w:r>
        <w:t xml:space="preserve"> </w:t>
      </w:r>
      <w:r>
        <w:t xml:space="preserve">een oxytocineneusspray was vroeger in meerdere Europese landen geregistreerd om de melkafgifte bij borstvoeding te bevorderen, maar is op veel plaatsen niet meer in de handel. Voor psychische, sociale of seksuele toepassingen is oxytocine nergens geregistreerd.</w:t>
      </w:r>
    </w:p>
    <w:p>
      <w:pPr>
        <w:numPr>
          <w:ilvl w:val="0"/>
          <w:numId w:val="1275"/>
        </w:numPr>
        <w:pStyle w:val="Compact"/>
      </w:pPr>
      <w:r>
        <w:rPr>
          <w:bCs/>
          <w:b/>
        </w:rPr>
        <w:t xml:space="preserve">WADA:</w:t>
      </w:r>
      <w:r>
        <w:t xml:space="preserve"> </w:t>
      </w:r>
      <w:r>
        <w:t xml:space="preserve">niet vermeld.</w:t>
      </w:r>
    </w:p>
    <w:p>
      <w:pPr>
        <w:numPr>
          <w:ilvl w:val="0"/>
          <w:numId w:val="1275"/>
        </w:numPr>
        <w:pStyle w:val="Compact"/>
      </w:pPr>
      <w:r>
        <w:rPr>
          <w:bCs/>
          <w:b/>
        </w:rPr>
        <w:t xml:space="preserve">Bewijsniveau:</w:t>
      </w:r>
      <w:r>
        <w:t xml:space="preserve"> </w:t>
      </w:r>
      <w:r>
        <w:rPr>
          <w:bCs/>
          <w:b/>
        </w:rPr>
        <w:t xml:space="preserve">B</w:t>
      </w:r>
      <w:r>
        <w:t xml:space="preserve"> </w:t>
      </w:r>
      <w:r>
        <w:t xml:space="preserve">voor gebruik als neusspray – honderden gerandomiseerde studies, maar overwegend klein en met eenmalige doses; de weinige grote behandelstudies waren negatief. Voor de verloskunde (infuus, injectie) geldt niveau A; die vormt niet het zwaartepunt van dit hoofdstuk.</w:t>
      </w:r>
    </w:p>
    <w:bookmarkEnd w:id="2195"/>
    <w:bookmarkStart w:id="2207" w:name="hoe-het-zou-moeten-werken-50"/>
    <w:p>
      <w:pPr>
        <w:pStyle w:val="Heading3"/>
      </w:pPr>
      <w:r>
        <w:t xml:space="preserve">Hoe het zou moeten werken</w:t>
      </w:r>
    </w:p>
    <w:bookmarkStart w:id="2196" w:name="van-weeënhormoon-tot-knuffelhormoon"/>
    <w:p>
      <w:pPr>
        <w:pStyle w:val="Heading4"/>
      </w:pPr>
      <w:r>
        <w:t xml:space="preserve">Van weeënhormoon tot „knuffelhormoon”</w:t>
      </w:r>
    </w:p>
    <w:p>
      <w:pPr>
        <w:pStyle w:val="FirstParagraph"/>
      </w:pPr>
      <w:r>
        <w:t xml:space="preserve">Oxytocine dankt zijn naam aan de Griekse uitdrukking voor „snelle geboorte”. Zijn klassieke taken zijn lichamelijk: het laat de baarmoeder samentrekken en perst melk uit de klieren van de borst. Sinds de jaren 1990 kwam een tweede rol in beeld. Bij prairiewoelmuizen, die levenslange paren vormen, hangt de partnerbinding af van het oxytocinesysteem in de hersenen (dierproeven). Bij schapen en knaagdieren stuurt het het zorggedrag van de moeders tegenover hun jongen aan.</w:t>
      </w:r>
    </w:p>
    <w:p>
      <w:pPr>
        <w:pStyle w:val="BodyText"/>
      </w:pPr>
      <w:r>
        <w:t xml:space="preserve">Uit deze dierbevindingen ontstond vanaf 2005 een golf van studies bij mensen, die oxytocine als neusspray gaven en sociaal gedrag maten. Media bedachten etiketten als „knuffelhormoon”, „vertrouwenshormoon” of „liefdeshormoon”. Zoals dit hoofdstuk laat zien, is de stand van het onderzoek vandaag veel ontnuchterender dan deze slagzinnen.</w:t>
      </w:r>
    </w:p>
    <w:bookmarkEnd w:id="2196"/>
    <w:bookmarkStart w:id="2204" w:name="het-probleem-met-de-neus"/>
    <w:p>
      <w:pPr>
        <w:pStyle w:val="Heading4"/>
      </w:pPr>
      <w:r>
        <w:t xml:space="preserve">Het probleem met de neus</w:t>
      </w:r>
    </w:p>
    <w:p>
      <w:pPr>
        <w:pStyle w:val="FirstParagraph"/>
      </w:pPr>
      <w:r>
        <w:t xml:space="preserve">Oxytocine is als peptide te groot en te goed oplosbaar in water om de bloed-hersenbarrière in noemenswaardige hoeveelheid te passeren. De neusspray zou via de reuk- en trigeminuszenuwen in het neusslijmvlies een weg rechtstreeks naar de hersenen moeten vinden. Of dat werkt en in welke mate, is een van de centrale open vragen van het vakgebied:</w:t>
      </w:r>
    </w:p>
    <w:p>
      <w:pPr>
        <w:numPr>
          <w:ilvl w:val="0"/>
          <w:numId w:val="1276"/>
        </w:numPr>
        <w:pStyle w:val="Compact"/>
      </w:pPr>
      <w:r>
        <w:rPr>
          <w:bCs/>
          <w:b/>
        </w:rPr>
        <w:t xml:space="preserve">Sceptische visie:</w:t>
      </w:r>
      <w:r>
        <w:t xml:space="preserve"> </w:t>
      </w:r>
      <w:r>
        <w:t xml:space="preserve">slechts een minuscuul deel van de gesproeide hoeveelheid bereikt het hersenvocht, terwijl de spiegel in het bloed ver boven natuurlijke waarden stijgt. Veel waargenomen effecten zouden daarom kunnen voortkomen uit effecten in het lichaam, bijvoorbeeld op hart of darm, die vervolgens indirect de hersenen beïnvloeden</w:t>
      </w:r>
      <w:r>
        <w:rPr>
          <w:rStyle w:val="FootnoteReference"/>
        </w:rPr>
        <w:footnoteReference w:id="2197"/>
      </w:r>
      <w:r>
        <w:t xml:space="preserve">.</w:t>
      </w:r>
    </w:p>
    <w:p>
      <w:pPr>
        <w:numPr>
          <w:ilvl w:val="0"/>
          <w:numId w:val="1276"/>
        </w:numPr>
        <w:pStyle w:val="Compact"/>
      </w:pPr>
      <w:r>
        <w:rPr>
          <w:bCs/>
          <w:b/>
        </w:rPr>
        <w:t xml:space="preserve">Bevindingen bij apen:</w:t>
      </w:r>
      <w:r>
        <w:t xml:space="preserve"> </w:t>
      </w:r>
      <w:r>
        <w:t xml:space="preserve">bij resusapen bereikte gemarkeerd oxytocine na toediening via de neus en via een ader het hersenvocht; de neus was daarbij niet superieur</w:t>
      </w:r>
      <w:r>
        <w:rPr>
          <w:rStyle w:val="FootnoteReference"/>
        </w:rPr>
        <w:footnoteReference w:id="2198"/>
      </w:r>
      <w:r>
        <w:t xml:space="preserve">. In een tweede studie werd gemarkeerd oxytocine na toediening via de neus – niet na toediening via een ader – gevonden in hersengebieden langs de reuk- en trigeminusbanen</w:t>
      </w:r>
      <w:r>
        <w:rPr>
          <w:rStyle w:val="FootnoteReference"/>
        </w:rPr>
        <w:footnoteReference w:id="2199"/>
      </w:r>
      <w:r>
        <w:t xml:space="preserve">.</w:t>
      </w:r>
    </w:p>
    <w:p>
      <w:pPr>
        <w:numPr>
          <w:ilvl w:val="0"/>
          <w:numId w:val="1276"/>
        </w:numPr>
        <w:pStyle w:val="Compact"/>
      </w:pPr>
      <w:r>
        <w:rPr>
          <w:bCs/>
          <w:b/>
        </w:rPr>
        <w:t xml:space="preserve">Bevindingen bij mensen:</w:t>
      </w:r>
      <w:r>
        <w:t xml:space="preserve"> </w:t>
      </w:r>
      <w:r>
        <w:t xml:space="preserve">een studie vergeleek neusspray, vernevelaar en infuus. De afname van de doorbloeding in de amandelkern (amygdala) kon volledig worden verklaard door de stijging in het bloed; tegelijk waren er aanwijzingen voor directe effecten via de neus in andere gebieden</w:t>
      </w:r>
      <w:r>
        <w:rPr>
          <w:rStyle w:val="FootnoteReference"/>
        </w:rPr>
        <w:footnoteReference w:id="2200"/>
      </w:r>
      <w:r>
        <w:t xml:space="preserve">.</w:t>
      </w:r>
    </w:p>
    <w:p>
      <w:pPr>
        <w:numPr>
          <w:ilvl w:val="0"/>
          <w:numId w:val="1276"/>
        </w:numPr>
        <w:pStyle w:val="Compact"/>
      </w:pPr>
      <w:r>
        <w:rPr>
          <w:bCs/>
          <w:b/>
        </w:rPr>
        <w:t xml:space="preserve">Meetproblemen:</w:t>
      </w:r>
      <w:r>
        <w:t xml:space="preserve"> </w:t>
      </w:r>
      <w:r>
        <w:t xml:space="preserve">oxytocinespiegels in het bloed weerspiegelen de waarden in de hersenen onder rustomstandigheden niet</w:t>
      </w:r>
      <w:r>
        <w:rPr>
          <w:rStyle w:val="FootnoteReference"/>
        </w:rPr>
        <w:footnoteReference w:id="2201"/>
      </w:r>
      <w:r>
        <w:t xml:space="preserve">. Veel oudere studies gebruikten bovendien meetmethoden die tegenwoordig als onbetrouwbaar gelden</w:t>
      </w:r>
      <w:r>
        <w:rPr>
          <w:rStyle w:val="FootnoteReference"/>
        </w:rPr>
        <w:footnoteReference w:id="2202"/>
      </w:r>
      <w:r>
        <w:t xml:space="preserve">.</w:t>
      </w:r>
    </w:p>
    <w:p>
      <w:pPr>
        <w:pStyle w:val="FirstParagraph"/>
      </w:pPr>
      <w:r>
        <w:t xml:space="preserve">Deskundigen die het vakgebied als geheel positief beoordelen, beschouwen een directe weg van de neus naar de hersenen inmiddels als aangetoond, maar benadrukken dat dosis, sproeitechniek en geslacht van de deelnemers de resultaten sterk beïnvloeden</w:t>
      </w:r>
      <w:r>
        <w:rPr>
          <w:rStyle w:val="FootnoteReference"/>
        </w:rPr>
        <w:footnoteReference w:id="2203"/>
      </w:r>
      <w:r>
        <w:t xml:space="preserve">. Voor lezers betekent dat: of een oxytocineneusspray in de hersenen aankomt, hangt af van veel details, en zelfs deskundigen zijn het over de orde van grootte oneens.</w:t>
      </w:r>
    </w:p>
    <w:bookmarkEnd w:id="2204"/>
    <w:bookmarkStart w:id="2206" w:name="X9a2d4ab1d7c2da694b79580c436c9282ca9af83"/>
    <w:p>
      <w:pPr>
        <w:pStyle w:val="Heading4"/>
      </w:pPr>
      <w:r>
        <w:t xml:space="preserve">Kort geplaatst: oxytocine in de verloskunde</w:t>
      </w:r>
    </w:p>
    <w:p>
      <w:pPr>
        <w:pStyle w:val="FirstParagraph"/>
      </w:pPr>
      <w:r>
        <w:t xml:space="preserve">Als infuus of injectie is oxytocine een van de belangrijkste geneesmiddelen ter wereld; de Wereldgezondheidsorganisatie neemt het op in haar lijst van essentiële geneesmiddelen. Het wordt gebruikt om weeën op te wekken of te versterken en om na de bevalling ernstig bloedverlies te voorkomen. Een Cochrane-overzicht met 24 studies concludeerde dat preventief gegeven oxytocine het risico op een bloedverlies van 500 ml of meer ongeveer halveert (relatief risico 0,51), bij een deels lage kwaliteit van de afzonderlijke studies</w:t>
      </w:r>
      <w:r>
        <w:rPr>
          <w:rStyle w:val="FootnoteReference"/>
        </w:rPr>
        <w:footnoteReference w:id="2205"/>
      </w:r>
      <w:r>
        <w:t xml:space="preserve">. Deze toepassing hoort uitsluitend in handen van verloskundigen en artsen; dosering en bewaking worden geregeld in de productinformatie. Voor de beoordeling van de neusspray bij psychische vraagstellingen speelt ze geen rol.</w:t>
      </w:r>
    </w:p>
    <w:bookmarkEnd w:id="2206"/>
    <w:bookmarkEnd w:id="2207"/>
    <w:bookmarkStart w:id="2252" w:name="studies-bij-mensen-5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(zoekterm „intranasal oxytocin” in titel of abstract) vond</w:t>
      </w:r>
      <w:r>
        <w:t xml:space="preserve"> </w:t>
      </w:r>
      <w:r>
        <w:rPr>
          <w:bCs/>
          <w:b/>
        </w:rPr>
        <w:t xml:space="preserve">349</w:t>
      </w:r>
      <w:r>
        <w:t xml:space="preserve"> </w:t>
      </w:r>
      <w:r>
        <w:t xml:space="preserve">studies bij mensen in PubMed (</w:t>
      </w:r>
      <w:r>
        <w:rPr>
          <w:rStyle w:val="VerbatimChar"/>
        </w:rPr>
        <w:t xml:space="preserve">humanstudien_alle</w:t>
      </w:r>
      <w:r>
        <w:t xml:space="preserve">) en</w:t>
      </w:r>
      <w:r>
        <w:t xml:space="preserve"> </w:t>
      </w:r>
      <w:r>
        <w:rPr>
          <w:bCs/>
          <w:b/>
        </w:rPr>
        <w:t xml:space="preserve">263</w:t>
      </w:r>
      <w:r>
        <w:t xml:space="preserve"> </w:t>
      </w:r>
      <w:r>
        <w:t xml:space="preserve">registraties bij ClinicalTrials.gov, waarvan ongeveer 20 nog in de werving. Daarnaast zijn er ten minste 15 meta-analyses en systematische overzichten. Daarmee is oxytocine het peptide dat in dit deel van het boek het vaakst bij mensen is onderzocht. De grote meerderheid van de studies gaf echter slechts één enkele dosis aan meestal 20 tot 60 jonge, gezonde mannen en mat kortdurende veranderingen in laboratoriumtests of in de hersenscanner.</w:t>
      </w:r>
    </w:p>
    <w:p>
      <w:pPr>
        <w:pStyle w:val="BodyText"/>
      </w:pPr>
      <w:r>
        <w:t xml:space="preserve">Dit hoofdstuk deelt de studies in vier groepen in: basisstudies bij gezonde mensen met de daaropvolgende replicatiecrisis, autisme als belangrijkste behandelgebied, andere psychische aandoeningen en ten slotte stofwisseling, pijn en seksualiteit.</w:t>
      </w:r>
    </w:p>
    <w:bookmarkStart w:id="2211" w:name="X8883a19cbd255ddcda140d15fa1664eda3d84dc"/>
    <w:p>
      <w:pPr>
        <w:pStyle w:val="Heading4"/>
      </w:pPr>
      <w:r>
        <w:t xml:space="preserve">Sociaal gedrag bij gezonde mensen: vertrouwen, stress, gevoelens</w:t>
      </w:r>
    </w:p>
    <w:p>
      <w:pPr>
        <w:pStyle w:val="FirstParagraph"/>
      </w:pPr>
      <w:r>
        <w:rPr>
          <w:bCs/>
          <w:b/>
        </w:rPr>
        <w:t xml:space="preserve">Vertrouwen.</w:t>
      </w:r>
      <w:r>
        <w:t xml:space="preserve"> </w:t>
      </w:r>
      <w:r>
        <w:t xml:space="preserve">De studie die het vakgebied grondvestte, verscheen in 2005 in Nature: mannen die oxytocine hadden gesnoven, vertrouwden in een economisch spel een vreemde meer geld toe</w:t>
      </w:r>
      <w:r>
        <w:rPr>
          <w:rStyle w:val="FootnoteReference"/>
        </w:rPr>
        <w:footnoteReference w:id="2208"/>
      </w:r>
      <w:r>
        <w:t xml:space="preserve">. In dit „vertrouwensspel” beslist een investeerder hoeveel geld hij aan een beheerder toevertrouwt; het bedrag wordt vermenigvuldigd, en de beheerder beslist hoeveel hij teruggeeft. Oxytocine verhoogde niet de bereidheid tot risico in het algemeen, maar specifiek de bereidheid om sociale risico’s te nemen.</w:t>
      </w:r>
    </w:p>
    <w:p>
      <w:pPr>
        <w:pStyle w:val="BodyText"/>
      </w:pPr>
      <w:r>
        <w:rPr>
          <w:bCs/>
          <w:b/>
        </w:rPr>
        <w:t xml:space="preserve">Stress.</w:t>
      </w:r>
      <w:r>
        <w:t xml:space="preserve"> </w:t>
      </w:r>
      <w:r>
        <w:t xml:space="preserve">In een studie met 37 gezonde mannen dempte oxytocine de angst bij een gestandaardiseerde stresstest (een toespraak in het openbaar en hoofdrekenen voor publiek). De laagste waarden van het stresshormoon cortisol hadden mannen die oxytocine kregen en bovendien door hun beste vriend werden gesteund</w:t>
      </w:r>
      <w:r>
        <w:rPr>
          <w:rStyle w:val="FootnoteReference"/>
        </w:rPr>
        <w:footnoteReference w:id="2209"/>
      </w:r>
      <w:r>
        <w:t xml:space="preserve">.</w:t>
      </w:r>
    </w:p>
    <w:p>
      <w:pPr>
        <w:pStyle w:val="BodyText"/>
      </w:pPr>
      <w:r>
        <w:rPr>
          <w:bCs/>
          <w:b/>
        </w:rPr>
        <w:t xml:space="preserve">Gevoelens herkennen.</w:t>
      </w:r>
      <w:r>
        <w:t xml:space="preserve"> </w:t>
      </w:r>
      <w:r>
        <w:t xml:space="preserve">Een meta-analyse van 33 studies vond dat een eenmalige dosis bij gezonde mensen de herkenning van basisemoties, vooral angst, licht verbeterde. Bij mensen met psychische aandoeningen was daarentegen geen effect te zien</w:t>
      </w:r>
      <w:r>
        <w:rPr>
          <w:rStyle w:val="FootnoteReference"/>
        </w:rPr>
        <w:footnoteReference w:id="2210"/>
      </w:r>
      <w:r>
        <w:t xml:space="preserve">.</w:t>
      </w:r>
    </w:p>
    <w:p>
      <w:pPr>
        <w:pStyle w:val="BodyText"/>
      </w:pPr>
      <w:r>
        <w:t xml:space="preserve">Honderden andere studies rapporteerden effecten op kijkgedrag, empathie, het onthouden van gezichten, groepsbinding, liegen, vrijgevigheid, jaloezie en nog veel meer. Veel van deze bevindingen traden alleen op in subgroepen, bijvoorbeeld alleen bij mannen, alleen bij angstige personen of alleen bij bepaalde genvarianten van de oxytocinereceptor.</w:t>
      </w:r>
    </w:p>
    <w:bookmarkEnd w:id="2211"/>
    <w:bookmarkStart w:id="2217" w:name="de-replicatiecrisis"/>
    <w:p>
      <w:pPr>
        <w:pStyle w:val="Heading4"/>
      </w:pPr>
      <w:r>
        <w:t xml:space="preserve">De replicatiecrisis</w:t>
      </w:r>
    </w:p>
    <w:p>
      <w:pPr>
        <w:pStyle w:val="FirstParagraph"/>
      </w:pPr>
      <w:r>
        <w:t xml:space="preserve">Vanaf ongeveer 2015 namen de twijfels toe. De term replicatiecrisis beschrijft het probleem dat veel gepubliceerde bevindingen uit de psychologie en geneeskunde niet worden bevestigd als andere onderzoekers ze herhalen. Oxytocine werd daar een schoolvoorbeeld van.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Soort</w:t>
            </w:r>
          </w:p>
        </w:tc>
        <w:tc>
          <w:tcPr/>
          <w:p>
            <w:pPr>
              <w:pStyle w:val="Compact"/>
              <w:jc w:val="left"/>
            </w:pPr>
            <w:r>
              <w:t xml:space="preserve">Kernboodschap</w:t>
            </w:r>
          </w:p>
        </w:tc>
      </w:tr>
      <w:tr>
        <w:tc>
          <w:tcPr/>
          <w:p>
            <w:pPr>
              <w:pStyle w:val="Compact"/>
              <w:jc w:val="left"/>
            </w:pPr>
            <w:r>
              <w:t xml:space="preserve">Kosfeld 2005, PMID 15931222</w:t>
            </w:r>
          </w:p>
        </w:tc>
        <w:tc>
          <w:tcPr/>
          <w:p>
            <w:pPr>
              <w:pStyle w:val="Compact"/>
              <w:jc w:val="left"/>
            </w:pPr>
            <w:r>
              <w:t xml:space="preserve">oorspronkelijke studie, vertrouwensspel</w:t>
            </w:r>
          </w:p>
        </w:tc>
        <w:tc>
          <w:tcPr/>
          <w:p>
            <w:pPr>
              <w:pStyle w:val="Compact"/>
              <w:jc w:val="left"/>
            </w:pPr>
            <w:r>
              <w:t xml:space="preserve">Oxytocine verhoogt vertrouwen</w:t>
            </w:r>
          </w:p>
        </w:tc>
      </w:tr>
      <w:tr>
        <w:tc>
          <w:tcPr/>
          <w:p>
            <w:pPr>
              <w:pStyle w:val="Compact"/>
              <w:jc w:val="left"/>
            </w:pPr>
            <w:r>
              <w:t xml:space="preserve">Nave 2015, PMID 26581735</w:t>
            </w:r>
          </w:p>
        </w:tc>
        <w:tc>
          <w:tcPr/>
          <w:p>
            <w:pPr>
              <w:pStyle w:val="Compact"/>
              <w:jc w:val="left"/>
            </w:pPr>
            <w:r>
              <w:t xml:space="preserve">kritisch overzicht</w:t>
            </w:r>
          </w:p>
        </w:tc>
        <w:tc>
          <w:tcPr/>
          <w:p>
            <w:pPr>
              <w:pStyle w:val="Compact"/>
              <w:jc w:val="left"/>
            </w:pPr>
            <w:r>
              <w:t xml:space="preserve">Het vertrouwenseffect kon niet betrouwbaar worden herhaald</w:t>
            </w:r>
          </w:p>
        </w:tc>
      </w:tr>
      <w:tr>
        <w:tc>
          <w:tcPr/>
          <w:p>
            <w:pPr>
              <w:pStyle w:val="Compact"/>
              <w:jc w:val="left"/>
            </w:pPr>
            <w:r>
              <w:t xml:space="preserve">Lane 2015, PMID 26368396</w:t>
            </w:r>
          </w:p>
        </w:tc>
        <w:tc>
          <w:tcPr/>
          <w:p>
            <w:pPr>
              <w:pStyle w:val="Compact"/>
              <w:jc w:val="left"/>
            </w:pPr>
            <w:r>
              <w:t xml:space="preserve">twee herhalingsstudies (95 en 61 personen)</w:t>
            </w:r>
          </w:p>
        </w:tc>
        <w:tc>
          <w:tcPr/>
          <w:p>
            <w:pPr>
              <w:pStyle w:val="Compact"/>
              <w:jc w:val="left"/>
            </w:pPr>
            <w:r>
              <w:t xml:space="preserve">groot effect in een andere vertrouwenstest niet bevestigd</w:t>
            </w:r>
          </w:p>
        </w:tc>
      </w:tr>
      <w:tr>
        <w:tc>
          <w:tcPr/>
          <w:p>
            <w:pPr>
              <w:pStyle w:val="Compact"/>
              <w:jc w:val="left"/>
            </w:pPr>
            <w:r>
              <w:t xml:space="preserve">Walum 2016, PMID 26210057</w:t>
            </w:r>
          </w:p>
        </w:tc>
        <w:tc>
          <w:tcPr/>
          <w:p>
            <w:pPr>
              <w:pStyle w:val="Compact"/>
              <w:jc w:val="left"/>
            </w:pPr>
            <w:r>
              <w:t xml:space="preserve">statistische analyse van het vakgebied</w:t>
            </w:r>
          </w:p>
        </w:tc>
        <w:tc>
          <w:tcPr/>
          <w:p>
            <w:pPr>
              <w:pStyle w:val="Compact"/>
              <w:jc w:val="left"/>
            </w:pPr>
            <w:r>
              <w:t xml:space="preserve">Studies meestal te klein; de meeste gepubliceerde bevindingen waarschijnlijk geen echte effecten</w:t>
            </w:r>
          </w:p>
        </w:tc>
      </w:tr>
      <w:tr>
        <w:tc>
          <w:tcPr/>
          <w:p>
            <w:pPr>
              <w:pStyle w:val="Compact"/>
              <w:jc w:val="left"/>
            </w:pPr>
            <w:r>
              <w:t xml:space="preserve">Mierop 2020, PMID 32633663</w:t>
            </w:r>
          </w:p>
        </w:tc>
        <w:tc>
          <w:tcPr/>
          <w:p>
            <w:pPr>
              <w:pStyle w:val="Compact"/>
              <w:jc w:val="left"/>
            </w:pPr>
            <w:r>
              <w:t xml:space="preserve">systematisch overzicht</w:t>
            </w:r>
          </w:p>
        </w:tc>
        <w:tc>
          <w:tcPr/>
          <w:p>
            <w:pPr>
              <w:pStyle w:val="Compact"/>
              <w:jc w:val="left"/>
            </w:pPr>
            <w:r>
              <w:t xml:space="preserve">Herhalingspogingen bij interacties meestal zonder succes; statistische power kritisch laag</w:t>
            </w:r>
          </w:p>
        </w:tc>
      </w:tr>
      <w:tr>
        <w:tc>
          <w:tcPr/>
          <w:p>
            <w:pPr>
              <w:pStyle w:val="Compact"/>
              <w:jc w:val="left"/>
            </w:pPr>
            <w:r>
              <w:t xml:space="preserve">Declerck 2020, PMID 32514040</w:t>
            </w:r>
          </w:p>
        </w:tc>
        <w:tc>
          <w:tcPr/>
          <w:p>
            <w:pPr>
              <w:pStyle w:val="Compact"/>
              <w:jc w:val="left"/>
            </w:pPr>
            <w:r>
              <w:t xml:space="preserve">vooraf geregistreerde herhalingsstudie</w:t>
            </w:r>
          </w:p>
        </w:tc>
        <w:tc>
          <w:tcPr/>
          <w:p>
            <w:pPr>
              <w:pStyle w:val="Compact"/>
              <w:jc w:val="left"/>
            </w:pPr>
            <w:r>
              <w:t xml:space="preserve">geen effect op vertrouwen in de oorspronkelijke conditie</w:t>
            </w:r>
          </w:p>
        </w:tc>
      </w:tr>
      <w:tr>
        <w:tc>
          <w:tcPr/>
          <w:p>
            <w:pPr>
              <w:pStyle w:val="Compact"/>
              <w:jc w:val="left"/>
            </w:pPr>
            <w:r>
              <w:t xml:space="preserve">Vogt 2026, PMID 42561025</w:t>
            </w:r>
          </w:p>
        </w:tc>
        <w:tc>
          <w:tcPr/>
          <w:p>
            <w:pPr>
              <w:pStyle w:val="Compact"/>
              <w:jc w:val="left"/>
            </w:pPr>
            <w:r>
              <w:t xml:space="preserve">vooraf geregistreerde studie, 359 mannen met weinig basisvertrouwen</w:t>
            </w:r>
          </w:p>
        </w:tc>
        <w:tc>
          <w:tcPr/>
          <w:p>
            <w:pPr>
              <w:pStyle w:val="Compact"/>
              <w:jc w:val="left"/>
            </w:pPr>
            <w:r>
              <w:t xml:space="preserve">vertrouwen met ongeveer 15% verhoogd</w:t>
            </w:r>
          </w:p>
        </w:tc>
      </w:tr>
    </w:tbl>
    <w:p>
      <w:pPr>
        <w:pStyle w:val="BodyText"/>
      </w:pPr>
      <w:r>
        <w:t xml:space="preserve">Een overzicht uit 2015 concludeerde dat het geheel van de gegevens niet aantoont dat menselijk vertrouwen betrouwbaar samenhangt met oxytocine of erdoor wordt veroorzaakt</w:t>
      </w:r>
      <w:r>
        <w:rPr>
          <w:rStyle w:val="FootnoteReference"/>
        </w:rPr>
        <w:footnoteReference w:id="2212"/>
      </w:r>
      <w:r>
        <w:t xml:space="preserve">. Een statistische analyse van alle studies naar de neusspray ging verder: de studies zouden doorgaans te klein zijn om realistische effecten te vinden, en met grote waarschijnlijkheid zouden de meeste gepubliceerde bevindingen geen echte effecten weergeven</w:t>
      </w:r>
      <w:r>
        <w:rPr>
          <w:rStyle w:val="FootnoteReference"/>
        </w:rPr>
        <w:footnoteReference w:id="2213"/>
      </w:r>
      <w:r>
        <w:t xml:space="preserve">.</w:t>
      </w:r>
    </w:p>
    <w:p>
      <w:pPr>
        <w:pStyle w:val="BodyText"/>
      </w:pPr>
      <w:r>
        <w:t xml:space="preserve">De belangrijkste proef op de som was een grote, vooraf geregistreerde herhaling van de vertrouwensstudie met een statistische power van meer dan 95%. In de conditie die overeenkwam met de oorspronkelijke studie had oxytocine geen effect. Een achteraf uitgevoerde analyse wees op een effect alleen bij mensen met weinig basisvertrouwen</w:t>
      </w:r>
      <w:r>
        <w:rPr>
          <w:rStyle w:val="FootnoteReference"/>
        </w:rPr>
        <w:footnoteReference w:id="2214"/>
      </w:r>
      <w:r>
        <w:t xml:space="preserve">. Precies deze hypothese toetste in 2026 een andere vooraf geregistreerde studie met 359 mannen met weinig basisvertrouwen; die vond een toename van het vertrouwen met ongeveer 15%</w:t>
      </w:r>
      <w:r>
        <w:rPr>
          <w:rStyle w:val="FootnoteReference"/>
        </w:rPr>
        <w:footnoteReference w:id="2215"/>
      </w:r>
      <w:r>
        <w:t xml:space="preserve">.</w:t>
      </w:r>
    </w:p>
    <w:p>
      <w:pPr>
        <w:pStyle w:val="BodyText"/>
      </w:pPr>
      <w:r>
        <w:rPr>
          <w:bCs/>
          <w:b/>
        </w:rPr>
        <w:t xml:space="preserve">Wat dat betekent:</w:t>
      </w:r>
      <w:r>
        <w:t xml:space="preserve"> </w:t>
      </w:r>
      <w:r>
        <w:t xml:space="preserve">het oorspronkelijke, brede effect „oxytocine maakt vertrouwensvoller” is niet bevestigd. Mogelijk bestaat er een kleiner effect in een bepaalde subgroep en onder bepaalde omstandigheden. Dat is wetenschappelijk interessant, maar ver verwijderd van praktisch nut. De ervaringen hebben het vakgebied veranderd: studies worden tegenwoordig vaker vooraf geregistreerd, zijn groter en rapporteren ook negatieve resultaten. Een in 2026 gepresenteerd onlineplatform moet de stand van het onderzoek doorlopend analyseren</w:t>
      </w:r>
      <w:r>
        <w:rPr>
          <w:rStyle w:val="FootnoteReference"/>
        </w:rPr>
        <w:footnoteReference w:id="2216"/>
      </w:r>
      <w:r>
        <w:t xml:space="preserve">.</w:t>
      </w:r>
    </w:p>
    <w:bookmarkEnd w:id="2217"/>
    <w:bookmarkStart w:id="2230" w:name="autisme"/>
    <w:p>
      <w:pPr>
        <w:pStyle w:val="Heading4"/>
      </w:pPr>
      <w:r>
        <w:t xml:space="preserve">Autisme</w:t>
      </w:r>
    </w:p>
    <w:p>
      <w:pPr>
        <w:pStyle w:val="FirstParagraph"/>
      </w:pPr>
      <w:r>
        <w:t xml:space="preserve">Autismespectrumstoornissen worden gekenmerkt door moeilijkheden in de sociale communicatie en door beperkte, zich herhalende gedragingen. Er zijn geen geneesmiddelen die deze kernkenmerken veranderen. Oxytocine gold daarom lange tijd als grote hoop, en in sommige landen werd het al buiten studies aan kinderen met autisme voorgeschreven</w:t>
      </w:r>
      <w:r>
        <w:rPr>
          <w:rStyle w:val="FootnoteReference"/>
        </w:rPr>
        <w:footnoteReference w:id="2218"/>
      </w:r>
      <w:r>
        <w:t xml:space="preserve">.</w:t>
      </w:r>
    </w:p>
    <w:p>
      <w:pPr>
        <w:pStyle w:val="BodyText"/>
      </w:pPr>
      <w:r>
        <w:rPr>
          <w:bCs/>
          <w:b/>
        </w:rPr>
        <w:t xml:space="preserve">Vroege studies.</w:t>
      </w:r>
      <w:r>
        <w:t xml:space="preserve"> </w:t>
      </w:r>
      <w:r>
        <w:t xml:space="preserve">Een systematisch overzicht uit 2014 vond zeven gerandomiseerde studies met samen 101 personen met autisme, bijna allemaal mannelijk. De studies waren klein (mediaan 15 deelnemers) en hadden een gemiddeld tot hoog risico op vertekening. Bijna alle rapporteerden ten minste één positief resultaat, meestal bij kijkgedrag of het herkennen van gevoelens</w:t>
      </w:r>
      <w:r>
        <w:rPr>
          <w:rStyle w:val="FootnoteReference"/>
        </w:rPr>
        <w:footnoteReference w:id="2219"/>
      </w:r>
      <w:r>
        <w:t xml:space="preserve">.</w:t>
      </w:r>
    </w:p>
    <w:p>
      <w:pPr>
        <w:pStyle w:val="BodyText"/>
      </w:pPr>
      <w:r>
        <w:rPr>
          <w:bCs/>
          <w:b/>
        </w:rPr>
        <w:t xml:space="preserve">Behandelstudies over weken.</w:t>
      </w:r>
      <w:r>
        <w:t xml:space="preserve"> </w:t>
      </w:r>
      <w:r>
        <w:t xml:space="preserve">Daarna volgden studies waarin kinderen en volwassenen oxytocine gedurende meerdere weken kregen: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Anagnostou 2012, PMID 23216716</w:t>
            </w:r>
          </w:p>
        </w:tc>
        <w:tc>
          <w:tcPr/>
          <w:p>
            <w:pPr>
              <w:pStyle w:val="Compact"/>
              <w:jc w:val="left"/>
            </w:pPr>
            <w:r>
              <w:t xml:space="preserve">19 volwassenen, RCT</w:t>
            </w:r>
          </w:p>
        </w:tc>
        <w:tc>
          <w:tcPr/>
          <w:p>
            <w:pPr>
              <w:pStyle w:val="Compact"/>
              <w:jc w:val="left"/>
            </w:pPr>
            <w:r>
              <w:t xml:space="preserve">6 weken</w:t>
            </w:r>
          </w:p>
        </w:tc>
        <w:tc>
          <w:tcPr/>
          <w:p>
            <w:pPr>
              <w:pStyle w:val="Compact"/>
              <w:jc w:val="left"/>
            </w:pPr>
            <w:r>
              <w:t xml:space="preserve">primaire doelen niet gehaald; verbetering in secundaire doelen</w:t>
            </w:r>
          </w:p>
        </w:tc>
      </w:tr>
      <w:tr>
        <w:tc>
          <w:tcPr/>
          <w:p>
            <w:pPr>
              <w:pStyle w:val="Compact"/>
              <w:jc w:val="left"/>
            </w:pPr>
            <w:r>
              <w:t xml:space="preserve">Guastella 2015, PMID 25087908</w:t>
            </w:r>
          </w:p>
        </w:tc>
        <w:tc>
          <w:tcPr/>
          <w:p>
            <w:pPr>
              <w:pStyle w:val="Compact"/>
              <w:jc w:val="left"/>
            </w:pPr>
            <w:r>
              <w:t xml:space="preserve">50 mannelijke jongeren (12–18 jaar), RCT</w:t>
            </w:r>
          </w:p>
        </w:tc>
        <w:tc>
          <w:tcPr/>
          <w:p>
            <w:pPr>
              <w:pStyle w:val="Compact"/>
              <w:jc w:val="left"/>
            </w:pPr>
            <w:r>
              <w:t xml:space="preserve">8 weken</w:t>
            </w:r>
          </w:p>
        </w:tc>
        <w:tc>
          <w:tcPr/>
          <w:p>
            <w:pPr>
              <w:pStyle w:val="Compact"/>
              <w:jc w:val="left"/>
            </w:pPr>
            <w:r>
              <w:t xml:space="preserve">geen nut bij primaire of secundaire doelen</w:t>
            </w:r>
          </w:p>
        </w:tc>
      </w:tr>
      <w:tr>
        <w:tc>
          <w:tcPr/>
          <w:p>
            <w:pPr>
              <w:pStyle w:val="Compact"/>
              <w:jc w:val="left"/>
            </w:pPr>
            <w:r>
              <w:t xml:space="preserve">Yatawara 2016, PMID 26503762</w:t>
            </w:r>
          </w:p>
        </w:tc>
        <w:tc>
          <w:tcPr/>
          <w:p>
            <w:pPr>
              <w:pStyle w:val="Compact"/>
              <w:jc w:val="left"/>
            </w:pPr>
            <w:r>
              <w:t xml:space="preserve">31 jonge kinderen, cross-overstudie tegen placebo</w:t>
            </w:r>
          </w:p>
        </w:tc>
        <w:tc>
          <w:tcPr/>
          <w:p>
            <w:pPr>
              <w:pStyle w:val="Compact"/>
              <w:jc w:val="left"/>
            </w:pPr>
            <w:r>
              <w:t xml:space="preserve">telkens 5 weken</w:t>
            </w:r>
          </w:p>
        </w:tc>
        <w:tc>
          <w:tcPr/>
          <w:p>
            <w:pPr>
              <w:pStyle w:val="Compact"/>
              <w:jc w:val="left"/>
            </w:pPr>
            <w:r>
              <w:t xml:space="preserve">sociale responsiviteit volgens ouders verbeterd</w:t>
            </w:r>
          </w:p>
        </w:tc>
      </w:tr>
      <w:tr>
        <w:tc>
          <w:tcPr/>
          <w:p>
            <w:pPr>
              <w:pStyle w:val="Compact"/>
              <w:jc w:val="left"/>
            </w:pPr>
            <w:r>
              <w:t xml:space="preserve">Parker 2017, PMID 28696286</w:t>
            </w:r>
          </w:p>
        </w:tc>
        <w:tc>
          <w:tcPr/>
          <w:p>
            <w:pPr>
              <w:pStyle w:val="Compact"/>
              <w:jc w:val="left"/>
            </w:pPr>
            <w:r>
              <w:t xml:space="preserve">32 kinderen (6–12 jaar), RCT</w:t>
            </w:r>
          </w:p>
        </w:tc>
        <w:tc>
          <w:tcPr/>
          <w:p>
            <w:pPr>
              <w:pStyle w:val="Compact"/>
              <w:jc w:val="left"/>
            </w:pPr>
            <w:r>
              <w:t xml:space="preserve">4 weken</w:t>
            </w:r>
          </w:p>
        </w:tc>
        <w:tc>
          <w:tcPr/>
          <w:p>
            <w:pPr>
              <w:pStyle w:val="Compact"/>
              <w:jc w:val="left"/>
            </w:pPr>
            <w:r>
              <w:t xml:space="preserve">sociale vaardigheden verbeterd als uitgangswaarden in het bloed werden meegenomen; lage uitgangsspiegel voorspelde respons</w:t>
            </w:r>
          </w:p>
        </w:tc>
      </w:tr>
      <w:tr>
        <w:tc>
          <w:tcPr/>
          <w:p>
            <w:pPr>
              <w:pStyle w:val="Compact"/>
              <w:jc w:val="left"/>
            </w:pPr>
            <w:r>
              <w:t xml:space="preserve">SOARS-B (Sikich 2021), PMID 34644471</w:t>
            </w:r>
          </w:p>
        </w:tc>
        <w:tc>
          <w:tcPr/>
          <w:p>
            <w:pPr>
              <w:pStyle w:val="Compact"/>
              <w:jc w:val="left"/>
            </w:pPr>
            <w:r>
              <w:t xml:space="preserve">290 kinderen en jongeren (3–17 jaar), RCT</w:t>
            </w:r>
          </w:p>
        </w:tc>
        <w:tc>
          <w:tcPr/>
          <w:p>
            <w:pPr>
              <w:pStyle w:val="Compact"/>
              <w:jc w:val="left"/>
            </w:pPr>
            <w:r>
              <w:t xml:space="preserve">24 weken</w:t>
            </w:r>
          </w:p>
        </w:tc>
        <w:tc>
          <w:tcPr/>
          <w:p>
            <w:pPr>
              <w:pStyle w:val="Compact"/>
              <w:jc w:val="left"/>
            </w:pPr>
            <w:r>
              <w:t xml:space="preserve">geen verschil: −3,7 vs. −3,5 punten in sociale terugtrekking</w:t>
            </w:r>
          </w:p>
        </w:tc>
      </w:tr>
      <w:tr>
        <w:tc>
          <w:tcPr/>
          <w:p>
            <w:pPr>
              <w:pStyle w:val="Compact"/>
              <w:jc w:val="left"/>
            </w:pPr>
            <w:r>
              <w:t xml:space="preserve">Guastella 2023, PMID 36302965</w:t>
            </w:r>
          </w:p>
        </w:tc>
        <w:tc>
          <w:tcPr/>
          <w:p>
            <w:pPr>
              <w:pStyle w:val="Compact"/>
              <w:jc w:val="left"/>
            </w:pPr>
            <w:r>
              <w:t xml:space="preserve">87 kinderen (3–12 jaar), RCT na placebo-aanloopfase</w:t>
            </w:r>
          </w:p>
        </w:tc>
        <w:tc>
          <w:tcPr/>
          <w:p>
            <w:pPr>
              <w:pStyle w:val="Compact"/>
              <w:jc w:val="left"/>
            </w:pPr>
            <w:r>
              <w:t xml:space="preserve">12 weken</w:t>
            </w:r>
          </w:p>
        </w:tc>
        <w:tc>
          <w:tcPr/>
          <w:p>
            <w:pPr>
              <w:pStyle w:val="Compact"/>
              <w:jc w:val="left"/>
            </w:pPr>
            <w:r>
              <w:t xml:space="preserve">in totaal geen effect; aanwijzing voor effect bij 3- tot 5-jarigen</w:t>
            </w:r>
          </w:p>
        </w:tc>
      </w:tr>
    </w:tbl>
    <w:p>
      <w:pPr>
        <w:pStyle w:val="BodyText"/>
      </w:pPr>
      <w:r>
        <w:rPr>
          <w:bCs/>
          <w:b/>
        </w:rPr>
        <w:t xml:space="preserve">De SOARS-B-studie.</w:t>
      </w:r>
      <w:r>
        <w:t xml:space="preserve"> </w:t>
      </w:r>
      <w:r>
        <w:t xml:space="preserve">Verreweg de grootste en meest zeggingskrachtige studie is SOARS-B (Study of Oxytocin in Autism to Improve Reciprocal Social Behaviors), gefinancierd door de Amerikaanse gezondheidsautoriteiten en in 2021 gepubliceerd in het New England Journal of Medicine</w:t>
      </w:r>
      <w:r>
        <w:rPr>
          <w:rStyle w:val="FootnoteReference"/>
        </w:rPr>
        <w:footnoteReference w:id="2220"/>
      </w:r>
      <w:r>
        <w:t xml:space="preserve">. 290 kinderen en jongeren tussen 3 en 17 jaar kregen gedurende 24 weken dagelijks oxytocine of een placeboneusspray. De primaire uitkomstmaat was een schaal voor sociale terugtrekking (ABC-mSW, 0 tot 39 punten).</w:t>
      </w:r>
    </w:p>
    <w:p>
      <w:pPr>
        <w:pStyle w:val="BodyText"/>
      </w:pPr>
      <w:r>
        <w:t xml:space="preserve">Het resultaat was duidelijk negatief: de score daalde onder oxytocine met 3,7 punten, onder placebo met 3,5 punten. Het verschil van 0,2 punten was statistisch noch klinisch relevant. Ook de secundaire doelen – twee andere maten voor sociaal functioneren en een intelligentietest – verschilden niet. Bijwerkingen kwamen in beide groepen even vaak voor.</w:t>
      </w:r>
    </w:p>
    <w:p>
      <w:pPr>
        <w:pStyle w:val="BodyText"/>
      </w:pPr>
      <w:r>
        <w:rPr>
          <w:bCs/>
          <w:b/>
        </w:rPr>
        <w:t xml:space="preserve">De Australische studie bij jonge kinderen.</w:t>
      </w:r>
      <w:r>
        <w:t xml:space="preserve"> </w:t>
      </w:r>
      <w:r>
        <w:t xml:space="preserve">De groep rond Adam Guastella had eerder bij jonge kinderen een positief resultaat gevonden</w:t>
      </w:r>
      <w:r>
        <w:rPr>
          <w:rStyle w:val="FootnoteReference"/>
        </w:rPr>
        <w:footnoteReference w:id="2221"/>
      </w:r>
      <w:r>
        <w:t xml:space="preserve">. Een grotere vervolgstudie met 87 kinderen liet een placebo-aanloopfase van drie weken voorafgaan om het sterke placebo-effect eruit te filteren. In totaal had oxytocine geen effect op de sociale responsiviteit. Alleen in de subgroep van 3- tot 5-jarigen tekende zich volgens het oordeel van de ouders een verbetering af; het medisch oordeel en alle andere maten lieten geen nut zien</w:t>
      </w:r>
      <w:r>
        <w:rPr>
          <w:rStyle w:val="FootnoteReference"/>
        </w:rPr>
        <w:footnoteReference w:id="2222"/>
      </w:r>
      <w:r>
        <w:t xml:space="preserve">. Opvallend: in de studie bij jongeren uit 2015 rapporteerden ouders die geloofden dat hun kind oxytocine kreeg, grotere verbeteringen – ongeacht wat het kind daadwerkelijk kreeg</w:t>
      </w:r>
      <w:r>
        <w:rPr>
          <w:rStyle w:val="FootnoteReference"/>
        </w:rPr>
        <w:footnoteReference w:id="2223"/>
      </w:r>
      <w:r>
        <w:t xml:space="preserve">.</w:t>
      </w:r>
    </w:p>
    <w:p>
      <w:pPr>
        <w:pStyle w:val="BodyText"/>
      </w:pPr>
      <w:r>
        <w:rPr>
          <w:bCs/>
          <w:b/>
        </w:rPr>
        <w:t xml:space="preserve">Biologische effecten zonder klinisch nut.</w:t>
      </w:r>
      <w:r>
        <w:t xml:space="preserve"> </w:t>
      </w:r>
      <w:r>
        <w:t xml:space="preserve">Een studie met 79 kinderen vond na vier weken oxytocine hogere oxytocinespiegels in het speeksel en veranderingen in de markering van het erfelijk materiaal van het receptorgen</w:t>
      </w:r>
      <w:r>
        <w:rPr>
          <w:rStyle w:val="FootnoteReference"/>
        </w:rPr>
        <w:footnoteReference w:id="2224"/>
      </w:r>
      <w:r>
        <w:t xml:space="preserve">. In de hersenscanner waren in dezelfde groep daarentegen geen significante behandeleffecten op de verwerking van gezichten te zien</w:t>
      </w:r>
      <w:r>
        <w:rPr>
          <w:rStyle w:val="FootnoteReference"/>
        </w:rPr>
        <w:footnoteReference w:id="2225"/>
      </w:r>
      <w:r>
        <w:t xml:space="preserve">. Zulke biologische signalen zijn wetenschappelijk interessant, maar tonen geen verbetering in het dagelijks leven aan.</w:t>
      </w:r>
    </w:p>
    <w:p>
      <w:pPr>
        <w:pStyle w:val="BodyText"/>
      </w:pPr>
      <w:r>
        <w:rPr>
          <w:bCs/>
          <w:b/>
        </w:rPr>
        <w:t xml:space="preserve">Meta-analyses.</w:t>
      </w:r>
      <w:r>
        <w:t xml:space="preserve"> </w:t>
      </w:r>
      <w:r>
        <w:t xml:space="preserve">De samenvattingen komen tot verschillende resultaten, afhankelijk van welke studies ze insluiten:</w:t>
      </w:r>
    </w:p>
    <w:p>
      <w:pPr>
        <w:numPr>
          <w:ilvl w:val="0"/>
          <w:numId w:val="1277"/>
        </w:numPr>
        <w:pStyle w:val="Compact"/>
      </w:pPr>
      <w:r>
        <w:t xml:space="preserve">Een meta-analyse van 17 gerandomiseerde studies met 466 personen met ontwikkelingsstoornissen vond geen effect op het herkennen van gevoelens en een klein effect op het begrijpen van de gedachten van anderen</w:t>
      </w:r>
      <w:r>
        <w:rPr>
          <w:rStyle w:val="FootnoteReference"/>
        </w:rPr>
        <w:footnoteReference w:id="2226"/>
      </w:r>
      <w:r>
        <w:t xml:space="preserve">.</w:t>
      </w:r>
    </w:p>
    <w:p>
      <w:pPr>
        <w:numPr>
          <w:ilvl w:val="0"/>
          <w:numId w:val="1277"/>
        </w:numPr>
        <w:pStyle w:val="Compact"/>
      </w:pPr>
      <w:r>
        <w:t xml:space="preserve">Een meta-analyse van 28 studies met 726 personen met autisme, waaronder ook ongecontroleerde, kwam tot een positiever oordeel over het sociaal functioneren</w:t>
      </w:r>
      <w:r>
        <w:rPr>
          <w:rStyle w:val="FootnoteReference"/>
        </w:rPr>
        <w:footnoteReference w:id="2227"/>
      </w:r>
      <w:r>
        <w:t xml:space="preserve">. Het insluiten van ongecontroleerde studies maakt dit resultaat vatbaar voor vertekening.</w:t>
      </w:r>
    </w:p>
    <w:p>
      <w:pPr>
        <w:numPr>
          <w:ilvl w:val="0"/>
          <w:numId w:val="1277"/>
        </w:numPr>
        <w:pStyle w:val="Compact"/>
      </w:pPr>
      <w:r>
        <w:t xml:space="preserve">De tot nu toe grootste meta-analyse over alle psychische aandoeningen (42 dubbelblinde studies, 1.922 personen) vond in totaal geen significant effect. Na uitsluiting van twee uitschieters lag de effectgrootte dicht bij nul</w:t>
      </w:r>
      <w:r>
        <w:rPr>
          <w:rStyle w:val="FootnoteReference"/>
        </w:rPr>
        <w:footnoteReference w:id="2228"/>
      </w:r>
      <w:r>
        <w:t xml:space="preserve">.</w:t>
      </w:r>
    </w:p>
    <w:p>
      <w:pPr>
        <w:pStyle w:val="FirstParagraph"/>
      </w:pPr>
      <w:r>
        <w:rPr>
          <w:bCs/>
          <w:b/>
        </w:rPr>
        <w:t xml:space="preserve">Tussenconclusie autisme:</w:t>
      </w:r>
      <w:r>
        <w:t xml:space="preserve"> </w:t>
      </w:r>
      <w:r>
        <w:t xml:space="preserve">na de grote SOARS-B-studie en de Australische vervolgstudie is er geen betrouwbaar bewijs dat oxytocineneusspray het sociaal gedrag van kinderen en jongeren met autisme in het dagelijks leven verbetert. Onderzoekers bespreken of bepaalde subgroepen – zeer jonge kinderen, kinderen met een lage oxytocinespiegel – baat zouden kunnen hebben, en stellen een gepersonaliseerde aanpak voor</w:t>
      </w:r>
      <w:r>
        <w:rPr>
          <w:rStyle w:val="FootnoteReference"/>
        </w:rPr>
        <w:footnoteReference w:id="2229"/>
      </w:r>
      <w:r>
        <w:t xml:space="preserve">. Zolang dat niet in eigen studies is bevestigd, blijft het een hypothese.</w:t>
      </w:r>
    </w:p>
    <w:bookmarkEnd w:id="2230"/>
    <w:bookmarkStart w:id="2238" w:name="andere-psychische-aandoeningen"/>
    <w:p>
      <w:pPr>
        <w:pStyle w:val="Heading4"/>
      </w:pPr>
      <w:r>
        <w:t xml:space="preserve">Andere psychische aandoeningen</w:t>
      </w:r>
    </w:p>
    <w:p>
      <w:pPr>
        <w:pStyle w:val="FirstParagraph"/>
      </w:pPr>
      <w:r>
        <w:rPr>
          <w:bCs/>
          <w:b/>
        </w:rPr>
        <w:t xml:space="preserve">Schizofrenie.</w:t>
      </w:r>
      <w:r>
        <w:t xml:space="preserve"> </w:t>
      </w:r>
      <w:r>
        <w:t xml:space="preserve">In een studie van twaalf weken met 68 personen verbeterde oxytocine de sociale waarneming niet</w:t>
      </w:r>
      <w:r>
        <w:rPr>
          <w:rStyle w:val="FootnoteReference"/>
        </w:rPr>
        <w:footnoteReference w:id="2231"/>
      </w:r>
      <w:r>
        <w:t xml:space="preserve">. Een meta-analyse van negen studies vond geen consistent effect op zogenoemde negatieve symptomen zoals gebrek aan initiatief en sociale terugtrekking</w:t>
      </w:r>
      <w:r>
        <w:rPr>
          <w:rStyle w:val="FootnoteReference"/>
        </w:rPr>
        <w:footnoteReference w:id="2232"/>
      </w:r>
      <w:r>
        <w:t xml:space="preserve">. De grote meta-analyse uit 2026 zag in deze groep een klein, net significant effect (effectgrootte 0,12) en stelde vast dat studies met meer vrouwen doorgaans grotere effecten lieten zien</w:t>
      </w:r>
      <w:r>
        <w:rPr>
          <w:rStyle w:val="FootnoteReference"/>
        </w:rPr>
        <w:footnoteReference w:id="2233"/>
      </w:r>
      <w:r>
        <w:t xml:space="preserve">.</w:t>
      </w:r>
    </w:p>
    <w:p>
      <w:pPr>
        <w:pStyle w:val="BodyText"/>
      </w:pPr>
      <w:r>
        <w:rPr>
          <w:bCs/>
          <w:b/>
        </w:rPr>
        <w:t xml:space="preserve">Alcohol.</w:t>
      </w:r>
      <w:r>
        <w:t xml:space="preserve"> </w:t>
      </w:r>
      <w:r>
        <w:t xml:space="preserve">In een Noorse studie met 40 personen in alcoholontwenning verminderde oxytocine de behoefte aan kalmeringsmiddelen niet significant</w:t>
      </w:r>
      <w:r>
        <w:rPr>
          <w:rStyle w:val="FootnoteReference"/>
        </w:rPr>
        <w:footnoteReference w:id="2234"/>
      </w:r>
      <w:r>
        <w:t xml:space="preserve">. Een meta-analyse van zes gerandomiseerde studies naar alcoholafhankelijkheid vond geen effect; een bayesiaanse analyse pleitte zelfs matig voor het ontbreken van een effect</w:t>
      </w:r>
      <w:r>
        <w:rPr>
          <w:rStyle w:val="FootnoteReference"/>
        </w:rPr>
        <w:footnoteReference w:id="2235"/>
      </w:r>
      <w:r>
        <w:t xml:space="preserve">.</w:t>
      </w:r>
    </w:p>
    <w:p>
      <w:pPr>
        <w:pStyle w:val="BodyText"/>
      </w:pPr>
      <w:r>
        <w:rPr>
          <w:bCs/>
          <w:b/>
        </w:rPr>
        <w:t xml:space="preserve">Combinatie met psychotherapie.</w:t>
      </w:r>
      <w:r>
        <w:t xml:space="preserve"> </w:t>
      </w:r>
      <w:r>
        <w:t xml:space="preserve">Een nieuwer idee is om oxytocine niet alleen te geven, maar als versterker van een psychotherapie. Een overzicht van 13 studies met 518 deelnemers vond aanwijzingen voor minder depressieve symptomen en een betere therapeutische relatie, maar geen effect op psychiatrische symptomen in het algemeen of op het sociaal functioneren; slechts vier studies konden worden samengevoegd</w:t>
      </w:r>
      <w:r>
        <w:rPr>
          <w:rStyle w:val="FootnoteReference"/>
        </w:rPr>
        <w:footnoteReference w:id="2236"/>
      </w:r>
      <w:r>
        <w:t xml:space="preserve">.</w:t>
      </w:r>
    </w:p>
    <w:p>
      <w:pPr>
        <w:pStyle w:val="BodyText"/>
      </w:pPr>
      <w:r>
        <w:rPr>
          <w:bCs/>
          <w:b/>
        </w:rPr>
        <w:t xml:space="preserve">Na de bevalling.</w:t>
      </w:r>
      <w:r>
        <w:t xml:space="preserve"> </w:t>
      </w:r>
      <w:r>
        <w:t xml:space="preserve">Bij 45 moeders met (deels subklinische) postpartumdepressie verhoogde een eenmalige dosis de positieve stemming en de positieve aandacht voor het kind, maar niet de sensitiviteit in de omgang</w:t>
      </w:r>
      <w:r>
        <w:rPr>
          <w:rStyle w:val="FootnoteReference"/>
        </w:rPr>
        <w:footnoteReference w:id="2237"/>
      </w:r>
      <w:r>
        <w:t xml:space="preserve">.</w:t>
      </w:r>
    </w:p>
    <w:bookmarkEnd w:id="2238"/>
    <w:bookmarkStart w:id="2245" w:name="stofwisseling-gewicht-en-pijn"/>
    <w:p>
      <w:pPr>
        <w:pStyle w:val="Heading4"/>
      </w:pPr>
      <w:r>
        <w:t xml:space="preserve">Stofwisseling, gewicht en pijn</w:t>
      </w:r>
    </w:p>
    <w:p>
      <w:pPr>
        <w:pStyle w:val="FirstParagraph"/>
      </w:pPr>
      <w:r>
        <w:rPr>
          <w:bCs/>
          <w:b/>
        </w:rPr>
        <w:t xml:space="preserve">Obesitas.</w:t>
      </w:r>
      <w:r>
        <w:t xml:space="preserve"> </w:t>
      </w:r>
      <w:r>
        <w:t xml:space="preserve">Omdat oxytocine bij dieren de voedselinname verlaagt en het energieverbruik verhoogt, werd het getest als afslankmiddel. Een meta-analyse vond dat een eenmalige dosis bij mensen zonder psychische aandoening de eetmenge bij een testmaaltijd verminderde</w:t>
      </w:r>
      <w:r>
        <w:rPr>
          <w:rStyle w:val="FootnoteReference"/>
        </w:rPr>
        <w:footnoteReference w:id="2239"/>
      </w:r>
      <w:r>
        <w:t xml:space="preserve">. De beslissende toets was een studie met 61 volwassenen met obesitas, die acht weken lang vier keer per dag oxytocine of placebo sproeiden. Het gewicht veranderde niet: +0,20 kg onder oxytocine, +0,26 kg onder placebo. Ook lichaamsvet, levervet en energieverbruik bleven onveranderd; alleen bij een testmaaltijd aten de deelnemers minder</w:t>
      </w:r>
      <w:r>
        <w:rPr>
          <w:rStyle w:val="FootnoteReference"/>
        </w:rPr>
        <w:footnoteReference w:id="2240"/>
      </w:r>
      <w:r>
        <w:t xml:space="preserve">. Een kleine pilotstudie bij 21 ouderen met overgewicht en spierverlies vond een toename van de spiermassa met 2,25 kg</w:t>
      </w:r>
      <w:r>
        <w:rPr>
          <w:rStyle w:val="FootnoteReference"/>
        </w:rPr>
        <w:footnoteReference w:id="2241"/>
      </w:r>
      <w:r>
        <w:t xml:space="preserve">; dat moet in grotere studies worden bevestigd.</w:t>
      </w:r>
    </w:p>
    <w:p>
      <w:pPr>
        <w:pStyle w:val="BodyText"/>
      </w:pPr>
      <w:r>
        <w:rPr>
          <w:bCs/>
          <w:b/>
        </w:rPr>
        <w:t xml:space="preserve">Prader-Willisyndroom.</w:t>
      </w:r>
      <w:r>
        <w:t xml:space="preserve"> </w:t>
      </w:r>
      <w:r>
        <w:t xml:space="preserve">Bij deze zeldzame genetische aandoening met onstilbare honger en verminderd oxytocine in de hypothalamus waren de verwachtingen bijzonder hoog. Een meta-analyse vond geen effect op vreetbuien of gewicht</w:t>
      </w:r>
      <w:r>
        <w:rPr>
          <w:rStyle w:val="FootnoteReference"/>
        </w:rPr>
        <w:footnoteReference w:id="2242"/>
      </w:r>
      <w:r>
        <w:t xml:space="preserve">. In een studie met 23 kinderen verbeterden vreetbuien en herhalingsgedrag zelfs eerder onder placebo</w:t>
      </w:r>
      <w:r>
        <w:rPr>
          <w:rStyle w:val="FootnoteReference"/>
        </w:rPr>
        <w:footnoteReference w:id="2243"/>
      </w:r>
      <w:r>
        <w:t xml:space="preserve">.</w:t>
      </w:r>
    </w:p>
    <w:p>
      <w:pPr>
        <w:pStyle w:val="BodyText"/>
      </w:pPr>
      <w:r>
        <w:rPr>
          <w:bCs/>
          <w:b/>
        </w:rPr>
        <w:t xml:space="preserve">Pijn.</w:t>
      </w:r>
      <w:r>
        <w:t xml:space="preserve"> </w:t>
      </w:r>
      <w:r>
        <w:t xml:space="preserve">Een meta-analyse van 15 studies vond geen significant effect op pijnintensiteit of de onaangenaamheid van de pijn</w:t>
      </w:r>
      <w:r>
        <w:rPr>
          <w:rStyle w:val="FootnoteReference"/>
        </w:rPr>
        <w:footnoteReference w:id="2244"/>
      </w:r>
      <w:r>
        <w:t xml:space="preserve">.</w:t>
      </w:r>
    </w:p>
    <w:bookmarkEnd w:id="2245"/>
    <w:bookmarkStart w:id="2248" w:name="seksualiteit"/>
    <w:p>
      <w:pPr>
        <w:pStyle w:val="Heading4"/>
      </w:pPr>
      <w:r>
        <w:t xml:space="preserve">Seksualiteit</w:t>
      </w:r>
    </w:p>
    <w:p>
      <w:pPr>
        <w:pStyle w:val="FirstParagraph"/>
      </w:pPr>
      <w:r>
        <w:t xml:space="preserve">Oxytocine komt vrij bij een orgasme en wordt op internet aangeprezen als middel voor een intensiever liefdesleven. In een laboratoriumstudie met tien mannen verhoogde een neusspray de oxytocinespiegel in het bloed duidelijk, maar veranderde verlangen, opwinding, orgasme en herstelfase volgens de vragenlijsten niet</w:t>
      </w:r>
      <w:r>
        <w:rPr>
          <w:rStyle w:val="FootnoteReference"/>
        </w:rPr>
        <w:footnoteReference w:id="2246"/>
      </w:r>
      <w:r>
        <w:t xml:space="preserve">. Een meta-analyse van geneesmiddelen tegen seksuele disfuncties bij vrouwen, die ook oxytocinestudies insloot, vond dat ongeveer twee derde van de verbetering ook onder placebo optrad</w:t>
      </w:r>
      <w:r>
        <w:rPr>
          <w:rStyle w:val="FootnoteReference"/>
        </w:rPr>
        <w:footnoteReference w:id="2247"/>
      </w:r>
      <w:r>
        <w:t xml:space="preserve">. Betrouwbaar bewijs voor een effect op de seksualiteit bestaat niet.</w:t>
      </w:r>
    </w:p>
    <w:bookmarkEnd w:id="2248"/>
    <w:bookmarkStart w:id="2251" w:name="oxytocinetekort-als-ziekte"/>
    <w:p>
      <w:pPr>
        <w:pStyle w:val="Heading4"/>
      </w:pPr>
      <w:r>
        <w:t xml:space="preserve">Oxytocinetekort als ziekte</w:t>
      </w:r>
    </w:p>
    <w:p>
      <w:pPr>
        <w:pStyle w:val="FirstParagraph"/>
      </w:pPr>
      <w:r>
        <w:t xml:space="preserve">Een nieuw en medisch plausibel gebied is het echte oxytocinetekort. Mensen bij wie de hypothalamus of de hypofyse bijvoorbeeld door een tumor of een operatie beschadigd is, hebben vaak een vasopressinetekort (vroeger centrale diabetes insipidus). Een Zwitserse studie gebruikte de drug MDMA, die bij gezonde mensen krachtig oxytocine vrijmaakt, als provocatietest. Bij 15 gezonde personen steeg oxytocine sterk, bij 15 patiënten nauwelijks; de oppervlakte onder de curve was bij gezonde personen 82% groter, en de patiënten merkten nauwelijks de typische sociale en angstverminderende effecten</w:t>
      </w:r>
      <w:r>
        <w:rPr>
          <w:rStyle w:val="FootnoteReference"/>
        </w:rPr>
        <w:footnoteReference w:id="2249"/>
      </w:r>
      <w:r>
        <w:t xml:space="preserve">. Dat pleit ervoor dat veel van deze mensen ook een oxytocinetekort hebben. Of een vervanging via neusspray hun psychische klachten verlicht, onderzoekt een lopende studie</w:t>
      </w:r>
      <w:r>
        <w:rPr>
          <w:rStyle w:val="FootnoteReference"/>
        </w:rPr>
        <w:footnoteReference w:id="2250"/>
      </w:r>
      <w:r>
        <w:t xml:space="preserve">. Ook kisspeptine wordt onderzocht als mogelijke test voor een oxytocinetekort (Galbiati 2025, PMID 39965102; hoofdstuk 2E04).</w:t>
      </w:r>
    </w:p>
    <w:bookmarkEnd w:id="2251"/>
    <w:bookmarkEnd w:id="2252"/>
    <w:bookmarkStart w:id="2255" w:name="dier--en-laboratoriumstudies-50"/>
    <w:p>
      <w:pPr>
        <w:pStyle w:val="Heading3"/>
      </w:pPr>
      <w:r>
        <w:t xml:space="preserve">Dier- en laboratoriumstudies</w:t>
      </w:r>
    </w:p>
    <w:p>
      <w:pPr>
        <w:pStyle w:val="FirstParagraph"/>
      </w:pPr>
      <w:r>
        <w:t xml:space="preserve">Het enthousiasme voor oxytocine berust op overtuigende dierbevindingen: bij prairiewoelmuizen is het oxytocinesysteem nodig voor de paarbinding, bij knaagdieren en schapen voor moederlijk gedrag. Bij muizen in een autismemodel verbeterde een middel dat het oxytocinesysteem stimuleert de maten voor sociaal gedrag</w:t>
      </w:r>
      <w:r>
        <w:rPr>
          <w:rStyle w:val="FootnoteReference"/>
        </w:rPr>
        <w:footnoteReference w:id="2253"/>
      </w:r>
      <w:r>
        <w:t xml:space="preserve">. Bij resusapen kwam gemarkeerd oxytocine via de neus in bepaalde hersengebieden terecht</w:t>
      </w:r>
      <w:r>
        <w:rPr>
          <w:rStyle w:val="FootnoteReference"/>
        </w:rPr>
        <w:footnoteReference w:id="2254"/>
      </w:r>
      <w:r>
        <w:t xml:space="preserve">.</w:t>
      </w:r>
    </w:p>
    <w:p>
      <w:pPr>
        <w:pStyle w:val="BodyText"/>
      </w:pPr>
      <w:r>
        <w:t xml:space="preserve">Deze bevindingen zijn echter maar beperkt over te dragen: de verdeling van de oxytocinereceptoren in de hersenen verschilt sterk tussen soorten, zelfs tussen nauw verwante woelmuissoorten. Veel dierproeven brachten oxytocine rechtstreeks in de hersenen, wat bij mensen niet mogelijk is.</w:t>
      </w:r>
    </w:p>
    <w:bookmarkEnd w:id="2255"/>
    <w:bookmarkStart w:id="2265" w:name="risicos-en-bijwerkingen-50"/>
    <w:p>
      <w:pPr>
        <w:pStyle w:val="Heading3"/>
      </w:pPr>
      <w:r>
        <w:t xml:space="preserve">Risico’s en bijwerkingen</w:t>
      </w:r>
    </w:p>
    <w:bookmarkStart w:id="2260" w:name="aangetoond-neusspray-in-studies"/>
    <w:p>
      <w:pPr>
        <w:pStyle w:val="Heading4"/>
      </w:pPr>
      <w:r>
        <w:t xml:space="preserve">Aangetoond: neusspray in studies</w:t>
      </w:r>
    </w:p>
    <w:p>
      <w:pPr>
        <w:pStyle w:val="FirstParagraph"/>
      </w:pPr>
      <w:r>
        <w:t xml:space="preserve">In gecontroleerde studies geldt de oxytocineneusspray als goed verdraagbaar. Een systematisch overzicht van 38 gerandomiseerde studies met 1.529 deelnemers vond bij kortdurend gebruik geen bijwerkingen die vaker optraden dan onder placebo. De deelnemers konden ook niet herkennen of ze oxytocine of placebo hadden gekregen</w:t>
      </w:r>
      <w:r>
        <w:rPr>
          <w:rStyle w:val="FootnoteReference"/>
        </w:rPr>
        <w:footnoteReference w:id="2256"/>
      </w:r>
      <w:r>
        <w:t xml:space="preserve">. In SOARS-B kwamen bijwerkingen over 24 weken in beide groepen even vaak voor</w:t>
      </w:r>
      <w:r>
        <w:rPr>
          <w:rStyle w:val="FootnoteReference"/>
        </w:rPr>
        <w:footnoteReference w:id="2257"/>
      </w:r>
      <w:r>
        <w:t xml:space="preserve">. Bij 95 oudere mannen traden gedurende vier weken geen veranderingen op in bloeddruk, urine- of bloedwaarden</w:t>
      </w:r>
      <w:r>
        <w:rPr>
          <w:rStyle w:val="FootnoteReference"/>
        </w:rPr>
        <w:footnoteReference w:id="2258"/>
      </w:r>
      <w:r>
        <w:t xml:space="preserve">. In studies bij kinderen werden dorst, vaker plassen en verstopping gemeld</w:t>
      </w:r>
      <w:r>
        <w:rPr>
          <w:rStyle w:val="FootnoteReference"/>
        </w:rPr>
        <w:footnoteReference w:id="2259"/>
      </w:r>
      <w:r>
        <w:t xml:space="preserve">.</w:t>
      </w:r>
    </w:p>
    <w:bookmarkEnd w:id="2260"/>
    <w:bookmarkStart w:id="2263" w:name="mogelijk-en-om-op-te-letten"/>
    <w:p>
      <w:pPr>
        <w:pStyle w:val="Heading4"/>
      </w:pPr>
      <w:r>
        <w:t xml:space="preserve">Mogelijk en om op te letten</w:t>
      </w:r>
    </w:p>
    <w:p>
      <w:pPr>
        <w:numPr>
          <w:ilvl w:val="0"/>
          <w:numId w:val="1278"/>
        </w:numPr>
        <w:pStyle w:val="Compact"/>
      </w:pPr>
      <w:r>
        <w:rPr>
          <w:bCs/>
          <w:b/>
        </w:rPr>
        <w:t xml:space="preserve">Waterhuishouding:</w:t>
      </w:r>
      <w:r>
        <w:t xml:space="preserve"> </w:t>
      </w:r>
      <w:r>
        <w:t xml:space="preserve">oxytocine lijkt op vasopressine en kan in hoge doses water in het lichaam vasthouden. In de verloskunde is een watervergiftiging met natriumtekort een bekende, zeldzame complicatie van hoog gedoseerde infusen. Bij de neusspray is één geval beschreven van verhoogde hersendruk bij gelijktijdig zeer hoge vochtinname</w:t>
      </w:r>
      <w:r>
        <w:rPr>
          <w:rStyle w:val="FootnoteReference"/>
        </w:rPr>
        <w:footnoteReference w:id="2261"/>
      </w:r>
      <w:r>
        <w:t xml:space="preserve">.</w:t>
      </w:r>
    </w:p>
    <w:p>
      <w:pPr>
        <w:numPr>
          <w:ilvl w:val="0"/>
          <w:numId w:val="1278"/>
        </w:numPr>
        <w:pStyle w:val="Compact"/>
      </w:pPr>
      <w:r>
        <w:rPr>
          <w:bCs/>
          <w:b/>
        </w:rPr>
        <w:t xml:space="preserve">Bloedsomloop:</w:t>
      </w:r>
      <w:r>
        <w:t xml:space="preserve"> </w:t>
      </w:r>
      <w:r>
        <w:t xml:space="preserve">bij twaalf gezonde mannen verhoogde een neusspray de activiteit van de zenuwen die bloedvaten vernauwen en verhoogde licht de onderdruk</w:t>
      </w:r>
      <w:r>
        <w:rPr>
          <w:rStyle w:val="FootnoteReference"/>
        </w:rPr>
        <w:footnoteReference w:id="2262"/>
      </w:r>
      <w:r>
        <w:t xml:space="preserve">.</w:t>
      </w:r>
    </w:p>
    <w:p>
      <w:pPr>
        <w:numPr>
          <w:ilvl w:val="0"/>
          <w:numId w:val="1278"/>
        </w:numPr>
        <w:pStyle w:val="Compact"/>
      </w:pPr>
      <w:r>
        <w:rPr>
          <w:bCs/>
          <w:b/>
        </w:rPr>
        <w:t xml:space="preserve">Zwangerschap:</w:t>
      </w:r>
      <w:r>
        <w:t xml:space="preserve"> </w:t>
      </w:r>
      <w:r>
        <w:t xml:space="preserve">omdat oxytocine weeën opwekt, is gebruik buiten medische controle tijdens de zwangerschap gevaarlijk.</w:t>
      </w:r>
    </w:p>
    <w:p>
      <w:pPr>
        <w:numPr>
          <w:ilvl w:val="0"/>
          <w:numId w:val="1278"/>
        </w:numPr>
        <w:pStyle w:val="Compact"/>
      </w:pPr>
      <w:r>
        <w:rPr>
          <w:bCs/>
          <w:b/>
        </w:rPr>
        <w:t xml:space="preserve">Langdurig gebruik:</w:t>
      </w:r>
      <w:r>
        <w:t xml:space="preserve"> </w:t>
      </w:r>
      <w:r>
        <w:t xml:space="preserve">gegevens over meer dan zes maanden ontbreken, vooral bij kinderen.</w:t>
      </w:r>
    </w:p>
    <w:p>
      <w:pPr>
        <w:numPr>
          <w:ilvl w:val="0"/>
          <w:numId w:val="1278"/>
        </w:numPr>
        <w:pStyle w:val="Compact"/>
      </w:pPr>
      <w:r>
        <w:rPr>
          <w:bCs/>
          <w:b/>
        </w:rPr>
        <w:t xml:space="preserve">Sociale effecten:</w:t>
      </w:r>
      <w:r>
        <w:t xml:space="preserve"> </w:t>
      </w:r>
      <w:r>
        <w:t xml:space="preserve">enkele laboratoriumstudies meldden dat oxytocine onder bepaalde omstandigheden ook afgunst, wantrouwen tegenover vreemden of voorkeur voor de eigen groep kan versterken. Deze bevindingen zijn even onzeker als de positieve.</w:t>
      </w:r>
    </w:p>
    <w:bookmarkEnd w:id="2263"/>
    <w:bookmarkStart w:id="2264" w:name="grijze-markt-3"/>
    <w:p>
      <w:pPr>
        <w:pStyle w:val="Heading4"/>
      </w:pPr>
      <w:r>
        <w:t xml:space="preserve">Grijze markt</w:t>
      </w:r>
    </w:p>
    <w:p>
      <w:pPr>
        <w:pStyle w:val="FirstParagraph"/>
      </w:pPr>
      <w:r>
        <w:t xml:space="preserve">Oxytocineneussprays worden op internet verkocht als „liefdes-” of „vertrouwensspray”. Inhoud en gehalte van zulke producten zijn niet onafhankelijk gecontroleerd. Voor geen van deze producten bestaat bewijs van een effect.</w:t>
      </w:r>
    </w:p>
    <w:bookmarkEnd w:id="2264"/>
    <w:bookmarkEnd w:id="2265"/>
    <w:bookmarkStart w:id="2266" w:name="juridische-status-50"/>
    <w:p>
      <w:pPr>
        <w:pStyle w:val="Heading3"/>
      </w:pPr>
      <w:r>
        <w:t xml:space="preserve">Juridische status</w:t>
      </w:r>
    </w:p>
    <w:p>
      <w:pPr>
        <w:pStyle w:val="FirstParagraph"/>
      </w:pPr>
      <w:r>
        <w:rPr>
          <w:iCs/>
          <w:i/>
        </w:rPr>
        <w:t xml:space="preserve">Stand 2026, actuele situatie controleren.</w:t>
      </w:r>
    </w:p>
    <w:p>
      <w:pPr>
        <w:numPr>
          <w:ilvl w:val="0"/>
          <w:numId w:val="1279"/>
        </w:numPr>
        <w:pStyle w:val="Compact"/>
      </w:pPr>
      <w:r>
        <w:rPr>
          <w:bCs/>
          <w:b/>
        </w:rPr>
        <w:t xml:space="preserve">EU, Duitsland, Oostenrijk:</w:t>
      </w:r>
      <w:r>
        <w:t xml:space="preserve"> </w:t>
      </w:r>
      <w:r>
        <w:t xml:space="preserve">oxytocine voor infuus en injectie is als receptplichtig geneesmiddel geregistreerd voor de verloskunde. Een geregistreerde neusspray voor psychische of sociale toepassingen bestaat niet; vroeger geregistreerde sprays om de melkafgifte te bevorderen zijn op veel plaatsen niet meer verkrijgbaar. Een voorschrift voor de behandeling van autisme of andere aandoeningen zou een individuele behandelpoging buiten de registratie zijn (off-label), met de bijbehorende plicht tot voorlichting en aansprakelijkheid.</w:t>
      </w:r>
    </w:p>
    <w:p>
      <w:pPr>
        <w:numPr>
          <w:ilvl w:val="0"/>
          <w:numId w:val="1279"/>
        </w:numPr>
        <w:pStyle w:val="Compact"/>
      </w:pPr>
      <w:r>
        <w:rPr>
          <w:bCs/>
          <w:b/>
        </w:rPr>
        <w:t xml:space="preserve">VS:</w:t>
      </w:r>
      <w:r>
        <w:t xml:space="preserve"> </w:t>
      </w:r>
      <w:r>
        <w:t xml:space="preserve">oxytocine-injectie (Pitocin en generieke middelen) geregistreerd voor de verloskunde; geen geregistreerde neusspray. Bereidingsapotheken (compounding pharmacies) maken neussprays op voorschrift van een arts; de kwaliteit daarvan wordt niet gecontroleerd zoals bij industrieel vervaardigde geneesmiddelen.</w:t>
      </w:r>
    </w:p>
    <w:p>
      <w:pPr>
        <w:numPr>
          <w:ilvl w:val="0"/>
          <w:numId w:val="1279"/>
        </w:numPr>
        <w:pStyle w:val="Compact"/>
      </w:pPr>
      <w:r>
        <w:rPr>
          <w:bCs/>
          <w:b/>
        </w:rPr>
        <w:t xml:space="preserve">WADA:</w:t>
      </w:r>
      <w:r>
        <w:t xml:space="preserve"> </w:t>
      </w:r>
      <w:r>
        <w:t xml:space="preserve">niet vermeld.</w:t>
      </w:r>
    </w:p>
    <w:bookmarkEnd w:id="2266"/>
    <w:bookmarkStart w:id="2272" w:name="lopende-studies-en-vooruitzichten-50"/>
    <w:p>
      <w:pPr>
        <w:pStyle w:val="Heading3"/>
      </w:pPr>
      <w:r>
        <w:t xml:space="preserve">Lopende studies en vooruitzichten</w:t>
      </w:r>
    </w:p>
    <w:p>
      <w:pPr>
        <w:pStyle w:val="FirstParagraph"/>
      </w:pPr>
      <w:r>
        <w:rPr>
          <w:bCs/>
          <w:b/>
        </w:rPr>
        <w:t xml:space="preserve">Zeker (geregistreerde studies):</w:t>
      </w:r>
      <w:r>
        <w:t xml:space="preserve"> </w:t>
      </w:r>
      <w:r>
        <w:t xml:space="preserve">onder de lopende studies zijn enkele grotere die afzonderlijke open vragen zouden kunnen beantwoorden:</w:t>
      </w:r>
    </w:p>
    <w:p>
      <w:pPr>
        <w:numPr>
          <w:ilvl w:val="0"/>
          <w:numId w:val="1280"/>
        </w:numPr>
        <w:pStyle w:val="Compact"/>
      </w:pPr>
      <w:r>
        <w:rPr>
          <w:bCs/>
          <w:b/>
        </w:rPr>
        <w:t xml:space="preserve">Chronische pijn:</w:t>
      </w:r>
      <w:r>
        <w:t xml:space="preserve"> </w:t>
      </w:r>
      <w:r>
        <w:t xml:space="preserve">een Canadese fase 2/3-studie met 336 deelnemers</w:t>
      </w:r>
      <w:r>
        <w:rPr>
          <w:rStyle w:val="FootnoteReference"/>
        </w:rPr>
        <w:footnoteReference w:id="2267"/>
      </w:r>
      <w:r>
        <w:t xml:space="preserve"> </w:t>
      </w:r>
      <w:r>
        <w:t xml:space="preserve">is afgerond; de resultaten worden nog verwacht.</w:t>
      </w:r>
    </w:p>
    <w:p>
      <w:pPr>
        <w:numPr>
          <w:ilvl w:val="0"/>
          <w:numId w:val="1280"/>
        </w:numPr>
        <w:pStyle w:val="Compact"/>
      </w:pPr>
      <w:r>
        <w:rPr>
          <w:bCs/>
          <w:b/>
        </w:rPr>
        <w:t xml:space="preserve">Psychotherapie plus oxytocine:</w:t>
      </w:r>
      <w:r>
        <w:t xml:space="preserve"> </w:t>
      </w:r>
      <w:r>
        <w:t xml:space="preserve">een studie van het Amerikaanse ministerie van Veteranenzaken met 240 personen test oxytocine als aanvulling op relatietherapie bij posttraumatische stressstoornis (NCT06194851, tot 2028). In Duitsland testen studies oxytocine als aanvulling op psychosociale behandeling bij schizofrenie (NCT06881810 met 98 personen; NCT07265180 aan de Charité met 120 personen en dosisvergelijking).</w:t>
      </w:r>
    </w:p>
    <w:p>
      <w:pPr>
        <w:numPr>
          <w:ilvl w:val="0"/>
          <w:numId w:val="1280"/>
        </w:numPr>
        <w:pStyle w:val="Compact"/>
      </w:pPr>
      <w:r>
        <w:rPr>
          <w:bCs/>
          <w:b/>
        </w:rPr>
        <w:t xml:space="preserve">Oxytocinetekort:</w:t>
      </w:r>
      <w:r>
        <w:t xml:space="preserve"> </w:t>
      </w:r>
      <w:r>
        <w:t xml:space="preserve">een Zwitserse studie met 112 personen test oxytocinevervanging bij vasopressinetekort</w:t>
      </w:r>
      <w:r>
        <w:rPr>
          <w:rStyle w:val="FootnoteReference"/>
        </w:rPr>
        <w:footnoteReference w:id="2268"/>
      </w:r>
      <w:r>
        <w:t xml:space="preserve">.</w:t>
      </w:r>
    </w:p>
    <w:p>
      <w:pPr>
        <w:numPr>
          <w:ilvl w:val="0"/>
          <w:numId w:val="1280"/>
        </w:numPr>
        <w:pStyle w:val="Compact"/>
      </w:pPr>
      <w:r>
        <w:rPr>
          <w:bCs/>
          <w:b/>
        </w:rPr>
        <w:t xml:space="preserve">Autisme en botten:</w:t>
      </w:r>
      <w:r>
        <w:t xml:space="preserve"> </w:t>
      </w:r>
      <w:r>
        <w:t xml:space="preserve">een studie met 96 kinderen onderzoekt effecten op de botgezondheid</w:t>
      </w:r>
      <w:r>
        <w:rPr>
          <w:rStyle w:val="FootnoteReference"/>
        </w:rPr>
        <w:footnoteReference w:id="2269"/>
      </w:r>
      <w:r>
        <w:t xml:space="preserve">.</w:t>
      </w:r>
    </w:p>
    <w:p>
      <w:pPr>
        <w:numPr>
          <w:ilvl w:val="0"/>
          <w:numId w:val="1280"/>
        </w:numPr>
        <w:pStyle w:val="Compact"/>
      </w:pPr>
      <w:r>
        <w:rPr>
          <w:bCs/>
          <w:b/>
        </w:rPr>
        <w:t xml:space="preserve">Eetstoornissen:</w:t>
      </w:r>
      <w:r>
        <w:t xml:space="preserve"> </w:t>
      </w:r>
      <w:r>
        <w:t xml:space="preserve">een fase 2-studie naar eetbuistoornis</w:t>
      </w:r>
      <w:r>
        <w:rPr>
          <w:rStyle w:val="FootnoteReference"/>
        </w:rPr>
        <w:footnoteReference w:id="2270"/>
      </w:r>
      <w:r>
        <w:t xml:space="preserve">.</w:t>
      </w:r>
    </w:p>
    <w:p>
      <w:pPr>
        <w:numPr>
          <w:ilvl w:val="0"/>
          <w:numId w:val="1280"/>
        </w:numPr>
        <w:pStyle w:val="Compact"/>
      </w:pPr>
      <w:r>
        <w:rPr>
          <w:bCs/>
          <w:b/>
        </w:rPr>
        <w:t xml:space="preserve">Bedrijfsontwikkeling:</w:t>
      </w:r>
      <w:r>
        <w:t xml:space="preserve"> </w:t>
      </w:r>
      <w:r>
        <w:t xml:space="preserve">een bedrijf heeft een hoog gedoseerde oxytocineneusspray (TNX-1900) getest bij chronische migraine (NCT05679908, 88 personen, afgerond) en plant een studie naar pijnbehandeling na hypofyseoperaties</w:t>
      </w:r>
      <w:r>
        <w:rPr>
          <w:rStyle w:val="FootnoteReference"/>
        </w:rPr>
        <w:footnoteReference w:id="2271"/>
      </w:r>
      <w:r>
        <w:t xml:space="preserve">.</w:t>
      </w:r>
    </w:p>
    <w:p>
      <w:pPr>
        <w:pStyle w:val="FirstParagraph"/>
      </w:pPr>
      <w:r>
        <w:rPr>
          <w:bCs/>
          <w:b/>
        </w:rPr>
        <w:t xml:space="preserve">Inschatting van de auteur:</w:t>
      </w:r>
      <w:r>
        <w:t xml:space="preserve"> </w:t>
      </w:r>
      <w:r>
        <w:t xml:space="preserve">de geschiedenis van de oxytocineneusspray is een les over de grenzen van kleine studies. Na twintig jaar onderzoek bestaat er geen enkele toepassing waarin een nut in grote, goed uitgevoerde studies is bevestigd. De meest kansrijke richtingen zijn tegenwoordig nauwer afgebakend: oxytocine als aanvulling op een psychotherapie in plaats van als geneesmiddel op zich, als vervanging bij aangetoond tekort, en gericht bij subgroepen die vooraf worden vastgelegd. Een registratie voor autisme of sociale angst lijkt in de komende jaren onwaarschijnlijk.</w:t>
      </w:r>
    </w:p>
    <w:bookmarkEnd w:id="2272"/>
    <w:bookmarkStart w:id="2273" w:name="conclusie-50"/>
    <w:p>
      <w:pPr>
        <w:pStyle w:val="Heading3"/>
      </w:pPr>
      <w:r>
        <w:t xml:space="preserve">Conclusie</w:t>
      </w:r>
    </w:p>
    <w:p>
      <w:pPr>
        <w:pStyle w:val="FirstParagraph"/>
      </w:pPr>
      <w:r>
        <w:t xml:space="preserve">Oxytocine is als infuus een onmisbaar geneesmiddel in de verloskunde, als neusspray daarentegen een onderzoeksinstrument zonder bewezen therapeutisch nut. De beroemde bevinding dat oxytocine vertrouwen vergroot, hield geen stand in herhalingsstudies; hooguit bij mensen met weinig basisvertrouwen tekent zich een klein effect af. De grootste autismestudie, SOARS-B met 290 kinderen en jongeren, vond na 24 weken geen verschil met placebo, en ook bij obesitas, alcoholafhankelijkheid, prader-willisyndroom en pijn bleven de resultaten negatief. In studies werd de spray goed verdragen. Wie vandaag een „liefdes-” of „vertrouwensspray” koopt, koopt een belofte die het onderzoek niet waarmaakt.</w:t>
      </w:r>
    </w:p>
    <w:bookmarkEnd w:id="2273"/>
    <w:bookmarkEnd w:id="2274"/>
    <w:bookmarkStart w:id="2312" w:name="gonadoreline"/>
    <w:p>
      <w:pPr>
        <w:pStyle w:val="Heading2"/>
      </w:pPr>
      <w:r>
        <w:t xml:space="preserve">Gonadoreline</w:t>
      </w:r>
    </w:p>
    <w:bookmarkStart w:id="2275" w:name="profiel-51"/>
    <w:p>
      <w:pPr>
        <w:pStyle w:val="Heading3"/>
      </w:pPr>
      <w:r>
        <w:t xml:space="preserve">Profiel</w:t>
      </w:r>
    </w:p>
    <w:p>
      <w:pPr>
        <w:numPr>
          <w:ilvl w:val="0"/>
          <w:numId w:val="1281"/>
        </w:numPr>
        <w:pStyle w:val="Compact"/>
      </w:pPr>
      <w:r>
        <w:rPr>
          <w:bCs/>
          <w:b/>
        </w:rPr>
        <w:t xml:space="preserve">Soort/structuur:</w:t>
      </w:r>
      <w:r>
        <w:t xml:space="preserve"> </w:t>
      </w:r>
      <w:r>
        <w:t xml:space="preserve">peptide van tien aminozuren, synthetisch vervaardigd en in volgorde identiek aan het menselijke hormoon GnRH (gonadotropine-releasing hormoon, ook LHRH of gonadoliberine genoemd).</w:t>
      </w:r>
    </w:p>
    <w:p>
      <w:pPr>
        <w:numPr>
          <w:ilvl w:val="0"/>
          <w:numId w:val="1281"/>
        </w:numPr>
        <w:pStyle w:val="Compact"/>
      </w:pPr>
      <w:r>
        <w:rPr>
          <w:bCs/>
          <w:b/>
        </w:rPr>
        <w:t xml:space="preserve">Herkomst:</w:t>
      </w:r>
      <w:r>
        <w:t xml:space="preserve"> </w:t>
      </w:r>
      <w:r>
        <w:t xml:space="preserve">GnRH werd begin jaren 1970 uit hersenen van varkens en schapen geïsoleerd en ontcijferd; de betrokken onderzoekers Andrew Schally en Roger Guillemin kregen daarvoor in 1977 de Nobelprijs. Gonadoreline is de internationale stofnaam van het synthetische hormoon.</w:t>
      </w:r>
    </w:p>
    <w:p>
      <w:pPr>
        <w:numPr>
          <w:ilvl w:val="0"/>
          <w:numId w:val="1281"/>
        </w:numPr>
        <w:pStyle w:val="Compact"/>
      </w:pPr>
      <w:r>
        <w:rPr>
          <w:bCs/>
          <w:b/>
        </w:rPr>
        <w:t xml:space="preserve">Werkingsprincipe:</w:t>
      </w:r>
      <w:r>
        <w:t xml:space="preserve"> </w:t>
      </w:r>
      <w:r>
        <w:t xml:space="preserve">agonist van de GnRH-receptor van de hypofyse. In pulsen gegeven stimuleert het de afgifte van LH en FSH; bij continue toediening remt het die af.</w:t>
      </w:r>
    </w:p>
    <w:p>
      <w:pPr>
        <w:numPr>
          <w:ilvl w:val="0"/>
          <w:numId w:val="1281"/>
        </w:numPr>
        <w:pStyle w:val="Compact"/>
      </w:pPr>
      <w:r>
        <w:rPr>
          <w:bCs/>
          <w:b/>
        </w:rPr>
        <w:t xml:space="preserve">Toedieningsvormen:</w:t>
      </w:r>
      <w:r>
        <w:t xml:space="preserve"> </w:t>
      </w:r>
      <w:r>
        <w:t xml:space="preserve">injectie in een ader voor functietests; draagbare pomp die elke 60 tot 120 minuten een kleine hoeveelheid onder de huid of in een ader afgeeft (pulsatiele therapie); in enkele landen een neusspray voor zuigelingen met niet-ingedaalde testikels.</w:t>
      </w:r>
    </w:p>
    <w:p>
      <w:pPr>
        <w:numPr>
          <w:ilvl w:val="0"/>
          <w:numId w:val="1281"/>
        </w:numPr>
        <w:pStyle w:val="Compact"/>
      </w:pPr>
      <w:r>
        <w:rPr>
          <w:bCs/>
          <w:b/>
        </w:rPr>
        <w:t xml:space="preserve">Registratie EU:</w:t>
      </w:r>
      <w:r>
        <w:t xml:space="preserve"> </w:t>
      </w:r>
      <w:r>
        <w:t xml:space="preserve">in afzonderlijke lidstaten nationaal geregistreerd, bijvoorbeeld als diagnosticum en voor pomptherapie; preparaten en beschikbaarheid verschillen van land tot land.</w:t>
      </w:r>
    </w:p>
    <w:p>
      <w:pPr>
        <w:numPr>
          <w:ilvl w:val="0"/>
          <w:numId w:val="1281"/>
        </w:numPr>
        <w:pStyle w:val="Compact"/>
      </w:pPr>
      <w:r>
        <w:rPr>
          <w:bCs/>
          <w:b/>
        </w:rPr>
        <w:t xml:space="preserve">Registratie VS:</w:t>
      </w:r>
      <w:r>
        <w:t xml:space="preserve"> </w:t>
      </w:r>
      <w:r>
        <w:t xml:space="preserve">vroegere preparaten (Factrel voor diagnostiek, Lutrepulse voor de pomp) zijn niet meer in de handel. Een momenteel verkocht, geregistreerd geneesmiddel voor mensen bestaat naar weten van de auteur niet (actuele situatie controleren).</w:t>
      </w:r>
    </w:p>
    <w:p>
      <w:pPr>
        <w:numPr>
          <w:ilvl w:val="0"/>
          <w:numId w:val="1281"/>
        </w:numPr>
        <w:pStyle w:val="Compact"/>
      </w:pPr>
      <w:r>
        <w:rPr>
          <w:bCs/>
          <w:b/>
        </w:rPr>
        <w:t xml:space="preserve">WADA:</w:t>
      </w:r>
      <w:r>
        <w:t xml:space="preserve"> </w:t>
      </w:r>
      <w:r>
        <w:t xml:space="preserve">voor mannen verboden (groep S2, gonadoreline wordt daar bij naam genoemd), binnen en buiten wedstrijden.</w:t>
      </w:r>
    </w:p>
    <w:p>
      <w:pPr>
        <w:numPr>
          <w:ilvl w:val="0"/>
          <w:numId w:val="1281"/>
        </w:numPr>
        <w:pStyle w:val="Compact"/>
      </w:pPr>
      <w:r>
        <w:rPr>
          <w:bCs/>
          <w:b/>
        </w:rPr>
        <w:t xml:space="preserve">Bewijsniveau:</w:t>
      </w:r>
      <w:r>
        <w:t xml:space="preserve"> </w:t>
      </w:r>
      <w:r>
        <w:rPr>
          <w:bCs/>
          <w:b/>
        </w:rPr>
        <w:t xml:space="preserve">B</w:t>
      </w:r>
      <w:r>
        <w:t xml:space="preserve"> </w:t>
      </w:r>
      <w:r>
        <w:t xml:space="preserve">– geregistreerd geneesmiddel met tientallen jaren gebruik; de gegevens over werkzaamheid komen echter overwegend uit grote casusreeksen, cohorten en enkele kleine gerandomiseerde studies.</w:t>
      </w:r>
    </w:p>
    <w:bookmarkEnd w:id="2275"/>
    <w:bookmarkStart w:id="2276" w:name="hoe-het-zou-moeten-werken-51"/>
    <w:p>
      <w:pPr>
        <w:pStyle w:val="Heading3"/>
      </w:pPr>
      <w:r>
        <w:t xml:space="preserve">Hoe het zou moeten werken</w:t>
      </w:r>
    </w:p>
    <w:p>
      <w:pPr>
        <w:pStyle w:val="FirstParagraph"/>
      </w:pPr>
      <w:r>
        <w:t xml:space="preserve">De hormonale as van de voortplanting begint in de hypothalamus. Daar geven gespecialiseerde zenuwcellen GnRH af – niet gelijkmatig, maar in pulsen ongeveer elke een tot twee uur. Elke puls zet de hypofyse aan tot afgifte van de hormonen LH en FSH. Die werken op eierstokken en zaadballen: ze sturen eicelrijping en eisprong, zaadcelvorming en de productie van oestrogeen en testosteron. De boodschapperstof kisspeptine (hoofdstuk 2E04) zit nog een niveau hoger en schakelt de GnRH-zenuwcellen in.</w:t>
      </w:r>
    </w:p>
    <w:p>
      <w:pPr>
        <w:pStyle w:val="BodyText"/>
      </w:pPr>
      <w:r>
        <w:t xml:space="preserve">Het pulsritme is beslissend. Dat blijkt uit een schijnbare tegenstrijdigheid:</w:t>
      </w:r>
    </w:p>
    <w:p>
      <w:pPr>
        <w:numPr>
          <w:ilvl w:val="0"/>
          <w:numId w:val="1282"/>
        </w:numPr>
        <w:pStyle w:val="Compact"/>
      </w:pPr>
      <w:r>
        <w:rPr>
          <w:bCs/>
          <w:b/>
        </w:rPr>
        <w:t xml:space="preserve">Pulsatiele toediening</w:t>
      </w:r>
      <w:r>
        <w:t xml:space="preserve"> </w:t>
      </w:r>
      <w:r>
        <w:t xml:space="preserve">– elke 60 tot 120 minuten een kleine hoeveelheid – bootst het natuurlijke ritme na en</w:t>
      </w:r>
      <w:r>
        <w:t xml:space="preserve"> </w:t>
      </w:r>
      <w:r>
        <w:rPr>
          <w:bCs/>
          <w:b/>
        </w:rPr>
        <w:t xml:space="preserve">activeert</w:t>
      </w:r>
      <w:r>
        <w:t xml:space="preserve"> </w:t>
      </w:r>
      <w:r>
        <w:t xml:space="preserve">de as. Daarop berust de pomptherapie bij mensen bij wie de hypothalamus te weinig GnRH aanmaakt.</w:t>
      </w:r>
    </w:p>
    <w:p>
      <w:pPr>
        <w:numPr>
          <w:ilvl w:val="0"/>
          <w:numId w:val="1282"/>
        </w:numPr>
        <w:pStyle w:val="Compact"/>
      </w:pPr>
      <w:r>
        <w:rPr>
          <w:bCs/>
          <w:b/>
        </w:rPr>
        <w:t xml:space="preserve">Aanhoudende stimulatie</w:t>
      </w:r>
      <w:r>
        <w:t xml:space="preserve"> </w:t>
      </w:r>
      <w:r>
        <w:t xml:space="preserve">leidt na een korte stijging ertoe dat de receptoren van de hypofyse uitschakelen. De hormonale as wordt</w:t>
      </w:r>
      <w:r>
        <w:t xml:space="preserve"> </w:t>
      </w:r>
      <w:r>
        <w:rPr>
          <w:bCs/>
          <w:b/>
        </w:rPr>
        <w:t xml:space="preserve">afgeremd</w:t>
      </w:r>
      <w:r>
        <w:t xml:space="preserve">, tot aan testosteronwaarden als na een castratie.</w:t>
      </w:r>
    </w:p>
    <w:p>
      <w:pPr>
        <w:pStyle w:val="FirstParagraph"/>
      </w:pPr>
      <w:r>
        <w:t xml:space="preserve">Op het tweede principe berusten de GnRH-analogen zoals leuproreline, triptoreline of gosereline. Ze zijn chemisch gewijzigd, werken veel langer dan gonadoreline en worden als depotinjectie gebruikt tegen prostaatkanker, endometriose, vleesbomen of vroegtijdige puberteit. Ze zijn geen onderwerp van dit hoofdstuk, maar vertekenen de beschikbare gegevens aanzienlijk (zie hieronder).</w:t>
      </w:r>
    </w:p>
    <w:p>
      <w:pPr>
        <w:pStyle w:val="BodyText"/>
      </w:pPr>
      <w:r>
        <w:t xml:space="preserve">Gonadoreline zelf is ongeschikt voor een langdurige blokkade: het wordt in het bloed binnen enkele minuten afgebroken.</w:t>
      </w:r>
    </w:p>
    <w:bookmarkEnd w:id="2276"/>
    <w:bookmarkStart w:id="2296" w:name="studies-bij-mensen-51"/>
    <w:p>
      <w:pPr>
        <w:pStyle w:val="Heading3"/>
      </w:pPr>
      <w:r>
        <w:t xml:space="preserve">Studies bij mensen</w:t>
      </w:r>
    </w:p>
    <w:p>
      <w:pPr>
        <w:pStyle w:val="FirstParagraph"/>
      </w:pPr>
      <w:r>
        <w:rPr>
          <w:bCs/>
          <w:b/>
        </w:rPr>
        <w:t xml:space="preserve">Omvang van het onderzoek (zoekopdracht oktober 2026) – en waarom de cijfers misleiden:</w:t>
      </w:r>
      <w:r>
        <w:t xml:space="preserve"> </w:t>
      </w:r>
      <w:r>
        <w:t xml:space="preserve">De geautomatiseerde zoekopdracht van dit boek vond</w:t>
      </w:r>
      <w:r>
        <w:t xml:space="preserve"> </w:t>
      </w:r>
      <w:r>
        <w:rPr>
          <w:bCs/>
          <w:b/>
        </w:rPr>
        <w:t xml:space="preserve">9</w:t>
      </w:r>
      <w:r>
        <w:t xml:space="preserve"> </w:t>
      </w:r>
      <w:r>
        <w:t xml:space="preserve">studies bij mensen in PubMed (</w:t>
      </w:r>
      <w:r>
        <w:rPr>
          <w:rStyle w:val="VerbatimChar"/>
        </w:rPr>
        <w:t xml:space="preserve">humanstudien_alle</w:t>
      </w:r>
      <w:r>
        <w:t xml:space="preserve">) en bij ClinicalTrials.gov het maximumaantal van</w:t>
      </w:r>
      <w:r>
        <w:t xml:space="preserve"> </w:t>
      </w:r>
      <w:r>
        <w:rPr>
          <w:bCs/>
          <w:b/>
        </w:rPr>
        <w:t xml:space="preserve">1.000</w:t>
      </w:r>
      <w:r>
        <w:t xml:space="preserve"> </w:t>
      </w:r>
      <w:r>
        <w:t xml:space="preserve">registraties, waarbij de zoekopdracht afbreekt. Beide cijfers zijn onbruikbaar voor de beoordeling van gonadoreline, en wel in tegengestelde richting:</w:t>
      </w:r>
    </w:p>
    <w:p>
      <w:pPr>
        <w:numPr>
          <w:ilvl w:val="0"/>
          <w:numId w:val="1283"/>
        </w:numPr>
        <w:pStyle w:val="Compact"/>
      </w:pPr>
      <w:r>
        <w:rPr>
          <w:bCs/>
          <w:b/>
        </w:rPr>
        <w:t xml:space="preserve">Het registeraantal is sterk overschat.</w:t>
      </w:r>
      <w:r>
        <w:t xml:space="preserve"> </w:t>
      </w:r>
      <w:r>
        <w:t xml:space="preserve">ClinicalTrials.gov koppelt de zoekterm „gonadorelin” aan de overkoepelende term „Gonadotropin-Releasing Hormone”. Daardoor verschijnen alle studies met GnRH-analogen en -antagonisten. In de titels van de 1.000 treffers komt het woord „prostate” 340 keer voor, „androgen deprivation” 57 keer, leuproreline, gosereline en triptoreline samen ver over de honderd keer. Een doorlichting van de titels leverde slechts ongeveer tien registraties op die daadwerkelijk natief GnRH of gonadoreline onderzoeken – bijvoorbeeld als pomp, pleister of functietest.</w:t>
      </w:r>
    </w:p>
    <w:p>
      <w:pPr>
        <w:numPr>
          <w:ilvl w:val="0"/>
          <w:numId w:val="1283"/>
        </w:numPr>
        <w:pStyle w:val="Compact"/>
      </w:pPr>
      <w:r>
        <w:rPr>
          <w:bCs/>
          <w:b/>
        </w:rPr>
        <w:t xml:space="preserve">Het PubMed-aantal is onderschat.</w:t>
      </w:r>
      <w:r>
        <w:t xml:space="preserve"> </w:t>
      </w:r>
      <w:r>
        <w:t xml:space="preserve">De meeste studies naar het lichaamsidentieke hormoon gebruiken de termen „GnRH” of „LHRH” en niet de stofnaam. Omgekeerd gaan meerdere van de negen treffers helemaal niet over gonadoreline als behandeling: één artikel onderzocht een GnRH-analoog bij prostaatkanker</w:t>
      </w:r>
      <w:r>
        <w:rPr>
          <w:rStyle w:val="FootnoteReference"/>
        </w:rPr>
        <w:footnoteReference w:id="2277"/>
      </w:r>
      <w:r>
        <w:t xml:space="preserve">, andere gebruikten gonadoreline alleen als testsubstantie, bijvoorbeeld om het effect van een cholesterolverlager of van uv-licht op de hormonale as te onderzoeken</w:t>
      </w:r>
      <w:r>
        <w:rPr>
          <w:rStyle w:val="FootnoteReference"/>
        </w:rPr>
        <w:footnoteReference w:id="2278"/>
      </w:r>
      <w:r>
        <w:t xml:space="preserve">.</w:t>
      </w:r>
    </w:p>
    <w:p>
      <w:pPr>
        <w:pStyle w:val="FirstParagraph"/>
      </w:pPr>
      <w:r>
        <w:t xml:space="preserve">Dit hoofdstuk steunt daarom op een aanvullende, gerichte zoekopdracht naar studies over pulsatiele GnRH-therapie en de GnRH-test.</w:t>
      </w:r>
    </w:p>
    <w:bookmarkStart w:id="2282" w:name="diagnostiek-de-gnrh-test"/>
    <w:p>
      <w:pPr>
        <w:pStyle w:val="Heading4"/>
      </w:pPr>
      <w:r>
        <w:t xml:space="preserve">Diagnostiek: de GnRH-test</w:t>
      </w:r>
    </w:p>
    <w:p>
      <w:pPr>
        <w:pStyle w:val="FirstParagraph"/>
      </w:pPr>
      <w:r>
        <w:t xml:space="preserve">Bij de GnRH-test (ook LHRH-test) wordt gonadoreline in een ader gespoten; daarna meet men gedurende een tot twee uur hoe sterk LH en FSH stijgen. De test helpt vooral bij kinderen met een te vroege puberteit: een duidelijke LH-stijging wijst erop dat de hormonale as in de hersenen al actief is (centrale pubertas praecox).</w:t>
      </w:r>
    </w:p>
    <w:p>
      <w:pPr>
        <w:pStyle w:val="BodyText"/>
      </w:pPr>
      <w:r>
        <w:t xml:space="preserve">In een analyse van 584 tests (waarvan 314 voor de diagnose) volstond één enkel bloedmonster 40 minuten na de injectie voor de diagnose: bij een LH-drempel van 5 IU/L lagen de sensitiviteit op 98% en de specificiteit op 100%</w:t>
      </w:r>
      <w:r>
        <w:rPr>
          <w:rStyle w:val="FootnoteReference"/>
        </w:rPr>
        <w:footnoteReference w:id="2279"/>
      </w:r>
      <w:r>
        <w:t xml:space="preserve">. Een overzicht wijst op beperkingen, bijvoorbeeld bij zeer vroege puberteitsstadia en bij kinderen met overgewicht, en op uiteenlopende grenswaarden tussen studies</w:t>
      </w:r>
      <w:r>
        <w:rPr>
          <w:rStyle w:val="FootnoteReference"/>
        </w:rPr>
        <w:footnoteReference w:id="2280"/>
      </w:r>
      <w:r>
        <w:t xml:space="preserve">.</w:t>
      </w:r>
    </w:p>
    <w:p>
      <w:pPr>
        <w:pStyle w:val="BodyText"/>
      </w:pPr>
      <w:r>
        <w:t xml:space="preserve">Omdat natief GnRH duur en op veel plaatsen niet beschikbaar is, wordt steeds vaker een kortwerkende analoog als vervanging gebruikt. In een studie met 341 meisjes was een test met triptoreline vergelijkbaar nauwkeurig als de gonadorelinetest</w:t>
      </w:r>
      <w:r>
        <w:rPr>
          <w:rStyle w:val="FootnoteReference"/>
        </w:rPr>
        <w:footnoteReference w:id="2281"/>
      </w:r>
      <w:r>
        <w:t xml:space="preserve">.</w:t>
      </w:r>
    </w:p>
    <w:bookmarkEnd w:id="2282"/>
    <w:bookmarkStart w:id="2288" w:name="kinderwens-de-gnrh-pomp-bij-vrouwen"/>
    <w:p>
      <w:pPr>
        <w:pStyle w:val="Heading4"/>
      </w:pPr>
      <w:r>
        <w:t xml:space="preserve">Kinderwens: de GnRH-pomp bij vrouwen</w:t>
      </w:r>
    </w:p>
    <w:p>
      <w:pPr>
        <w:pStyle w:val="FirstParagraph"/>
      </w:pPr>
      <w:r>
        <w:t xml:space="preserve">Bij hypothalame amenorroe blijft de menstruatie uit omdat de hersenen te weinig GnRH aanmaken – vaak na sterk gewichtsverlies, intensief sporten of stress, zelden door aangeboren oorzaken. Een kleine, draagbare pomp kan het ontbrekende ritme vervangen.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Santoro 1990, PMID 2122733</w:t>
            </w:r>
          </w:p>
        </w:tc>
        <w:tc>
          <w:tcPr/>
          <w:p>
            <w:pPr>
              <w:pStyle w:val="Compact"/>
              <w:jc w:val="left"/>
            </w:pPr>
            <w:r>
              <w:t xml:space="preserve">109 vrouwen met hypothalame amenorroe, multicenterstudie met pomp in een ader</w:t>
            </w:r>
          </w:p>
        </w:tc>
        <w:tc>
          <w:tcPr/>
          <w:p>
            <w:pPr>
              <w:pStyle w:val="Compact"/>
              <w:jc w:val="left"/>
            </w:pPr>
            <w:r>
              <w:t xml:space="preserve">meerdere cycli</w:t>
            </w:r>
          </w:p>
        </w:tc>
        <w:tc>
          <w:tcPr/>
          <w:p>
            <w:pPr>
              <w:pStyle w:val="Compact"/>
              <w:jc w:val="left"/>
            </w:pPr>
            <w:r>
              <w:t xml:space="preserve">Eisprong bij 91% resp. 96%; meerlingen 12%</w:t>
            </w:r>
          </w:p>
        </w:tc>
      </w:tr>
      <w:tr>
        <w:tc>
          <w:tcPr/>
          <w:p>
            <w:pPr>
              <w:pStyle w:val="Compact"/>
              <w:jc w:val="left"/>
            </w:pPr>
            <w:r>
              <w:t xml:space="preserve">Filicori 1994, PMID 7962297</w:t>
            </w:r>
          </w:p>
        </w:tc>
        <w:tc>
          <w:tcPr/>
          <w:p>
            <w:pPr>
              <w:pStyle w:val="Compact"/>
              <w:jc w:val="left"/>
            </w:pPr>
            <w:r>
              <w:t xml:space="preserve">292 vrouwen, 600 cycli, verschillende oorzaken</w:t>
            </w:r>
          </w:p>
        </w:tc>
        <w:tc>
          <w:tcPr/>
          <w:p>
            <w:pPr>
              <w:pStyle w:val="Compact"/>
              <w:jc w:val="left"/>
            </w:pPr>
            <w:r>
              <w:t xml:space="preserve">1984–1993</w:t>
            </w:r>
          </w:p>
        </w:tc>
        <w:tc>
          <w:tcPr/>
          <w:p>
            <w:pPr>
              <w:pStyle w:val="Compact"/>
              <w:jc w:val="left"/>
            </w:pPr>
            <w:r>
              <w:t xml:space="preserve">Eisprong in 75% van de cycli; zwangerschap 18% per cyclus; meerlingen 3,8%; miskramen 30%</w:t>
            </w:r>
          </w:p>
        </w:tc>
      </w:tr>
      <w:tr>
        <w:tc>
          <w:tcPr/>
          <w:p>
            <w:pPr>
              <w:pStyle w:val="Compact"/>
              <w:jc w:val="left"/>
            </w:pPr>
            <w:r>
              <w:t xml:space="preserve">Christin-Maitre 2007, PMID 17293247</w:t>
            </w:r>
          </w:p>
        </w:tc>
        <w:tc>
          <w:tcPr/>
          <w:p>
            <w:pPr>
              <w:pStyle w:val="Compact"/>
              <w:jc w:val="left"/>
            </w:pPr>
            <w:r>
              <w:t xml:space="preserve">248 vrouwen, 829 cycli, 24 Franse centra, retrospectief</w:t>
            </w:r>
          </w:p>
        </w:tc>
        <w:tc>
          <w:tcPr/>
          <w:p>
            <w:pPr>
              <w:pStyle w:val="Compact"/>
              <w:jc w:val="left"/>
            </w:pPr>
            <w:r>
              <w:t xml:space="preserve">3 jaar</w:t>
            </w:r>
          </w:p>
        </w:tc>
        <w:tc>
          <w:tcPr/>
          <w:p>
            <w:pPr>
              <w:pStyle w:val="Compact"/>
              <w:jc w:val="left"/>
            </w:pPr>
            <w:r>
              <w:t xml:space="preserve">Zwangerschap 25% per cyclus; meerlingen 8,8%; geen ernstige overstimulatie</w:t>
            </w:r>
          </w:p>
        </w:tc>
      </w:tr>
      <w:tr>
        <w:tc>
          <w:tcPr/>
          <w:p>
            <w:pPr>
              <w:pStyle w:val="Compact"/>
              <w:jc w:val="left"/>
            </w:pPr>
            <w:r>
              <w:t xml:space="preserve">Dubourdieu 2013, PMID 23298894</w:t>
            </w:r>
          </w:p>
        </w:tc>
        <w:tc>
          <w:tcPr/>
          <w:p>
            <w:pPr>
              <w:pStyle w:val="Compact"/>
              <w:jc w:val="left"/>
            </w:pPr>
            <w:r>
              <w:t xml:space="preserve">30 vrouwen met amenorroe en PCOS, RCT: pomp vs. gonadotropinen</w:t>
            </w:r>
          </w:p>
        </w:tc>
        <w:tc>
          <w:tcPr/>
          <w:p>
            <w:pPr>
              <w:pStyle w:val="Compact"/>
              <w:jc w:val="left"/>
            </w:pPr>
            <w:r>
              <w:t xml:space="preserve">één cyclus</w:t>
            </w:r>
          </w:p>
        </w:tc>
        <w:tc>
          <w:tcPr/>
          <w:p>
            <w:pPr>
              <w:pStyle w:val="Compact"/>
              <w:jc w:val="left"/>
            </w:pPr>
            <w:r>
              <w:t xml:space="preserve">klinische zwangerschap 46% vs. 0%</w:t>
            </w:r>
          </w:p>
        </w:tc>
      </w:tr>
      <w:tr>
        <w:tc>
          <w:tcPr/>
          <w:p>
            <w:pPr>
              <w:pStyle w:val="Compact"/>
              <w:jc w:val="left"/>
            </w:pPr>
            <w:r>
              <w:t xml:space="preserve">Quaas 2022, PMID 36378460</w:t>
            </w:r>
          </w:p>
        </w:tc>
        <w:tc>
          <w:tcPr/>
          <w:p>
            <w:pPr>
              <w:pStyle w:val="Compact"/>
              <w:jc w:val="left"/>
            </w:pPr>
            <w:r>
              <w:t xml:space="preserve">66 vrouwen, 212 cycli, Zwitsers centrum, retrospectief</w:t>
            </w:r>
          </w:p>
        </w:tc>
        <w:tc>
          <w:tcPr/>
          <w:p>
            <w:pPr>
              <w:pStyle w:val="Compact"/>
              <w:jc w:val="left"/>
            </w:pPr>
            <w:r>
              <w:t xml:space="preserve">1996–2020</w:t>
            </w:r>
          </w:p>
        </w:tc>
        <w:tc>
          <w:tcPr/>
          <w:p>
            <w:pPr>
              <w:pStyle w:val="Compact"/>
              <w:jc w:val="left"/>
            </w:pPr>
            <w:r>
              <w:t xml:space="preserve">Levendgeboorte per behandeling 65,9%; één follikel in 75% van de cycli; één tweelingzwangerschap</w:t>
            </w:r>
          </w:p>
        </w:tc>
      </w:tr>
    </w:tbl>
    <w:p>
      <w:pPr>
        <w:pStyle w:val="BodyText"/>
      </w:pPr>
      <w:r>
        <w:t xml:space="preserve">De cijfers geven een samenhangend beeld: bij vrouwen bij wie het probleem werkelijk in de hypothalamus ligt, leidt de pomp in verreweg de meeste cycli tot een eisprong, vaak met slechts één rijpende eicel. Omdat de hypofyse haar eigen terugkoppeling behoudt, komen overstimulatie en meerlingzwangerschappen minder vaak voor dan bij rechtstreeks ingespoten gonadotropinen</w:t>
      </w:r>
      <w:r>
        <w:rPr>
          <w:rStyle w:val="FootnoteReference"/>
        </w:rPr>
        <w:footnoteReference w:id="2283"/>
      </w:r>
      <w:r>
        <w:t xml:space="preserve">. Bij vrouwen met polycysteus ovariumsyndroom of overgewicht werkt de pomp slechter, en miskramen kwamen in de grootste afzonderlijke reeks vaak voor</w:t>
      </w:r>
      <w:r>
        <w:rPr>
          <w:rStyle w:val="FootnoteReference"/>
        </w:rPr>
        <w:footnoteReference w:id="2284"/>
      </w:r>
      <w:r>
        <w:t xml:space="preserve">.</w:t>
      </w:r>
    </w:p>
    <w:p>
      <w:pPr>
        <w:pStyle w:val="BodyText"/>
      </w:pPr>
      <w:r>
        <w:t xml:space="preserve">De nadelen zijn van praktische aard: de pomp moet weken worden gedragen. Bij toediening in een ader traden complicaties bij de toegang op, gemiddeld bij 7%</w:t>
      </w:r>
      <w:r>
        <w:rPr>
          <w:rStyle w:val="FootnoteReference"/>
        </w:rPr>
        <w:footnoteReference w:id="2285"/>
      </w:r>
      <w:r>
        <w:t xml:space="preserve">. Tegenwoordig wordt meestal onder de huid gepompt; lokale allergische reacties traden in de Franse studie op in 1,7% van de cycli</w:t>
      </w:r>
      <w:r>
        <w:rPr>
          <w:rStyle w:val="FootnoteReference"/>
        </w:rPr>
        <w:footnoteReference w:id="2286"/>
      </w:r>
      <w:r>
        <w:t xml:space="preserve">.</w:t>
      </w:r>
    </w:p>
    <w:p>
      <w:pPr>
        <w:pStyle w:val="BodyText"/>
      </w:pPr>
      <w:r>
        <w:t xml:space="preserve">De gegevens zijn oud en overwegend niet gerandomiseerd. Grote vergelijkende studies met moderne gonadotropineprotocollen ontbreken. Deskundigen beschouwen de pomp toch als een bijzonder fysiologische en veilige methode bij hypothalame amenorroe met kinderwens</w:t>
      </w:r>
      <w:r>
        <w:rPr>
          <w:rStyle w:val="FootnoteReference"/>
        </w:rPr>
        <w:footnoteReference w:id="2287"/>
      </w:r>
      <w:r>
        <w:t xml:space="preserve"> </w:t>
      </w:r>
      <w:r>
        <w:t xml:space="preserve">– mits die beschikbaar is.</w:t>
      </w:r>
    </w:p>
    <w:bookmarkEnd w:id="2288"/>
    <w:bookmarkStart w:id="2292" w:name="mannen-met-hormoontekort"/>
    <w:p>
      <w:pPr>
        <w:pStyle w:val="Heading4"/>
      </w:pPr>
      <w:r>
        <w:t xml:space="preserve">Mannen met hormoontekort</w:t>
      </w:r>
    </w:p>
    <w:p>
      <w:pPr>
        <w:pStyle w:val="FirstParagraph"/>
      </w:pPr>
      <w:r>
        <w:t xml:space="preserve">Ook mannen met een aangeboren GnRH-tekort – bijvoorbeeld bij het syndroom van Kallmann, waarbij bovendien de reukzin ontbreekt – kunnen met de pomp worden behandeld om de groei van de zaadballen en de zaadcelvorming te stimuleren.</w:t>
      </w:r>
    </w:p>
    <w:p>
      <w:pPr>
        <w:pStyle w:val="BodyText"/>
      </w:pPr>
      <w:r>
        <w:t xml:space="preserve">In een analyse van 26 mannen in een Duits universitair centrum verschenen in 30 van 33 behandelcycli zaadcellen in het ejaculaat; in 15 van 18 gevallen met kinderwens werd de partner zwanger. Pomp en ingespoten gonadotropinen waren even werkzaam</w:t>
      </w:r>
      <w:r>
        <w:rPr>
          <w:rStyle w:val="FootnoteReference"/>
        </w:rPr>
        <w:footnoteReference w:id="2289"/>
      </w:r>
      <w:r>
        <w:t xml:space="preserve">. Bij Chinese jongens in de puberteitsleeftijd groeiden de zaadballen onder de pomp sterker dan onder hCG-injecties</w:t>
      </w:r>
      <w:r>
        <w:rPr>
          <w:rStyle w:val="FootnoteReference"/>
        </w:rPr>
        <w:footnoteReference w:id="2290"/>
      </w:r>
      <w:r>
        <w:t xml:space="preserve">. Een kleine gerandomiseerde studie vond aanwijzingen dat een voorbehandeling met FSH vóór de pomp de zaadcelvorming zou kunnen verbeteren: alle zeven voorbehandelde mannen hadden later zaadcellen, tegenover vier van de zes zonder voorbehandeling</w:t>
      </w:r>
      <w:r>
        <w:rPr>
          <w:rStyle w:val="FootnoteReference"/>
        </w:rPr>
        <w:footnoteReference w:id="2291"/>
      </w:r>
      <w:r>
        <w:t xml:space="preserve">.</w:t>
      </w:r>
    </w:p>
    <w:bookmarkEnd w:id="2292"/>
    <w:bookmarkStart w:id="2295" w:name="Xcdf51f117701a8033597cdc2cb60b703da26986"/>
    <w:p>
      <w:pPr>
        <w:pStyle w:val="Heading4"/>
      </w:pPr>
      <w:r>
        <w:t xml:space="preserve">Zuigelingen met niet-ingedaalde testikels</w:t>
      </w:r>
    </w:p>
    <w:p>
      <w:pPr>
        <w:pStyle w:val="FirstParagraph"/>
      </w:pPr>
      <w:r>
        <w:t xml:space="preserve">In enkele Europese landen wordt een gonadorelineneusspray vóór of na de operatie van een niet-ingedaalde testikel gegeven om de rijping van de kiemcellen te bevorderen. Een gerandomiseerde studie met 62 zuigelingen meldde gunstiger echografische bevindingen na gecombineerde behandeling</w:t>
      </w:r>
      <w:r>
        <w:rPr>
          <w:rStyle w:val="FootnoteReference"/>
        </w:rPr>
        <w:footnoteReference w:id="2293"/>
      </w:r>
      <w:r>
        <w:t xml:space="preserve">. Een andere gerandomiseerde studie met 36 jongens vond daarentegen geen verschil in penisgrootte, testisvolume of hormoonwaarden op het moment van de operatie; de behandeling bleek wel veilig</w:t>
      </w:r>
      <w:r>
        <w:rPr>
          <w:rStyle w:val="FootnoteReference"/>
        </w:rPr>
        <w:footnoteReference w:id="2294"/>
      </w:r>
      <w:r>
        <w:t xml:space="preserve">. Het nut is omstreden; de vroege operatie staat voorop.</w:t>
      </w:r>
    </w:p>
    <w:bookmarkEnd w:id="2295"/>
    <w:bookmarkEnd w:id="2296"/>
    <w:bookmarkStart w:id="2297" w:name="dier--en-laboratoriumstudies-51"/>
    <w:p>
      <w:pPr>
        <w:pStyle w:val="Heading3"/>
      </w:pPr>
      <w:r>
        <w:t xml:space="preserve">Dier- en laboratoriumstudies</w:t>
      </w:r>
    </w:p>
    <w:p>
      <w:pPr>
        <w:pStyle w:val="FirstParagraph"/>
      </w:pPr>
      <w:r>
        <w:t xml:space="preserve">Gonadoreline is een van de best begrepen hormonen die er zijn; de basiskennis komt uit dierproeven uit de jaren 1970. Tegenwoordig speelt dieronderzoek voor de beoordeling bij mensen nauwelijks nog een rol. In de diergeneeskunde wordt gonadoreline breed gebruikt, vooral bij runderen om de eisprong te sturen. Deze preparaten zijn geregistreerd voor dieren en niet voor mensen.</w:t>
      </w:r>
    </w:p>
    <w:bookmarkEnd w:id="2297"/>
    <w:bookmarkStart w:id="2301" w:name="risicos-en-bijwerkingen-51"/>
    <w:p>
      <w:pPr>
        <w:pStyle w:val="Heading3"/>
      </w:pPr>
      <w:r>
        <w:t xml:space="preserve">Risico’s en bijwerkingen</w:t>
      </w:r>
    </w:p>
    <w:bookmarkStart w:id="2299" w:name="aangetoond-10"/>
    <w:p>
      <w:pPr>
        <w:pStyle w:val="Heading4"/>
      </w:pPr>
      <w:r>
        <w:t xml:space="preserve">Aangetoond</w:t>
      </w:r>
    </w:p>
    <w:p>
      <w:pPr>
        <w:pStyle w:val="FirstParagraph"/>
      </w:pPr>
      <w:r>
        <w:t xml:space="preserve">Gonadoreline geldt als goed verdraagbaar. In de studies over pomptherapie stonden problemen met de toegang (ontsteking, aderirritatie bij toediening in een ader) en lokale huidreacties voorop</w:t>
      </w:r>
      <w:r>
        <w:rPr>
          <w:rStyle w:val="FootnoteReference"/>
        </w:rPr>
        <w:footnoteReference w:id="2298"/>
      </w:r>
      <w:r>
        <w:t xml:space="preserve">. Meerlingzwangerschappen komen voor, zij het minder vaak dan bij gonadotropinen; ernstige overstimulatie is de uitzondering. Bij de test kunnen tijdelijk hoofdpijn, misselijkheid of opvliegers optreden. Allergische reacties zijn zelden beschreven. Details staan in de productinformatie; het gebruik hoort in handen van een arts.</w:t>
      </w:r>
    </w:p>
    <w:bookmarkEnd w:id="2299"/>
    <w:bookmarkStart w:id="2300" w:name="bij-verkeerd-gebruik"/>
    <w:p>
      <w:pPr>
        <w:pStyle w:val="Heading4"/>
      </w:pPr>
      <w:r>
        <w:t xml:space="preserve">Bij verkeerd gebruik</w:t>
      </w:r>
    </w:p>
    <w:p>
      <w:pPr>
        <w:pStyle w:val="FirstParagraph"/>
      </w:pPr>
      <w:r>
        <w:t xml:space="preserve">Wordt gonadoreline niet in het juiste ritme, maar te vaak of continu gegeven, dan kan het de eigen hormonale as onderdrukken in plaats van stimuleren. Dat is geen theoretisch risico, maar het werkingsprincipe van de GnRH-analogen.</w:t>
      </w:r>
    </w:p>
    <w:bookmarkEnd w:id="2300"/>
    <w:bookmarkEnd w:id="2301"/>
    <w:bookmarkStart w:id="2305" w:name="Xfe80addce93d89cfc2043e96ea78bfc8e94ad90"/>
    <w:p>
      <w:pPr>
        <w:pStyle w:val="Heading3"/>
      </w:pPr>
      <w:r>
        <w:t xml:space="preserve">Plaatsing: gonadoreline in het bodybuilding</w:t>
      </w:r>
    </w:p>
    <w:p>
      <w:pPr>
        <w:pStyle w:val="FirstParagraph"/>
      </w:pPr>
      <w:r>
        <w:t xml:space="preserve">Op internetfora en bij sommige aanbieders van „hormoonoptimalisatie” wordt gonadoreline aangeprezen als onderdeel van een zogenoemde post-cycle therapy (PCT). Bedoeld is de fase na een kuur met anabole steroïden: de kunstmatig toegediende hormonen hebben de eigen testosteronaanmaak onderdrukt, en gonadoreline zou de hormonale as „weer op gang brengen”. In de VS wordt het volgens berichten ook aangeboden als vervanging voor hCG.</w:t>
      </w:r>
    </w:p>
    <w:p>
      <w:pPr>
        <w:pStyle w:val="BodyText"/>
      </w:pPr>
      <w:r>
        <w:t xml:space="preserve">Wat daarover bekend is:</w:t>
      </w:r>
    </w:p>
    <w:p>
      <w:pPr>
        <w:numPr>
          <w:ilvl w:val="0"/>
          <w:numId w:val="1284"/>
        </w:numPr>
        <w:pStyle w:val="Compact"/>
      </w:pPr>
      <w:r>
        <w:rPr>
          <w:bCs/>
          <w:b/>
        </w:rPr>
        <w:t xml:space="preserve">Er zijn geen studies</w:t>
      </w:r>
      <w:r>
        <w:t xml:space="preserve"> </w:t>
      </w:r>
      <w:r>
        <w:t xml:space="preserve">naar gonadoreline in deze situatie. De gegevens over PCT in het algemeen zijn mager; onderzocht werden bijna alleen anti-oestrogenen, hCG en aromataseremmers, en ook daarover zijn er overwegend observationele gegevens. Vanuit wetenschappelijk oogpunt wordt een PCT overwegend niet aanbevolen</w:t>
      </w:r>
      <w:r>
        <w:rPr>
          <w:rStyle w:val="FootnoteReference"/>
        </w:rPr>
        <w:footnoteReference w:id="2302"/>
      </w:r>
      <w:r>
        <w:t xml:space="preserve">.</w:t>
      </w:r>
    </w:p>
    <w:p>
      <w:pPr>
        <w:numPr>
          <w:ilvl w:val="0"/>
          <w:numId w:val="1284"/>
        </w:numPr>
        <w:pStyle w:val="Compact"/>
      </w:pPr>
      <w:r>
        <w:rPr>
          <w:bCs/>
          <w:b/>
        </w:rPr>
        <w:t xml:space="preserve">Het herstel gebeurt meestal vanzelf.</w:t>
      </w:r>
      <w:r>
        <w:t xml:space="preserve"> </w:t>
      </w:r>
      <w:r>
        <w:t xml:space="preserve">In de Nederlandse HAARLEM-studie met 100 krachtsporters was het testosteron drie maanden na het einde van de steroïdenkuur bij de meesten genormaliseerd; na een jaar lag het bij 11% nog onder het normaalbereik, en bij 34% was het aantal zaadcellen nog verlaagd</w:t>
      </w:r>
      <w:r>
        <w:rPr>
          <w:rStyle w:val="FootnoteReference"/>
        </w:rPr>
        <w:footnoteReference w:id="2303"/>
      </w:r>
      <w:r>
        <w:t xml:space="preserve">.</w:t>
      </w:r>
    </w:p>
    <w:p>
      <w:pPr>
        <w:numPr>
          <w:ilvl w:val="0"/>
          <w:numId w:val="1284"/>
        </w:numPr>
        <w:pStyle w:val="Compact"/>
      </w:pPr>
      <w:r>
        <w:rPr>
          <w:bCs/>
          <w:b/>
        </w:rPr>
        <w:t xml:space="preserve">Het werkingsprincipe pleit tegen naïef gebruik.</w:t>
      </w:r>
      <w:r>
        <w:t xml:space="preserve"> </w:t>
      </w:r>
      <w:r>
        <w:t xml:space="preserve">Losse injecties veroorzaken slechts korte LH-pieken; frequente toediening kan de hypofyse eerder afstompen. Zonder pomp en laboratoriumcontrole is geen nut te verwachten, en een vertraging van het herstel valt niet uit te sluiten.</w:t>
      </w:r>
    </w:p>
    <w:p>
      <w:pPr>
        <w:numPr>
          <w:ilvl w:val="0"/>
          <w:numId w:val="1284"/>
        </w:numPr>
        <w:pStyle w:val="Compact"/>
      </w:pPr>
      <w:r>
        <w:rPr>
          <w:bCs/>
          <w:b/>
        </w:rPr>
        <w:t xml:space="preserve">Wie na steroïdengebruik klachten heeft</w:t>
      </w:r>
      <w:r>
        <w:t xml:space="preserve">, zoals gebrek aan energie, libidoverlies of een onvervulde kinderwens, kan dat het best medisch laten onderzoeken, idealiter op een andrologisch of endocrinologisch spreekuur.</w:t>
      </w:r>
    </w:p>
    <w:p>
      <w:pPr>
        <w:pStyle w:val="FirstParagraph"/>
      </w:pPr>
      <w:r>
        <w:t xml:space="preserve">In de sport is gonadoreline voor mannen verboden. Antidopinglaboratoria hebben eigen detectiemethoden ontwikkeld; een overzicht beschrijft gonadoreline als voorbeeld van een peptide dat de afgelopen jaren in de wedstrijdsport werd misbruikt</w:t>
      </w:r>
      <w:r>
        <w:rPr>
          <w:rStyle w:val="FootnoteReference"/>
        </w:rPr>
        <w:footnoteReference w:id="2304"/>
      </w:r>
      <w:r>
        <w:t xml:space="preserve">.</w:t>
      </w:r>
    </w:p>
    <w:bookmarkEnd w:id="2305"/>
    <w:bookmarkStart w:id="2306" w:name="juridische-status-51"/>
    <w:p>
      <w:pPr>
        <w:pStyle w:val="Heading3"/>
      </w:pPr>
      <w:r>
        <w:t xml:space="preserve">Juridische status</w:t>
      </w:r>
    </w:p>
    <w:p>
      <w:pPr>
        <w:pStyle w:val="FirstParagraph"/>
      </w:pPr>
      <w:r>
        <w:rPr>
          <w:iCs/>
          <w:i/>
        </w:rPr>
        <w:t xml:space="preserve">Stand 2026, actuele situatie controleren.</w:t>
      </w:r>
    </w:p>
    <w:p>
      <w:pPr>
        <w:numPr>
          <w:ilvl w:val="0"/>
          <w:numId w:val="1285"/>
        </w:numPr>
        <w:pStyle w:val="Compact"/>
      </w:pPr>
      <w:r>
        <w:rPr>
          <w:bCs/>
          <w:b/>
        </w:rPr>
        <w:t xml:space="preserve">EU:</w:t>
      </w:r>
      <w:r>
        <w:t xml:space="preserve"> </w:t>
      </w:r>
      <w:r>
        <w:t xml:space="preserve">geen centrale EU-registratie; nationale registraties in meerdere lidstaten, onder meer als diagnosticum, voor de pulsatiele pomptherapie en als neusspray bij niet-ingedaalde testikels. De preparaten zijn receptplichtig.</w:t>
      </w:r>
    </w:p>
    <w:p>
      <w:pPr>
        <w:numPr>
          <w:ilvl w:val="0"/>
          <w:numId w:val="1285"/>
        </w:numPr>
        <w:pStyle w:val="Compact"/>
      </w:pPr>
      <w:r>
        <w:rPr>
          <w:bCs/>
          <w:b/>
        </w:rPr>
        <w:t xml:space="preserve">Duitsland:</w:t>
      </w:r>
      <w:r>
        <w:t xml:space="preserve"> </w:t>
      </w:r>
      <w:r>
        <w:t xml:space="preserve">preparaten voor de GnRH-test en voor de pomptherapie waren respectievelijk zijn in de handel; de actuele beschikbaarheid wisselt. De behandeling vindt plaats in gespecialiseerde centra.</w:t>
      </w:r>
    </w:p>
    <w:p>
      <w:pPr>
        <w:numPr>
          <w:ilvl w:val="0"/>
          <w:numId w:val="1285"/>
        </w:numPr>
        <w:pStyle w:val="Compact"/>
      </w:pPr>
      <w:r>
        <w:rPr>
          <w:bCs/>
          <w:b/>
        </w:rPr>
        <w:t xml:space="preserve">Oostenrijk:</w:t>
      </w:r>
      <w:r>
        <w:t xml:space="preserve"> </w:t>
      </w:r>
      <w:r>
        <w:t xml:space="preserve">receptplichtig; beschikbaarheid van afzonderlijke preparaten actueel controleren in de Oostenrijkse lijst van farmaceutische specialiteiten.</w:t>
      </w:r>
    </w:p>
    <w:p>
      <w:pPr>
        <w:numPr>
          <w:ilvl w:val="0"/>
          <w:numId w:val="1285"/>
        </w:numPr>
        <w:pStyle w:val="Compact"/>
      </w:pPr>
      <w:r>
        <w:rPr>
          <w:bCs/>
          <w:b/>
        </w:rPr>
        <w:t xml:space="preserve">VS:</w:t>
      </w:r>
      <w:r>
        <w:t xml:space="preserve"> </w:t>
      </w:r>
      <w:r>
        <w:t xml:space="preserve">de vroeger geregistreerde preparaten voor mensen zijn van de markt. Gonadoreline wordt volgens berichten aangeboden door bereidingsapotheken (compounding pharmacies); de regelgevende beoordeling van zulke bereidingen is in beweging. Diergeneesmiddelen met gonadoreline zijn niet bestemd voor mensen.</w:t>
      </w:r>
    </w:p>
    <w:p>
      <w:pPr>
        <w:numPr>
          <w:ilvl w:val="0"/>
          <w:numId w:val="1285"/>
        </w:numPr>
        <w:pStyle w:val="Compact"/>
      </w:pPr>
      <w:r>
        <w:rPr>
          <w:bCs/>
          <w:b/>
        </w:rPr>
        <w:t xml:space="preserve">WADA:</w:t>
      </w:r>
      <w:r>
        <w:t xml:space="preserve"> </w:t>
      </w:r>
      <w:r>
        <w:t xml:space="preserve">S2 – voor mannen binnen en buiten wedstrijden verboden.</w:t>
      </w:r>
    </w:p>
    <w:bookmarkEnd w:id="2306"/>
    <w:bookmarkStart w:id="2310" w:name="lopende-studies-en-vooruitzichten-51"/>
    <w:p>
      <w:pPr>
        <w:pStyle w:val="Heading3"/>
      </w:pPr>
      <w:r>
        <w:t xml:space="preserve">Lopende studies en vooruitzichten</w:t>
      </w:r>
    </w:p>
    <w:p>
      <w:pPr>
        <w:pStyle w:val="FirstParagraph"/>
      </w:pPr>
      <w:r>
        <w:rPr>
          <w:bCs/>
          <w:b/>
        </w:rPr>
        <w:t xml:space="preserve">Zeker (geregistreerde studies):</w:t>
      </w:r>
      <w:r>
        <w:t xml:space="preserve"> </w:t>
      </w:r>
      <w:r>
        <w:t xml:space="preserve">onder de weinige registraties die daadwerkelijk natief GnRH betreffen, bevinden zich:</w:t>
      </w:r>
    </w:p>
    <w:p>
      <w:pPr>
        <w:numPr>
          <w:ilvl w:val="0"/>
          <w:numId w:val="1286"/>
        </w:numPr>
        <w:pStyle w:val="Compact"/>
      </w:pPr>
      <w:r>
        <w:t xml:space="preserve">afgeronde studies van de fabrikant Ferring naar een huidpleister die GnRH pulsatiel via een zwakke stroom door de huid afgeeft (NCT00296465 met 132 en NCT00796289 met 350 deelneemsters). Resultaten van deze studies zijn naar weten van de auteur niet in PubMed gepubliceerd; de pleister kwam niet op de markt;</w:t>
      </w:r>
    </w:p>
    <w:p>
      <w:pPr>
        <w:numPr>
          <w:ilvl w:val="0"/>
          <w:numId w:val="1286"/>
        </w:numPr>
        <w:pStyle w:val="Compact"/>
      </w:pPr>
      <w:r>
        <w:t xml:space="preserve">een in 2025 ingetrokken studie naar GnRH-toediening met een moderne insulinepomp zonder slang</w:t>
      </w:r>
      <w:r>
        <w:rPr>
          <w:rStyle w:val="FootnoteReference"/>
        </w:rPr>
        <w:footnoteReference w:id="2307"/>
      </w:r>
      <w:r>
        <w:t xml:space="preserve">;</w:t>
      </w:r>
    </w:p>
    <w:p>
      <w:pPr>
        <w:numPr>
          <w:ilvl w:val="0"/>
          <w:numId w:val="1286"/>
        </w:numPr>
        <w:pStyle w:val="Compact"/>
      </w:pPr>
      <w:r>
        <w:t xml:space="preserve">Chinese studies naar de pomp bij aangeboren hormoontekort</w:t>
      </w:r>
      <w:r>
        <w:rPr>
          <w:rStyle w:val="FootnoteReference"/>
        </w:rPr>
        <w:footnoteReference w:id="2308"/>
      </w:r>
      <w:r>
        <w:t xml:space="preserve"> </w:t>
      </w:r>
      <w:r>
        <w:t xml:space="preserve">en bij PCOS</w:t>
      </w:r>
      <w:r>
        <w:rPr>
          <w:rStyle w:val="FootnoteReference"/>
        </w:rPr>
        <w:footnoteReference w:id="2309"/>
      </w:r>
      <w:r>
        <w:t xml:space="preserve">, beide met onbekende status.</w:t>
      </w:r>
    </w:p>
    <w:p>
      <w:pPr>
        <w:pStyle w:val="FirstParagraph"/>
      </w:pPr>
      <w:r>
        <w:rPr>
          <w:bCs/>
          <w:b/>
        </w:rPr>
        <w:t xml:space="preserve">Inschatting van de auteur:</w:t>
      </w:r>
      <w:r>
        <w:t xml:space="preserve"> </w:t>
      </w:r>
      <w:r>
        <w:t xml:space="preserve">gonadoreline is een oude, goed begrepen werkzame stof, waarvan het belang in de diagnostiek afneemt omdat kortwerkende analogen goedkoper en beter beschikbaar zijn. Voor de pomptherapie bij hypothalame amenorroe en aangeboren hormoontekort blijft het een fysiologische optie, waarvan de toekomst minder afhangt van nieuw onderzoek dan van de vraag of fabrikanten de kleine markten blijven beleveren. Moderne pompen zonder slang zouden de behandeling comfortabeler kunnen maken. Voor een nut in de bodybuildingcontext bestaat geen bewijs.</w:t>
      </w:r>
    </w:p>
    <w:bookmarkEnd w:id="2310"/>
    <w:bookmarkStart w:id="2311" w:name="conclusie-51"/>
    <w:p>
      <w:pPr>
        <w:pStyle w:val="Heading3"/>
      </w:pPr>
      <w:r>
        <w:t xml:space="preserve">Conclusie</w:t>
      </w:r>
    </w:p>
    <w:p>
      <w:pPr>
        <w:pStyle w:val="FirstParagraph"/>
      </w:pPr>
      <w:r>
        <w:t xml:space="preserve">Gonadoreline is het synthetische evenbeeld van het lichaamseigen GnRH en wordt al tientallen jaren gebruikt voor functietests en pomptherapie. In het juiste pulsritme gegeven leidde het in grote casusreeksen bij vrouwen met hypothalame amenorroe in de meeste cycli tot een eisprong, met minder meerlingen dan onder gonadotropinen, en bij mannen met aangeboren hormoontekort tot zaadcelvorming. De gegevens zijn oud en overwegend niet gerandomiseerd; registeraantallen worden door GnRH-analogen massaal vertekend. Het gebruik in de bodybuildingscene na steroïdenkuren is niet onderzocht, gaat in tegen het werkingsprincipe en is in de sport verboden.</w:t>
      </w:r>
    </w:p>
    <w:bookmarkEnd w:id="2311"/>
    <w:bookmarkEnd w:id="2312"/>
    <w:bookmarkEnd w:id="2313"/>
    <w:bookmarkStart w:id="2524" w:name="deel-ii-f-collageen-voeding-en-cosmetica"/>
    <w:p>
      <w:pPr>
        <w:pStyle w:val="Heading1"/>
      </w:pPr>
      <w:r>
        <w:t xml:space="preserve">Deel II · F – Collageen, voeding en cosmetica</w:t>
      </w:r>
    </w:p>
    <w:p>
      <w:pPr>
        <w:pStyle w:val="FirstParagraph"/>
      </w:pPr>
      <w:r>
        <w:t xml:space="preserve">De peptiden in deze groep komen de meeste mensen niet tegen in de spreekkamer van de arts, maar in de supermarkt, de drogisterij en de reclame: als collageendrankje, als bloeddrukyoghurt, als sportcapsule of als „anti-agingpeptide” in een gezichtscrème. Ze zijn vrij verkrijgbaar, gelden als onschuldig en worden met studies aangeprezen. Juist daarom loont het om nauwkeurig te bekijken wat deze studies laten zien.</w:t>
      </w:r>
    </w:p>
    <w:bookmarkStart w:id="2315" w:name="wat-de-groep-verbindt"/>
    <w:p>
      <w:pPr>
        <w:pStyle w:val="Heading3"/>
      </w:pPr>
      <w:r>
        <w:t xml:space="preserve">Wat de groep verbindt</w:t>
      </w:r>
    </w:p>
    <w:p>
      <w:pPr>
        <w:pStyle w:val="FirstParagraph"/>
      </w:pPr>
      <w:r>
        <w:t xml:space="preserve">Alle zes stoffen zijn ofwel brokstukken van lichaamseigen of in voeding voorkomende eiwitten (collageenpeptiden, lactotripeptiden uit melk, carnosine, GHK-Cu) of zijn er gericht op nagebouwd (Matrixyl, Argireline). Geen van hen is als geneesmiddel geregistreerd. Ze worden daarom niet getoetst aan de strenge maatstaven die voor geneesmiddelen gelden, maar aan de regels voor levensmiddelen of cosmetica.</w:t>
      </w:r>
    </w:p>
    <w:p>
      <w:pPr>
        <w:pStyle w:val="BodyText"/>
      </w:pPr>
      <w:r>
        <w:t xml:space="preserve">Daaruit ontstaan gemeenschappelijke patronen die in alle hoofdstukken terugkomen:</w:t>
      </w:r>
    </w:p>
    <w:p>
      <w:pPr>
        <w:numPr>
          <w:ilvl w:val="0"/>
          <w:numId w:val="1287"/>
        </w:numPr>
        <w:pStyle w:val="Compact"/>
      </w:pPr>
      <w:r>
        <w:rPr>
          <w:bCs/>
          <w:b/>
        </w:rPr>
        <w:t xml:space="preserve">Veel kleine studies, weinig grote.</w:t>
      </w:r>
      <w:r>
        <w:t xml:space="preserve"> </w:t>
      </w:r>
      <w:r>
        <w:t xml:space="preserve">Typisch zijn 20 tot 150 deelnemers gedurende 4 tot 24 weken. Harde eindpunten zoals botbreuken, hartinfarcten of gewrichtsvervanging zijn nooit onderzocht.</w:t>
      </w:r>
    </w:p>
    <w:p>
      <w:pPr>
        <w:numPr>
          <w:ilvl w:val="0"/>
          <w:numId w:val="1287"/>
        </w:numPr>
        <w:pStyle w:val="Compact"/>
      </w:pPr>
      <w:r>
        <w:rPr>
          <w:bCs/>
          <w:b/>
        </w:rPr>
        <w:t xml:space="preserve">Financiering door fabrikanten.</w:t>
      </w:r>
      <w:r>
        <w:t xml:space="preserve"> </w:t>
      </w:r>
      <w:r>
        <w:t xml:space="preserve">Een groot deel van de studies werd betaald door producenten van grondstoffen of producten. Bij collageen laat een meta-analyse zien dat het nut voor de huid verdwijnt als men alleen onafhankelijk gefinancierde studies bekijkt</w:t>
      </w:r>
      <w:r>
        <w:rPr>
          <w:rStyle w:val="FootnoteReference"/>
        </w:rPr>
        <w:footnoteReference w:id="2314"/>
      </w:r>
      <w:r>
        <w:t xml:space="preserve">.</w:t>
      </w:r>
    </w:p>
    <w:p>
      <w:pPr>
        <w:numPr>
          <w:ilvl w:val="0"/>
          <w:numId w:val="1287"/>
        </w:numPr>
        <w:pStyle w:val="Compact"/>
      </w:pPr>
      <w:r>
        <w:rPr>
          <w:bCs/>
          <w:b/>
        </w:rPr>
        <w:t xml:space="preserve">Het probleem van de plaats van werking.</w:t>
      </w:r>
      <w:r>
        <w:t xml:space="preserve"> </w:t>
      </w:r>
      <w:r>
        <w:t xml:space="preserve">Een peptide moet terechtkomen waar het moet werken. Ingeslikte peptiden worden grotendeels verteerd; peptiden in crèmes dringen slechts in geringe mate door de huidbarrière. Voor elk hoofdstuk staat daarom de vraag centraal of het in het laboratorium aangetoonde mechanisme in het lichaam überhaupt tot uiting komt.</w:t>
      </w:r>
    </w:p>
    <w:p>
      <w:pPr>
        <w:numPr>
          <w:ilvl w:val="0"/>
          <w:numId w:val="1287"/>
        </w:numPr>
        <w:pStyle w:val="Compact"/>
      </w:pPr>
      <w:r>
        <w:rPr>
          <w:bCs/>
          <w:b/>
        </w:rPr>
        <w:t xml:space="preserve">Combinatieproducten.</w:t>
      </w:r>
      <w:r>
        <w:t xml:space="preserve"> </w:t>
      </w:r>
      <w:r>
        <w:t xml:space="preserve">Veel producten bevatten meerdere werkzame stoffen. Een positief studieresultaat kan dan niet aan het afzonderlijke peptide worden toegeschreven.</w:t>
      </w:r>
    </w:p>
    <w:bookmarkEnd w:id="2315"/>
    <w:bookmarkStart w:id="2316" w:name="X8ca2aaf09478751c7844404f8214b2cca39f60b"/>
    <w:p>
      <w:pPr>
        <w:pStyle w:val="Heading3"/>
      </w:pPr>
      <w:r>
        <w:t xml:space="preserve">Levensmiddel, cosmetica, geneesmiddel – drie juridische werelden</w:t>
      </w:r>
    </w:p>
    <w:p>
      <w:pPr>
        <w:pStyle w:val="FirstParagraph"/>
      </w:pPr>
      <w:r>
        <w:t xml:space="preserve">Of een stof geldt als levensmiddel, cosmetisch product of geneesmiddel, wordt niet bepaald door de chemie, maar door de bestemming en de presentatie. Deel I legt het juridische kader uitgebreid uit; voor deze groep zijn drie punten belangrijk:</w:t>
      </w:r>
    </w:p>
    <w:p>
      <w:pPr>
        <w:numPr>
          <w:ilvl w:val="0"/>
          <w:numId w:val="1288"/>
        </w:numPr>
        <w:pStyle w:val="Compact"/>
      </w:pPr>
      <w:r>
        <w:rPr>
          <w:bCs/>
          <w:b/>
        </w:rPr>
        <w:t xml:space="preserve">Levensmiddelen en voedingssupplementen</w:t>
      </w:r>
      <w:r>
        <w:t xml:space="preserve"> </w:t>
      </w:r>
      <w:r>
        <w:t xml:space="preserve">(collageenpeptiden, lactotripeptiden, carnosine) hebben in de EU geen registratie en geen bewijs van werkzaamheid nodig. Wel is streng geregeld waarmee ze reclame mogen maken. Volgens de claimsverordening (Verordening (EG) nr. 1924/2006) zijn gezondheidsclaims alleen toegestaan als ze door de Europese Autoriteit voor voedselveiligheid (EFSA) zijn beoordeeld en door de Europese Commissie zijn toegelaten.</w:t>
      </w:r>
      <w:r>
        <w:t xml:space="preserve"> </w:t>
      </w:r>
      <w:r>
        <w:rPr>
          <w:bCs/>
          <w:b/>
        </w:rPr>
        <w:t xml:space="preserve">Voor collageen, collageenpeptiden, lactotripeptiden en carnosine bestaat geen enkele toegelaten gezondheidsclaim.</w:t>
      </w:r>
      <w:r>
        <w:t xml:space="preserve"> </w:t>
      </w:r>
      <w:r>
        <w:t xml:space="preserve">De EFSA heeft aangevraagde claims – bijvoorbeeld over gewrichten bij collageen of over de bloeddruk bij de lactotripeptiden – negatief beoordeeld. Als een collageenverpakking toch reclame maakt met huid of botten, heeft de juridisch toegestane uitspraak doorgaans betrekking op toegevoegde vitamine C, waarvoor de claim „draagt bij tot de normale collageenvorming” is toegelaten.</w:t>
      </w:r>
    </w:p>
    <w:p>
      <w:pPr>
        <w:numPr>
          <w:ilvl w:val="0"/>
          <w:numId w:val="1288"/>
        </w:numPr>
        <w:pStyle w:val="Compact"/>
      </w:pPr>
      <w:r>
        <w:rPr>
          <w:bCs/>
          <w:b/>
        </w:rPr>
        <w:t xml:space="preserve">Cosmetica</w:t>
      </w:r>
      <w:r>
        <w:t xml:space="preserve"> </w:t>
      </w:r>
      <w:r>
        <w:t xml:space="preserve">(GHK-Cu, Matrixyl, Argireline) vallen onder de EU-cosmeticaverordening (Verordening (EG) nr. 1223/2009). Ze mogen alleen uitwendig worden gebruikt, moeten veilig zijn en mogen geen geneeskundige werking claimen. Reclameclaims moeten onderbouwd kunnen worden, maar een officiële toetsing van de werkzaamheid vóór de verkoop bestaat niet.</w:t>
      </w:r>
    </w:p>
    <w:p>
      <w:pPr>
        <w:numPr>
          <w:ilvl w:val="0"/>
          <w:numId w:val="1288"/>
        </w:numPr>
        <w:pStyle w:val="Compact"/>
      </w:pPr>
      <w:r>
        <w:rPr>
          <w:bCs/>
          <w:b/>
        </w:rPr>
        <w:t xml:space="preserve">Geneesmiddelen</w:t>
      </w:r>
      <w:r>
        <w:t xml:space="preserve"> </w:t>
      </w:r>
      <w:r>
        <w:t xml:space="preserve">moeten hun werkzaamheid en veiligheid in studies aantonen en worden geregistreerd. Wordt een cosmetisch peptide ingespoten – zoals op de grijze markt voorkomt bij GHK-Cu en Argireline –, dan verlaat het de wereld van de cosmetica: het wordt een niet-geregistreerd geneesmiddel, zonder dat daarvoor studies of kwaliteitscontroles bestaan.</w:t>
      </w:r>
    </w:p>
    <w:p>
      <w:pPr>
        <w:pStyle w:val="FirstParagraph"/>
      </w:pPr>
      <w:r>
        <w:t xml:space="preserve">In de VS gelden vergelijkbare principes; daar mogen voedingssupplementen echter reclame maken met algemene „structuur-functieclaims”, mits ze een vermelding dragen dat de FDA deze niet heeft beoordeeld.</w:t>
      </w:r>
    </w:p>
    <w:bookmarkEnd w:id="2316"/>
    <w:bookmarkStart w:id="2317" w:name="overzicht-4"/>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geen gezondheidsclaim</w:t>
            </w:r>
          </w:p>
        </w:tc>
        <w:tc>
          <w:tcPr/>
          <w:p>
            <w:pPr>
              <w:pStyle w:val="Compact"/>
              <w:jc w:val="left"/>
            </w:pPr>
            <w:r>
              <w:t xml:space="preserve">Kleine effecten op gewrichtspijn; nut voor de huid in onafhankelijke studies niet aangetoond</w:t>
            </w:r>
          </w:p>
        </w:tc>
      </w:tr>
      <w:tr>
        <w:tc>
          <w:tcPr/>
          <w:p>
            <w:pPr>
              <w:pStyle w:val="Compact"/>
              <w:jc w:val="left"/>
            </w:pPr>
            <w:r>
              <w:t xml:space="preserve">Lactotripeptiden (VPP/IPP)</w:t>
            </w:r>
          </w:p>
        </w:tc>
        <w:tc>
          <w:tcPr/>
          <w:p>
            <w:pPr>
              <w:pStyle w:val="Compact"/>
              <w:jc w:val="left"/>
            </w:pPr>
            <w:r>
              <w:t xml:space="preserve">B</w:t>
            </w:r>
          </w:p>
        </w:tc>
        <w:tc>
          <w:tcPr/>
          <w:p>
            <w:pPr>
              <w:pStyle w:val="Compact"/>
              <w:jc w:val="left"/>
            </w:pPr>
            <w:r>
              <w:t xml:space="preserve">levensmiddel, bloeddrukclaim afgewezen</w:t>
            </w:r>
          </w:p>
        </w:tc>
        <w:tc>
          <w:tcPr/>
          <w:p>
            <w:pPr>
              <w:pStyle w:val="Compact"/>
              <w:jc w:val="left"/>
            </w:pPr>
            <w:r>
              <w:t xml:space="preserve">Bloeddrukdaling van ongeveer 1–4 mmHg, in Europa nauwelijks aantoonbaar</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geen gezondheidsclaim</w:t>
            </w:r>
          </w:p>
        </w:tc>
        <w:tc>
          <w:tcPr/>
          <w:p>
            <w:pPr>
              <w:pStyle w:val="Compact"/>
              <w:jc w:val="left"/>
            </w:pPr>
            <w:r>
              <w:t xml:space="preserve">Aanwijzingen bij bloedsuiker; in de sport is de voorloper bèta-alanine beter onderbouwd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injectie niet toegelaten</w:t>
            </w:r>
          </w:p>
        </w:tc>
        <w:tc>
          <w:tcPr/>
          <w:p>
            <w:pPr>
              <w:pStyle w:val="Compact"/>
              <w:jc w:val="left"/>
            </w:pPr>
            <w:r>
              <w:t xml:space="preserve">Eén oude wondstudie; nauwelijks huidgegevens; injectie niet getest</w:t>
            </w:r>
          </w:p>
        </w:tc>
      </w:tr>
      <w:tr>
        <w:tc>
          <w:tcPr/>
          <w:p>
            <w:pPr>
              <w:pStyle w:val="Compact"/>
              <w:jc w:val="left"/>
            </w:pPr>
            <w:r>
              <w:t xml:space="preserve">Palmitoyl-pentapeptide-4 (Matrixyl)</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Eén halfzijdige studie uit 2005; doorlaatbaarheid van de huid onduidelijk</w:t>
            </w:r>
          </w:p>
        </w:tc>
      </w:tr>
      <w:tr>
        <w:tc>
          <w:tcPr/>
          <w:p>
            <w:pPr>
              <w:pStyle w:val="Compact"/>
              <w:jc w:val="left"/>
            </w:pPr>
            <w:r>
              <w:t xml:space="preserve">Acetyl-hexapeptide-8 (Argireline)</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„Botox uit de tube” niet aangetoond; dringt nauwelijks in de huid door</w:t>
            </w:r>
          </w:p>
        </w:tc>
      </w:tr>
    </w:tbl>
    <w:p>
      <w:pPr>
        <w:pStyle w:val="BodyText"/>
      </w:pPr>
      <w:r>
        <w:t xml:space="preserve">Het niveau B betekent in deze groep uitdrukkelijk niet dat een effect vaststaat, maar alleen dat er gerandomiseerde studies zijn.</w:t>
      </w:r>
    </w:p>
    <w:bookmarkEnd w:id="2317"/>
    <w:bookmarkStart w:id="2318" w:name="leeswijzer-5"/>
    <w:p>
      <w:pPr>
        <w:pStyle w:val="Heading3"/>
      </w:pPr>
      <w:r>
        <w:t xml:space="preserve">Leeswijzer</w:t>
      </w:r>
    </w:p>
    <w:p>
      <w:pPr>
        <w:pStyle w:val="FirstParagraph"/>
      </w:pPr>
      <w:r>
        <w:t xml:space="preserve">Het hoofdstuk over de</w:t>
      </w:r>
      <w:r>
        <w:t xml:space="preserve"> </w:t>
      </w:r>
      <w:r>
        <w:rPr>
          <w:bCs/>
          <w:b/>
        </w:rPr>
        <w:t xml:space="preserve">collageenpeptiden</w:t>
      </w:r>
      <w:r>
        <w:t xml:space="preserve"> </w:t>
      </w:r>
      <w:r>
        <w:t xml:space="preserve">is het uitgebreidste, omdat daarover de meeste studies bestaan en omdat er goed aan te laten zien is hoe meta-analyses, financiering door fabrikanten en placebo-effect samenspelen. Wie maar één hoofdstuk uit deze groep leest, kan het best dit kiezen. Het hoofdstuk over de</w:t>
      </w:r>
      <w:r>
        <w:t xml:space="preserve"> </w:t>
      </w:r>
      <w:r>
        <w:rPr>
          <w:bCs/>
          <w:b/>
        </w:rPr>
        <w:t xml:space="preserve">lactotripeptiden</w:t>
      </w:r>
      <w:r>
        <w:t xml:space="preserve"> </w:t>
      </w:r>
      <w:r>
        <w:t xml:space="preserve">is een les in hoe een overtuigend laboratoriummechanisme in grotere studies kan krimpen. De drie</w:t>
      </w:r>
      <w:r>
        <w:t xml:space="preserve"> </w:t>
      </w:r>
      <w:r>
        <w:rPr>
          <w:bCs/>
          <w:b/>
        </w:rPr>
        <w:t xml:space="preserve">cosmetische peptiden</w:t>
      </w:r>
      <w:r>
        <w:t xml:space="preserve"> </w:t>
      </w:r>
      <w:r>
        <w:t xml:space="preserve">zijn korter; ze delen dezelfde kernvraag – of een werkzame stof uit de crème überhaupt aankomt waar hij moet werken. De risico’s van injecties van de grijze markt worden in Deel IV uitgebreid behandeld.</w:t>
      </w:r>
    </w:p>
    <w:bookmarkEnd w:id="2318"/>
    <w:bookmarkStart w:id="2370" w:name="collageenpeptiden-collageenhydrolysaat"/>
    <w:p>
      <w:pPr>
        <w:pStyle w:val="Heading2"/>
      </w:pPr>
      <w:r>
        <w:t xml:space="preserve">Collageenpeptiden (collageenhydrolysaat)</w:t>
      </w:r>
    </w:p>
    <w:bookmarkStart w:id="2319" w:name="profiel-52"/>
    <w:p>
      <w:pPr>
        <w:pStyle w:val="Heading3"/>
      </w:pPr>
      <w:r>
        <w:t xml:space="preserve">Profiel</w:t>
      </w:r>
    </w:p>
    <w:p>
      <w:pPr>
        <w:numPr>
          <w:ilvl w:val="0"/>
          <w:numId w:val="1289"/>
        </w:numPr>
        <w:pStyle w:val="Compact"/>
      </w:pPr>
      <w:r>
        <w:rPr>
          <w:bCs/>
          <w:b/>
        </w:rPr>
        <w:t xml:space="preserve">Soort/structuur:</w:t>
      </w:r>
      <w:r>
        <w:t xml:space="preserve"> </w:t>
      </w:r>
      <w:r>
        <w:t xml:space="preserve">mengsel van peptiden van verschillende lengte, verkregen door enzymatische splitsing (hydrolyse) van collageen of gelatine. Typische producten bevatten brokstukken met een gemiddelde molecuulmassa van ongeveer 2.000 tot 5.000 dalton. Kenmerkend zijn de aminozuren glycine, proline en hydroxyproline; het essentiële aminozuur tryptofaan ontbreekt.</w:t>
      </w:r>
    </w:p>
    <w:p>
      <w:pPr>
        <w:numPr>
          <w:ilvl w:val="0"/>
          <w:numId w:val="1289"/>
        </w:numPr>
        <w:pStyle w:val="Compact"/>
      </w:pPr>
      <w:r>
        <w:rPr>
          <w:bCs/>
          <w:b/>
        </w:rPr>
        <w:t xml:space="preserve">Herkomst:</w:t>
      </w:r>
      <w:r>
        <w:t xml:space="preserve"> </w:t>
      </w:r>
      <w:r>
        <w:t xml:space="preserve">huid, botten of schubben van rund, varken, kip en vis – bijproducten van de vlees- en visverwerking. Veel studies gebruiken beschermde merkgrondstoffen (bijv. Verisol, Fortigel, Bodybalance, Tendoforte), die van een paar fabrikanten afkomstig zijn.</w:t>
      </w:r>
    </w:p>
    <w:p>
      <w:pPr>
        <w:numPr>
          <w:ilvl w:val="0"/>
          <w:numId w:val="1289"/>
        </w:numPr>
        <w:pStyle w:val="Compact"/>
      </w:pPr>
      <w:r>
        <w:rPr>
          <w:bCs/>
          <w:b/>
        </w:rPr>
        <w:t xml:space="preserve">Werkingsprincipe:</w:t>
      </w:r>
      <w:r>
        <w:t xml:space="preserve"> </w:t>
      </w:r>
      <w:r>
        <w:t xml:space="preserve">levering van bouwstenen voor het lichaamseigen bindweefsel; daarnaast wordt besproken dat bepaalde kleine peptiden (vooral prolyl-hydroxyproline) als signaalstoffen op bindweefselcellen werken.</w:t>
      </w:r>
    </w:p>
    <w:p>
      <w:pPr>
        <w:numPr>
          <w:ilvl w:val="0"/>
          <w:numId w:val="1289"/>
        </w:numPr>
        <w:pStyle w:val="Compact"/>
      </w:pPr>
      <w:r>
        <w:rPr>
          <w:bCs/>
          <w:b/>
        </w:rPr>
        <w:t xml:space="preserve">Afbakening:</w:t>
      </w:r>
      <w:r>
        <w:t xml:space="preserve"> </w:t>
      </w:r>
      <w:r>
        <w:rPr>
          <w:iCs/>
          <w:i/>
        </w:rPr>
        <w:t xml:space="preserve">ongedenatureerd</w:t>
      </w:r>
      <w:r>
        <w:t xml:space="preserve"> </w:t>
      </w:r>
      <w:r>
        <w:t xml:space="preserve">type II-collageen (bijv. UC-II) is een ander product met een ander werkingsprincipe en wordt hieronder apart besproken.</w:t>
      </w:r>
    </w:p>
    <w:p>
      <w:pPr>
        <w:numPr>
          <w:ilvl w:val="0"/>
          <w:numId w:val="1289"/>
        </w:numPr>
        <w:pStyle w:val="Compact"/>
      </w:pPr>
      <w:r>
        <w:rPr>
          <w:bCs/>
          <w:b/>
        </w:rPr>
        <w:t xml:space="preserve">Registratie EU:</w:t>
      </w:r>
      <w:r>
        <w:t xml:space="preserve"> </w:t>
      </w:r>
      <w:r>
        <w:t xml:space="preserve">geen registratie als geneesmiddel; als levensmiddel of voedingssupplement in de handel toegestaan. Voor collageen zelf bestaat</w:t>
      </w:r>
      <w:r>
        <w:t xml:space="preserve"> </w:t>
      </w:r>
      <w:r>
        <w:rPr>
          <w:bCs/>
          <w:b/>
        </w:rPr>
        <w:t xml:space="preserve">geen</w:t>
      </w:r>
      <w:r>
        <w:t xml:space="preserve"> </w:t>
      </w:r>
      <w:r>
        <w:t xml:space="preserve">toegelaten gezondheidsclaim (health claim).</w:t>
      </w:r>
    </w:p>
    <w:p>
      <w:pPr>
        <w:numPr>
          <w:ilvl w:val="0"/>
          <w:numId w:val="1289"/>
        </w:numPr>
        <w:pStyle w:val="Compact"/>
      </w:pPr>
      <w:r>
        <w:rPr>
          <w:bCs/>
          <w:b/>
        </w:rPr>
        <w:t xml:space="preserve">Registratie VS:</w:t>
      </w:r>
      <w:r>
        <w:t xml:space="preserve"> </w:t>
      </w:r>
      <w:r>
        <w:t xml:space="preserve">geen registratie als geneesmiddel; als voedingssupplement (dietary supplement) in de handel.</w:t>
      </w:r>
    </w:p>
    <w:p>
      <w:pPr>
        <w:numPr>
          <w:ilvl w:val="0"/>
          <w:numId w:val="1289"/>
        </w:numPr>
        <w:pStyle w:val="Compact"/>
      </w:pPr>
      <w:r>
        <w:rPr>
          <w:bCs/>
          <w:b/>
        </w:rPr>
        <w:t xml:space="preserve">WADA:</w:t>
      </w:r>
      <w:r>
        <w:t xml:space="preserve"> </w:t>
      </w:r>
      <w:r>
        <w:t xml:space="preserve">niet vermeld.</w:t>
      </w:r>
    </w:p>
    <w:p>
      <w:pPr>
        <w:numPr>
          <w:ilvl w:val="0"/>
          <w:numId w:val="1289"/>
        </w:numPr>
        <w:pStyle w:val="Compact"/>
      </w:pPr>
      <w:r>
        <w:rPr>
          <w:bCs/>
          <w:b/>
        </w:rPr>
        <w:t xml:space="preserve">Bewijsniveau:</w:t>
      </w:r>
      <w:r>
        <w:t xml:space="preserve"> </w:t>
      </w:r>
      <w:r>
        <w:rPr>
          <w:bCs/>
          <w:b/>
        </w:rPr>
        <w:t xml:space="preserve">B</w:t>
      </w:r>
      <w:r>
        <w:t xml:space="preserve"> </w:t>
      </w:r>
      <w:r>
        <w:t xml:space="preserve">– talrijke gerandomiseerde, placebogecontroleerde studies, die echter overwegend klein, kort en door fabrikanten gefinancierd zijn.</w:t>
      </w:r>
    </w:p>
    <w:bookmarkEnd w:id="2319"/>
    <w:bookmarkStart w:id="2324" w:name="hoe-het-zou-moeten-werken-52"/>
    <w:p>
      <w:pPr>
        <w:pStyle w:val="Heading3"/>
      </w:pPr>
      <w:r>
        <w:t xml:space="preserve">Hoe het zou moeten werken</w:t>
      </w:r>
    </w:p>
    <w:p>
      <w:pPr>
        <w:pStyle w:val="FirstParagraph"/>
      </w:pPr>
      <w:r>
        <w:t xml:space="preserve">Collageen is het meest voorkomende eiwit in het menselijk lichaam. Het vormt het geraamte van huid, pezen, banden, kraakbeen en bot. De basiseenheid is een drievoudige helix van drie eiwitketens, waarin zich een patroon steeds herhaalt: glycine, dan een willekeurig aminozuur, dan vaak proline of hydroxyproline. Met de leeftijd daalt de collageenaanmaak in de huid en wordt het collageennetwerk brozer – zichtbaar als rimpels en afnemende spankracht.</w:t>
      </w:r>
    </w:p>
    <w:p>
      <w:pPr>
        <w:pStyle w:val="BodyText"/>
      </w:pPr>
      <w:r>
        <w:t xml:space="preserve">De reclame suggereert vaak een eenvoudige logica: wie collageen eet, bouwt collageen op. Zo werkt de spijsvertering niet. Eiwitten worden in maag en dunne darm grotendeels afgebroken tot afzonderlijke aminozuren en zeer kleine peptiden; het lichaam bouwt daaruit zijn eiwitten naar eigen behoefte opnieuw op. Collageen uit de voeding wordt dus niet als collageen in de huid „ingebouwd”.</w:t>
      </w:r>
    </w:p>
    <w:p>
      <w:pPr>
        <w:pStyle w:val="BodyText"/>
      </w:pPr>
      <w:r>
        <w:t xml:space="preserve">Er zijn echter twee serieus te nemen hypothesen waarom collageenpeptiden toch iets zouden kunnen bewerkstelligen:</w:t>
      </w:r>
    </w:p>
    <w:p>
      <w:pPr>
        <w:numPr>
          <w:ilvl w:val="0"/>
          <w:numId w:val="1290"/>
        </w:numPr>
        <w:pStyle w:val="Compact"/>
      </w:pPr>
      <w:r>
        <w:rPr>
          <w:bCs/>
          <w:b/>
        </w:rPr>
        <w:t xml:space="preserve">Signaalpeptiden.</w:t>
      </w:r>
      <w:r>
        <w:t xml:space="preserve"> </w:t>
      </w:r>
      <w:r>
        <w:t xml:space="preserve">Hydroxyprolinehoudende di- en tripeptiden zijn ongewoon stabiel tegenover verteringsenzymen. Na het drinken van gelatinehydrolysaat steeg bij vrijwilligers de concentratie peptidegebonden hydroxyproline in het bloed duidelijk en bereikte die na een tot twee uur een maximum; het belangrijkste bestanddeel was het dipeptide prolyl-hydroxyproline</w:t>
      </w:r>
      <w:r>
        <w:rPr>
          <w:rStyle w:val="FootnoteReference"/>
        </w:rPr>
        <w:footnoteReference w:id="2320"/>
      </w:r>
      <w:r>
        <w:t xml:space="preserve">. Iets vergelijkbaars bleek voor een preparaat met een hoog aandeel tripeptiden</w:t>
      </w:r>
      <w:r>
        <w:rPr>
          <w:rStyle w:val="FootnoteReference"/>
        </w:rPr>
        <w:footnoteReference w:id="2321"/>
      </w:r>
      <w:r>
        <w:t xml:space="preserve">. In celkweek- en dierproeven stimuleren zulke peptiden bindweefselcellen (fibroblasten) tot groei en tot de aanmaak van matrixbouwstenen. Of de in het bloed bereikte hoeveelheden bij mensen volstaan om in huid of kraakbeen een meetbaar effect op te wekken, is niet met zekerheid aangetoond.</w:t>
      </w:r>
    </w:p>
    <w:p>
      <w:pPr>
        <w:numPr>
          <w:ilvl w:val="0"/>
          <w:numId w:val="1290"/>
        </w:numPr>
        <w:pStyle w:val="Compact"/>
      </w:pPr>
      <w:r>
        <w:rPr>
          <w:bCs/>
          <w:b/>
        </w:rPr>
        <w:t xml:space="preserve">Levering van bouwstoffen.</w:t>
      </w:r>
      <w:r>
        <w:t xml:space="preserve"> </w:t>
      </w:r>
      <w:r>
        <w:t xml:space="preserve">Collageenpeptiden leveren grote hoeveelheden glycine, proline en hydroxyproline. In een kleine studie met acht mannen verdubbelde de bloedmarker voor collageennieuwvorming als zij een uur vóór een korte springbelasting 15 g met vitamine C verrijkte gelatine hadden ingenomen</w:t>
      </w:r>
      <w:r>
        <w:rPr>
          <w:rStyle w:val="FootnoteReference"/>
        </w:rPr>
        <w:footnoteReference w:id="2322"/>
      </w:r>
      <w:r>
        <w:t xml:space="preserve">. Dat ondersteunt het idee om collageenpeptiden in de tijd te combineren met belasting, maar het is een meetwaarde in het bloed, geen bewijs van sterkere pezen.</w:t>
      </w:r>
    </w:p>
    <w:p>
      <w:pPr>
        <w:pStyle w:val="FirstParagraph"/>
      </w:pPr>
      <w:r>
        <w:t xml:space="preserve">Belangrijk voor de plaatsing: collageen is als eiwitbron onvolledig. Omdat er tryptofaan in ontbreekt, wordt een peptidemengsel op basis van gelatine in het onderzoek zelfs gericht gebruikt om de tryptofaanspiegel in het bloed kortstondig te verlagen</w:t>
      </w:r>
      <w:r>
        <w:rPr>
          <w:rStyle w:val="FootnoteReference"/>
        </w:rPr>
        <w:footnoteReference w:id="2323"/>
      </w:r>
      <w:r>
        <w:t xml:space="preserve">. Voor spieropbouw doet collageen daarom onder voor andere eiwitten – daarover hieronder meer.</w:t>
      </w:r>
    </w:p>
    <w:bookmarkEnd w:id="2324"/>
    <w:bookmarkStart w:id="2352" w:name="studies-bij-mensen-52"/>
    <w:p>
      <w:pPr>
        <w:pStyle w:val="Heading3"/>
      </w:pPr>
      <w:r>
        <w:t xml:space="preserve">Studies bij mensen</w:t>
      </w:r>
    </w:p>
    <w:p>
      <w:pPr>
        <w:pStyle w:val="FirstParagraph"/>
      </w:pPr>
      <w:r>
        <w:t xml:space="preserve">Het onderzoek is omvangrijk, maar niet eenduidig. De voor dit boek uitgevoerde PubMed-zoekopdracht (collageenhydrolysaat of collageenpeptiden in combinatie met inname of suppletie, zoekdatum oktober 2026) leverde 101 studies bij mensen op. Op ClinicalTrials.gov vond de zoekterm „collagen peptides” 237 registraties; een aanzienlijk deel daarvan betreft echter andere onderwerpen (bijvoorbeeld collageenimplantaten in de tandheelkunde of het kankermiddel endostatine, een collageenfragment). Daarnaast zijn er ten minste een dozijn meta-analyses.</w:t>
      </w:r>
    </w:p>
    <w:p>
      <w:pPr>
        <w:pStyle w:val="BodyText"/>
      </w:pPr>
      <w:r>
        <w:t xml:space="preserve">Drie kenmerken bepalen bijna alle studies en moeten bij het lezen in gedachten worden gehouden:</w:t>
      </w:r>
    </w:p>
    <w:p>
      <w:pPr>
        <w:numPr>
          <w:ilvl w:val="0"/>
          <w:numId w:val="1291"/>
        </w:numPr>
        <w:pStyle w:val="Compact"/>
      </w:pPr>
      <w:r>
        <w:rPr>
          <w:bCs/>
          <w:b/>
        </w:rPr>
        <w:t xml:space="preserve">Kleine aantallen en korte duur:</w:t>
      </w:r>
      <w:r>
        <w:t xml:space="preserve"> </w:t>
      </w:r>
      <w:r>
        <w:t xml:space="preserve">meestal 40 tot 150 deelnemers gedurende 8 tot 24 weken.</w:t>
      </w:r>
    </w:p>
    <w:p>
      <w:pPr>
        <w:numPr>
          <w:ilvl w:val="0"/>
          <w:numId w:val="1291"/>
        </w:numPr>
        <w:pStyle w:val="Compact"/>
      </w:pPr>
      <w:r>
        <w:rPr>
          <w:bCs/>
          <w:b/>
        </w:rPr>
        <w:t xml:space="preserve">Financiering door fabrikanten:</w:t>
      </w:r>
      <w:r>
        <w:t xml:space="preserve"> </w:t>
      </w:r>
      <w:r>
        <w:t xml:space="preserve">een groot deel van de studies werd betaald door de producenten van grondstoffen of producten, of mede geschreven door hun medewerkers. Vaak worden merkbeschermde peptidemengsels getest.</w:t>
      </w:r>
    </w:p>
    <w:p>
      <w:pPr>
        <w:numPr>
          <w:ilvl w:val="0"/>
          <w:numId w:val="1291"/>
        </w:numPr>
        <w:pStyle w:val="Compact"/>
      </w:pPr>
      <w:r>
        <w:rPr>
          <w:bCs/>
          <w:b/>
        </w:rPr>
        <w:t xml:space="preserve">Combinatieproducten:</w:t>
      </w:r>
      <w:r>
        <w:t xml:space="preserve"> </w:t>
      </w:r>
      <w:r>
        <w:t xml:space="preserve">veel „collageendrankjes” bevatten daarnaast vitamine C, zink, biotine, hyaluronzuur of plantenextracten. Een positief resultaat kan dan niet alleen aan het collageen worden toegeschreven.</w:t>
      </w:r>
    </w:p>
    <w:bookmarkStart w:id="2327" w:name="huid-vocht-elasticiteit-rimpels"/>
    <w:p>
      <w:pPr>
        <w:pStyle w:val="Heading4"/>
      </w:pPr>
      <w:r>
        <w:t xml:space="preserve">Huid: vocht, elasticiteit, rimpels</w:t>
      </w:r>
    </w:p>
    <w:p>
      <w:pPr>
        <w:pStyle w:val="FirstParagraph"/>
      </w:pPr>
      <w:r>
        <w:t xml:space="preserve">De huidstudies zijn het talrijkst. Gemeten wordt meestal met apparaten: corneometer (vochtgehalte van de hoornlaag), cutometer (elasticiteit), huidafdrukken of 3D-camera’s (rimpeldiepte), echografie (dichtheid van de lederhuid).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Proksch 2014a, PMID 23949208</w:t>
            </w:r>
          </w:p>
        </w:tc>
        <w:tc>
          <w:tcPr/>
          <w:p>
            <w:pPr>
              <w:pStyle w:val="Compact"/>
              <w:jc w:val="left"/>
            </w:pPr>
            <w:r>
              <w:t xml:space="preserve">69 vrouwen (35–55 j.), 2,5 g of 5 g vs. placebo</w:t>
            </w:r>
          </w:p>
        </w:tc>
        <w:tc>
          <w:tcPr/>
          <w:p>
            <w:pPr>
              <w:pStyle w:val="Compact"/>
              <w:jc w:val="left"/>
            </w:pPr>
            <w:r>
              <w:t xml:space="preserve">8 weken</w:t>
            </w:r>
          </w:p>
        </w:tc>
        <w:tc>
          <w:tcPr/>
          <w:p>
            <w:pPr>
              <w:pStyle w:val="Compact"/>
              <w:jc w:val="left"/>
            </w:pPr>
            <w:r>
              <w:t xml:space="preserve">Elasticiteit in beide dosisgroepen significant beter dan placebo; vocht niet significant</w:t>
            </w:r>
          </w:p>
        </w:tc>
      </w:tr>
      <w:tr>
        <w:tc>
          <w:tcPr/>
          <w:p>
            <w:pPr>
              <w:pStyle w:val="Compact"/>
              <w:jc w:val="left"/>
            </w:pPr>
            <w:r>
              <w:t xml:space="preserve">Proksch 2014b, PMID 24401291</w:t>
            </w:r>
          </w:p>
        </w:tc>
        <w:tc>
          <w:tcPr/>
          <w:p>
            <w:pPr>
              <w:pStyle w:val="Compact"/>
              <w:jc w:val="left"/>
            </w:pPr>
            <w:r>
              <w:t xml:space="preserve">114 vrouwen (45–65 j.), 2,5 g Verisol vs. placebo</w:t>
            </w:r>
          </w:p>
        </w:tc>
        <w:tc>
          <w:tcPr/>
          <w:p>
            <w:pPr>
              <w:pStyle w:val="Compact"/>
              <w:jc w:val="left"/>
            </w:pPr>
            <w:r>
              <w:t xml:space="preserve">8 weken</w:t>
            </w:r>
          </w:p>
        </w:tc>
        <w:tc>
          <w:tcPr/>
          <w:p>
            <w:pPr>
              <w:pStyle w:val="Compact"/>
              <w:jc w:val="left"/>
            </w:pPr>
            <w:r>
              <w:t xml:space="preserve">Volume van ooglidrimpels −20% vs. placebo; procollageen I in huidbiopten +65%</w:t>
            </w:r>
          </w:p>
        </w:tc>
      </w:tr>
      <w:tr>
        <w:tc>
          <w:tcPr/>
          <w:p>
            <w:pPr>
              <w:pStyle w:val="Compact"/>
              <w:jc w:val="left"/>
            </w:pPr>
            <w:r>
              <w:t xml:space="preserve">Kim 2018, PMID 29949889</w:t>
            </w:r>
          </w:p>
        </w:tc>
        <w:tc>
          <w:tcPr/>
          <w:p>
            <w:pPr>
              <w:pStyle w:val="Compact"/>
              <w:jc w:val="left"/>
            </w:pPr>
            <w:r>
              <w:t xml:space="preserve">64 personen, 1 g laagmoleculair peptide vs. placebo</w:t>
            </w:r>
          </w:p>
        </w:tc>
        <w:tc>
          <w:tcPr/>
          <w:p>
            <w:pPr>
              <w:pStyle w:val="Compact"/>
              <w:jc w:val="left"/>
            </w:pPr>
            <w:r>
              <w:t xml:space="preserve">12 weken</w:t>
            </w:r>
          </w:p>
        </w:tc>
        <w:tc>
          <w:tcPr/>
          <w:p>
            <w:pPr>
              <w:pStyle w:val="Compact"/>
              <w:jc w:val="left"/>
            </w:pPr>
            <w:r>
              <w:t xml:space="preserve">Vocht en drie rimpelparameters beter dan placebo; elasticiteit gedeeltelijk</w:t>
            </w:r>
          </w:p>
        </w:tc>
      </w:tr>
      <w:tr>
        <w:tc>
          <w:tcPr/>
          <w:p>
            <w:pPr>
              <w:pStyle w:val="Compact"/>
              <w:jc w:val="left"/>
            </w:pPr>
            <w:r>
              <w:t xml:space="preserve">Bolke 2019, PMID 31627309</w:t>
            </w:r>
          </w:p>
        </w:tc>
        <w:tc>
          <w:tcPr/>
          <w:p>
            <w:pPr>
              <w:pStyle w:val="Compact"/>
              <w:jc w:val="left"/>
            </w:pPr>
            <w:r>
              <w:t xml:space="preserve">72 vrouwen vanaf 35, drinkampul met 2,5 g peptiden plus vitaminen, zink, acerola vs. placebo</w:t>
            </w:r>
          </w:p>
        </w:tc>
        <w:tc>
          <w:tcPr/>
          <w:p>
            <w:pPr>
              <w:pStyle w:val="Compact"/>
              <w:jc w:val="left"/>
            </w:pPr>
            <w:r>
              <w:t xml:space="preserve">12 weken</w:t>
            </w:r>
          </w:p>
        </w:tc>
        <w:tc>
          <w:tcPr/>
          <w:p>
            <w:pPr>
              <w:pStyle w:val="Compact"/>
              <w:jc w:val="left"/>
            </w:pPr>
            <w:r>
              <w:t xml:space="preserve">Vocht, elasticiteit, ruwheid en dichtheid beter dan placebo (combinatieproduct)</w:t>
            </w:r>
          </w:p>
        </w:tc>
      </w:tr>
      <w:tr>
        <w:tc>
          <w:tcPr/>
          <w:p>
            <w:pPr>
              <w:pStyle w:val="Compact"/>
              <w:jc w:val="left"/>
            </w:pPr>
            <w:r>
              <w:t xml:space="preserve">Kim 2022, PMID 36516059</w:t>
            </w:r>
          </w:p>
        </w:tc>
        <w:tc>
          <w:tcPr/>
          <w:p>
            <w:pPr>
              <w:pStyle w:val="Compact"/>
              <w:jc w:val="left"/>
            </w:pPr>
            <w:r>
              <w:t xml:space="preserve">100 personen, laagmoleculaire peptiden vs. placebo</w:t>
            </w:r>
          </w:p>
        </w:tc>
        <w:tc>
          <w:tcPr/>
          <w:p>
            <w:pPr>
              <w:pStyle w:val="Compact"/>
              <w:jc w:val="left"/>
            </w:pPr>
            <w:r>
              <w:t xml:space="preserve">12 weken</w:t>
            </w:r>
          </w:p>
        </w:tc>
        <w:tc>
          <w:tcPr/>
          <w:p>
            <w:pPr>
              <w:pStyle w:val="Compact"/>
              <w:jc w:val="left"/>
            </w:pPr>
            <w:r>
              <w:t xml:space="preserve">Kraaienpootjes, ruwheid, elasticiteit, vocht beter dan placebo (analyse van 84 personen)</w:t>
            </w:r>
          </w:p>
        </w:tc>
      </w:tr>
      <w:tr>
        <w:tc>
          <w:tcPr/>
          <w:p>
            <w:pPr>
              <w:pStyle w:val="Compact"/>
              <w:jc w:val="left"/>
            </w:pPr>
            <w:r>
              <w:t xml:space="preserve">Vleminckx 2024, PMID 39143887</w:t>
            </w:r>
          </w:p>
        </w:tc>
        <w:tc>
          <w:tcPr/>
          <w:p>
            <w:pPr>
              <w:pStyle w:val="Compact"/>
              <w:jc w:val="left"/>
            </w:pPr>
            <w:r>
              <w:t xml:space="preserve">85 Oost-Aziatische vrouwen (43–65 j.), 5 g vs. maltodextrine</w:t>
            </w:r>
          </w:p>
        </w:tc>
        <w:tc>
          <w:tcPr/>
          <w:p>
            <w:pPr>
              <w:pStyle w:val="Compact"/>
              <w:jc w:val="left"/>
            </w:pPr>
            <w:r>
              <w:t xml:space="preserve">12 weken</w:t>
            </w:r>
          </w:p>
        </w:tc>
        <w:tc>
          <w:tcPr/>
          <w:p>
            <w:pPr>
              <w:pStyle w:val="Compact"/>
              <w:jc w:val="left"/>
            </w:pPr>
            <w:r>
              <w:t xml:space="preserve">Huiddichtheid en vocht na 84 dagen beter dan placebo</w:t>
            </w:r>
          </w:p>
        </w:tc>
      </w:tr>
    </w:tbl>
    <w:p>
      <w:pPr>
        <w:pStyle w:val="BodyText"/>
      </w:pPr>
      <w:r>
        <w:t xml:space="preserve">Enkele studies onderzochten ook cellulite (105 vrouwen, zes maanden; verbetering vooral bij vrouwen met een normaal gewicht, Schunck 2015, PMID 26561784) en brosse nagels. De nagelstudie was echter open en zonder controlegroep: 25 deelnemers, nagelgroei +12%, afgebroken nagels −42%</w:t>
      </w:r>
      <w:r>
        <w:rPr>
          <w:rStyle w:val="FootnoteReference"/>
        </w:rPr>
        <w:footnoteReference w:id="2325"/>
      </w:r>
      <w:r>
        <w:t xml:space="preserve">. Zonder vergelijkingsgroep valt een placebo-effect hier niet uit te sluiten.</w:t>
      </w:r>
    </w:p>
    <w:p>
      <w:pPr>
        <w:pStyle w:val="BodyText"/>
      </w:pPr>
      <w:r>
        <w:t xml:space="preserve">Bij patiënten met doorligwonden (decubitus) werd naast de standaardbehandeling een collageenhydrolysaat met een hoog aandeel prolyl-hydroxyproline getest. Bij 120 deelnemers was de wondgenezing na 16 weken in deze groep beter dan onder placebo</w:t>
      </w:r>
      <w:r>
        <w:rPr>
          <w:rStyle w:val="FootnoteReference"/>
        </w:rPr>
        <w:footnoteReference w:id="2326"/>
      </w:r>
      <w:r>
        <w:t xml:space="preserve">. Een kleine studie uit 2026 bij matig ernstig constitutioneel eczeem meldde een lager verbruik van corticosteroïdcrème onder 5 g collageenpeptiden (0,94 g tegenover 5,60 g; Proksch 2026, PMID 41758763); de auteurs vragen zelf om grotere bevestigende studies.</w:t>
      </w:r>
    </w:p>
    <w:bookmarkEnd w:id="2327"/>
    <w:bookmarkStart w:id="2332" w:name="Xed9d60b5f43f4cec606e4f888908dd6d4c456db"/>
    <w:p>
      <w:pPr>
        <w:pStyle w:val="Heading4"/>
      </w:pPr>
      <w:r>
        <w:t xml:space="preserve">De meta-analyses over de huid – en de vraag van de financiering</w:t>
      </w:r>
    </w:p>
    <w:p>
      <w:pPr>
        <w:pStyle w:val="FirstParagraph"/>
      </w:pPr>
      <w:r>
        <w:t xml:space="preserve">Als men de huidstudies samenvat, ontstaat op het eerste gezicht een duidelijk beeld:</w:t>
      </w:r>
    </w:p>
    <w:p>
      <w:pPr>
        <w:numPr>
          <w:ilvl w:val="0"/>
          <w:numId w:val="1292"/>
        </w:numPr>
        <w:pStyle w:val="Compact"/>
      </w:pPr>
      <w:r>
        <w:t xml:space="preserve">19 studies met 1.125 deelnemers: gunstig effect op vocht, elasticiteit en rimpels</w:t>
      </w:r>
      <w:r>
        <w:rPr>
          <w:rStyle w:val="FootnoteReference"/>
        </w:rPr>
        <w:footnoteReference w:id="2328"/>
      </w:r>
      <w:r>
        <w:t xml:space="preserve">.</w:t>
      </w:r>
    </w:p>
    <w:p>
      <w:pPr>
        <w:numPr>
          <w:ilvl w:val="0"/>
          <w:numId w:val="1292"/>
        </w:numPr>
        <w:pStyle w:val="Compact"/>
      </w:pPr>
      <w:r>
        <w:t xml:space="preserve">26 studies met 1.721 deelnemers: significante verbetering van vocht en elasticiteit; de auteurs noemen echter meerdere bronnen van vertekening en vragen om grote studies</w:t>
      </w:r>
      <w:r>
        <w:rPr>
          <w:rStyle w:val="FootnoteReference"/>
        </w:rPr>
        <w:footnoteReference w:id="2329"/>
      </w:r>
      <w:r>
        <w:t xml:space="preserve">.</w:t>
      </w:r>
    </w:p>
    <w:p>
      <w:pPr>
        <w:numPr>
          <w:ilvl w:val="0"/>
          <w:numId w:val="1292"/>
        </w:numPr>
        <w:pStyle w:val="Compact"/>
      </w:pPr>
      <w:r>
        <w:t xml:space="preserve">10 studies met 646 deelnemers: vocht en elasticiteit verbeterd, bij matige heterogeniteit en overwegend onduidelijk risico op vertekening</w:t>
      </w:r>
      <w:r>
        <w:rPr>
          <w:rStyle w:val="FootnoteReference"/>
        </w:rPr>
        <w:footnoteReference w:id="2330"/>
      </w:r>
      <w:r>
        <w:t xml:space="preserve">.</w:t>
      </w:r>
    </w:p>
    <w:p>
      <w:pPr>
        <w:pStyle w:val="FirstParagraph"/>
      </w:pPr>
      <w:r>
        <w:t xml:space="preserve">Een meta-analyse uit 2025 ging een stap verder en splitste de studies naar financier en kwaliteit. Over alle 23 studies met 1.474 deelnemers heen was er opnieuw een voordeel. Bekeek men echter alleen de studies</w:t>
      </w:r>
      <w:r>
        <w:t xml:space="preserve"> </w:t>
      </w:r>
      <w:r>
        <w:rPr>
          <w:iCs/>
          <w:i/>
        </w:rPr>
        <w:t xml:space="preserve">zonder</w:t>
      </w:r>
      <w:r>
        <w:t xml:space="preserve"> </w:t>
      </w:r>
      <w:r>
        <w:t xml:space="preserve">financiering door de industrie, dan verdween het effect op vocht, elasticiteit en rimpels. Ook de methodologisch hoogwaardige studies lieten in geen enkele categorie een significant effect zien; alleen in de studies van lage kwaliteit werd een verbetering van de elasticiteit gevonden. De auteurs concluderen dat er momenteel geen klinisch bewijs is dat het gebruik van collageenpreparaten ter voorkoming of behandeling van huidveroudering ondersteunt</w:t>
      </w:r>
      <w:r>
        <w:rPr>
          <w:rStyle w:val="FootnoteReference"/>
        </w:rPr>
        <w:footnoteReference w:id="2331"/>
      </w:r>
      <w:r>
        <w:t xml:space="preserve">.</w:t>
      </w:r>
    </w:p>
    <w:p>
      <w:pPr>
        <w:pStyle w:val="BodyText"/>
      </w:pPr>
      <w:r>
        <w:t xml:space="preserve">Dit resultaat is geen definitief oordeel – het aantal onafhankelijke studies is klein, en het ontbreken van statistische significantie betekent niet automatisch dat er geen effect is. Het laat wel zien hoe sterk de positieve totaalbalans afhangt van studies die de aanbieders zelf hebben gefinancierd. Voor lezers betekent dat: de uitspraak „klinisch bewezen” op een collageenverpakking steunt doorgaans op studies van de eigen grondstofleverancier.</w:t>
      </w:r>
    </w:p>
    <w:bookmarkEnd w:id="2332"/>
    <w:bookmarkStart w:id="2338" w:name="gewrichten-en-artrose"/>
    <w:p>
      <w:pPr>
        <w:pStyle w:val="Heading4"/>
      </w:pPr>
      <w:r>
        <w:t xml:space="preserve">Gewrichten en artrose</w:t>
      </w:r>
    </w:p>
    <w:p>
      <w:pPr>
        <w:pStyle w:val="FirstParagraph"/>
      </w:pPr>
      <w:r>
        <w:t xml:space="preserve">De tweede grote groep studies betreft gewrichtspijn – zowel bij artrose als bij sportief actieve mensen zonder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Clark 2008, PMID 18416885</w:t>
            </w:r>
          </w:p>
        </w:tc>
        <w:tc>
          <w:tcPr/>
          <w:p>
            <w:pPr>
              <w:pStyle w:val="Compact"/>
              <w:jc w:val="left"/>
            </w:pPr>
            <w:r>
              <w:t xml:space="preserve">147 sporters met belastingsafhankelijke gewrichtspijn, 10 g vs. placebo</w:t>
            </w:r>
          </w:p>
        </w:tc>
        <w:tc>
          <w:tcPr/>
          <w:p>
            <w:pPr>
              <w:pStyle w:val="Compact"/>
              <w:jc w:val="left"/>
            </w:pPr>
            <w:r>
              <w:t xml:space="preserve">24 weken</w:t>
            </w:r>
          </w:p>
        </w:tc>
        <w:tc>
          <w:tcPr/>
          <w:p>
            <w:pPr>
              <w:pStyle w:val="Compact"/>
              <w:jc w:val="left"/>
            </w:pPr>
            <w:r>
              <w:t xml:space="preserve">Meerdere pijnscores beter dan placebo; slechts 97 van 147 analyseerbaar</w:t>
            </w:r>
          </w:p>
        </w:tc>
      </w:tr>
      <w:tr>
        <w:tc>
          <w:tcPr/>
          <w:p>
            <w:pPr>
              <w:pStyle w:val="Compact"/>
              <w:jc w:val="left"/>
            </w:pPr>
            <w:r>
              <w:t xml:space="preserve">Bruyère 2012, PMID 22500661</w:t>
            </w:r>
          </w:p>
        </w:tc>
        <w:tc>
          <w:tcPr/>
          <w:p>
            <w:pPr>
              <w:pStyle w:val="Compact"/>
              <w:jc w:val="left"/>
            </w:pPr>
            <w:r>
              <w:t xml:space="preserve">200 personen vanaf 50 met gewrichtspijn, 1,2 g vs. placebo</w:t>
            </w:r>
          </w:p>
        </w:tc>
        <w:tc>
          <w:tcPr/>
          <w:p>
            <w:pPr>
              <w:pStyle w:val="Compact"/>
              <w:jc w:val="left"/>
            </w:pPr>
            <w:r>
              <w:t xml:space="preserve">6 maanden</w:t>
            </w:r>
          </w:p>
        </w:tc>
        <w:tc>
          <w:tcPr/>
          <w:p>
            <w:pPr>
              <w:pStyle w:val="Compact"/>
              <w:jc w:val="left"/>
            </w:pPr>
            <w:r>
              <w:t xml:space="preserve">Responspercentage 51,6% vs. 36,5% na 6 maanden; na 3 maanden geen verschil</w:t>
            </w:r>
          </w:p>
        </w:tc>
      </w:tr>
      <w:tr>
        <w:tc>
          <w:tcPr/>
          <w:p>
            <w:pPr>
              <w:pStyle w:val="Compact"/>
              <w:jc w:val="left"/>
            </w:pPr>
            <w:r>
              <w:t xml:space="preserve">Kumar 2015, PMID 24852756</w:t>
            </w:r>
          </w:p>
        </w:tc>
        <w:tc>
          <w:tcPr/>
          <w:p>
            <w:pPr>
              <w:pStyle w:val="Compact"/>
              <w:jc w:val="left"/>
            </w:pPr>
            <w:r>
              <w:t xml:space="preserve">knieartrose, peptiden uit varkenshuid of runderbot vs. placebo</w:t>
            </w:r>
          </w:p>
        </w:tc>
        <w:tc>
          <w:tcPr/>
          <w:p>
            <w:pPr>
              <w:pStyle w:val="Compact"/>
              <w:jc w:val="left"/>
            </w:pPr>
            <w:r>
              <w:t xml:space="preserve">13 weken</w:t>
            </w:r>
          </w:p>
        </w:tc>
        <w:tc>
          <w:tcPr/>
          <w:p>
            <w:pPr>
              <w:pStyle w:val="Compact"/>
              <w:jc w:val="left"/>
            </w:pPr>
            <w:r>
              <w:t xml:space="preserve">WOMAC-, pijn- en kwaliteit-van-levenscores beter dan placebo</w:t>
            </w:r>
          </w:p>
        </w:tc>
      </w:tr>
      <w:tr>
        <w:tc>
          <w:tcPr/>
          <w:p>
            <w:pPr>
              <w:pStyle w:val="Compact"/>
              <w:jc w:val="left"/>
            </w:pPr>
            <w:r>
              <w:t xml:space="preserve">Zdzieblik 2017, PMID 28177710</w:t>
            </w:r>
          </w:p>
        </w:tc>
        <w:tc>
          <w:tcPr/>
          <w:p>
            <w:pPr>
              <w:pStyle w:val="Compact"/>
              <w:jc w:val="left"/>
            </w:pPr>
            <w:r>
              <w:t xml:space="preserve">139 sporters met knieklachten, 5 g vs. placebo</w:t>
            </w:r>
          </w:p>
        </w:tc>
        <w:tc>
          <w:tcPr/>
          <w:p>
            <w:pPr>
              <w:pStyle w:val="Compact"/>
              <w:jc w:val="left"/>
            </w:pPr>
            <w:r>
              <w:t xml:space="preserve">12 weken</w:t>
            </w:r>
          </w:p>
        </w:tc>
        <w:tc>
          <w:tcPr/>
          <w:p>
            <w:pPr>
              <w:pStyle w:val="Compact"/>
              <w:jc w:val="left"/>
            </w:pPr>
            <w:r>
              <w:t xml:space="preserve">Belastingspijn beter dan placebo (p = 0,046); rustpijn niet</w:t>
            </w:r>
          </w:p>
        </w:tc>
      </w:tr>
      <w:tr>
        <w:tc>
          <w:tcPr/>
          <w:p>
            <w:pPr>
              <w:pStyle w:val="Compact"/>
              <w:jc w:val="left"/>
            </w:pPr>
            <w:r>
              <w:t xml:space="preserve">Bongers 2020, PMID 31990581</w:t>
            </w:r>
          </w:p>
        </w:tc>
        <w:tc>
          <w:tcPr/>
          <w:p>
            <w:pPr>
              <w:pStyle w:val="Compact"/>
              <w:jc w:val="left"/>
            </w:pPr>
            <w:r>
              <w:t xml:space="preserve">167 actieve personen (mediaan 63 j.) met kniepijn, 10 g vs. placebo</w:t>
            </w:r>
          </w:p>
        </w:tc>
        <w:tc>
          <w:tcPr/>
          <w:p>
            <w:pPr>
              <w:pStyle w:val="Compact"/>
              <w:jc w:val="left"/>
            </w:pPr>
            <w:r>
              <w:t xml:space="preserve">12 weken</w:t>
            </w:r>
          </w:p>
        </w:tc>
        <w:tc>
          <w:tcPr/>
          <w:p>
            <w:pPr>
              <w:pStyle w:val="Compact"/>
              <w:jc w:val="left"/>
            </w:pPr>
            <w:r>
              <w:t xml:space="preserve">Geen verschil: pijn daalde in beide groepen even sterk</w:t>
            </w:r>
          </w:p>
        </w:tc>
      </w:tr>
    </w:tbl>
    <w:p>
      <w:pPr>
        <w:pStyle w:val="BodyText"/>
      </w:pPr>
      <w:r>
        <w:t xml:space="preserve">De studie van Bongers is opmerkelijk, omdat ze tot de grotere behoort en een duidelijk negatief resultaat rapporteert: kniepijn en kniefunctie verbeterden – maar onder placebo net zo goed als onder collageen. Dat illustreert hoe groot het placebo-effect bij gewrichtspijn is.</w:t>
      </w:r>
    </w:p>
    <w:p>
      <w:pPr>
        <w:pStyle w:val="BodyText"/>
      </w:pPr>
      <w:r>
        <w:t xml:space="preserve">De meta-analyses komen toch overwegend tot een gunstig resultaat:</w:t>
      </w:r>
    </w:p>
    <w:p>
      <w:pPr>
        <w:numPr>
          <w:ilvl w:val="0"/>
          <w:numId w:val="1293"/>
        </w:numPr>
        <w:pStyle w:val="Compact"/>
      </w:pPr>
      <w:r>
        <w:t xml:space="preserve">Een meta-analyse van gerandomiseerde, placebogecontroleerde studies vond een significante verlaging van de totale WOMAC-score (een artrosevragenlijst) en van de pijnscore op de visueel analoge schaal; de subschalen pijn en functiebeperking van de WOMAC verschilden echter niet significant</w:t>
      </w:r>
      <w:r>
        <w:rPr>
          <w:rStyle w:val="FootnoteReference"/>
        </w:rPr>
        <w:footnoteReference w:id="2333"/>
      </w:r>
      <w:r>
        <w:t xml:space="preserve">.</w:t>
      </w:r>
    </w:p>
    <w:p>
      <w:pPr>
        <w:numPr>
          <w:ilvl w:val="0"/>
          <w:numId w:val="1293"/>
        </w:numPr>
        <w:pStyle w:val="Compact"/>
      </w:pPr>
      <w:r>
        <w:t xml:space="preserve">De tot nu toe uitgebreidste analyse omvatte 35 studies met 3.165 patiënten met artrose. Collageenderivaten – hier zijn gehydrolyseerd en ongedenatureerd collageen samengenomen – hadden kleine tot matige effecten op pijn (gestandaardiseerd gemiddeld verschil −0,35) en functie (−0,31). Bijwerkingen en studie-uitval kwamen niet vaker voor dan onder controle</w:t>
      </w:r>
      <w:r>
        <w:rPr>
          <w:rStyle w:val="FootnoteReference"/>
        </w:rPr>
        <w:footnoteReference w:id="2334"/>
      </w:r>
      <w:r>
        <w:t xml:space="preserve">.</w:t>
      </w:r>
    </w:p>
    <w:p>
      <w:pPr>
        <w:numPr>
          <w:ilvl w:val="0"/>
          <w:numId w:val="1293"/>
        </w:numPr>
        <w:pStyle w:val="Compact"/>
      </w:pPr>
      <w:r>
        <w:t xml:space="preserve">Een analyse van slechts vier studies met 507 patiënten met knieartrose vond eveneens pijnverlichting, maar beoordeelde alle vier de studies als behept met een hoog risico op vertekening</w:t>
      </w:r>
      <w:r>
        <w:rPr>
          <w:rStyle w:val="FootnoteReference"/>
        </w:rPr>
        <w:footnoteReference w:id="2335"/>
      </w:r>
      <w:r>
        <w:t xml:space="preserve">.</w:t>
      </w:r>
    </w:p>
    <w:p>
      <w:pPr>
        <w:numPr>
          <w:ilvl w:val="0"/>
          <w:numId w:val="1293"/>
        </w:numPr>
        <w:pStyle w:val="Compact"/>
      </w:pPr>
      <w:r>
        <w:t xml:space="preserve">Een geactualiseerde meta-analyse met 11 studies en 870 deelnemers meldde verbeteringen van functie en pijn, zij het bij zeer hoge heterogeniteit (I² 75 resp. 88%)</w:t>
      </w:r>
      <w:r>
        <w:rPr>
          <w:rStyle w:val="FootnoteReference"/>
        </w:rPr>
        <w:footnoteReference w:id="2336"/>
      </w:r>
      <w:r>
        <w:t xml:space="preserve">.</w:t>
      </w:r>
    </w:p>
    <w:p>
      <w:pPr>
        <w:pStyle w:val="FirstParagraph"/>
      </w:pPr>
      <w:r>
        <w:t xml:space="preserve">Ter plaatsing: een gestandaardiseerd gemiddeld verschil van ongeveer 0,3 geldt als een klein effect. Het ligt in een vergelijkbare orde van grootte als bij sommige andere voedingssupplementen voor artrose en is duidelijk kleiner dan het effect dat men van een pijnstiller verwacht. Een groot overzicht van voedingssupplementen bij artrose vond voor collageenhydrolysaat op korte termijn grote effecten op de pijn, maar concludeerde in het geheel dat de kwaliteit van het bewijs zeer laag is en dat geen enkel preparaat op lange termijn klinisch relevante effecten liet zien</w:t>
      </w:r>
      <w:r>
        <w:rPr>
          <w:rStyle w:val="FootnoteReference"/>
        </w:rPr>
        <w:footnoteReference w:id="2337"/>
      </w:r>
      <w:r>
        <w:t xml:space="preserve">.</w:t>
      </w:r>
    </w:p>
    <w:bookmarkEnd w:id="2338"/>
    <w:bookmarkStart w:id="2341" w:name="X16ed58b9b75af6ca23e6c14eea6fc6cd78184ce"/>
    <w:p>
      <w:pPr>
        <w:pStyle w:val="Heading4"/>
      </w:pPr>
      <w:r>
        <w:t xml:space="preserve">Afbakening: ongedenatureerd type II-collageen (UC-II)</w:t>
      </w:r>
    </w:p>
    <w:p>
      <w:pPr>
        <w:pStyle w:val="FirstParagraph"/>
      </w:pPr>
      <w:r>
        <w:t xml:space="preserve">Ongedenatureerd type II-collageen wordt op een behoedzame manier gewonnen uit kraakbeen van kippenborst, zodat de oorspronkelijke structuur van het collageen gedeeltelijk behouden blijft. Het wordt in zeer kleine hoeveelheden ingenomen – in de studies 40 milligram per dag, dus ongeveer een honderdste tot een tweehonderdvijftigste van de grammenhoeveelheden bij collageenhydrolysaat. Het zou niet als bouwstof werken, maar via de zogenoemde orale tolerantie: het immuunsysteem in de darm zou leren kraakbeencollageen niet als aanvalsdoel te behandelen. Dit idee komt uit diermodellen van gewrichtsontsteking.</w:t>
      </w:r>
    </w:p>
    <w:p>
      <w:pPr>
        <w:pStyle w:val="BodyText"/>
      </w:pPr>
      <w:r>
        <w:t xml:space="preserve">Historisch werd het principe eerst getest bij reumatoïde artritis. Een kleine studie met 60 patiënten meldde in 1993 een afname van gezwollen en drukpijnlijke gewrichten</w:t>
      </w:r>
      <w:r>
        <w:rPr>
          <w:rStyle w:val="FootnoteReference"/>
        </w:rPr>
        <w:footnoteReference w:id="2339"/>
      </w:r>
      <w:r>
        <w:t xml:space="preserve">. Een grotere studie met 274 deelnemers en vier doseringen vond daarna alleen bij de laagste dosis en alleen volgens één van drie beoordelingscriteria een significant voordeel</w:t>
      </w:r>
      <w:r>
        <w:rPr>
          <w:rStyle w:val="FootnoteReference"/>
        </w:rPr>
        <w:footnoteReference w:id="2340"/>
      </w:r>
      <w:r>
        <w:t xml:space="preserve">. Als reumatherapie heeft de aanpak zich niet doorgezet.</w:t>
      </w:r>
    </w:p>
    <w:p>
      <w:pPr>
        <w:pStyle w:val="BodyText"/>
      </w:pPr>
      <w:r>
        <w:t xml:space="preserve">Voor artrose en gewrichtsklachten zijn er vooral studies die dicht bij de fabrikant staan: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Lugo 2016, PMID 26822714</w:t>
            </w:r>
          </w:p>
        </w:tc>
        <w:tc>
          <w:tcPr/>
          <w:p>
            <w:pPr>
              <w:pStyle w:val="Compact"/>
              <w:jc w:val="left"/>
            </w:pPr>
            <w:r>
              <w:t xml:space="preserve">191 personen met knieartrose, UC-II vs. glucosamine/chondroïtine vs. placebo</w:t>
            </w:r>
          </w:p>
        </w:tc>
        <w:tc>
          <w:tcPr/>
          <w:p>
            <w:pPr>
              <w:pStyle w:val="Compact"/>
              <w:jc w:val="left"/>
            </w:pPr>
            <w:r>
              <w:t xml:space="preserve">180 dagen</w:t>
            </w:r>
          </w:p>
        </w:tc>
        <w:tc>
          <w:tcPr/>
          <w:p>
            <w:pPr>
              <w:pStyle w:val="Compact"/>
              <w:jc w:val="left"/>
            </w:pPr>
            <w:r>
              <w:t xml:space="preserve">Totale WOMAC-score beter dan placebo (p = 0,002) en dan glucosamine/chondroïtine (p = 0,04)</w:t>
            </w:r>
          </w:p>
        </w:tc>
      </w:tr>
      <w:tr>
        <w:tc>
          <w:tcPr/>
          <w:p>
            <w:pPr>
              <w:pStyle w:val="Compact"/>
              <w:jc w:val="left"/>
            </w:pPr>
            <w:r>
              <w:t xml:space="preserve">Lugo 2013, PMID 24153020</w:t>
            </w:r>
          </w:p>
        </w:tc>
        <w:tc>
          <w:tcPr/>
          <w:p>
            <w:pPr>
              <w:pStyle w:val="Compact"/>
              <w:jc w:val="left"/>
            </w:pPr>
            <w:r>
              <w:t xml:space="preserve">55 gezonde personen met belastingsafhankelijke kniepijn, UC-II vs. placebo</w:t>
            </w:r>
          </w:p>
        </w:tc>
        <w:tc>
          <w:tcPr/>
          <w:p>
            <w:pPr>
              <w:pStyle w:val="Compact"/>
              <w:jc w:val="left"/>
            </w:pPr>
            <w:r>
              <w:t xml:space="preserve">120 dagen</w:t>
            </w:r>
          </w:p>
        </w:tc>
        <w:tc>
          <w:tcPr/>
          <w:p>
            <w:pPr>
              <w:pStyle w:val="Compact"/>
              <w:jc w:val="left"/>
            </w:pPr>
            <w:r>
              <w:t xml:space="preserve">Kniestrekking 81,0° vs. 74,0°; langere pijnvrije belasting</w:t>
            </w:r>
          </w:p>
        </w:tc>
      </w:tr>
      <w:tr>
        <w:tc>
          <w:tcPr/>
          <w:p>
            <w:pPr>
              <w:pStyle w:val="Compact"/>
              <w:jc w:val="left"/>
            </w:pPr>
            <w:r>
              <w:t xml:space="preserve">Yuenyongviwat 2025, PMID 40897777</w:t>
            </w:r>
          </w:p>
        </w:tc>
        <w:tc>
          <w:tcPr/>
          <w:p>
            <w:pPr>
              <w:pStyle w:val="Compact"/>
              <w:jc w:val="left"/>
            </w:pPr>
            <w:r>
              <w:t xml:space="preserve">68 personen met knieartrose, UC-II plus collageenhydrolysaat vs. placebo</w:t>
            </w:r>
          </w:p>
        </w:tc>
        <w:tc>
          <w:tcPr/>
          <w:p>
            <w:pPr>
              <w:pStyle w:val="Compact"/>
              <w:jc w:val="left"/>
            </w:pPr>
            <w:r>
              <w:t xml:space="preserve">12 weken</w:t>
            </w:r>
          </w:p>
        </w:tc>
        <w:tc>
          <w:tcPr/>
          <w:p>
            <w:pPr>
              <w:pStyle w:val="Compact"/>
              <w:jc w:val="left"/>
            </w:pPr>
            <w:r>
              <w:t xml:space="preserve">Geen verschil in pijn, functie, medicatie naar behoefte</w:t>
            </w:r>
          </w:p>
        </w:tc>
      </w:tr>
    </w:tbl>
    <w:p>
      <w:pPr>
        <w:pStyle w:val="BodyText"/>
      </w:pPr>
      <w:r>
        <w:t xml:space="preserve">De nieuwste studie komt van een onafhankelijke onderzoeksgroep die er uitdrukkelijk op wijst dat de meeste eerdere collageenstudies door de industrie werden gefinancierd. Ze vond – zoals Bongers 2020 – verbeteringen in beide groepen, maar geen voordeel ten opzichte van placebo (Yuenyongviwat 2025, PMID 40897777, geregistreerd als NCT06229951).</w:t>
      </w:r>
    </w:p>
    <w:p>
      <w:pPr>
        <w:pStyle w:val="BodyText"/>
      </w:pPr>
      <w:r>
        <w:t xml:space="preserve">Belangrijk voor consumenten: UC-II en collageenhydrolysaat zijn niet uitwisselbaar. Wie studies over het ene product leest, kan daaruit niets afleiden over het andere.</w:t>
      </w:r>
    </w:p>
    <w:bookmarkEnd w:id="2341"/>
    <w:bookmarkStart w:id="2342" w:name="botten"/>
    <w:p>
      <w:pPr>
        <w:pStyle w:val="Heading4"/>
      </w:pPr>
      <w:r>
        <w:t xml:space="preserve">Botten</w:t>
      </w:r>
    </w:p>
    <w:p>
      <w:pPr>
        <w:pStyle w:val="FirstParagraph"/>
      </w:pPr>
      <w:r>
        <w:t xml:space="preserve">Bij botten zijn de gegevens mager, maar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König 2018, PMID 29337906</w:t>
            </w:r>
          </w:p>
        </w:tc>
        <w:tc>
          <w:tcPr/>
          <w:p>
            <w:pPr>
              <w:pStyle w:val="Compact"/>
              <w:jc w:val="left"/>
            </w:pPr>
            <w:r>
              <w:t xml:space="preserve">131 vrouwen na de menopauze met verminderde botdichtheid, 5 g vs. placebo</w:t>
            </w:r>
          </w:p>
        </w:tc>
        <w:tc>
          <w:tcPr/>
          <w:p>
            <w:pPr>
              <w:pStyle w:val="Compact"/>
              <w:jc w:val="left"/>
            </w:pPr>
            <w:r>
              <w:t xml:space="preserve">12 maanden</w:t>
            </w:r>
          </w:p>
        </w:tc>
        <w:tc>
          <w:tcPr/>
          <w:p>
            <w:pPr>
              <w:pStyle w:val="Compact"/>
              <w:jc w:val="left"/>
            </w:pPr>
            <w:r>
              <w:t xml:space="preserve">T-score wervelkolom +0,1 vs. −0,03; dijbeenhals +0,09 vs. −0,01</w:t>
            </w:r>
          </w:p>
        </w:tc>
      </w:tr>
      <w:tr>
        <w:tc>
          <w:tcPr/>
          <w:p>
            <w:pPr>
              <w:pStyle w:val="Compact"/>
              <w:jc w:val="left"/>
            </w:pPr>
            <w:r>
              <w:t xml:space="preserve">Elam 2015, PMID 25314004</w:t>
            </w:r>
          </w:p>
        </w:tc>
        <w:tc>
          <w:tcPr/>
          <w:p>
            <w:pPr>
              <w:pStyle w:val="Compact"/>
              <w:jc w:val="left"/>
            </w:pPr>
            <w:r>
              <w:t xml:space="preserve">39 vrouwen met osteopenie, calcium-collageenchelaat plus vitamine D vs. calcium plus vitamine D</w:t>
            </w:r>
          </w:p>
        </w:tc>
        <w:tc>
          <w:tcPr/>
          <w:p>
            <w:pPr>
              <w:pStyle w:val="Compact"/>
              <w:jc w:val="left"/>
            </w:pPr>
            <w:r>
              <w:t xml:space="preserve">12 maanden</w:t>
            </w:r>
          </w:p>
        </w:tc>
        <w:tc>
          <w:tcPr/>
          <w:p>
            <w:pPr>
              <w:pStyle w:val="Compact"/>
              <w:jc w:val="left"/>
            </w:pPr>
            <w:r>
              <w:t xml:space="preserve">Verlies van totale botdichtheid −1,33% vs. −3,75% (deelnemers die de studie voltooiden)</w:t>
            </w:r>
          </w:p>
        </w:tc>
      </w:tr>
      <w:tr>
        <w:tc>
          <w:tcPr/>
          <w:p>
            <w:pPr>
              <w:pStyle w:val="Compact"/>
              <w:jc w:val="left"/>
            </w:pPr>
            <w:r>
              <w:t xml:space="preserve">Lampropoulou-Adamidou 2022, PMID 34980546</w:t>
            </w:r>
          </w:p>
        </w:tc>
        <w:tc>
          <w:tcPr/>
          <w:p>
            <w:pPr>
              <w:pStyle w:val="Compact"/>
              <w:jc w:val="left"/>
            </w:pPr>
            <w:r>
              <w:t xml:space="preserve">51 vrouwen met osteopenie, 5 g peptiden plus calcium/vitamine D vs. calcium/vitamine D</w:t>
            </w:r>
          </w:p>
        </w:tc>
        <w:tc>
          <w:tcPr/>
          <w:p>
            <w:pPr>
              <w:pStyle w:val="Compact"/>
              <w:jc w:val="left"/>
            </w:pPr>
            <w:r>
              <w:t xml:space="preserve">12 maanden</w:t>
            </w:r>
          </w:p>
        </w:tc>
        <w:tc>
          <w:tcPr/>
          <w:p>
            <w:pPr>
              <w:pStyle w:val="Compact"/>
              <w:jc w:val="left"/>
            </w:pPr>
            <w:r>
              <w:t xml:space="preserve">Hogere botdichtheid in scheenbeen en lendenwervelkolom met collageen</w:t>
            </w:r>
          </w:p>
        </w:tc>
      </w:tr>
    </w:tbl>
    <w:p>
      <w:pPr>
        <w:pStyle w:val="BodyText"/>
      </w:pPr>
      <w:r>
        <w:t xml:space="preserve">De verschillen zijn klein, de studies kort, en geen enkele studie heeft botbreuken – het eigenlijk beslissende eindpunt – onderzocht. Collageenpeptiden zijn geen vervanging voor een osteoporosebehandeling met aangetoonde vermindering van botbreuken.</w:t>
      </w:r>
    </w:p>
    <w:bookmarkEnd w:id="2342"/>
    <w:bookmarkStart w:id="2349" w:name="spieren-en-pezen"/>
    <w:p>
      <w:pPr>
        <w:pStyle w:val="Heading4"/>
      </w:pPr>
      <w:r>
        <w:t xml:space="preserve">Spieren en pezen</w:t>
      </w:r>
    </w:p>
    <w:p>
      <w:pPr>
        <w:pStyle w:val="FirstParagraph"/>
      </w:pPr>
      <w:r>
        <w:t xml:space="preserve">In de sport worden collageenpeptiden voor twee verschillende doelen aangeprezen: spieropbouw en versterking van pezen of banden.</w:t>
      </w:r>
    </w:p>
    <w:p>
      <w:pPr>
        <w:pStyle w:val="BodyText"/>
      </w:pPr>
      <w:r>
        <w:rPr>
          <w:bCs/>
          <w:b/>
        </w:rPr>
        <w:t xml:space="preserve">Spieropbouw.</w:t>
      </w:r>
      <w:r>
        <w:t xml:space="preserve"> </w:t>
      </w:r>
      <w:r>
        <w:t xml:space="preserve">De meest geciteerde studie onderzocht 53 oudere mannen met sarcopenie (leeftijdsgebonden spierverlies), die twaalf weken krachttraining deden en daarbij 15 g collageenpeptiden of placebo (siliciumdioxide) kregen. De vetvrije massa steeg onder collageen met 4,2 kg, onder placebo met 2,9 kg</w:t>
      </w:r>
      <w:r>
        <w:rPr>
          <w:rStyle w:val="FootnoteReference"/>
        </w:rPr>
        <w:footnoteReference w:id="2343"/>
      </w:r>
      <w:r>
        <w:t xml:space="preserve">. Het probleem: de placebogroep kreeg helemaal geen eiwit. Het voordeel zou dus eenvoudig aan de extra eiwitinname kunnen liggen.</w:t>
      </w:r>
    </w:p>
    <w:p>
      <w:pPr>
        <w:pStyle w:val="BodyText"/>
      </w:pPr>
      <w:r>
        <w:t xml:space="preserve">Precies deze vraag beantwoorden vergelijkingen met hoogwaardig eiwit. Bij 22 oudere vrouwen verhoogde wei-eiwit de spiereiwitsynthese zowel op korte termijn als over zes dagen, collageenpeptiden niet</w:t>
      </w:r>
      <w:r>
        <w:rPr>
          <w:rStyle w:val="FootnoteReference"/>
        </w:rPr>
        <w:footnoteReference w:id="2344"/>
      </w:r>
      <w:r>
        <w:t xml:space="preserve">. Bij jonge volwassenen nam de spierdikte na tien weken krachttraining met wei-eiwit sterker toe dan met collageen, zelfs als het collageen met leucine tot hetzelfde gehalte was verrijkt</w:t>
      </w:r>
      <w:r>
        <w:rPr>
          <w:rStyle w:val="FootnoteReference"/>
        </w:rPr>
        <w:footnoteReference w:id="2345"/>
      </w:r>
      <w:r>
        <w:t xml:space="preserve">. Een studie met 25 jonge mannen vond onder 2 × 15 g collageen per dag geen hogere synthese van spier- of bindweefseleiwit dan onder placebo</w:t>
      </w:r>
      <w:r>
        <w:rPr>
          <w:rStyle w:val="FootnoteReference"/>
        </w:rPr>
        <w:footnoteReference w:id="2346"/>
      </w:r>
      <w:r>
        <w:t xml:space="preserve">.</w:t>
      </w:r>
    </w:p>
    <w:p>
      <w:pPr>
        <w:pStyle w:val="BodyText"/>
      </w:pPr>
      <w:r>
        <w:rPr>
          <w:bCs/>
          <w:b/>
        </w:rPr>
        <w:t xml:space="preserve">Pezen.</w:t>
      </w:r>
      <w:r>
        <w:t xml:space="preserve"> </w:t>
      </w:r>
      <w:r>
        <w:t xml:space="preserve">Hier zijn de resultaten tegenstrijdig: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Jerger 2023, PMID 37424319</w:t>
            </w:r>
          </w:p>
        </w:tc>
        <w:tc>
          <w:tcPr/>
          <w:p>
            <w:pPr>
              <w:pStyle w:val="Compact"/>
              <w:jc w:val="left"/>
            </w:pPr>
            <w:r>
              <w:t xml:space="preserve">50 mannen, krachttraining plus 5 g vs. placebo</w:t>
            </w:r>
          </w:p>
        </w:tc>
        <w:tc>
          <w:tcPr/>
          <w:p>
            <w:pPr>
              <w:pStyle w:val="Compact"/>
              <w:jc w:val="left"/>
            </w:pPr>
            <w:r>
              <w:t xml:space="preserve">14 weken</w:t>
            </w:r>
          </w:p>
        </w:tc>
        <w:tc>
          <w:tcPr/>
          <w:p>
            <w:pPr>
              <w:pStyle w:val="Compact"/>
              <w:jc w:val="left"/>
            </w:pPr>
            <w:r>
              <w:t xml:space="preserve">Doorsnede van de patellapees sterker vergroot; stijfheid en kracht zonder groepsverschil</w:t>
            </w:r>
          </w:p>
        </w:tc>
      </w:tr>
      <w:tr>
        <w:tc>
          <w:tcPr/>
          <w:p>
            <w:pPr>
              <w:pStyle w:val="Compact"/>
              <w:jc w:val="left"/>
            </w:pPr>
            <w:r>
              <w:t xml:space="preserve">Balshaw 2023, PMID 37436929</w:t>
            </w:r>
          </w:p>
        </w:tc>
        <w:tc>
          <w:tcPr/>
          <w:p>
            <w:pPr>
              <w:pStyle w:val="Compact"/>
              <w:jc w:val="left"/>
            </w:pPr>
            <w:r>
              <w:t xml:space="preserve">39 jonge mannen, krachttraining plus 15 g vs. placebo</w:t>
            </w:r>
          </w:p>
        </w:tc>
        <w:tc>
          <w:tcPr/>
          <w:p>
            <w:pPr>
              <w:pStyle w:val="Compact"/>
              <w:jc w:val="left"/>
            </w:pPr>
            <w:r>
              <w:t xml:space="preserve">15 weken</w:t>
            </w:r>
          </w:p>
        </w:tc>
        <w:tc>
          <w:tcPr/>
          <w:p>
            <w:pPr>
              <w:pStyle w:val="Compact"/>
              <w:jc w:val="left"/>
            </w:pPr>
            <w:r>
              <w:t xml:space="preserve">Geen verschillen in peesgrootte of -mechanica</w:t>
            </w:r>
          </w:p>
        </w:tc>
      </w:tr>
      <w:tr>
        <w:tc>
          <w:tcPr/>
          <w:p>
            <w:pPr>
              <w:pStyle w:val="Compact"/>
              <w:jc w:val="left"/>
            </w:pPr>
            <w:r>
              <w:t xml:space="preserve">Miyamoto 2025, PMID 40623147</w:t>
            </w:r>
          </w:p>
        </w:tc>
        <w:tc>
          <w:tcPr/>
          <w:p>
            <w:pPr>
              <w:pStyle w:val="Compact"/>
              <w:jc w:val="left"/>
            </w:pPr>
            <w:r>
              <w:t xml:space="preserve">50 ongetrainde mannen, 10 g vs. placebo</w:t>
            </w:r>
          </w:p>
        </w:tc>
        <w:tc>
          <w:tcPr/>
          <w:p>
            <w:pPr>
              <w:pStyle w:val="Compact"/>
              <w:jc w:val="left"/>
            </w:pPr>
            <w:r>
              <w:t xml:space="preserve">16 weken</w:t>
            </w:r>
          </w:p>
        </w:tc>
        <w:tc>
          <w:tcPr/>
          <w:p>
            <w:pPr>
              <w:pStyle w:val="Compact"/>
              <w:jc w:val="left"/>
            </w:pPr>
            <w:r>
              <w:t xml:space="preserve">Stijfheid van kuitspier en achillespees verhoogd; doorsnede onveranderd</w:t>
            </w:r>
          </w:p>
        </w:tc>
      </w:tr>
      <w:tr>
        <w:tc>
          <w:tcPr/>
          <w:p>
            <w:pPr>
              <w:pStyle w:val="Compact"/>
              <w:jc w:val="left"/>
            </w:pPr>
            <w:r>
              <w:t xml:space="preserve">Praet 2019, PMID 30609761</w:t>
            </w:r>
          </w:p>
        </w:tc>
        <w:tc>
          <w:tcPr/>
          <w:p>
            <w:pPr>
              <w:pStyle w:val="Compact"/>
              <w:jc w:val="left"/>
            </w:pPr>
            <w:r>
              <w:t xml:space="preserve">20 personen met achillespeesklachten, cross-over met training</w:t>
            </w:r>
          </w:p>
        </w:tc>
        <w:tc>
          <w:tcPr/>
          <w:p>
            <w:pPr>
              <w:pStyle w:val="Compact"/>
              <w:jc w:val="left"/>
            </w:pPr>
            <w:r>
              <w:t xml:space="preserve">6 maanden</w:t>
            </w:r>
          </w:p>
        </w:tc>
        <w:tc>
          <w:tcPr/>
          <w:p>
            <w:pPr>
              <w:pStyle w:val="Compact"/>
              <w:jc w:val="left"/>
            </w:pPr>
            <w:r>
              <w:t xml:space="preserve">Snellere verbetering op de klachtenvragenlijst in de collageenfase (pilotstudie)</w:t>
            </w:r>
          </w:p>
        </w:tc>
      </w:tr>
      <w:tr>
        <w:tc>
          <w:tcPr/>
          <w:p>
            <w:pPr>
              <w:pStyle w:val="Compact"/>
              <w:jc w:val="left"/>
            </w:pPr>
            <w:r>
              <w:t xml:space="preserve">Dressler 2018, PMID 29769831</w:t>
            </w:r>
          </w:p>
        </w:tc>
        <w:tc>
          <w:tcPr/>
          <w:p>
            <w:pPr>
              <w:pStyle w:val="Compact"/>
              <w:jc w:val="left"/>
            </w:pPr>
            <w:r>
              <w:t xml:space="preserve">50 sporters met chronische enkelinstabiliteit, 5 g vs. placebo</w:t>
            </w:r>
          </w:p>
        </w:tc>
        <w:tc>
          <w:tcPr/>
          <w:p>
            <w:pPr>
              <w:pStyle w:val="Compact"/>
              <w:jc w:val="left"/>
            </w:pPr>
            <w:r>
              <w:t xml:space="preserve">6 maanden</w:t>
            </w:r>
          </w:p>
        </w:tc>
        <w:tc>
          <w:tcPr/>
          <w:p>
            <w:pPr>
              <w:pStyle w:val="Compact"/>
              <w:jc w:val="left"/>
            </w:pPr>
            <w:r>
              <w:t xml:space="preserve">Subjectieve stabiliteit beter; mechanische stabiliteit onveranderd</w:t>
            </w:r>
          </w:p>
        </w:tc>
      </w:tr>
    </w:tbl>
    <w:p>
      <w:pPr>
        <w:pStyle w:val="BodyText"/>
      </w:pPr>
      <w:r>
        <w:t xml:space="preserve">Een meta-analyse van 19 studies met 768 gezonde volwassenen vond bij langdurige collageeninname in combinatie met training kleine voordelen bij vetvrije massa, peesmorfologie, spierarchitectuur en maximale kracht. De betrouwbaarheid van het bewijs werd voor de lichaamssamenstelling als matig, voor de peesmorfologie als zeer laag en voor de overige uitkomsten als laag beoordeeld</w:t>
      </w:r>
      <w:r>
        <w:rPr>
          <w:rStyle w:val="FootnoteReference"/>
        </w:rPr>
        <w:footnoteReference w:id="2347"/>
      </w:r>
      <w:r>
        <w:t xml:space="preserve">. Een eerder systematisch overzicht concludeerde dat collageen bij de spiereiwitsynthese niet opgewassen is tegen hoogwaardigere eiwitbronnen</w:t>
      </w:r>
      <w:r>
        <w:rPr>
          <w:rStyle w:val="FootnoteReference"/>
        </w:rPr>
        <w:footnoteReference w:id="2348"/>
      </w:r>
      <w:r>
        <w:t xml:space="preserve">.</w:t>
      </w:r>
    </w:p>
    <w:p>
      <w:pPr>
        <w:pStyle w:val="BodyText"/>
      </w:pPr>
      <w:r>
        <w:rPr>
          <w:bCs/>
          <w:b/>
        </w:rPr>
        <w:t xml:space="preserve">Tussenconclusie sport:</w:t>
      </w:r>
      <w:r>
        <w:t xml:space="preserve"> </w:t>
      </w:r>
      <w:r>
        <w:t xml:space="preserve">voor spieropbouw zijn er betere en goedkopere eiwitbronnen. Voor pezen en banden is een nut biologisch plausibel en wordt het in sommige studies gesuggereerd, maar het is niet betrouwbaar aangetoond.</w:t>
      </w:r>
    </w:p>
    <w:bookmarkEnd w:id="2349"/>
    <w:bookmarkStart w:id="2351" w:name="andere-toepassingsgebieden"/>
    <w:p>
      <w:pPr>
        <w:pStyle w:val="Heading4"/>
      </w:pPr>
      <w:r>
        <w:t xml:space="preserve">Andere toepassingsgebieden</w:t>
      </w:r>
    </w:p>
    <w:p>
      <w:pPr>
        <w:pStyle w:val="FirstParagraph"/>
      </w:pPr>
      <w:r>
        <w:t xml:space="preserve">In kleinere studies werden collageenpeptiden onder meer onderzocht bij bloeddruk en vaatfunctie, slaap, eetlust, tandvleesontsteking en darmklachten. Een meta-analyse van 12 placebogecontroleerde studies meldde een verlaging van de systolische bloeddruk met 5,04 mmHg en van het LDL-cholesterol met 4,09 mg/dl, zij het bij een extreem hoge heterogeniteit van de afzonderlijke studies (I² 98,9 resp. 93,4%)</w:t>
      </w:r>
      <w:r>
        <w:rPr>
          <w:rStyle w:val="FootnoteReference"/>
        </w:rPr>
        <w:footnoteReference w:id="2350"/>
      </w:r>
      <w:r>
        <w:t xml:space="preserve">. Deze gebieden zijn te weinig onderzocht om betrouwbare uitspraken te doen.</w:t>
      </w:r>
    </w:p>
    <w:bookmarkEnd w:id="2351"/>
    <w:bookmarkEnd w:id="2352"/>
    <w:bookmarkStart w:id="2356" w:name="dier--en-laboratoriumstudies-52"/>
    <w:p>
      <w:pPr>
        <w:pStyle w:val="Heading3"/>
      </w:pPr>
      <w:r>
        <w:t xml:space="preserve">Dier- en laboratoriumstudies</w:t>
      </w:r>
    </w:p>
    <w:p>
      <w:pPr>
        <w:pStyle w:val="FirstParagraph"/>
      </w:pPr>
      <w:r>
        <w:t xml:space="preserve">In celkweken stimuleren collageenpeptiden en in het bijzonder prolyl-hydroxyproline fibroblasten van de huid tot groei; bij muizen en ratten verbeterden ze in proeven de huidbarrière, de botdichtheid en het kraakbeenmetabolisme. In menselijke huidmonsters in het laboratorium (ex vivo) bevorderden collageenpeptiden de aanmaak van collageen en glycosaminoglycanen</w:t>
      </w:r>
      <w:r>
        <w:rPr>
          <w:rStyle w:val="FootnoteReference"/>
        </w:rPr>
        <w:footnoteReference w:id="2353"/>
      </w:r>
      <w:r>
        <w:t xml:space="preserve">. Een systematisch overzicht van elf overwegend experimentele studies concludeerde dat collageenhydrolysaten in concentraties van 50 tot 500 microgram per milliliter fibroblasten stimuleren zonder giftig te zijn</w:t>
      </w:r>
      <w:r>
        <w:rPr>
          <w:rStyle w:val="FootnoteReference"/>
        </w:rPr>
        <w:footnoteReference w:id="2354"/>
      </w:r>
      <w:r>
        <w:t xml:space="preserve">. In knaagdierproeven met calorierijke voeding werden in een meta-analyse effecten op gewicht en vetmassa beschreven</w:t>
      </w:r>
      <w:r>
        <w:rPr>
          <w:rStyle w:val="FootnoteReference"/>
        </w:rPr>
        <w:footnoteReference w:id="2355"/>
      </w:r>
      <w:r>
        <w:t xml:space="preserve"> </w:t>
      </w:r>
      <w:r>
        <w:t xml:space="preserve">– een bevinding die bij mensen niet is aangetoond.</w:t>
      </w:r>
    </w:p>
    <w:p>
      <w:pPr>
        <w:pStyle w:val="BodyText"/>
      </w:pPr>
      <w:r>
        <w:t xml:space="preserve">Deze resultaten maken de hypothesen plausibel. Ze bewijzen echter niet dat de peptideconcentraties die bij mensen na het drinken worden bereikt, in het doelweefsel volstaan.</w:t>
      </w:r>
    </w:p>
    <w:bookmarkEnd w:id="2356"/>
    <w:bookmarkStart w:id="2359" w:name="risicos-en-bijwerkingen-52"/>
    <w:p>
      <w:pPr>
        <w:pStyle w:val="Heading3"/>
      </w:pPr>
      <w:r>
        <w:t xml:space="preserve">Risico’s en bijwerkingen</w:t>
      </w:r>
    </w:p>
    <w:p>
      <w:pPr>
        <w:pStyle w:val="FirstParagraph"/>
      </w:pPr>
      <w:r>
        <w:rPr>
          <w:bCs/>
          <w:b/>
        </w:rPr>
        <w:t xml:space="preserve">Aangetoond:</w:t>
      </w:r>
      <w:r>
        <w:t xml:space="preserve"> </w:t>
      </w:r>
      <w:r>
        <w:t xml:space="preserve">in de gerandomiseerde studies traden bijwerkingen niet vaker op dan onder placebo. De grote artrose-meta-analyse vond geen verhoogd risico op ongewenste voorvallen of studie-uitval</w:t>
      </w:r>
      <w:r>
        <w:rPr>
          <w:rStyle w:val="FootnoteReference"/>
        </w:rPr>
        <w:footnoteReference w:id="2357"/>
      </w:r>
      <w:r>
        <w:t xml:space="preserve">. Af en toe worden een vol gevoel, winderigheid of een onaangename smaak gemeld.</w:t>
      </w:r>
    </w:p>
    <w:p>
      <w:pPr>
        <w:pStyle w:val="BodyText"/>
      </w:pPr>
      <w:r>
        <w:rPr>
          <w:bCs/>
          <w:b/>
        </w:rPr>
        <w:t xml:space="preserve">Om op te letten:</w:t>
      </w:r>
    </w:p>
    <w:p>
      <w:pPr>
        <w:numPr>
          <w:ilvl w:val="0"/>
          <w:numId w:val="1294"/>
        </w:numPr>
        <w:pStyle w:val="Compact"/>
      </w:pPr>
      <w:r>
        <w:rPr>
          <w:bCs/>
          <w:b/>
        </w:rPr>
        <w:t xml:space="preserve">Allergieën en intoleranties:</w:t>
      </w:r>
      <w:r>
        <w:t xml:space="preserve"> </w:t>
      </w:r>
      <w:r>
        <w:t xml:space="preserve">collageen uit vis kan bij een visallergie problematisch zijn; producten van rund of varken zijn relevant voor mensen die deze dieren om religieuze of ethische redenen mijden. De herkomst staat op de ingrediëntenlijst.</w:t>
      </w:r>
    </w:p>
    <w:p>
      <w:pPr>
        <w:numPr>
          <w:ilvl w:val="0"/>
          <w:numId w:val="1294"/>
        </w:numPr>
        <w:pStyle w:val="Compact"/>
      </w:pPr>
      <w:r>
        <w:rPr>
          <w:bCs/>
          <w:b/>
        </w:rPr>
        <w:t xml:space="preserve">Oxalaat en nierstenen:</w:t>
      </w:r>
      <w:r>
        <w:t xml:space="preserve"> </w:t>
      </w:r>
      <w:r>
        <w:t xml:space="preserve">hydroxyproline wordt in het lichaam gedeeltelijk afgebroken tot oxalaat. In een studie steeg de oxalaatuitscheiding in de urine na 30 g gelatine per dag met 43% ten opzichte van wei-eiwit; al 5 tot 10 g gelatine leidde tot meetbare veranderingen</w:t>
      </w:r>
      <w:r>
        <w:rPr>
          <w:rStyle w:val="FootnoteReference"/>
        </w:rPr>
        <w:footnoteReference w:id="2358"/>
      </w:r>
      <w:r>
        <w:t xml:space="preserve">. Voor gezonde mensen is de betekenis onduidelijk. Mensen met calciumoxalaatnierstenen of een aangeboren hyperoxalurie doen er goed aan de inname met een arts te bespreken (theoretisch, maar biologisch onderbouwd risico).</w:t>
      </w:r>
    </w:p>
    <w:p>
      <w:pPr>
        <w:numPr>
          <w:ilvl w:val="0"/>
          <w:numId w:val="1294"/>
        </w:numPr>
        <w:pStyle w:val="Compact"/>
      </w:pPr>
      <w:r>
        <w:rPr>
          <w:bCs/>
          <w:b/>
        </w:rPr>
        <w:t xml:space="preserve">Eiwithoeveelheid:</w:t>
      </w:r>
      <w:r>
        <w:t xml:space="preserve"> </w:t>
      </w:r>
      <w:r>
        <w:t xml:space="preserve">bij nierziekten met eiwitbeperking telt ook collageen mee voor de dagelijkse eiwitinname.</w:t>
      </w:r>
    </w:p>
    <w:p>
      <w:pPr>
        <w:numPr>
          <w:ilvl w:val="0"/>
          <w:numId w:val="1294"/>
        </w:numPr>
        <w:pStyle w:val="Compact"/>
      </w:pPr>
      <w:r>
        <w:rPr>
          <w:bCs/>
          <w:b/>
        </w:rPr>
        <w:t xml:space="preserve">Productkwaliteit:</w:t>
      </w:r>
      <w:r>
        <w:t xml:space="preserve"> </w:t>
      </w:r>
      <w:r>
        <w:t xml:space="preserve">voedingssupplementen worden vóór de verkoop niet op werkzaamheid getest. Voor zuiverheid en afwezigheid van schadelijke stoffen is de fabrikant verantwoordelijk; het toezicht op levensmiddelen controleert slechts steekproefsgewijs.</w:t>
      </w:r>
    </w:p>
    <w:p>
      <w:pPr>
        <w:numPr>
          <w:ilvl w:val="0"/>
          <w:numId w:val="1294"/>
        </w:numPr>
        <w:pStyle w:val="Compact"/>
      </w:pPr>
      <w:r>
        <w:rPr>
          <w:bCs/>
          <w:b/>
        </w:rPr>
        <w:t xml:space="preserve">Valse zekerheid:</w:t>
      </w:r>
      <w:r>
        <w:t xml:space="preserve"> </w:t>
      </w:r>
      <w:r>
        <w:t xml:space="preserve">het grootste praktische risico is dat collageen wordt gebruikt in plaats van werkzame maatregelen – bijvoorbeeld in plaats van uv-bescherming bij huidveroudering of in plaats van een osteoporosebehandeling.</w:t>
      </w:r>
    </w:p>
    <w:bookmarkEnd w:id="2359"/>
    <w:bookmarkStart w:id="2360" w:name="juridische-status-52"/>
    <w:p>
      <w:pPr>
        <w:pStyle w:val="Heading3"/>
      </w:pPr>
      <w:r>
        <w:t xml:space="preserve">Juridische status</w:t>
      </w:r>
    </w:p>
    <w:p>
      <w:pPr>
        <w:numPr>
          <w:ilvl w:val="0"/>
          <w:numId w:val="1295"/>
        </w:numPr>
        <w:pStyle w:val="Compact"/>
      </w:pPr>
      <w:r>
        <w:rPr>
          <w:bCs/>
          <w:b/>
        </w:rPr>
        <w:t xml:space="preserve">EU / Oostenrijk / Duitsland:</w:t>
      </w:r>
      <w:r>
        <w:t xml:space="preserve"> </w:t>
      </w:r>
      <w:r>
        <w:t xml:space="preserve">collageenpeptiden zijn levensmiddelen. In Duitsland moeten voedingssupplementen vóór de eerste verkoop worden gemeld bij het Bundesamt für Verbraucherschutz und Lebensmittelsicherheit (BVL); in Oostenrijk gelden eigen regels. Een toetsing van de werkzaamheid vindt in geen van beide landen plaats. Gezondheidsclaims zijn volgens de EU-claimsverordening (Verordening (EG) nr. 1924/2006) alleen toegestaan als ze in de EU-lijst zijn toegelaten.</w:t>
      </w:r>
      <w:r>
        <w:t xml:space="preserve"> </w:t>
      </w:r>
      <w:r>
        <w:rPr>
          <w:bCs/>
          <w:b/>
        </w:rPr>
        <w:t xml:space="preserve">Voor collageen of collageenpeptiden bestaat geen toegelaten gezondheidsclaim.</w:t>
      </w:r>
      <w:r>
        <w:t xml:space="preserve"> </w:t>
      </w:r>
      <w:r>
        <w:t xml:space="preserve">De Europese Autoriteit voor voedselveiligheid (EFSA) heeft aangevraagde claims, bijvoorbeeld over de gezondheid van gewrichten, negatief beoordeeld, omdat een oorzaak-gevolgverband niet was aangetoond. Daarom bevatten veel producten vitamine C: voor vitamine C is de claim toegelaten dat het bijdraagt tot de normale collageenvorming voor de normale werking van huid, kraakbeen, botten, tandvlees, tanden en bloedvaten. De reclamezin heeft dan juridisch betrekking op de vitamine, niet op het collageen. Uitspraken over schoonheid („voor een strakkere huid”) bevinden zich in een grijze zone en worden door rechtbanken verschillend beoordeeld.</w:t>
      </w:r>
    </w:p>
    <w:p>
      <w:pPr>
        <w:numPr>
          <w:ilvl w:val="0"/>
          <w:numId w:val="1295"/>
        </w:numPr>
        <w:pStyle w:val="Compact"/>
      </w:pPr>
      <w:r>
        <w:rPr>
          <w:bCs/>
          <w:b/>
        </w:rPr>
        <w:t xml:space="preserve">VS:</w:t>
      </w:r>
      <w:r>
        <w:t xml:space="preserve"> </w:t>
      </w:r>
      <w:r>
        <w:t xml:space="preserve">collageenpeptiden worden verkocht als dietary supplement. Fabrikanten mogen zogenoemde structuur-functieclaims doen („ondersteunt een gezonde huid”), maar moeten daarbij vermelden dat de claim niet door de FDA is beoordeeld. Ziektegerelateerde beloften zijn niet toegestaan.</w:t>
      </w:r>
    </w:p>
    <w:p>
      <w:pPr>
        <w:numPr>
          <w:ilvl w:val="0"/>
          <w:numId w:val="1295"/>
        </w:numPr>
        <w:pStyle w:val="Compact"/>
      </w:pPr>
      <w:r>
        <w:rPr>
          <w:bCs/>
          <w:b/>
        </w:rPr>
        <w:t xml:space="preserve">Sport:</w:t>
      </w:r>
      <w:r>
        <w:t xml:space="preserve"> </w:t>
      </w:r>
      <w:r>
        <w:t xml:space="preserve">collageenpeptiden staan niet op de verboden lijst van de WADA. Zoals bij alle voedingssupplementen bestaat een restrisico op verontreinigingen; topsporters doen er goed aan op gecontroleerde lijsten te letten (bijv. de Kölner Liste) (stand 2026, actuele situatie controleren).</w:t>
      </w:r>
    </w:p>
    <w:bookmarkEnd w:id="2360"/>
    <w:bookmarkStart w:id="2368" w:name="lopende-studies-en-vooruitzichten-52"/>
    <w:p>
      <w:pPr>
        <w:pStyle w:val="Heading3"/>
      </w:pPr>
      <w:r>
        <w:t xml:space="preserve">Lopende studies en vooruitzichten</w:t>
      </w:r>
    </w:p>
    <w:p>
      <w:pPr>
        <w:pStyle w:val="FirstParagraph"/>
      </w:pPr>
      <w:r>
        <w:rPr>
          <w:bCs/>
          <w:b/>
        </w:rPr>
        <w:t xml:space="preserve">Zeker (geregistreerde studies, stand oktober 2026):</w:t>
      </w:r>
    </w:p>
    <w:p>
      <w:pPr>
        <w:numPr>
          <w:ilvl w:val="0"/>
          <w:numId w:val="1296"/>
        </w:numPr>
        <w:pStyle w:val="Compact"/>
      </w:pPr>
      <w:r>
        <w:rPr>
          <w:bCs/>
          <w:b/>
        </w:rPr>
        <w:t xml:space="preserve">Knieartrose:</w:t>
      </w:r>
      <w:r>
        <w:t xml:space="preserve"> </w:t>
      </w:r>
      <w:r>
        <w:t xml:space="preserve">een studie van het Istituto Ortopedico Rizzoli vergelijkt een formulering met collageenhydrolysaat met placebo bij 204 deelnemers</w:t>
      </w:r>
      <w:r>
        <w:rPr>
          <w:rStyle w:val="FootnoteReference"/>
        </w:rPr>
        <w:footnoteReference w:id="2361"/>
      </w:r>
      <w:r>
        <w:t xml:space="preserve">. Een kleinere studie vergelijkt verschillende vormen van collageen</w:t>
      </w:r>
      <w:r>
        <w:rPr>
          <w:rStyle w:val="FootnoteReference"/>
        </w:rPr>
        <w:footnoteReference w:id="2362"/>
      </w:r>
      <w:r>
        <w:t xml:space="preserve">.</w:t>
      </w:r>
    </w:p>
    <w:p>
      <w:pPr>
        <w:numPr>
          <w:ilvl w:val="0"/>
          <w:numId w:val="1296"/>
        </w:numPr>
        <w:pStyle w:val="Compact"/>
      </w:pPr>
      <w:r>
        <w:rPr>
          <w:bCs/>
          <w:b/>
        </w:rPr>
        <w:t xml:space="preserve">Knieprothese:</w:t>
      </w:r>
      <w:r>
        <w:t xml:space="preserve"> </w:t>
      </w:r>
      <w:r>
        <w:t xml:space="preserve">collageenpeptiden na een totale knieprothese, eindpunten bindweefselombouw en wondgenezing</w:t>
      </w:r>
      <w:r>
        <w:rPr>
          <w:rStyle w:val="FootnoteReference"/>
        </w:rPr>
        <w:footnoteReference w:id="2363"/>
      </w:r>
      <w:r>
        <w:t xml:space="preserve">.</w:t>
      </w:r>
    </w:p>
    <w:p>
      <w:pPr>
        <w:numPr>
          <w:ilvl w:val="0"/>
          <w:numId w:val="1296"/>
        </w:numPr>
        <w:pStyle w:val="Compact"/>
      </w:pPr>
      <w:r>
        <w:rPr>
          <w:bCs/>
          <w:b/>
        </w:rPr>
        <w:t xml:space="preserve">Huid:</w:t>
      </w:r>
      <w:r>
        <w:t xml:space="preserve"> </w:t>
      </w:r>
      <w:r>
        <w:t xml:space="preserve">een vergelijking van oraal en uitwendig gebruik van collageen, afzonderlijk en gecombineerd, met gepland 165 vrouwen</w:t>
      </w:r>
      <w:r>
        <w:rPr>
          <w:rStyle w:val="FootnoteReference"/>
        </w:rPr>
        <w:footnoteReference w:id="2364"/>
      </w:r>
      <w:r>
        <w:t xml:space="preserve">.</w:t>
      </w:r>
    </w:p>
    <w:p>
      <w:pPr>
        <w:numPr>
          <w:ilvl w:val="0"/>
          <w:numId w:val="1296"/>
        </w:numPr>
        <w:pStyle w:val="Compact"/>
      </w:pPr>
      <w:r>
        <w:rPr>
          <w:bCs/>
          <w:b/>
        </w:rPr>
        <w:t xml:space="preserve">Veroudering:</w:t>
      </w:r>
      <w:r>
        <w:t xml:space="preserve"> </w:t>
      </w:r>
      <w:r>
        <w:t xml:space="preserve">een studie van de Universiteit Wenen onderzoekt collageenpeptiden en markers van celveroudering bij gepland 125 deelnemers</w:t>
      </w:r>
      <w:r>
        <w:rPr>
          <w:rStyle w:val="FootnoteReference"/>
        </w:rPr>
        <w:footnoteReference w:id="2365"/>
      </w:r>
      <w:r>
        <w:t xml:space="preserve">.</w:t>
      </w:r>
    </w:p>
    <w:p>
      <w:pPr>
        <w:numPr>
          <w:ilvl w:val="0"/>
          <w:numId w:val="1296"/>
        </w:numPr>
        <w:pStyle w:val="Compact"/>
      </w:pPr>
      <w:r>
        <w:rPr>
          <w:bCs/>
          <w:b/>
        </w:rPr>
        <w:t xml:space="preserve">Stofwisseling:</w:t>
      </w:r>
      <w:r>
        <w:t xml:space="preserve"> </w:t>
      </w:r>
      <w:r>
        <w:t xml:space="preserve">een studie aan het King’s College London onderzoekt kwaliteit van leven, eetlust en bloedsuikerregulatie</w:t>
      </w:r>
      <w:r>
        <w:rPr>
          <w:rStyle w:val="FootnoteReference"/>
        </w:rPr>
        <w:footnoteReference w:id="2366"/>
      </w:r>
      <w:r>
        <w:t xml:space="preserve">.</w:t>
      </w:r>
    </w:p>
    <w:p>
      <w:pPr>
        <w:pStyle w:val="FirstParagraph"/>
      </w:pPr>
      <w:r>
        <w:rPr>
          <w:bCs/>
          <w:b/>
        </w:rPr>
        <w:t xml:space="preserve">Inschatting:</w:t>
      </w:r>
      <w:r>
        <w:t xml:space="preserve"> </w:t>
      </w:r>
      <w:r>
        <w:t xml:space="preserve">de beslissende vraag voor de komende jaren is niet of er nog meer kleine positieve studies zullen komen – daar valt van uit te gaan –, maar of grote, onafhankelijk gefinancierde studies met vooraf geregistreerde eindpunten de effecten bevestigen. De meta-analyse naar financieringsbron</w:t>
      </w:r>
      <w:r>
        <w:rPr>
          <w:rStyle w:val="FootnoteReference"/>
        </w:rPr>
        <w:footnoteReference w:id="2367"/>
      </w:r>
      <w:r>
        <w:t xml:space="preserve"> </w:t>
      </w:r>
      <w:r>
        <w:t xml:space="preserve">heeft de lat daarvoor zichtbaar gemaakt. Voor gewrichtspijn is een klein effect het best onderbouwd; voor huid en pezen blijft de situatie open. Een registratie als geneesmiddel valt niet te verwachten, omdat de producten als levensmiddel al vrij verkrijgbaar zijn en geen fabrikant de kosten van een registratieprogramma hoeft te dragen.</w:t>
      </w:r>
    </w:p>
    <w:bookmarkEnd w:id="2368"/>
    <w:bookmarkStart w:id="2369" w:name="conclusie-52"/>
    <w:p>
      <w:pPr>
        <w:pStyle w:val="Heading3"/>
      </w:pPr>
      <w:r>
        <w:t xml:space="preserve">Conclusie</w:t>
      </w:r>
    </w:p>
    <w:p>
      <w:pPr>
        <w:pStyle w:val="FirstParagraph"/>
      </w:pPr>
      <w:r>
        <w:t xml:space="preserve">Collageenpeptiden zijn een goed verdraagbaar levensmiddelproduct met een grote, maar methodologisch zwakke basis aan studies. Voor gewrichtspijn bij artrose laten meta-analyses kleine effecten zien, maar afzonderlijke grotere studies vonden geen verschil met placebo. Bij de huid verdwijnt het in studies van fabrikanten gemeten nut als men alleen onafhankelijk gefinancierde of methodologisch hoogwaardige studies bekijkt. Voor spieropbouw doet collageen onder voor andere eiwitbronnen; ongedenatureerd type II-collageen is een apart product met eigen, eveneens beperkte gegevens. In de EU mag collageen niet met gezondheidsclaims worden aangeprezen – reclameboodschappen hebben meestal betrekking op toegevoegde vitamine C.</w:t>
      </w:r>
    </w:p>
    <w:bookmarkEnd w:id="2369"/>
    <w:bookmarkEnd w:id="2370"/>
    <w:bookmarkStart w:id="2401" w:name="lactotripeptiden-vpp-en-ipp"/>
    <w:p>
      <w:pPr>
        <w:pStyle w:val="Heading2"/>
      </w:pPr>
      <w:r>
        <w:t xml:space="preserve">Lactotripeptiden (VPP en IPP)</w:t>
      </w:r>
    </w:p>
    <w:bookmarkStart w:id="2371" w:name="profiel-53"/>
    <w:p>
      <w:pPr>
        <w:pStyle w:val="Heading3"/>
      </w:pPr>
      <w:r>
        <w:t xml:space="preserve">Profiel</w:t>
      </w:r>
    </w:p>
    <w:p>
      <w:pPr>
        <w:numPr>
          <w:ilvl w:val="0"/>
          <w:numId w:val="1297"/>
        </w:numPr>
        <w:pStyle w:val="Compact"/>
      </w:pPr>
      <w:r>
        <w:rPr>
          <w:bCs/>
          <w:b/>
        </w:rPr>
        <w:t xml:space="preserve">Soort/structuur:</w:t>
      </w:r>
      <w:r>
        <w:t xml:space="preserve"> </w:t>
      </w:r>
      <w:r>
        <w:t xml:space="preserve">twee tripeptiden van elk drie aminozuren: valine-proline-proline (VPP) en isoleucine-proline-proline (IPP). De dubbele proline aan het einde maakt ze relatief bestand tegen verteringsenzymen.</w:t>
      </w:r>
    </w:p>
    <w:p>
      <w:pPr>
        <w:numPr>
          <w:ilvl w:val="0"/>
          <w:numId w:val="1297"/>
        </w:numPr>
        <w:pStyle w:val="Compact"/>
      </w:pPr>
      <w:r>
        <w:rPr>
          <w:bCs/>
          <w:b/>
        </w:rPr>
        <w:t xml:space="preserve">Herkomst:</w:t>
      </w:r>
      <w:r>
        <w:t xml:space="preserve"> </w:t>
      </w:r>
      <w:r>
        <w:t xml:space="preserve">brokstukken van het melkeiwit caseïne. Ze ontstaan wanneer melk met bepaalde bacteriën (vooral</w:t>
      </w:r>
      <w:r>
        <w:t xml:space="preserve"> </w:t>
      </w:r>
      <w:r>
        <w:rPr>
          <w:iCs/>
          <w:i/>
        </w:rPr>
        <w:t xml:space="preserve">Lactobacillus helveticus</w:t>
      </w:r>
      <w:r>
        <w:t xml:space="preserve">) wordt gefermenteerd, of door enzymatische splitsing van caseïne met enzymen uit de schimmel</w:t>
      </w:r>
      <w:r>
        <w:t xml:space="preserve"> </w:t>
      </w:r>
      <w:r>
        <w:rPr>
          <w:iCs/>
          <w:i/>
        </w:rPr>
        <w:t xml:space="preserve">Aspergillus oryzae</w:t>
      </w:r>
      <w:r>
        <w:t xml:space="preserve">. Bekende producten waren een Japanse zure melkdrank (Calpis) en een Fins zuivelproduct (Evolus van Valio).</w:t>
      </w:r>
    </w:p>
    <w:p>
      <w:pPr>
        <w:numPr>
          <w:ilvl w:val="0"/>
          <w:numId w:val="1297"/>
        </w:numPr>
        <w:pStyle w:val="Compact"/>
      </w:pPr>
      <w:r>
        <w:rPr>
          <w:bCs/>
          <w:b/>
        </w:rPr>
        <w:t xml:space="preserve">Werkingsprincipe:</w:t>
      </w:r>
      <w:r>
        <w:t xml:space="preserve"> </w:t>
      </w:r>
      <w:r>
        <w:t xml:space="preserve">zouden het angiotensineconverterend enzym (ACE) remmen – hetzelfde enzym dat bloeddrukverlagende ACE-remmers zoals ramipril of enalapril blokkeren, alleen vele malen zwakker.</w:t>
      </w:r>
    </w:p>
    <w:p>
      <w:pPr>
        <w:numPr>
          <w:ilvl w:val="0"/>
          <w:numId w:val="1297"/>
        </w:numPr>
        <w:pStyle w:val="Compact"/>
      </w:pPr>
      <w:r>
        <w:rPr>
          <w:bCs/>
          <w:b/>
        </w:rPr>
        <w:t xml:space="preserve">Registratie EU:</w:t>
      </w:r>
      <w:r>
        <w:t xml:space="preserve"> </w:t>
      </w:r>
      <w:r>
        <w:t xml:space="preserve">geen registratie als geneesmiddel; als levensmiddelingrediënt of in voedingssupplementen. Geen toegelaten gezondheidsclaim over de bloeddruk.</w:t>
      </w:r>
    </w:p>
    <w:p>
      <w:pPr>
        <w:numPr>
          <w:ilvl w:val="0"/>
          <w:numId w:val="1297"/>
        </w:numPr>
        <w:pStyle w:val="Compact"/>
      </w:pPr>
      <w:r>
        <w:rPr>
          <w:bCs/>
          <w:b/>
        </w:rPr>
        <w:t xml:space="preserve">Registratie VS:</w:t>
      </w:r>
      <w:r>
        <w:t xml:space="preserve"> </w:t>
      </w:r>
      <w:r>
        <w:t xml:space="preserve">geen registratie als geneesmiddel; verkrijgbaar als voedingssupplement.</w:t>
      </w:r>
    </w:p>
    <w:p>
      <w:pPr>
        <w:numPr>
          <w:ilvl w:val="0"/>
          <w:numId w:val="1297"/>
        </w:numPr>
        <w:pStyle w:val="Compact"/>
      </w:pPr>
      <w:r>
        <w:rPr>
          <w:bCs/>
          <w:b/>
        </w:rPr>
        <w:t xml:space="preserve">WADA:</w:t>
      </w:r>
      <w:r>
        <w:t xml:space="preserve"> </w:t>
      </w:r>
      <w:r>
        <w:t xml:space="preserve">niet vermeld.</w:t>
      </w:r>
    </w:p>
    <w:p>
      <w:pPr>
        <w:numPr>
          <w:ilvl w:val="0"/>
          <w:numId w:val="1297"/>
        </w:numPr>
        <w:pStyle w:val="Compact"/>
      </w:pPr>
      <w:r>
        <w:rPr>
          <w:bCs/>
          <w:b/>
        </w:rPr>
        <w:t xml:space="preserve">Bewijsniveau:</w:t>
      </w:r>
      <w:r>
        <w:t xml:space="preserve"> </w:t>
      </w:r>
      <w:r>
        <w:rPr>
          <w:bCs/>
          <w:b/>
        </w:rPr>
        <w:t xml:space="preserve">B</w:t>
      </w:r>
      <w:r>
        <w:t xml:space="preserve"> </w:t>
      </w:r>
      <w:r>
        <w:t xml:space="preserve">– ongeveer 30 gerandomiseerde studies met in totaal enkele duizenden deelnemers, maar elk klein, met tegenstrijdige resultaten en zonder harde eindpunten.</w:t>
      </w:r>
    </w:p>
    <w:bookmarkEnd w:id="2371"/>
    <w:bookmarkStart w:id="2375" w:name="hoe-het-zou-moeten-werken-53"/>
    <w:p>
      <w:pPr>
        <w:pStyle w:val="Heading3"/>
      </w:pPr>
      <w:r>
        <w:t xml:space="preserve">Hoe het zou moeten werken</w:t>
      </w:r>
    </w:p>
    <w:p>
      <w:pPr>
        <w:pStyle w:val="FirstParagraph"/>
      </w:pPr>
      <w:r>
        <w:t xml:space="preserve">De bloeddruk wordt onder meer gestuurd door het renine-angiotensinesysteem. Een centrale stap is de omzetting van het inactieve angiotensine I in het vaatvernauwende angiotensine II door het enzym ACE. Hetzelfde enzym breekt bovendien bradykinine af, een stof die bloedvaten verwijdt. Wordt ACE geremd, dan ontstaat minder angiotensine II en meer bradykinine – de bloeddruk daalt. Op dit principe berusten de ACE-remmers, een van de belangrijkste groepen bloeddrukmedicijnen. Historisch interessant: de eerste ACE-remmer, captopril, werd ontwikkeld uit een peptide in het gif van een slang.</w:t>
      </w:r>
    </w:p>
    <w:p>
      <w:pPr>
        <w:pStyle w:val="BodyText"/>
      </w:pPr>
      <w:r>
        <w:t xml:space="preserve">In de jaren 1990 isoleerden Japanse onderzoekers uit zure melk twee tripeptiden die ACE in de reageerbuis remmen. Bij ratten met aangeboren hoge bloeddruk verlaagden een eenmalige toediening van de zure melk of van de geïsoleerde peptiden VPP en IPP de systolische bloeddruk gedurende enkele uren; bij ratten met een normale bloeddruk veranderde er niets</w:t>
      </w:r>
      <w:r>
        <w:rPr>
          <w:rStyle w:val="FootnoteReference"/>
        </w:rPr>
        <w:footnoteReference w:id="2372"/>
      </w:r>
      <w:r>
        <w:t xml:space="preserve">. Daaruit ontstond het idee van een „bloeddrukverlagend levensmiddel”.</w:t>
      </w:r>
    </w:p>
    <w:p>
      <w:pPr>
        <w:pStyle w:val="BodyText"/>
      </w:pPr>
      <w:r>
        <w:t xml:space="preserve">Om dat te laten werken, moeten de peptiden ongeschonden in de bloedsomloop terechtkomen. Een kleine studie liet zien dat IPP na het drinken van een verrijkte yoghurtdrank inderdaad intact in het bloed aantoonbaar is – zij het in concentraties in het bereik van picomol per liter</w:t>
      </w:r>
      <w:r>
        <w:rPr>
          <w:rStyle w:val="FootnoteReference"/>
        </w:rPr>
        <w:footnoteReference w:id="2373"/>
      </w:r>
      <w:r>
        <w:t xml:space="preserve">. Een Zwitserse studie met twaalf gezonde mannen toetste daarna rechtstreeks of de peptiden ACE in het lichaam remmen: na zeven dagen gefermenteerde melk bleven markers van de ACE-activiteit en het renine onveranderd, terwijl één enkele tablet captopril de ACE-activiteit in het plasma met 82% verlaagde. IPP steeg in het bloed slechts kort en gering, VPP lag onder de detectiegrens</w:t>
      </w:r>
      <w:r>
        <w:rPr>
          <w:rStyle w:val="FootnoteReference"/>
        </w:rPr>
        <w:footnoteReference w:id="2374"/>
      </w:r>
      <w:r>
        <w:t xml:space="preserve">.</w:t>
      </w:r>
    </w:p>
    <w:p>
      <w:pPr>
        <w:pStyle w:val="BodyText"/>
      </w:pPr>
      <w:r>
        <w:t xml:space="preserve">Dat betekent: het in het laboratorium plausibele mechanisme kon bij mensen in de geteste hoeveelheden niet worden aangetoond. Daarom worden ook andere routes besproken, zoals een verbeterde functie van de binnenwand van de bloedvaten via stikstofmonoxide. Die komen tot nu toe vooral uit celkweek- en dierproeven.</w:t>
      </w:r>
    </w:p>
    <w:bookmarkEnd w:id="2375"/>
    <w:bookmarkStart w:id="2387" w:name="studies-bij-mensen-53"/>
    <w:p>
      <w:pPr>
        <w:pStyle w:val="Heading3"/>
      </w:pPr>
      <w:r>
        <w:t xml:space="preserve">Studies bij mensen</w:t>
      </w:r>
    </w:p>
    <w:p>
      <w:pPr>
        <w:pStyle w:val="FirstParagraph"/>
      </w:pPr>
      <w:r>
        <w:t xml:space="preserve">De voor dit boek uitgevoerde PubMed-zoekopdracht (lactotripeptiden of valyl-prolyl-proline, zoekdatum oktober 2026) leverde 21 studies bij mensen op; op ClinicalTrials.gov vond de zoekterm „lactotripeptides” geen enkele registratie. De meeste studies werden uitgevoerd vóór de invoering van de registratieplicht voor voedingsstudies. De meta-analyses hebben betrekking op maximaal 30 gerandomiseerde studies, waaronder veel Japanse studies die in de PubMed-zoekopdracht niet volledig zijn opgenomen.</w:t>
      </w:r>
    </w:p>
    <w:bookmarkStart w:id="2376" w:name="de-vroege-positieve-studies"/>
    <w:p>
      <w:pPr>
        <w:pStyle w:val="Heading4"/>
      </w:pPr>
      <w:r>
        <w:t xml:space="preserve">De vroege positieve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Hata 1996, PMID 8901799</w:t>
            </w:r>
          </w:p>
        </w:tc>
        <w:tc>
          <w:tcPr/>
          <w:p>
            <w:pPr>
              <w:pStyle w:val="Compact"/>
              <w:jc w:val="left"/>
            </w:pPr>
            <w:r>
              <w:t xml:space="preserve">30 ouderen met hoge bloeddruk (meestal met medicijnen), zure melk vs. aangezuurde melk</w:t>
            </w:r>
          </w:p>
        </w:tc>
        <w:tc>
          <w:tcPr/>
          <w:p>
            <w:pPr>
              <w:pStyle w:val="Compact"/>
              <w:jc w:val="left"/>
            </w:pPr>
            <w:r>
              <w:t xml:space="preserve">8 weken</w:t>
            </w:r>
          </w:p>
        </w:tc>
        <w:tc>
          <w:tcPr/>
          <w:p>
            <w:pPr>
              <w:pStyle w:val="Compact"/>
              <w:jc w:val="left"/>
            </w:pPr>
            <w:r>
              <w:t xml:space="preserve">Systolisch −14,1 mmHg ten opzichte van uitgangswaarde in de zuremelkgroep; placebo onveranderd</w:t>
            </w:r>
          </w:p>
        </w:tc>
      </w:tr>
      <w:tr>
        <w:tc>
          <w:tcPr/>
          <w:p>
            <w:pPr>
              <w:pStyle w:val="Compact"/>
              <w:jc w:val="left"/>
            </w:pPr>
            <w:r>
              <w:t xml:space="preserve">Seppo 2003, PMID 12540390</w:t>
            </w:r>
          </w:p>
        </w:tc>
        <w:tc>
          <w:tcPr/>
          <w:p>
            <w:pPr>
              <w:pStyle w:val="Compact"/>
              <w:jc w:val="left"/>
            </w:pPr>
            <w:r>
              <w:t xml:space="preserve">39 personen met hoge bloeddruk, gefermenteerde melk vs. controle</w:t>
            </w:r>
          </w:p>
        </w:tc>
        <w:tc>
          <w:tcPr/>
          <w:p>
            <w:pPr>
              <w:pStyle w:val="Compact"/>
              <w:jc w:val="left"/>
            </w:pPr>
            <w:r>
              <w:t xml:space="preserve">21 weken</w:t>
            </w:r>
          </w:p>
        </w:tc>
        <w:tc>
          <w:tcPr/>
          <w:p>
            <w:pPr>
              <w:pStyle w:val="Compact"/>
              <w:jc w:val="left"/>
            </w:pPr>
            <w:r>
              <w:t xml:space="preserve">Verschil systolisch 6,7 mmHg (p = 0,03), diastolisch 3,6 mmHg (niet significant)</w:t>
            </w:r>
          </w:p>
        </w:tc>
      </w:tr>
      <w:tr>
        <w:tc>
          <w:tcPr/>
          <w:p>
            <w:pPr>
              <w:pStyle w:val="Compact"/>
              <w:jc w:val="left"/>
            </w:pPr>
            <w:r>
              <w:t xml:space="preserve">Tuomilehto 2004, PMID 15175633</w:t>
            </w:r>
          </w:p>
        </w:tc>
        <w:tc>
          <w:tcPr/>
          <w:p>
            <w:pPr>
              <w:pStyle w:val="Compact"/>
              <w:jc w:val="left"/>
            </w:pPr>
            <w:r>
              <w:t xml:space="preserve">60 personen met milde hoge bloeddruk, cross-over</w:t>
            </w:r>
          </w:p>
        </w:tc>
        <w:tc>
          <w:tcPr/>
          <w:p>
            <w:pPr>
              <w:pStyle w:val="Compact"/>
              <w:jc w:val="left"/>
            </w:pPr>
            <w:r>
              <w:t xml:space="preserve">2 × fasen</w:t>
            </w:r>
          </w:p>
        </w:tc>
        <w:tc>
          <w:tcPr/>
          <w:p>
            <w:pPr>
              <w:pStyle w:val="Compact"/>
              <w:jc w:val="left"/>
            </w:pPr>
            <w:r>
              <w:t xml:space="preserve">Totale analyse: systolisch 2,6 mmHg verschil, niet significant</w:t>
            </w:r>
          </w:p>
        </w:tc>
      </w:tr>
      <w:tr>
        <w:tc>
          <w:tcPr/>
          <w:p>
            <w:pPr>
              <w:pStyle w:val="Compact"/>
              <w:jc w:val="left"/>
            </w:pPr>
            <w:r>
              <w:t xml:space="preserve">Jauhiainen 2005, PMID 16364832</w:t>
            </w:r>
          </w:p>
        </w:tc>
        <w:tc>
          <w:tcPr/>
          <w:p>
            <w:pPr>
              <w:pStyle w:val="Compact"/>
              <w:jc w:val="left"/>
            </w:pPr>
            <w:r>
              <w:t xml:space="preserve">94 onbehandelde personen met hoge bloeddruk, gefermenteerde melk vs. controle, 24-uursmeting</w:t>
            </w:r>
          </w:p>
        </w:tc>
        <w:tc>
          <w:tcPr/>
          <w:p>
            <w:pPr>
              <w:pStyle w:val="Compact"/>
              <w:jc w:val="left"/>
            </w:pPr>
            <w:r>
              <w:t xml:space="preserve">10 weken</w:t>
            </w:r>
          </w:p>
        </w:tc>
        <w:tc>
          <w:tcPr/>
          <w:p>
            <w:pPr>
              <w:pStyle w:val="Compact"/>
              <w:jc w:val="left"/>
            </w:pPr>
            <w:r>
              <w:t xml:space="preserve">Systolisch −4,1 mmHg, diastolisch −1,8 mmHg ten opzichte van controle</w:t>
            </w:r>
          </w:p>
        </w:tc>
      </w:tr>
    </w:tbl>
    <w:p>
      <w:pPr>
        <w:pStyle w:val="BodyText"/>
      </w:pPr>
      <w:r>
        <w:t xml:space="preserve">De vroege studie van Hata was klein, de meeste deelnemers namen al bloeddrukmedicijnen, en er werd vooral vergeleken met de uitgangswaarde. De studie van Jauhiainen is methodologisch sterker, omdat ze de 24-uursbloeddrukmeting gebruikte, die minder gevoelig is voor het „wittejasseneffect” bij de arts.</w:t>
      </w:r>
    </w:p>
    <w:bookmarkEnd w:id="2376"/>
    <w:bookmarkStart w:id="2378" w:name="de-negatieve-studies-uit-nederland"/>
    <w:p>
      <w:pPr>
        <w:pStyle w:val="Heading4"/>
      </w:pPr>
      <w:r>
        <w:t xml:space="preserve">De negatieve studies uit Nederland</w:t>
      </w:r>
    </w:p>
    <w:p>
      <w:pPr>
        <w:pStyle w:val="FirstParagraph"/>
      </w:pPr>
      <w:r>
        <w:t xml:space="preserve">Vanaf 2008 verschenen meerdere grotere, zorgvuldig uitgevoerde studies uit Europese landen die geen effect 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Engberink 2008, PMID 18086944</w:t>
            </w:r>
          </w:p>
        </w:tc>
        <w:tc>
          <w:tcPr/>
          <w:p>
            <w:pPr>
              <w:pStyle w:val="Compact"/>
              <w:jc w:val="left"/>
            </w:pPr>
            <w:r>
              <w:t xml:space="preserve">135 Nederlanders met verhoogde systolische druk, drie productiewijzen van LTP vs. placebo</w:t>
            </w:r>
          </w:p>
        </w:tc>
        <w:tc>
          <w:tcPr/>
          <w:p>
            <w:pPr>
              <w:pStyle w:val="Compact"/>
              <w:jc w:val="left"/>
            </w:pPr>
            <w:r>
              <w:t xml:space="preserve">8 weken</w:t>
            </w:r>
          </w:p>
        </w:tc>
        <w:tc>
          <w:tcPr/>
          <w:p>
            <w:pPr>
              <w:pStyle w:val="Compact"/>
              <w:jc w:val="left"/>
            </w:pPr>
            <w:r>
              <w:t xml:space="preserve">Geen verschil met placebo in praktijk-, thuis- en 24-uursbloeddruk, ACE-activiteit of angiotensine II</w:t>
            </w:r>
          </w:p>
        </w:tc>
      </w:tr>
      <w:tr>
        <w:tc>
          <w:tcPr/>
          <w:p>
            <w:pPr>
              <w:pStyle w:val="Compact"/>
              <w:jc w:val="left"/>
            </w:pPr>
            <w:r>
              <w:t xml:space="preserve">van der Zander 2008, PMID 19064533</w:t>
            </w:r>
          </w:p>
        </w:tc>
        <w:tc>
          <w:tcPr/>
          <w:p>
            <w:pPr>
              <w:pStyle w:val="Compact"/>
              <w:jc w:val="left"/>
            </w:pPr>
            <w:r>
              <w:t xml:space="preserve">275 Nederlanders met hoge bloeddruk, enzymatisch geproduceerde LTP in yoghurtdrank vs. placebo</w:t>
            </w:r>
          </w:p>
        </w:tc>
        <w:tc>
          <w:tcPr/>
          <w:p>
            <w:pPr>
              <w:pStyle w:val="Compact"/>
              <w:jc w:val="left"/>
            </w:pPr>
            <w:r>
              <w:t xml:space="preserve">8 weken</w:t>
            </w:r>
          </w:p>
        </w:tc>
        <w:tc>
          <w:tcPr/>
          <w:p>
            <w:pPr>
              <w:pStyle w:val="Compact"/>
              <w:jc w:val="left"/>
            </w:pPr>
            <w:r>
              <w:t xml:space="preserve">Geen verschil systolisch (p = 0,66) of diastolisch (p = 0,72)</w:t>
            </w:r>
          </w:p>
        </w:tc>
      </w:tr>
      <w:tr>
        <w:tc>
          <w:tcPr/>
          <w:p>
            <w:pPr>
              <w:pStyle w:val="Compact"/>
              <w:jc w:val="left"/>
            </w:pPr>
            <w:r>
              <w:t xml:space="preserve">van Mierlo 2009, PMID 19106238</w:t>
            </w:r>
          </w:p>
        </w:tc>
        <w:tc>
          <w:tcPr/>
          <w:p>
            <w:pPr>
              <w:pStyle w:val="Compact"/>
              <w:jc w:val="left"/>
            </w:pPr>
            <w:r>
              <w:t xml:space="preserve">2 cross-overstudies met 69 en 93 onbehandelde volwassenen, 24-uursmeting</w:t>
            </w:r>
          </w:p>
        </w:tc>
        <w:tc>
          <w:tcPr/>
          <w:p>
            <w:pPr>
              <w:pStyle w:val="Compact"/>
              <w:jc w:val="left"/>
            </w:pPr>
            <w:r>
              <w:t xml:space="preserve">telkens 4 weken</w:t>
            </w:r>
          </w:p>
        </w:tc>
        <w:tc>
          <w:tcPr/>
          <w:p>
            <w:pPr>
              <w:pStyle w:val="Compact"/>
              <w:jc w:val="left"/>
            </w:pPr>
            <w:r>
              <w:t xml:space="preserve">Geen verschil in 24-uursbloeddruk</w:t>
            </w:r>
          </w:p>
        </w:tc>
      </w:tr>
      <w:tr>
        <w:tc>
          <w:tcPr/>
          <w:p>
            <w:pPr>
              <w:pStyle w:val="Compact"/>
              <w:jc w:val="left"/>
            </w:pPr>
            <w:r>
              <w:t xml:space="preserve">Usinger 2010, PMID 20147968</w:t>
            </w:r>
          </w:p>
        </w:tc>
        <w:tc>
          <w:tcPr/>
          <w:p>
            <w:pPr>
              <w:pStyle w:val="Compact"/>
              <w:jc w:val="left"/>
            </w:pPr>
            <w:r>
              <w:t xml:space="preserve">94 personen met hoog-normale of grenswaardige bloeddruk, 150 of 300 ml gefermenteerde melk vs. placebo</w:t>
            </w:r>
          </w:p>
        </w:tc>
        <w:tc>
          <w:tcPr/>
          <w:p>
            <w:pPr>
              <w:pStyle w:val="Compact"/>
              <w:jc w:val="left"/>
            </w:pPr>
            <w:r>
              <w:t xml:space="preserve">8 weken</w:t>
            </w:r>
          </w:p>
        </w:tc>
        <w:tc>
          <w:tcPr/>
          <w:p>
            <w:pPr>
              <w:pStyle w:val="Compact"/>
              <w:jc w:val="left"/>
            </w:pPr>
            <w:r>
              <w:t xml:space="preserve">Geen significant verschil in 24-uursbloeddruk</w:t>
            </w:r>
          </w:p>
        </w:tc>
      </w:tr>
    </w:tbl>
    <w:p>
      <w:pPr>
        <w:pStyle w:val="BodyText"/>
      </w:pPr>
      <w:r>
        <w:t xml:space="preserve">Opmerkelijk aan de studie van Engberink: ze testte lactotripeptiden uit drie bronnen – uit geconcentreerde gefermenteerde melk, enzymatisch geproduceerd en chemisch gesynthetiseerd. Geen van de drie varianten verlaagde de bloeddruk of remde ACE meetbaar. Een overzichtsartikel vatte zes van zulke studies met 780 deelnemers uit het Verenigd Koninkrijk en Nederland samen en concludeerde dat de nieuwere gegevens een rol van de lactotripeptiden bij de bloeddrukregulatie niet ondersteunen</w:t>
      </w:r>
      <w:r>
        <w:rPr>
          <w:rStyle w:val="FootnoteReference"/>
        </w:rPr>
        <w:footnoteReference w:id="2377"/>
      </w:r>
      <w:r>
        <w:t xml:space="preserve">.</w:t>
      </w:r>
    </w:p>
    <w:bookmarkEnd w:id="2378"/>
    <w:bookmarkStart w:id="2384" w:name="latere-studies"/>
    <w:p>
      <w:pPr>
        <w:pStyle w:val="Heading4"/>
      </w:pPr>
      <w:r>
        <w:t xml:space="preserve">Latere studies</w:t>
      </w:r>
    </w:p>
    <w:p>
      <w:pPr>
        <w:pStyle w:val="FirstParagraph"/>
      </w:pPr>
      <w:r>
        <w:t xml:space="preserve">Ook na 2010 bleven de resultaten gemengd. In Finland verlaagde een dosis van 50 mg lactotripeptiden per dag de 24-uursbloeddruk weliswaar ten opzichte van de uitgangswaarde, maar niet significant ten opzichte van placebo (−2,6 mmHg systolisch); 5 mg per dag had geen effect</w:t>
      </w:r>
      <w:r>
        <w:rPr>
          <w:rStyle w:val="FootnoteReference"/>
        </w:rPr>
        <w:footnoteReference w:id="2379"/>
      </w:r>
      <w:r>
        <w:t xml:space="preserve">. Een smeervet met IPP, VPP en plantensterolen verlaagde de thuis gemeten systolische bloeddruk sterker dan placebo (−4,1 tegenover −0,5 mmHg), maar niet de praktijk- of 24-uurswaarde</w:t>
      </w:r>
      <w:r>
        <w:rPr>
          <w:rStyle w:val="FootnoteReference"/>
        </w:rPr>
        <w:footnoteReference w:id="2380"/>
      </w:r>
      <w:r>
        <w:t xml:space="preserve">. Italiaanse studies meldden gunstige effecten op de praktijkbloeddruk en de vaatstijfheid</w:t>
      </w:r>
      <w:r>
        <w:rPr>
          <w:rStyle w:val="FootnoteReference"/>
        </w:rPr>
        <w:footnoteReference w:id="2381"/>
      </w:r>
      <w:r>
        <w:t xml:space="preserve">, in een daarvan zonder effect op de 24-uursbloeddruk. In de VS daalde in een studie met 91 personen met hoge bloeddruk stadium 1 en 2 de systolische dagbloeddruk met 3,6 mmHg, onder placebo niet</w:t>
      </w:r>
      <w:r>
        <w:rPr>
          <w:rStyle w:val="FootnoteReference"/>
        </w:rPr>
        <w:footnoteReference w:id="2382"/>
      </w:r>
      <w:r>
        <w:t xml:space="preserve">.</w:t>
      </w:r>
    </w:p>
    <w:p>
      <w:pPr>
        <w:pStyle w:val="BodyText"/>
      </w:pPr>
      <w:r>
        <w:t xml:space="preserve">Daarnaast zijn er kleine studies naar vaatfunctie, hersendoorbloeding, spiervermoeidheid en cognitieve prestaties, meestal met 15 tot 50 deelnemers</w:t>
      </w:r>
      <w:r>
        <w:rPr>
          <w:rStyle w:val="FootnoteReference"/>
        </w:rPr>
        <w:footnoteReference w:id="2383"/>
      </w:r>
      <w:r>
        <w:t xml:space="preserve">. Ze moeten als aanwijzingen worden gelezen, niet als bewijs.</w:t>
      </w:r>
    </w:p>
    <w:bookmarkEnd w:id="2384"/>
    <w:bookmarkStart w:id="2386" w:name="X68e64c36a8243d140b6f0bdb2751936afd66771"/>
    <w:p>
      <w:pPr>
        <w:pStyle w:val="Heading4"/>
      </w:pPr>
      <w:r>
        <w:t xml:space="preserve">Meta-analyses: klein effect, sterke invloed van de herkomst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Omvang</w:t>
            </w:r>
          </w:p>
        </w:tc>
        <w:tc>
          <w:tcPr/>
          <w:p>
            <w:pPr>
              <w:pStyle w:val="Compact"/>
              <w:jc w:val="left"/>
            </w:pPr>
            <w:r>
              <w:t xml:space="preserve">Effect op de systolische bloeddruk</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totaal; Azië −6,93 mmHg; Europa −1,17 mmHg (niet significant)</w:t>
            </w:r>
          </w:p>
        </w:tc>
      </w:tr>
      <w:tr>
        <w:tc>
          <w:tcPr/>
          <w:p>
            <w:pPr>
              <w:pStyle w:val="Compact"/>
              <w:jc w:val="left"/>
            </w:pPr>
            <w:r>
              <w:t xml:space="preserve">Turpeinen 2013, PMID 23305234</w:t>
            </w:r>
          </w:p>
        </w:tc>
        <w:tc>
          <w:tcPr/>
          <w:p>
            <w:pPr>
              <w:pStyle w:val="Compact"/>
              <w:jc w:val="left"/>
            </w:pPr>
            <w:r>
              <w:t xml:space="preserve">19 studies,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studiearmen, 1.919 personen</w:t>
            </w:r>
          </w:p>
        </w:tc>
        <w:tc>
          <w:tcPr/>
          <w:p>
            <w:pPr>
              <w:pStyle w:val="Compact"/>
              <w:jc w:val="left"/>
            </w:pPr>
            <w:r>
              <w:t xml:space="preserve">−1,66 mmHg; in de 24-uursbloeddruk −1,30 mmHg</w:t>
            </w:r>
          </w:p>
        </w:tc>
      </w:tr>
      <w:tr>
        <w:tc>
          <w:tcPr/>
          <w:p>
            <w:pPr>
              <w:pStyle w:val="Compact"/>
              <w:jc w:val="left"/>
            </w:pPr>
            <w:r>
              <w:t xml:space="preserve">Cicero 2013, PMID 23382495</w:t>
            </w:r>
          </w:p>
        </w:tc>
        <w:tc>
          <w:tcPr/>
          <w:p>
            <w:pPr>
              <w:pStyle w:val="Compact"/>
              <w:jc w:val="left"/>
            </w:pPr>
            <w:r>
              <w:t xml:space="preserve">14 Europese studies,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24-uursbloeddruk niet significant</w:t>
            </w:r>
          </w:p>
        </w:tc>
      </w:tr>
      <w:tr>
        <w:tc>
          <w:tcPr/>
          <w:p>
            <w:pPr>
              <w:pStyle w:val="Compact"/>
              <w:jc w:val="left"/>
            </w:pPr>
            <w:r>
              <w:t xml:space="preserve">Chanson-Rolle 2015, PMID 26536628</w:t>
            </w:r>
          </w:p>
        </w:tc>
        <w:tc>
          <w:tcPr/>
          <w:p>
            <w:pPr>
              <w:pStyle w:val="Compact"/>
              <w:jc w:val="left"/>
            </w:pPr>
            <w:r>
              <w:t xml:space="preserve">18 Japanse studies, 1.194 personen</w:t>
            </w:r>
          </w:p>
        </w:tc>
        <w:tc>
          <w:tcPr/>
          <w:p>
            <w:pPr>
              <w:pStyle w:val="Compact"/>
              <w:jc w:val="left"/>
            </w:pPr>
            <w:r>
              <w:t xml:space="preserve">−5,63 mmHg</w:t>
            </w:r>
          </w:p>
        </w:tc>
      </w:tr>
    </w:tbl>
    <w:p>
      <w:pPr>
        <w:pStyle w:val="BodyText"/>
      </w:pPr>
      <w:r>
        <w:t xml:space="preserve">Drie patronen lopen door alle analyses heen:</w:t>
      </w:r>
    </w:p>
    <w:p>
      <w:pPr>
        <w:numPr>
          <w:ilvl w:val="0"/>
          <w:numId w:val="1298"/>
        </w:numPr>
        <w:pStyle w:val="Compact"/>
      </w:pPr>
      <w:r>
        <w:rPr>
          <w:bCs/>
          <w:b/>
        </w:rPr>
        <w:t xml:space="preserve">Het effect is klein.</w:t>
      </w:r>
      <w:r>
        <w:t xml:space="preserve"> </w:t>
      </w:r>
      <w:r>
        <w:t xml:space="preserve">Gepoold ligt het meestal tussen 1 en 4 mmHg systolisch – duidelijk minder dan geregistreerde bloeddrukmedicijnen bereiken.</w:t>
      </w:r>
    </w:p>
    <w:p>
      <w:pPr>
        <w:numPr>
          <w:ilvl w:val="0"/>
          <w:numId w:val="1298"/>
        </w:numPr>
        <w:pStyle w:val="Compact"/>
      </w:pPr>
      <w:r>
        <w:rPr>
          <w:bCs/>
          <w:b/>
        </w:rPr>
        <w:t xml:space="preserve">Aziatische, vooral Japanse, studies laten duidelijk grotere effecten zien dan Europese.</w:t>
      </w:r>
      <w:r>
        <w:t xml:space="preserve"> </w:t>
      </w:r>
      <w:r>
        <w:t xml:space="preserve">Of dat ligt aan genetische verschillen, aan de voeding (bijvoorbeeld een hogere zoutconsumptie) of aan methodologische verschillen, is onopgehelderd.</w:t>
      </w:r>
    </w:p>
    <w:p>
      <w:pPr>
        <w:numPr>
          <w:ilvl w:val="0"/>
          <w:numId w:val="1298"/>
        </w:numPr>
        <w:pStyle w:val="Compact"/>
      </w:pPr>
      <w:r>
        <w:rPr>
          <w:bCs/>
          <w:b/>
        </w:rPr>
        <w:t xml:space="preserve">Aanwijzingen voor publicatiebias.</w:t>
      </w:r>
      <w:r>
        <w:t xml:space="preserve"> </w:t>
      </w:r>
      <w:r>
        <w:t xml:space="preserve">De meta-analyse van Fekete vond zowel publicatiebias als een „small-study-effect”: kleine studies lieten grotere effecten zien. Na correctie kromp de systolische daling, en de diastolische was niet meer significant. In de 24-uursbloeddruk – de betrouwbaarste meetmethode – was het effect niet significant</w:t>
      </w:r>
      <w:r>
        <w:rPr>
          <w:rStyle w:val="FootnoteReference"/>
        </w:rPr>
        <w:footnoteReference w:id="2385"/>
      </w:r>
      <w:r>
        <w:t xml:space="preserve">.</w:t>
      </w:r>
    </w:p>
    <w:p>
      <w:pPr>
        <w:pStyle w:val="FirstParagraph"/>
      </w:pPr>
      <w:r>
        <w:t xml:space="preserve">Er ontbreekt een studie die laat zien dat lactotripeptiden hartinfarcten, beroertes of sterfgevallen voorkomen. Gezien het kleine effect valt zo’n studie ook niet te verwachten.</w:t>
      </w:r>
    </w:p>
    <w:bookmarkEnd w:id="2386"/>
    <w:bookmarkEnd w:id="2387"/>
    <w:bookmarkStart w:id="2394" w:name="dier--en-laboratoriumstudies-53"/>
    <w:p>
      <w:pPr>
        <w:pStyle w:val="Heading3"/>
      </w:pPr>
      <w:r>
        <w:t xml:space="preserve">Dier- en laboratoriumstudies</w:t>
      </w:r>
    </w:p>
    <w:p>
      <w:pPr>
        <w:pStyle w:val="FirstParagraph"/>
      </w:pPr>
      <w:r>
        <w:t xml:space="preserve">Bij ratten met aangeboren hoge bloeddruk (SHR-ratten) verlaagden VPP en IPP de bloeddruk dosisafhankelijk; bij ratten met een normale bloeddruk niet</w:t>
      </w:r>
      <w:r>
        <w:rPr>
          <w:rStyle w:val="FootnoteReference"/>
        </w:rPr>
        <w:footnoteReference w:id="2388"/>
      </w:r>
      <w:r>
        <w:t xml:space="preserve">. In celkweken stimuleerden VPP en IPP vanaf concentraties van meer dan 100 nanomol per liter de aanmaak van stikstofmonoxide in vaatcellen, en in geïsoleerde aorta’s van ratten veroorzaakten ze vaatverwijding</w:t>
      </w:r>
      <w:r>
        <w:rPr>
          <w:rStyle w:val="FootnoteReference"/>
        </w:rPr>
        <w:footnoteReference w:id="2389"/>
      </w:r>
      <w:r>
        <w:t xml:space="preserve">. Ter vergelijking: in het bloed van mensen werd na het drinken van een verrijkte drank minder dan 1 nanomol per liter IPP gemeten</w:t>
      </w:r>
      <w:r>
        <w:rPr>
          <w:rStyle w:val="FootnoteReference"/>
        </w:rPr>
        <w:footnoteReference w:id="2390"/>
      </w:r>
      <w:r>
        <w:t xml:space="preserve">. Röntgenstructuuranalyses laten zien dat beide peptiden bij voorkeur binden aan een van de twee actieve plaatsen van het ACE-molecuul</w:t>
      </w:r>
      <w:r>
        <w:rPr>
          <w:rStyle w:val="FootnoteReference"/>
        </w:rPr>
        <w:footnoteReference w:id="2391"/>
      </w:r>
      <w:r>
        <w:t xml:space="preserve">. Bij ratten en konijnen vonden toxiciteitsstudies – inclusief onderzoek naar de nierontwikkeling van de nakomelingen, omdat ACE-remmers tijdens de zwangerschap het ongeboren kind kunnen schaden – geen bijwerkingen bij de hoogste geteste doses</w:t>
      </w:r>
      <w:r>
        <w:rPr>
          <w:rStyle w:val="FootnoteReference"/>
        </w:rPr>
        <w:footnoteReference w:id="2392"/>
      </w:r>
      <w:r>
        <w:t xml:space="preserve">. Een IPP-houdend melkeiwithydrolysaat was in tests op het erfelijk materiaal niet mutageen; de hoogste geteste dosis in de proef van 90 dagen bij ratten lag ongeveer 141 keer boven de verwachte maximale inname</w:t>
      </w:r>
      <w:r>
        <w:rPr>
          <w:rStyle w:val="FootnoteReference"/>
        </w:rPr>
        <w:footnoteReference w:id="2393"/>
      </w:r>
      <w:r>
        <w:t xml:space="preserve">.</w:t>
      </w:r>
    </w:p>
    <w:bookmarkEnd w:id="2394"/>
    <w:bookmarkStart w:id="2396" w:name="risicos-en-bijwerkingen-53"/>
    <w:p>
      <w:pPr>
        <w:pStyle w:val="Heading3"/>
      </w:pPr>
      <w:r>
        <w:t xml:space="preserve">Risico’s en bijwerkingen</w:t>
      </w:r>
    </w:p>
    <w:p>
      <w:pPr>
        <w:pStyle w:val="FirstParagraph"/>
      </w:pPr>
      <w:r>
        <w:rPr>
          <w:bCs/>
          <w:b/>
        </w:rPr>
        <w:t xml:space="preserve">Aangetoond:</w:t>
      </w:r>
      <w:r>
        <w:t xml:space="preserve"> </w:t>
      </w:r>
      <w:r>
        <w:t xml:space="preserve">in de studies bij mensen traden onder lactotripeptiden niet meer bijwerkingen op dan onder placebo</w:t>
      </w:r>
      <w:r>
        <w:rPr>
          <w:rStyle w:val="FootnoteReference"/>
        </w:rPr>
        <w:footnoteReference w:id="2395"/>
      </w:r>
      <w:r>
        <w:t xml:space="preserve">. De peptiden komen uit melkeiwit, dat al sinds mensenheugenis wordt gegeten; de hoeveelheden in de producten liggen in het milligrambereik.</w:t>
      </w:r>
    </w:p>
    <w:p>
      <w:pPr>
        <w:pStyle w:val="BodyText"/>
      </w:pPr>
      <w:r>
        <w:rPr>
          <w:bCs/>
          <w:b/>
        </w:rPr>
        <w:t xml:space="preserve">Theoretisch of om op te letten:</w:t>
      </w:r>
    </w:p>
    <w:p>
      <w:pPr>
        <w:numPr>
          <w:ilvl w:val="0"/>
          <w:numId w:val="1299"/>
        </w:numPr>
        <w:pStyle w:val="Compact"/>
      </w:pPr>
      <w:r>
        <w:rPr>
          <w:bCs/>
          <w:b/>
        </w:rPr>
        <w:t xml:space="preserve">Melkallergie:</w:t>
      </w:r>
      <w:r>
        <w:t xml:space="preserve"> </w:t>
      </w:r>
      <w:r>
        <w:t xml:space="preserve">producten op basis van melk of caseïne zijn ongeschikt bij een koemelkeiwitallergie.</w:t>
      </w:r>
    </w:p>
    <w:p>
      <w:pPr>
        <w:numPr>
          <w:ilvl w:val="0"/>
          <w:numId w:val="1299"/>
        </w:numPr>
        <w:pStyle w:val="Compact"/>
      </w:pPr>
      <w:r>
        <w:rPr>
          <w:bCs/>
          <w:b/>
        </w:rPr>
        <w:t xml:space="preserve">Combinatie met bloeddrukmedicijnen:</w:t>
      </w:r>
      <w:r>
        <w:t xml:space="preserve"> </w:t>
      </w:r>
      <w:r>
        <w:t xml:space="preserve">een relevante versterking is gezien het zwakke effect onwaarschijnlijk, maar niet systematisch onderzocht.</w:t>
      </w:r>
    </w:p>
    <w:p>
      <w:pPr>
        <w:numPr>
          <w:ilvl w:val="0"/>
          <w:numId w:val="1299"/>
        </w:numPr>
        <w:pStyle w:val="Compact"/>
      </w:pPr>
      <w:r>
        <w:rPr>
          <w:bCs/>
          <w:b/>
        </w:rPr>
        <w:t xml:space="preserve">Zwangerschap:</w:t>
      </w:r>
      <w:r>
        <w:t xml:space="preserve"> </w:t>
      </w:r>
      <w:r>
        <w:t xml:space="preserve">ACE-remmers zijn tijdens de zwangerschap gecontra-indiceerd. Voor lactotripeptiden werd in dierproeven geen vergelijkbare schade gevonden; gegevens bij mensen ontbreken.</w:t>
      </w:r>
    </w:p>
    <w:p>
      <w:pPr>
        <w:numPr>
          <w:ilvl w:val="0"/>
          <w:numId w:val="1299"/>
        </w:numPr>
        <w:pStyle w:val="Compact"/>
      </w:pPr>
      <w:r>
        <w:rPr>
          <w:bCs/>
          <w:b/>
        </w:rPr>
        <w:t xml:space="preserve">Het belangrijkste risico:</w:t>
      </w:r>
      <w:r>
        <w:t xml:space="preserve"> </w:t>
      </w:r>
      <w:r>
        <w:t xml:space="preserve">wie een hoge bloeddruk die behandeling nodig heeft, met een melkdrank behandelt in plaats van met werkzame maatregelen, verspeelt bescherming tegen hartinfarct en beroerte. Gewichtsverlies, minder zout, beweging en – indien nodig – medicijnen verlagen de bloeddruk aantoonbaar sterker.</w:t>
      </w:r>
    </w:p>
    <w:bookmarkEnd w:id="2396"/>
    <w:bookmarkStart w:id="2397" w:name="juridische-status-53"/>
    <w:p>
      <w:pPr>
        <w:pStyle w:val="Heading3"/>
      </w:pPr>
      <w:r>
        <w:t xml:space="preserve">Juridische status</w:t>
      </w:r>
    </w:p>
    <w:p>
      <w:pPr>
        <w:numPr>
          <w:ilvl w:val="0"/>
          <w:numId w:val="1300"/>
        </w:numPr>
        <w:pStyle w:val="Compact"/>
      </w:pPr>
      <w:r>
        <w:rPr>
          <w:bCs/>
          <w:b/>
        </w:rPr>
        <w:t xml:space="preserve">EU / Oostenrijk / Duitsland:</w:t>
      </w:r>
      <w:r>
        <w:t xml:space="preserve"> </w:t>
      </w:r>
      <w:r>
        <w:t xml:space="preserve">lactotripeptiden zijn levensmiddelingrediënten. Gezondheidsclaims over de bloeddruk zijn volgens de claimsverordening (Verordening (EG) nr. 1924/2006)</w:t>
      </w:r>
      <w:r>
        <w:t xml:space="preserve"> </w:t>
      </w:r>
      <w:r>
        <w:rPr>
          <w:bCs/>
          <w:b/>
        </w:rPr>
        <w:t xml:space="preserve">niet toegelaten</w:t>
      </w:r>
      <w:r>
        <w:t xml:space="preserve">. De Europese Autoriteit voor voedselveiligheid (EFSA) heeft aanvragen over lactotripeptiden en het behoud van een normale bloeddruk beoordeeld en concludeerde dat een oorzaak-gevolgverband onvoldoende is aangetoond. Doorslaggevend waren onder meer de tegenstrijdige Europese studies. Producten mogen in de EU daarom niet worden aangeprezen met „verlaagt de bloeddruk” of „draagt bij tot een normale bloeddruk”.</w:t>
      </w:r>
    </w:p>
    <w:p>
      <w:pPr>
        <w:numPr>
          <w:ilvl w:val="0"/>
          <w:numId w:val="1300"/>
        </w:numPr>
        <w:pStyle w:val="Compact"/>
      </w:pPr>
      <w:r>
        <w:rPr>
          <w:bCs/>
          <w:b/>
        </w:rPr>
        <w:t xml:space="preserve">Japan:</w:t>
      </w:r>
      <w:r>
        <w:t xml:space="preserve"> </w:t>
      </w:r>
      <w:r>
        <w:t xml:space="preserve">daar werden zulke dranken op de markt gebracht als „levensmiddelen voor specifieke gezondheidsdoeleinden” (FOSHU) met een door de overheid toegelaten bloeddrukclaim. Dat verklaart gedeeltelijk waarom een groot deel van de studies uit Japan komt.</w:t>
      </w:r>
    </w:p>
    <w:p>
      <w:pPr>
        <w:numPr>
          <w:ilvl w:val="0"/>
          <w:numId w:val="1300"/>
        </w:numPr>
        <w:pStyle w:val="Compact"/>
      </w:pPr>
      <w:r>
        <w:rPr>
          <w:bCs/>
          <w:b/>
        </w:rPr>
        <w:t xml:space="preserve">VS:</w:t>
      </w:r>
      <w:r>
        <w:t xml:space="preserve"> </w:t>
      </w:r>
      <w:r>
        <w:t xml:space="preserve">verkrijgbaar als voedingssupplement; ziektegerelateerde claims zijn niet toegestaan.</w:t>
      </w:r>
    </w:p>
    <w:p>
      <w:pPr>
        <w:numPr>
          <w:ilvl w:val="0"/>
          <w:numId w:val="1300"/>
        </w:numPr>
        <w:pStyle w:val="Compact"/>
      </w:pPr>
      <w:r>
        <w:rPr>
          <w:bCs/>
          <w:b/>
        </w:rPr>
        <w:t xml:space="preserve">Sport:</w:t>
      </w:r>
      <w:r>
        <w:t xml:space="preserve"> </w:t>
      </w:r>
      <w:r>
        <w:t xml:space="preserve">niet op de verboden lijst van de WADA (stand 2026, actuele situatie controleren).</w:t>
      </w:r>
    </w:p>
    <w:bookmarkEnd w:id="2397"/>
    <w:bookmarkStart w:id="2399" w:name="lopende-studies-en-vooruitzichten-53"/>
    <w:p>
      <w:pPr>
        <w:pStyle w:val="Heading3"/>
      </w:pPr>
      <w:r>
        <w:t xml:space="preserve">Lopende studies en vooruitzichten</w:t>
      </w:r>
    </w:p>
    <w:p>
      <w:pPr>
        <w:pStyle w:val="FirstParagraph"/>
      </w:pPr>
      <w:r>
        <w:rPr>
          <w:bCs/>
          <w:b/>
        </w:rPr>
        <w:t xml:space="preserve">Zeker:</w:t>
      </w:r>
      <w:r>
        <w:t xml:space="preserve"> </w:t>
      </w:r>
      <w:r>
        <w:t xml:space="preserve">op ClinicalTrials.gov is onder de term „lactotripeptides” geen lopende studie geregistreerd. Onder verwante termen staat een afgeronde studie naar IPP en de vaatfunctie bij coronaire hartziekte met 54 deelnemers</w:t>
      </w:r>
      <w:r>
        <w:rPr>
          <w:rStyle w:val="FootnoteReference"/>
        </w:rPr>
        <w:footnoteReference w:id="2398"/>
      </w:r>
      <w:r>
        <w:t xml:space="preserve">. Het onderzoek naar lactotripeptiden is sinds ongeveer 2015 duidelijk afgenomen; nieuwe studies onderzoeken vooral in het algemeen waarom mensen verschillend reageren op voedingspeptiden.</w:t>
      </w:r>
    </w:p>
    <w:p>
      <w:pPr>
        <w:pStyle w:val="BodyText"/>
      </w:pPr>
      <w:r>
        <w:rPr>
          <w:bCs/>
          <w:b/>
        </w:rPr>
        <w:t xml:space="preserve">Inschatting:</w:t>
      </w:r>
      <w:r>
        <w:t xml:space="preserve"> </w:t>
      </w:r>
      <w:r>
        <w:t xml:space="preserve">lactotripeptiden zijn een schoolvoorbeeld van hoe een in het laboratorium overtuigend mechanisme en vroege positieve studies in grotere, onafhankelijke onderzoeken kunnen inkrimpen. Een klein effect op de bloeddruk is – vooral bij Aziatische studiepopulaties – mogelijk, maar voor Europa niet overtuigend aangetoond. Een renaissance is niet in zicht.</w:t>
      </w:r>
    </w:p>
    <w:bookmarkEnd w:id="2399"/>
    <w:bookmarkStart w:id="2400" w:name="conclusie-53"/>
    <w:p>
      <w:pPr>
        <w:pStyle w:val="Heading3"/>
      </w:pPr>
      <w:r>
        <w:t xml:space="preserve">Conclusie</w:t>
      </w:r>
    </w:p>
    <w:p>
      <w:pPr>
        <w:pStyle w:val="FirstParagraph"/>
      </w:pPr>
      <w:r>
        <w:t xml:space="preserve">Lactotripeptiden zijn twee kleine melkpeptiden die in de reageerbuis het bloeddrukregulerende enzym ACE remmen. In vroege Japanse en Finse studies verlaagden ze de bloeddruk, in meerdere grotere Nederlandse studies daarentegen niet, en een meetbare ACE-remming kon bij mensen niet worden aangetoond. Meta-analyses geven een daling van de systolische bloeddruk met ongeveer 1 tot 4 mmHg, met aanwijzingen voor publicatiebias en een duidelijk kleiner effect in Europa. De EFSA heeft een bloeddrukclaim afgewezen. Ze zijn onschadelijk, maar geen vervanging voor een bloeddrukbehandeling.</w:t>
      </w:r>
    </w:p>
    <w:bookmarkEnd w:id="2400"/>
    <w:bookmarkEnd w:id="2401"/>
    <w:bookmarkStart w:id="2452" w:name="carnosine"/>
    <w:p>
      <w:pPr>
        <w:pStyle w:val="Heading2"/>
      </w:pPr>
      <w:r>
        <w:t xml:space="preserve">Carnosine</w:t>
      </w:r>
    </w:p>
    <w:bookmarkStart w:id="2402" w:name="profiel-54"/>
    <w:p>
      <w:pPr>
        <w:pStyle w:val="Heading3"/>
      </w:pPr>
      <w:r>
        <w:t xml:space="preserve">Profiel</w:t>
      </w:r>
    </w:p>
    <w:p>
      <w:pPr>
        <w:numPr>
          <w:ilvl w:val="0"/>
          <w:numId w:val="1301"/>
        </w:numPr>
        <w:pStyle w:val="Compact"/>
      </w:pPr>
      <w:r>
        <w:rPr>
          <w:bCs/>
          <w:b/>
        </w:rPr>
        <w:t xml:space="preserve">Soort/structuur:</w:t>
      </w:r>
      <w:r>
        <w:t xml:space="preserve"> </w:t>
      </w:r>
      <w:r>
        <w:t xml:space="preserve">dipeptide uit de aminozuren bèta-alanine en histidine (β-alanyl-L-histidine). Verwante stoffen zijn anserine (in gevogelte en vis) en homocarnosine (in de hersenen); samen heten ze histidinehoudende dipeptiden.</w:t>
      </w:r>
    </w:p>
    <w:p>
      <w:pPr>
        <w:numPr>
          <w:ilvl w:val="0"/>
          <w:numId w:val="1301"/>
        </w:numPr>
        <w:pStyle w:val="Compact"/>
      </w:pPr>
      <w:r>
        <w:rPr>
          <w:bCs/>
          <w:b/>
        </w:rPr>
        <w:t xml:space="preserve">Herkomst:</w:t>
      </w:r>
      <w:r>
        <w:t xml:space="preserve"> </w:t>
      </w:r>
      <w:r>
        <w:t xml:space="preserve">lichaamseigen, in hoge concentratie in de skeletspieren, daarnaast in hart en hersenen. Met de voeding wordt carnosine vooral via vlees en vis opgenomen; plantaardige levensmiddelen bevatten er praktisch geen. Voor voedingssupplementen wordt het synthetisch vervaardigd.</w:t>
      </w:r>
    </w:p>
    <w:p>
      <w:pPr>
        <w:numPr>
          <w:ilvl w:val="0"/>
          <w:numId w:val="1301"/>
        </w:numPr>
        <w:pStyle w:val="Compact"/>
      </w:pPr>
      <w:r>
        <w:rPr>
          <w:bCs/>
          <w:b/>
        </w:rPr>
        <w:t xml:space="preserve">Werkingsprincipe:</w:t>
      </w:r>
      <w:r>
        <w:t xml:space="preserve"> </w:t>
      </w:r>
      <w:r>
        <w:t xml:space="preserve">buffer tegen verzuring in de spier; in het laboratorium daarnaast wegvangen van reactieve afbraakproducten van suikers en vetten (antiglycatie) en antioxidatieve werking.</w:t>
      </w:r>
    </w:p>
    <w:p>
      <w:pPr>
        <w:numPr>
          <w:ilvl w:val="0"/>
          <w:numId w:val="1301"/>
        </w:numPr>
        <w:pStyle w:val="Compact"/>
      </w:pPr>
      <w:r>
        <w:rPr>
          <w:bCs/>
          <w:b/>
        </w:rPr>
        <w:t xml:space="preserve">Verwante stoffen:</w:t>
      </w:r>
      <w:r>
        <w:t xml:space="preserve"> </w:t>
      </w:r>
      <w:r>
        <w:t xml:space="preserve">bèta-alanine (de voorloper, wijdverbreid sportsupplement); zinkcarnosine (polaprezinc, in Japan een geneesmiddel tegen maagzweren); N-acetylcarnosine (in oogdruppels).</w:t>
      </w:r>
    </w:p>
    <w:p>
      <w:pPr>
        <w:numPr>
          <w:ilvl w:val="0"/>
          <w:numId w:val="1301"/>
        </w:numPr>
        <w:pStyle w:val="Compact"/>
      </w:pPr>
      <w:r>
        <w:rPr>
          <w:bCs/>
          <w:b/>
        </w:rPr>
        <w:t xml:space="preserve">Registratie EU:</w:t>
      </w:r>
      <w:r>
        <w:t xml:space="preserve"> </w:t>
      </w:r>
      <w:r>
        <w:t xml:space="preserve">geen registratie als geneesmiddel voor carnosine; als voedingssupplement in de handel. Geen toegelaten gezondheidsclaim.</w:t>
      </w:r>
    </w:p>
    <w:p>
      <w:pPr>
        <w:numPr>
          <w:ilvl w:val="0"/>
          <w:numId w:val="1301"/>
        </w:numPr>
        <w:pStyle w:val="Compact"/>
      </w:pPr>
      <w:r>
        <w:rPr>
          <w:bCs/>
          <w:b/>
        </w:rPr>
        <w:t xml:space="preserve">Registratie VS:</w:t>
      </w:r>
      <w:r>
        <w:t xml:space="preserve"> </w:t>
      </w:r>
      <w:r>
        <w:t xml:space="preserve">geen registratie als geneesmiddel; verkrijgbaar als voedingssupplement.</w:t>
      </w:r>
    </w:p>
    <w:p>
      <w:pPr>
        <w:numPr>
          <w:ilvl w:val="0"/>
          <w:numId w:val="1301"/>
        </w:numPr>
        <w:pStyle w:val="Compact"/>
      </w:pPr>
      <w:r>
        <w:rPr>
          <w:bCs/>
          <w:b/>
        </w:rPr>
        <w:t xml:space="preserve">WADA:</w:t>
      </w:r>
      <w:r>
        <w:t xml:space="preserve"> </w:t>
      </w:r>
      <w:r>
        <w:t xml:space="preserve">carnosine en bèta-alanine zijn niet vermeld.</w:t>
      </w:r>
    </w:p>
    <w:p>
      <w:pPr>
        <w:numPr>
          <w:ilvl w:val="0"/>
          <w:numId w:val="1301"/>
        </w:numPr>
        <w:pStyle w:val="Compact"/>
      </w:pPr>
      <w:r>
        <w:rPr>
          <w:bCs/>
          <w:b/>
        </w:rPr>
        <w:t xml:space="preserve">Bewijsniveau:</w:t>
      </w:r>
      <w:r>
        <w:t xml:space="preserve"> </w:t>
      </w:r>
      <w:r>
        <w:rPr>
          <w:bCs/>
          <w:b/>
        </w:rPr>
        <w:t xml:space="preserve">B</w:t>
      </w:r>
      <w:r>
        <w:t xml:space="preserve"> </w:t>
      </w:r>
      <w:r>
        <w:t xml:space="preserve">– meerdere kleine gerandomiseerde studies, één grotere studie met bijna 300 deelnemers; veel resultaten niet eenduidig.</w:t>
      </w:r>
    </w:p>
    <w:bookmarkEnd w:id="2402"/>
    <w:bookmarkStart w:id="2411" w:name="hoe-het-zou-moeten-werken-54"/>
    <w:p>
      <w:pPr>
        <w:pStyle w:val="Heading3"/>
      </w:pPr>
      <w:r>
        <w:t xml:space="preserve">Hoe het zou moeten werken</w:t>
      </w:r>
    </w:p>
    <w:p>
      <w:pPr>
        <w:pStyle w:val="FirstParagraph"/>
      </w:pPr>
      <w:r>
        <w:t xml:space="preserve">Bij korte, zeer intensieve belastingen – een 400 meter hardlopen of een roeiwedstrijd – produceert de spier meer zuur dan hij kan afvoeren. De zuurgraad stijgt, de spierarbeid neemt af. Carnosine is in de spier een van de buffers die dit zuur opvangen. Bij 18 Belgische toproeiers hing het carnosinegehalte van de kuitspieren nauw samen met de snelheid over 100 tot 6.000 meter</w:t>
      </w:r>
      <w:r>
        <w:rPr>
          <w:rStyle w:val="FootnoteReference"/>
        </w:rPr>
        <w:footnoteReference w:id="2403"/>
      </w:r>
      <w:r>
        <w:t xml:space="preserve">.</w:t>
      </w:r>
    </w:p>
    <w:p>
      <w:pPr>
        <w:pStyle w:val="BodyText"/>
      </w:pPr>
      <w:r>
        <w:t xml:space="preserve">Daarnaast heeft carnosine in het laboratorium nog andere eigenschappen: het vangt reactieve moleculen weg die bij een hoge bloedsuiker of bij de afbraak van vetten ontstaan en eiwitten kunnen beschadigen (zogenoemde glycatie en lipideperoxidatie). Daaruit worden de hypothesen afgeleid dat carnosine nuttig zou kunnen zijn bij diabetes, vaat- en nierschade, hersenveroudering of huidveroudering.</w:t>
      </w:r>
    </w:p>
    <w:bookmarkStart w:id="2406" w:name="het-probleem-van-de-opname-carnosinase"/>
    <w:p>
      <w:pPr>
        <w:pStyle w:val="Heading4"/>
      </w:pPr>
      <w:r>
        <w:t xml:space="preserve">Het probleem van de opname: carnosinase</w:t>
      </w:r>
    </w:p>
    <w:p>
      <w:pPr>
        <w:pStyle w:val="FirstParagraph"/>
      </w:pPr>
      <w:r>
        <w:t xml:space="preserve">In het menselijk bloed bestaat een zeer actief enzym, het serumcarnosinase (CN1), dat carnosine snel splitst in bèta-alanine en histidine. Knaagdieren hebben dit enzym in het bloed praktisch niet – een belangrijke reden waarom resultaten uit dierproeven slechts beperkt overdraagbaar zijn. Al in 1991 liet een studie zien dat een deel van het ingeslikte carnosine weliswaar onveranderd uit de darm wordt opgenomen (tot 14% werd in de urine teruggevonden), maar in het bloed alleen aantoonbaar was als het carnosinase in het monsterbuisje werd geblokkeerd. De hoeveelheid in de urine varieerde sterk en was kleiner naarmate het carnosinase van de persoon actiever was</w:t>
      </w:r>
      <w:r>
        <w:rPr>
          <w:rStyle w:val="FootnoteReference"/>
        </w:rPr>
        <w:footnoteReference w:id="2404"/>
      </w:r>
      <w:r>
        <w:t xml:space="preserve">.</w:t>
      </w:r>
    </w:p>
    <w:p>
      <w:pPr>
        <w:pStyle w:val="BodyText"/>
      </w:pPr>
      <w:r>
        <w:t xml:space="preserve">In de tot nu toe grootste studie stegen onder 2 g carnosine per dag de carnosinewaarden in de rode bloedcellen na 6 en 12 weken tot ongeveer het dubbele, in de urine tot ongeveer het zevenvoudige</w:t>
      </w:r>
      <w:r>
        <w:rPr>
          <w:rStyle w:val="FootnoteReference"/>
        </w:rPr>
        <w:footnoteReference w:id="2405"/>
      </w:r>
      <w:r>
        <w:t xml:space="preserve">. Carnosine komt dus in het lichaam aan – hoeveel daarvan in spier, hersenen of nier terechtkomt, is echter grotendeels onbekend.</w:t>
      </w:r>
    </w:p>
    <w:bookmarkEnd w:id="2406"/>
    <w:bookmarkStart w:id="2410" w:name="bèta-alanine-de-omweg-via-de-voorloper"/>
    <w:p>
      <w:pPr>
        <w:pStyle w:val="Heading4"/>
      </w:pPr>
      <w:r>
        <w:t xml:space="preserve">Bèta-alanine: de omweg via de voorloper</w:t>
      </w:r>
    </w:p>
    <w:p>
      <w:pPr>
        <w:pStyle w:val="FirstParagraph"/>
      </w:pPr>
      <w:r>
        <w:t xml:space="preserve">Voor de spier heeft een andere weg de overhand gekregen. Het lichaam bouwt carnosine in de spiercel zelf op uit bèta-alanine en histidine; bèta-alanine is daarbij de schaarse bouwsteen. Neemt men bèta-alanine in, dan stijgt het carnosinegehalte in de spier duidelijk. In een vroege studie verhoogden vier weken bèta-alanine het spiercarnosinegehalte met naar schatting 42 tot 64%; isomolaire hoeveelheden carnosine hadden een vergelijkbaar effect</w:t>
      </w:r>
      <w:r>
        <w:rPr>
          <w:rStyle w:val="FootnoteReference"/>
        </w:rPr>
        <w:footnoteReference w:id="2407"/>
      </w:r>
      <w:r>
        <w:t xml:space="preserve">. Na het stoppen duurde het 12 tot 16 weken voordat de waarde weer op het uitgangsniveau lag</w:t>
      </w:r>
      <w:r>
        <w:rPr>
          <w:rStyle w:val="FootnoteReference"/>
        </w:rPr>
        <w:footnoteReference w:id="2408"/>
      </w:r>
      <w:r>
        <w:t xml:space="preserve">. Praktisch alle personen reageren op bèta-alanine</w:t>
      </w:r>
      <w:r>
        <w:rPr>
          <w:rStyle w:val="FootnoteReference"/>
        </w:rPr>
        <w:footnoteReference w:id="2409"/>
      </w:r>
      <w:r>
        <w:t xml:space="preserve">.</w:t>
      </w:r>
    </w:p>
    <w:p>
      <w:pPr>
        <w:pStyle w:val="BodyText"/>
      </w:pPr>
      <w:r>
        <w:t xml:space="preserve">Bèta-alanine is geen peptide, maar één enkel aminozuur. Het wordt hier alleen kort behandeld, omdat het het spiercarnosinegehalte betrouwbaarder verhoogt dan carnosine zelf en daarom in de sport een veel grotere rol speelt.</w:t>
      </w:r>
    </w:p>
    <w:bookmarkEnd w:id="2410"/>
    <w:bookmarkEnd w:id="2411"/>
    <w:bookmarkStart w:id="2439" w:name="studies-bij-mensen-54"/>
    <w:p>
      <w:pPr>
        <w:pStyle w:val="Heading3"/>
      </w:pPr>
      <w:r>
        <w:t xml:space="preserve">Studies bij mensen</w:t>
      </w:r>
    </w:p>
    <w:p>
      <w:pPr>
        <w:pStyle w:val="FirstParagraph"/>
      </w:pPr>
      <w:r>
        <w:t xml:space="preserve">De voor dit boek uitgevoerde PubMed-zoekopdracht (carnosine in de titel, gecombineerd met suppletie of orale toediening, zoekdatum oktober 2026) leverde 57 studies bij mensen op; op ClinicalTrials.gov staan 53 registraties. Een deel daarvan betreft eigenlijk bèta-alanine of zinkcarnosine. De studies zijn verdeeld over veel kleine toepassingsgebieden.</w:t>
      </w:r>
    </w:p>
    <w:bookmarkStart w:id="2416" w:name="sport-en-lichamelijke-prestaties"/>
    <w:p>
      <w:pPr>
        <w:pStyle w:val="Heading4"/>
      </w:pPr>
      <w:r>
        <w:t xml:space="preserve">Sport en lichamelijke prestaties</w:t>
      </w:r>
    </w:p>
    <w:p>
      <w:pPr>
        <w:pStyle w:val="FirstParagraph"/>
      </w:pPr>
      <w:r>
        <w:t xml:space="preserve">Bij sporters zijn de gegevens voor</w:t>
      </w:r>
      <w:r>
        <w:t xml:space="preserve"> </w:t>
      </w:r>
      <w:r>
        <w:rPr>
          <w:bCs/>
          <w:b/>
        </w:rPr>
        <w:t xml:space="preserve">bèta-alanine</w:t>
      </w:r>
      <w:r>
        <w:t xml:space="preserve"> </w:t>
      </w:r>
      <w:r>
        <w:t xml:space="preserve">duidelijk beter dan voor carnosine. Een meta-analyse van 40 dubbelblinde, placebogecontroleerde studies met 1.461 deelnemers vond een klein totaaleffect (effectgrootte 0,18). Het duidelijkst was het bij belastingen van 0,5 tot 10 minuten en bij tests van het uithoudingsvermogen tot uitputting, minder bij wedstrijdprestaties</w:t>
      </w:r>
      <w:r>
        <w:rPr>
          <w:rStyle w:val="FootnoteReference"/>
        </w:rPr>
        <w:footnoteReference w:id="2412"/>
      </w:r>
      <w:r>
        <w:t xml:space="preserve">. Een voorbeeld: bij 15 sprinters verhoogde bèta-alanine het carnosinegehalte in kuitspieren met 37 tot 47% en verzachtte het de vermoeidheid bij herhaalde krachtseries, maar verbeterde het de 400 metertijd niet</w:t>
      </w:r>
      <w:r>
        <w:rPr>
          <w:rStyle w:val="FootnoteReference"/>
        </w:rPr>
        <w:footnoteReference w:id="2413"/>
      </w:r>
      <w:r>
        <w:t xml:space="preserve">. Ook een verdubbeling van het spiercarnosine verbeterde bij wielrenners de tijd over een uur niet</w:t>
      </w:r>
      <w:r>
        <w:rPr>
          <w:rStyle w:val="FootnoteReference"/>
        </w:rPr>
        <w:footnoteReference w:id="2414"/>
      </w:r>
      <w:r>
        <w:t xml:space="preserve"> </w:t>
      </w:r>
      <w:r>
        <w:t xml:space="preserve">– logisch, want bij duurbelastingen speelt de zuurbuffering een kleinere rol.</w:t>
      </w:r>
    </w:p>
    <w:p>
      <w:pPr>
        <w:pStyle w:val="BodyText"/>
      </w:pPr>
      <w:r>
        <w:t xml:space="preserve">Voor</w:t>
      </w:r>
      <w:r>
        <w:t xml:space="preserve"> </w:t>
      </w:r>
      <w:r>
        <w:rPr>
          <w:bCs/>
          <w:b/>
        </w:rPr>
        <w:t xml:space="preserve">carnosine zelf</w:t>
      </w:r>
      <w:r>
        <w:t xml:space="preserve"> </w:t>
      </w:r>
      <w:r>
        <w:t xml:space="preserve">zijn er maar weinig prestatiestudies. In de NEAT-studie (Nucleophilic Defense Against PM Toxicity, NCT03314987) kregen 299 volwassenen gedurende twaalf weken 2 g carnosine of placebo. Bij knijpkracht, loopsnelheid en de meeste tests waren er geen verschillen; significante verbeteringen waren alleen te zien in afzonderlijke subgroepen (bepaalde leeftijds- en geslachtsgroepen) bij kuitheffen en steptest</w:t>
      </w:r>
      <w:r>
        <w:rPr>
          <w:rStyle w:val="FootnoteReference"/>
        </w:rPr>
        <w:footnoteReference w:id="2415"/>
      </w:r>
      <w:r>
        <w:t xml:space="preserve">. Zulke subgroepbevindingen zijn gevoelig voor toevalstreffers en moeten worden bevestigd.</w:t>
      </w:r>
    </w:p>
    <w:bookmarkEnd w:id="2416"/>
    <w:bookmarkStart w:id="2420" w:name="diabetes-en-stofwisseling"/>
    <w:p>
      <w:pPr>
        <w:pStyle w:val="Heading4"/>
      </w:pPr>
      <w:r>
        <w:t xml:space="preserve">Diabetes en stofwisseling</w:t>
      </w:r>
    </w:p>
    <w:p>
      <w:pPr>
        <w:pStyle w:val="FirstParagraph"/>
      </w:pPr>
      <w:r>
        <w:t xml:space="preserve">Dit is het meest intensief onderzochte medische gebied: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de Courten 2016, PMID 27040154</w:t>
            </w:r>
          </w:p>
        </w:tc>
        <w:tc>
          <w:tcPr/>
          <w:p>
            <w:pPr>
              <w:pStyle w:val="Compact"/>
              <w:jc w:val="left"/>
            </w:pPr>
            <w:r>
              <w:t xml:space="preserve">30 volwassenen met overgewicht zonder diabetes, 2 g vs. placebo</w:t>
            </w:r>
          </w:p>
        </w:tc>
        <w:tc>
          <w:tcPr/>
          <w:p>
            <w:pPr>
              <w:pStyle w:val="Compact"/>
              <w:jc w:val="left"/>
            </w:pPr>
            <w:r>
              <w:t xml:space="preserve">12 weken</w:t>
            </w:r>
          </w:p>
        </w:tc>
        <w:tc>
          <w:tcPr/>
          <w:p>
            <w:pPr>
              <w:pStyle w:val="Compact"/>
              <w:jc w:val="left"/>
            </w:pPr>
            <w:r>
              <w:t xml:space="preserve">Stijging van nuchtere insuline en insulineresistentie onder carnosine afgeremd (pilotstudie)</w:t>
            </w:r>
          </w:p>
        </w:tc>
      </w:tr>
      <w:tr>
        <w:tc>
          <w:tcPr/>
          <w:p>
            <w:pPr>
              <w:pStyle w:val="Compact"/>
              <w:jc w:val="left"/>
            </w:pPr>
            <w:r>
              <w:t xml:space="preserve">Houjeghani 2018, PMID 29420997</w:t>
            </w:r>
          </w:p>
        </w:tc>
        <w:tc>
          <w:tcPr/>
          <w:p>
            <w:pPr>
              <w:pStyle w:val="Compact"/>
              <w:jc w:val="left"/>
            </w:pPr>
            <w:r>
              <w:t xml:space="preserve">54 personen met diabetes type 2, 1 g vs. placebo</w:t>
            </w:r>
          </w:p>
        </w:tc>
        <w:tc>
          <w:tcPr/>
          <w:p>
            <w:pPr>
              <w:pStyle w:val="Compact"/>
              <w:jc w:val="left"/>
            </w:pPr>
            <w:r>
              <w:t xml:space="preserve">12 weken</w:t>
            </w:r>
          </w:p>
        </w:tc>
        <w:tc>
          <w:tcPr/>
          <w:p>
            <w:pPr>
              <w:pStyle w:val="Compact"/>
              <w:jc w:val="left"/>
            </w:pPr>
            <w:r>
              <w:t xml:space="preserve">Nuchtere glucose −13,1 mg/dl, HbA1c −0,6 procentpunt vs. placebo</w:t>
            </w:r>
          </w:p>
        </w:tc>
      </w:tr>
      <w:tr>
        <w:tc>
          <w:tcPr/>
          <w:p>
            <w:pPr>
              <w:pStyle w:val="Compact"/>
              <w:jc w:val="left"/>
            </w:pPr>
            <w:r>
              <w:t xml:space="preserve">Hariharan 2024, PMID 38172006</w:t>
            </w:r>
          </w:p>
        </w:tc>
        <w:tc>
          <w:tcPr/>
          <w:p>
            <w:pPr>
              <w:pStyle w:val="Compact"/>
              <w:jc w:val="left"/>
            </w:pPr>
            <w:r>
              <w:t xml:space="preserve">43 volwassenen met prediabetes of diabetes type 2, 2 g vs. placebo</w:t>
            </w:r>
          </w:p>
        </w:tc>
        <w:tc>
          <w:tcPr/>
          <w:p>
            <w:pPr>
              <w:pStyle w:val="Compact"/>
              <w:jc w:val="left"/>
            </w:pPr>
            <w:r>
              <w:t xml:space="preserve">14 weken</w:t>
            </w:r>
          </w:p>
        </w:tc>
        <w:tc>
          <w:tcPr/>
          <w:p>
            <w:pPr>
              <w:pStyle w:val="Compact"/>
              <w:jc w:val="left"/>
            </w:pPr>
            <w:r>
              <w:t xml:space="preserve">Lagere bloedsuiker 90 en 120 minuten na suikerbelasting; insuline onveranderd</w:t>
            </w:r>
          </w:p>
        </w:tc>
      </w:tr>
      <w:tr>
        <w:tc>
          <w:tcPr/>
          <w:p>
            <w:pPr>
              <w:pStyle w:val="Compact"/>
              <w:jc w:val="left"/>
            </w:pPr>
            <w:r>
              <w:t xml:space="preserve">Saadati 2023, PMID 38004228</w:t>
            </w:r>
          </w:p>
        </w:tc>
        <w:tc>
          <w:tcPr/>
          <w:p>
            <w:pPr>
              <w:pStyle w:val="Compact"/>
              <w:jc w:val="left"/>
            </w:pPr>
            <w:r>
              <w:t xml:space="preserve">49 volwassenen met prediabetes of goed ingestelde diabetes type 2, 2 g vs. placebo</w:t>
            </w:r>
          </w:p>
        </w:tc>
        <w:tc>
          <w:tcPr/>
          <w:p>
            <w:pPr>
              <w:pStyle w:val="Compact"/>
              <w:jc w:val="left"/>
            </w:pPr>
            <w:r>
              <w:t xml:space="preserve">14 weken</w:t>
            </w:r>
          </w:p>
        </w:tc>
        <w:tc>
          <w:tcPr/>
          <w:p>
            <w:pPr>
              <w:pStyle w:val="Compact"/>
              <w:jc w:val="left"/>
            </w:pPr>
            <w:r>
              <w:t xml:space="preserve">Geen effect op vaatfunctie, vaatstijfheid, bloedvetten, bloeddruk, lever- en nierwaarden</w:t>
            </w:r>
          </w:p>
        </w:tc>
      </w:tr>
      <w:tr>
        <w:tc>
          <w:tcPr/>
          <w:p>
            <w:pPr>
              <w:pStyle w:val="Compact"/>
              <w:jc w:val="left"/>
            </w:pPr>
            <w:r>
              <w:t xml:space="preserve">Elbarbary 2018, PMID 28744992</w:t>
            </w:r>
          </w:p>
        </w:tc>
        <w:tc>
          <w:tcPr/>
          <w:p>
            <w:pPr>
              <w:pStyle w:val="Compact"/>
              <w:jc w:val="left"/>
            </w:pPr>
            <w:r>
              <w:t xml:space="preserve">90 kinderen en jongeren met diabetes type 1 en nierschade, 1 g vs. placebo</w:t>
            </w:r>
          </w:p>
        </w:tc>
        <w:tc>
          <w:tcPr/>
          <w:p>
            <w:pPr>
              <w:pStyle w:val="Compact"/>
              <w:jc w:val="left"/>
            </w:pPr>
            <w:r>
              <w:t xml:space="preserve">12 weken</w:t>
            </w:r>
          </w:p>
        </w:tc>
        <w:tc>
          <w:tcPr/>
          <w:p>
            <w:pPr>
              <w:pStyle w:val="Compact"/>
              <w:jc w:val="left"/>
            </w:pPr>
            <w:r>
              <w:t xml:space="preserve">Albumine in de urine, HbA1c en oxidatiemarkers verbeterd</w:t>
            </w:r>
          </w:p>
        </w:tc>
      </w:tr>
    </w:tbl>
    <w:p>
      <w:pPr>
        <w:pStyle w:val="BodyText"/>
      </w:pPr>
      <w:r>
        <w:t xml:space="preserve">Meerdere meta-analyses vatten deze studies samen. Een analyse van vier studies met 184 deelnemers vond een verlaging van het HbA1c met 0,92 procentpunt, maar geen effect op nuchtere glucose, insulineresistentie of bloedvetten</w:t>
      </w:r>
      <w:r>
        <w:rPr>
          <w:rStyle w:val="FootnoteReference"/>
        </w:rPr>
        <w:footnoteReference w:id="2417"/>
      </w:r>
      <w:r>
        <w:t xml:space="preserve">. Een bayesiaanse meta-analyse die carnosine en bèta-alanine samen bekeek, schatte voor de mens een HbA1c-daling van 0,91 procentpunt – op basis van slechts vier studies bij mensen</w:t>
      </w:r>
      <w:r>
        <w:rPr>
          <w:rStyle w:val="FootnoteReference"/>
        </w:rPr>
        <w:footnoteReference w:id="2418"/>
      </w:r>
      <w:r>
        <w:t xml:space="preserve">. Een nieuwere meta-analyse met acht studies en 377 deelnemers met prediabetes of diabetes type 2 vond verbeteringen in nuchtere glucose en HbA1c, maar niet in insuline of lichaamsgewicht</w:t>
      </w:r>
      <w:r>
        <w:rPr>
          <w:rStyle w:val="FootnoteReference"/>
        </w:rPr>
        <w:footnoteReference w:id="2419"/>
      </w:r>
      <w:r>
        <w:t xml:space="preserve">.</w:t>
      </w:r>
    </w:p>
    <w:p>
      <w:pPr>
        <w:pStyle w:val="BodyText"/>
      </w:pPr>
      <w:r>
        <w:t xml:space="preserve">De effecten lijken op papier opmerkelijk, maar staan op een zeer smalle basis: weinig, kleine, korte studies, vaak uit afzonderlijke centra, met deels tegenstrijdige resultaten (vgl. de vergelijkbaar opgezette studies van 14 weken van Hariharan 2024 en Saadati 2023, waarvan de ene gunstige effecten op de bloedsuiker vond en de andere geen effecten op bloedvaten en stofwisselingswaarden). Of carnosine op lange termijn complicaties van diabetes voorkomt, is nooit onderzocht.</w:t>
      </w:r>
    </w:p>
    <w:bookmarkEnd w:id="2420"/>
    <w:bookmarkStart w:id="2422" w:name="ontsteking-en-oxidatieve-stress"/>
    <w:p>
      <w:pPr>
        <w:pStyle w:val="Heading4"/>
      </w:pPr>
      <w:r>
        <w:t xml:space="preserve">Ontsteking en oxidatieve stress</w:t>
      </w:r>
    </w:p>
    <w:p>
      <w:pPr>
        <w:pStyle w:val="FirstParagraph"/>
      </w:pPr>
      <w:r>
        <w:t xml:space="preserve">Een meta-analyse van negen studies met 350 deelnemers vond onder carnosine of histidinehoudende dipeptiden lagere waarden van de ontstekingsmarker CRP en de oxidatiemarker malondialdehyde, maar geen verandering bij meerdere andere markers</w:t>
      </w:r>
      <w:r>
        <w:rPr>
          <w:rStyle w:val="FootnoteReference"/>
        </w:rPr>
        <w:footnoteReference w:id="2421"/>
      </w:r>
      <w:r>
        <w:t xml:space="preserve">. Laboratoriumwaarden zijn echter surrogaatparameters – of ze gepaard gaan met een gezondheidsvoordeel, is open.</w:t>
      </w:r>
    </w:p>
    <w:bookmarkEnd w:id="2422"/>
    <w:bookmarkStart w:id="2430" w:name="hersenen-geheugen-en-psyche"/>
    <w:p>
      <w:pPr>
        <w:pStyle w:val="Heading4"/>
      </w:pPr>
      <w:r>
        <w:t xml:space="preserve">Hersenen, geheugen en psyche</w:t>
      </w:r>
    </w:p>
    <w:p>
      <w:pPr>
        <w:numPr>
          <w:ilvl w:val="0"/>
          <w:numId w:val="1302"/>
        </w:numPr>
        <w:pStyle w:val="Compact"/>
      </w:pPr>
      <w:r>
        <w:rPr>
          <w:bCs/>
          <w:b/>
        </w:rPr>
        <w:t xml:space="preserve">Ouderen:</w:t>
      </w:r>
      <w:r>
        <w:t xml:space="preserve"> </w:t>
      </w:r>
      <w:r>
        <w:t xml:space="preserve">in Japanse studies van één onderzoeksgroep kregen ouderen een mengsel van anserine en carnosine (3:1). Bij 39 gezonde ouderen bleef het uitgestelde reproduceren van woordinhoud beter behouden dan onder placebo</w:t>
      </w:r>
      <w:r>
        <w:rPr>
          <w:rStyle w:val="FootnoteReference"/>
        </w:rPr>
        <w:footnoteReference w:id="2423"/>
      </w:r>
      <w:r>
        <w:t xml:space="preserve">. Bij 54 mensen met een lichte cognitieve stoornis was een globale ernstscore voor dementie onder het mengsel gunstiger; de meeste andere tests verschilden niet</w:t>
      </w:r>
      <w:r>
        <w:rPr>
          <w:rStyle w:val="FootnoteReference"/>
        </w:rPr>
        <w:footnoteReference w:id="2424"/>
      </w:r>
      <w:r>
        <w:t xml:space="preserve">.</w:t>
      </w:r>
    </w:p>
    <w:p>
      <w:pPr>
        <w:numPr>
          <w:ilvl w:val="0"/>
          <w:numId w:val="1302"/>
        </w:numPr>
        <w:pStyle w:val="Compact"/>
      </w:pPr>
      <w:r>
        <w:rPr>
          <w:bCs/>
          <w:b/>
        </w:rPr>
        <w:t xml:space="preserve">Jongere volwassenen:</w:t>
      </w:r>
      <w:r>
        <w:t xml:space="preserve"> </w:t>
      </w:r>
      <w:r>
        <w:t xml:space="preserve">in een achteraf uitgevoerde analyse van de NEAT-studie verbeterden snelheid en efficiëntie in cognitieve tests alleen in de jongste leeftijdsgroep (23–35 jaar)</w:t>
      </w:r>
      <w:r>
        <w:rPr>
          <w:rStyle w:val="FootnoteReference"/>
        </w:rPr>
        <w:footnoteReference w:id="2425"/>
      </w:r>
      <w:r>
        <w:t xml:space="preserve">.</w:t>
      </w:r>
    </w:p>
    <w:p>
      <w:pPr>
        <w:numPr>
          <w:ilvl w:val="0"/>
          <w:numId w:val="1302"/>
        </w:numPr>
        <w:pStyle w:val="Compact"/>
      </w:pPr>
      <w:r>
        <w:rPr>
          <w:bCs/>
          <w:b/>
        </w:rPr>
        <w:t xml:space="preserve">Samenvatting:</w:t>
      </w:r>
      <w:r>
        <w:t xml:space="preserve"> </w:t>
      </w:r>
      <w:r>
        <w:t xml:space="preserve">een meta-analyse uit 2026 sloot 13 studies in. De meeste cognitieve tests lieten geen verschil met placebo zien; gunstige gepoolde effecten berustten deels op drie studies van dezelfde onderzoeksgroep. De auteurs beoordelen de bewijskracht als laag</w:t>
      </w:r>
      <w:r>
        <w:rPr>
          <w:rStyle w:val="FootnoteReference"/>
        </w:rPr>
        <w:footnoteReference w:id="2426"/>
      </w:r>
      <w:r>
        <w:t xml:space="preserve">. Een andere meta-analyse vond een vermindering van depressiescores (matige betrouwbaarheid), maar benadrukt kleine studies met een matig tot hoog risico op vertekening</w:t>
      </w:r>
      <w:r>
        <w:rPr>
          <w:rStyle w:val="FootnoteReference"/>
        </w:rPr>
        <w:footnoteReference w:id="2427"/>
      </w:r>
      <w:r>
        <w:t xml:space="preserve">.</w:t>
      </w:r>
    </w:p>
    <w:p>
      <w:pPr>
        <w:numPr>
          <w:ilvl w:val="0"/>
          <w:numId w:val="1302"/>
        </w:numPr>
        <w:pStyle w:val="Compact"/>
      </w:pPr>
      <w:r>
        <w:rPr>
          <w:bCs/>
          <w:b/>
        </w:rPr>
        <w:t xml:space="preserve">Autisme:</w:t>
      </w:r>
      <w:r>
        <w:t xml:space="preserve"> </w:t>
      </w:r>
      <w:r>
        <w:t xml:space="preserve">een vroege studie met 31 kinderen meldde verbeteringen op een gedragsschaal</w:t>
      </w:r>
      <w:r>
        <w:rPr>
          <w:rStyle w:val="FootnoteReference"/>
        </w:rPr>
        <w:footnoteReference w:id="2428"/>
      </w:r>
      <w:r>
        <w:t xml:space="preserve">. Een latere gerandomiseerde studie met 63 analyseerbare kinderen vond daarentegen bij geen enkel eindpunt een verschil</w:t>
      </w:r>
      <w:r>
        <w:rPr>
          <w:rStyle w:val="FootnoteReference"/>
        </w:rPr>
        <w:footnoteReference w:id="2429"/>
      </w:r>
      <w:r>
        <w:t xml:space="preserve">.</w:t>
      </w:r>
    </w:p>
    <w:bookmarkEnd w:id="2430"/>
    <w:bookmarkStart w:id="2435" w:name="andere-toepassingen-4"/>
    <w:p>
      <w:pPr>
        <w:pStyle w:val="Heading4"/>
      </w:pPr>
      <w:r>
        <w:t xml:space="preserve">Andere toepassingen</w:t>
      </w:r>
    </w:p>
    <w:p>
      <w:pPr>
        <w:numPr>
          <w:ilvl w:val="0"/>
          <w:numId w:val="1303"/>
        </w:numPr>
        <w:pStyle w:val="Compact"/>
      </w:pPr>
      <w:r>
        <w:rPr>
          <w:bCs/>
          <w:b/>
        </w:rPr>
        <w:t xml:space="preserve">Zenuwschade door chemotherapie:</w:t>
      </w:r>
      <w:r>
        <w:t xml:space="preserve"> </w:t>
      </w:r>
      <w:r>
        <w:t xml:space="preserve">in een gerandomiseerde pilotstudie met 65 patiënten met darmkanker traden onder oxaliplatinechemotherapie plus carnosine minder vaak zenuwschade van graad 2 op (1 van 30 tegenover 19 van 31 zonder carnosine)</w:t>
      </w:r>
      <w:r>
        <w:rPr>
          <w:rStyle w:val="FootnoteReference"/>
        </w:rPr>
        <w:footnoteReference w:id="2431"/>
      </w:r>
      <w:r>
        <w:t xml:space="preserve">. De studie was niet geblindeerd en zonder placebo; bevestiging ontbreekt nog.</w:t>
      </w:r>
    </w:p>
    <w:p>
      <w:pPr>
        <w:numPr>
          <w:ilvl w:val="0"/>
          <w:numId w:val="1303"/>
        </w:numPr>
        <w:pStyle w:val="Compact"/>
      </w:pPr>
      <w:r>
        <w:rPr>
          <w:bCs/>
          <w:b/>
        </w:rPr>
        <w:t xml:space="preserve">Hartfalen:</w:t>
      </w:r>
      <w:r>
        <w:t xml:space="preserve"> </w:t>
      </w:r>
      <w:r>
        <w:t xml:space="preserve">bij 50 patiënten met ernstig hartfalen verbeterden loopafstand, maximale zuurstofopname en kwaliteit van leven onder carnosine in vergelijking met de standaardbehandeling</w:t>
      </w:r>
      <w:r>
        <w:rPr>
          <w:rStyle w:val="FootnoteReference"/>
        </w:rPr>
        <w:footnoteReference w:id="2432"/>
      </w:r>
      <w:r>
        <w:t xml:space="preserve"> </w:t>
      </w:r>
      <w:r>
        <w:t xml:space="preserve">– eveneens zonder placebo.</w:t>
      </w:r>
    </w:p>
    <w:p>
      <w:pPr>
        <w:numPr>
          <w:ilvl w:val="0"/>
          <w:numId w:val="1303"/>
        </w:numPr>
        <w:pStyle w:val="Compact"/>
      </w:pPr>
      <w:r>
        <w:rPr>
          <w:bCs/>
          <w:b/>
        </w:rPr>
        <w:t xml:space="preserve">Golfoorlogsyndroom:</w:t>
      </w:r>
      <w:r>
        <w:t xml:space="preserve"> </w:t>
      </w:r>
      <w:r>
        <w:t xml:space="preserve">in een kleine studie met 25 veteranen verbeterde een cognitieve test; vermoeidheid en pijn bleven onveranderd</w:t>
      </w:r>
      <w:r>
        <w:rPr>
          <w:rStyle w:val="FootnoteReference"/>
        </w:rPr>
        <w:footnoteReference w:id="2433"/>
      </w:r>
      <w:r>
        <w:t xml:space="preserve">.</w:t>
      </w:r>
    </w:p>
    <w:p>
      <w:pPr>
        <w:numPr>
          <w:ilvl w:val="0"/>
          <w:numId w:val="1303"/>
        </w:numPr>
        <w:pStyle w:val="Compact"/>
      </w:pPr>
      <w:r>
        <w:rPr>
          <w:bCs/>
          <w:b/>
        </w:rPr>
        <w:t xml:space="preserve">Huid:</w:t>
      </w:r>
      <w:r>
        <w:t xml:space="preserve"> </w:t>
      </w:r>
      <w:r>
        <w:t xml:space="preserve">een studie met een „niet-hydrolyseerbare” carnosinebereiding meldde verbeteringen van de huid; ze is afkomstig van de uitvinder van de gepatenteerde formulering en vermengt laboratoriumproeven met een klinisch onderzoek</w:t>
      </w:r>
      <w:r>
        <w:rPr>
          <w:rStyle w:val="FootnoteReference"/>
        </w:rPr>
        <w:footnoteReference w:id="2434"/>
      </w:r>
      <w:r>
        <w:t xml:space="preserve">.</w:t>
      </w:r>
    </w:p>
    <w:bookmarkEnd w:id="2435"/>
    <w:bookmarkStart w:id="2438" w:name="X23a8aa5d7c2d1bd45f793f94ad67161240ec181"/>
    <w:p>
      <w:pPr>
        <w:pStyle w:val="Heading4"/>
      </w:pPr>
      <w:r>
        <w:t xml:space="preserve">Verwante stoffen: zinkcarnosine en N-acetylcarnosine</w:t>
      </w:r>
    </w:p>
    <w:p>
      <w:pPr>
        <w:pStyle w:val="FirstParagraph"/>
      </w:pPr>
      <w:r>
        <w:rPr>
          <w:bCs/>
          <w:b/>
        </w:rPr>
        <w:t xml:space="preserve">Zinkcarnosine (polaprezinc)</w:t>
      </w:r>
      <w:r>
        <w:t xml:space="preserve"> </w:t>
      </w:r>
      <w:r>
        <w:t xml:space="preserve">is een verbinding van zink en carnosine die in Japan als geneesmiddel tegen maagzweren wordt gebruikt. In een multicenterstudie met 224 patiënten was het na acht weken vergelijkbaar werkzaam als het vergelijkingsmiddel rebamipide (81,5% tegenover 74,3% genezing, verschil niet significant)</w:t>
      </w:r>
      <w:r>
        <w:rPr>
          <w:rStyle w:val="FootnoteReference"/>
        </w:rPr>
        <w:footnoteReference w:id="2436"/>
      </w:r>
      <w:r>
        <w:t xml:space="preserve">. Dit effect is waarschijnlijk sterk aan het zink gebonden en kan niet worden overgedragen op zuiver carnosine.</w:t>
      </w:r>
    </w:p>
    <w:p>
      <w:pPr>
        <w:pStyle w:val="BodyText"/>
      </w:pPr>
      <w:r>
        <w:rPr>
          <w:bCs/>
          <w:b/>
        </w:rPr>
        <w:t xml:space="preserve">N-acetylcarnosine-oogdruppels</w:t>
      </w:r>
      <w:r>
        <w:t xml:space="preserve"> </w:t>
      </w:r>
      <w:r>
        <w:t xml:space="preserve">worden op internet aangeprezen tegen staar (cataract). Een Cochrane-review vond slechts twee mogelijke studies met 114 deelnemers, waarvan de methodologie niet navolgbaar was, en concludeerde dat er geen overtuigend bewijs is dat de druppels staar terugdraaien of de voortgang ervan voorkomen</w:t>
      </w:r>
      <w:r>
        <w:rPr>
          <w:rStyle w:val="FootnoteReference"/>
        </w:rPr>
        <w:footnoteReference w:id="2437"/>
      </w:r>
      <w:r>
        <w:t xml:space="preserve">. De enige werkzame behandeling blijft de operatie.</w:t>
      </w:r>
    </w:p>
    <w:bookmarkEnd w:id="2438"/>
    <w:bookmarkEnd w:id="2439"/>
    <w:bookmarkStart w:id="2442" w:name="dier--en-laboratoriumstudies-54"/>
    <w:p>
      <w:pPr>
        <w:pStyle w:val="Heading3"/>
      </w:pPr>
      <w:r>
        <w:t xml:space="preserve">Dier- en laboratoriumstudies</w:t>
      </w:r>
    </w:p>
    <w:p>
      <w:pPr>
        <w:pStyle w:val="FirstParagraph"/>
      </w:pPr>
      <w:r>
        <w:t xml:space="preserve">In celkweken en bij knaagdieren werkt carnosine antioxidatief, remt het de glycatie van eiwitten en bindt het reactieve aldehyden. Bij muizen en ratten verbeterde het in veel proeven de bloedsuiker, nierschade bij diabetes, wondgenezing en vaatfunctie. De meta-analyse van Matthews 2021 sloot naast vier studies bij mensen 16 knaagdierstudies in en beoordeelde de betrouwbaarheid van de dierlijke gegevens als zeer laag</w:t>
      </w:r>
      <w:r>
        <w:rPr>
          <w:rStyle w:val="FootnoteReference"/>
        </w:rPr>
        <w:footnoteReference w:id="2440"/>
      </w:r>
      <w:r>
        <w:t xml:space="preserve">.</w:t>
      </w:r>
    </w:p>
    <w:p>
      <w:pPr>
        <w:pStyle w:val="BodyText"/>
      </w:pPr>
      <w:r>
        <w:t xml:space="preserve">Een fundamenteel overdrachtsprobleem blijft: knaagdieren hebben in het bloed praktisch geen carnosinase. Bij muizen bij wie men het menselijke enzym genetisch had ingebouwd, verliepen diabetes en nierschade ernstiger</w:t>
      </w:r>
      <w:r>
        <w:rPr>
          <w:rStyle w:val="FootnoteReference"/>
        </w:rPr>
        <w:footnoteReference w:id="2441"/>
      </w:r>
      <w:r>
        <w:t xml:space="preserve">. Dat pleit ervoor dat het enzym bij mensen het effect van toegediend carnosine aanzienlijk zou kunnen beperken.</w:t>
      </w:r>
    </w:p>
    <w:bookmarkEnd w:id="2442"/>
    <w:bookmarkStart w:id="2445" w:name="risicos-en-bijwerkingen-54"/>
    <w:p>
      <w:pPr>
        <w:pStyle w:val="Heading3"/>
      </w:pPr>
      <w:r>
        <w:t xml:space="preserve">Risico’s en bijwerkingen</w:t>
      </w:r>
    </w:p>
    <w:p>
      <w:pPr>
        <w:pStyle w:val="FirstParagraph"/>
      </w:pPr>
      <w:r>
        <w:rPr>
          <w:bCs/>
          <w:b/>
        </w:rPr>
        <w:t xml:space="preserve">Aangetoond:</w:t>
      </w:r>
      <w:r>
        <w:t xml:space="preserve"> </w:t>
      </w:r>
      <w:r>
        <w:t xml:space="preserve">in de tot nu toe uitgevoerde studies – met dagelijkse hoeveelheden tot 2 g gedurende maximaal 14 weken – werden geen relevante bijwerkingen gemeld. In de NEAT-studie met bijna 300 deelnemers werden geen veranderingen gevonden in nier-, lever- en hartfunctie of bloedzouten</w:t>
      </w:r>
      <w:r>
        <w:rPr>
          <w:rStyle w:val="FootnoteReference"/>
        </w:rPr>
        <w:footnoteReference w:id="2443"/>
      </w:r>
      <w:r>
        <w:t xml:space="preserve">.</w:t>
      </w:r>
    </w:p>
    <w:p>
      <w:pPr>
        <w:pStyle w:val="BodyText"/>
      </w:pPr>
      <w:r>
        <w:rPr>
          <w:bCs/>
          <w:b/>
        </w:rPr>
        <w:t xml:space="preserve">Bèta-alanine:</w:t>
      </w:r>
      <w:r>
        <w:t xml:space="preserve"> </w:t>
      </w:r>
      <w:r>
        <w:t xml:space="preserve">de enige regelmatig gemelde bijwerking is een onschuldige, maar onaangename tinteling van de huid (paresthesie), meestal in het gezicht en aan de handen, kort na de inname. Een risicobeoordeling met 101 studies bij mensen schatte de kans (odds) daarop onder bèta-alanine ongeveer negen keer zo hoog als onder placebo (odds ratio 8,9); de uitvalpercentages verschilden niet, en een geringe stijging van een leverwaarde bleef binnen het normaalbereik</w:t>
      </w:r>
      <w:r>
        <w:rPr>
          <w:rStyle w:val="FootnoteReference"/>
        </w:rPr>
        <w:footnoteReference w:id="2444"/>
      </w:r>
      <w:r>
        <w:t xml:space="preserve">.</w:t>
      </w:r>
    </w:p>
    <w:p>
      <w:pPr>
        <w:pStyle w:val="BodyText"/>
      </w:pPr>
      <w:r>
        <w:rPr>
          <w:bCs/>
          <w:b/>
        </w:rPr>
        <w:t xml:space="preserve">Theoretisch of onduidelijk:</w:t>
      </w:r>
    </w:p>
    <w:p>
      <w:pPr>
        <w:numPr>
          <w:ilvl w:val="0"/>
          <w:numId w:val="1304"/>
        </w:numPr>
        <w:pStyle w:val="Compact"/>
      </w:pPr>
      <w:r>
        <w:t xml:space="preserve">Langetermijngegevens over meer dan een jaar ontbreken.</w:t>
      </w:r>
    </w:p>
    <w:p>
      <w:pPr>
        <w:numPr>
          <w:ilvl w:val="0"/>
          <w:numId w:val="1304"/>
        </w:numPr>
        <w:pStyle w:val="Compact"/>
      </w:pPr>
      <w:r>
        <w:t xml:space="preserve">Voor zwangerschap, borstvoeding en kinderen (behalve de genoemde kleine studies) zijn geen veiligheidsgegevens beschikbaar.</w:t>
      </w:r>
    </w:p>
    <w:p>
      <w:pPr>
        <w:numPr>
          <w:ilvl w:val="0"/>
          <w:numId w:val="1304"/>
        </w:numPr>
        <w:pStyle w:val="Compact"/>
      </w:pPr>
      <w:r>
        <w:t xml:space="preserve">Bij diabetesmedicijnen is een versterking van de bloedsuikerdaling denkbaar, maar niet aangetoond; bloedsuikercontroles en overleg met een arts zijn zinvol.</w:t>
      </w:r>
    </w:p>
    <w:p>
      <w:pPr>
        <w:numPr>
          <w:ilvl w:val="0"/>
          <w:numId w:val="1304"/>
        </w:numPr>
        <w:pStyle w:val="Compact"/>
      </w:pPr>
      <w:r>
        <w:t xml:space="preserve">Zoals bij alle voedingssupplementen hangt de kwaliteit af van de fabrikant.</w:t>
      </w:r>
    </w:p>
    <w:bookmarkEnd w:id="2445"/>
    <w:bookmarkStart w:id="2446" w:name="juridische-status-54"/>
    <w:p>
      <w:pPr>
        <w:pStyle w:val="Heading3"/>
      </w:pPr>
      <w:r>
        <w:t xml:space="preserve">Juridische status</w:t>
      </w:r>
    </w:p>
    <w:p>
      <w:pPr>
        <w:numPr>
          <w:ilvl w:val="0"/>
          <w:numId w:val="1305"/>
        </w:numPr>
        <w:pStyle w:val="Compact"/>
      </w:pPr>
      <w:r>
        <w:rPr>
          <w:bCs/>
          <w:b/>
        </w:rPr>
        <w:t xml:space="preserve">EU / Oostenrijk / Duitsland:</w:t>
      </w:r>
      <w:r>
        <w:t xml:space="preserve"> </w:t>
      </w:r>
      <w:r>
        <w:t xml:space="preserve">carnosine is als voedingssupplement in de handel. Voor carnosine bestaat geen toegelaten gezondheidsclaim volgens de claimsverordening (Verordening (EG) nr. 1924/2006); reclameclaims als „anti-aging” of „beschermt de cellen” zijn daarmee niet toegestaan. Of afzonderlijke bereidingen als nieuw voedingsmiddel (novel food) moeten worden ingedeeld, kan per product verschillen – actuele situatie controleren. Zinkcarnosine is in de EU niet als geneesmiddel geregistreerd; voor N-acetylcarnosine-oogdruppels bestaat geen registratie als geneesmiddel tegen staar.</w:t>
      </w:r>
    </w:p>
    <w:p>
      <w:pPr>
        <w:numPr>
          <w:ilvl w:val="0"/>
          <w:numId w:val="1305"/>
        </w:numPr>
        <w:pStyle w:val="Compact"/>
      </w:pPr>
      <w:r>
        <w:rPr>
          <w:bCs/>
          <w:b/>
        </w:rPr>
        <w:t xml:space="preserve">VS:</w:t>
      </w:r>
      <w:r>
        <w:t xml:space="preserve"> </w:t>
      </w:r>
      <w:r>
        <w:t xml:space="preserve">verkrijgbaar als voedingssupplement, zonder registratie als geneesmiddel.</w:t>
      </w:r>
    </w:p>
    <w:p>
      <w:pPr>
        <w:numPr>
          <w:ilvl w:val="0"/>
          <w:numId w:val="1305"/>
        </w:numPr>
        <w:pStyle w:val="Compact"/>
      </w:pPr>
      <w:r>
        <w:rPr>
          <w:bCs/>
          <w:b/>
        </w:rPr>
        <w:t xml:space="preserve">Japan:</w:t>
      </w:r>
      <w:r>
        <w:t xml:space="preserve"> </w:t>
      </w:r>
      <w:r>
        <w:t xml:space="preserve">polaprezinc (zinkcarnosine) is een geregistreerd maagmiddel.</w:t>
      </w:r>
    </w:p>
    <w:p>
      <w:pPr>
        <w:numPr>
          <w:ilvl w:val="0"/>
          <w:numId w:val="1305"/>
        </w:numPr>
        <w:pStyle w:val="Compact"/>
      </w:pPr>
      <w:r>
        <w:rPr>
          <w:bCs/>
          <w:b/>
        </w:rPr>
        <w:t xml:space="preserve">Sport:</w:t>
      </w:r>
      <w:r>
        <w:t xml:space="preserve"> </w:t>
      </w:r>
      <w:r>
        <w:t xml:space="preserve">carnosine en bèta-alanine staan geen van beide op de verboden lijst van de WADA (stand 2026, actuele situatie controleren).</w:t>
      </w:r>
    </w:p>
    <w:bookmarkEnd w:id="2446"/>
    <w:bookmarkStart w:id="2450" w:name="lopende-studies-en-vooruitzichten-54"/>
    <w:p>
      <w:pPr>
        <w:pStyle w:val="Heading3"/>
      </w:pPr>
      <w:r>
        <w:t xml:space="preserve">Lopende studies en vooruitzichten</w:t>
      </w:r>
    </w:p>
    <w:p>
      <w:pPr>
        <w:pStyle w:val="FirstParagraph"/>
      </w:pPr>
      <w:r>
        <w:rPr>
          <w:bCs/>
          <w:b/>
        </w:rPr>
        <w:t xml:space="preserve">Zeker (geregistreerde studies, stand oktober 2026):</w:t>
      </w:r>
    </w:p>
    <w:p>
      <w:pPr>
        <w:numPr>
          <w:ilvl w:val="0"/>
          <w:numId w:val="1306"/>
        </w:numPr>
        <w:pStyle w:val="Compact"/>
      </w:pPr>
      <w:r>
        <w:rPr>
          <w:bCs/>
          <w:b/>
        </w:rPr>
        <w:t xml:space="preserve">Perifeer arterieel vaatlijden:</w:t>
      </w:r>
      <w:r>
        <w:t xml:space="preserve"> </w:t>
      </w:r>
      <w:r>
        <w:t xml:space="preserve">een fase 1/2-studie met gepland 144 deelnemers onderzoekt carnosine bij doorbloedingsstoornissen van de benen</w:t>
      </w:r>
      <w:r>
        <w:rPr>
          <w:rStyle w:val="FootnoteReference"/>
        </w:rPr>
        <w:footnoteReference w:id="2447"/>
      </w:r>
      <w:r>
        <w:t xml:space="preserve">; eerdere kleinere studies over hetzelfde onderwerp zijn afgerond of staan vermeld met onbekende status.</w:t>
      </w:r>
    </w:p>
    <w:p>
      <w:pPr>
        <w:numPr>
          <w:ilvl w:val="0"/>
          <w:numId w:val="1306"/>
        </w:numPr>
        <w:pStyle w:val="Compact"/>
      </w:pPr>
      <w:r>
        <w:rPr>
          <w:bCs/>
          <w:b/>
        </w:rPr>
        <w:t xml:space="preserve">Gerotherapie:</w:t>
      </w:r>
      <w:r>
        <w:t xml:space="preserve"> </w:t>
      </w:r>
      <w:r>
        <w:t xml:space="preserve">een kleine fase 3-studie met 30 deelnemers test combinaties van stoffen ter verbetering van de gezonde levensduur, waaronder carnosine</w:t>
      </w:r>
      <w:r>
        <w:rPr>
          <w:rStyle w:val="FootnoteReference"/>
        </w:rPr>
        <w:footnoteReference w:id="2448"/>
      </w:r>
      <w:r>
        <w:t xml:space="preserve">.</w:t>
      </w:r>
    </w:p>
    <w:p>
      <w:pPr>
        <w:numPr>
          <w:ilvl w:val="0"/>
          <w:numId w:val="1306"/>
        </w:numPr>
        <w:pStyle w:val="Compact"/>
      </w:pPr>
      <w:r>
        <w:t xml:space="preserve">De NEAT-studie</w:t>
      </w:r>
      <w:r>
        <w:rPr>
          <w:rStyle w:val="FootnoteReference"/>
        </w:rPr>
        <w:footnoteReference w:id="2449"/>
      </w:r>
      <w:r>
        <w:t xml:space="preserve"> </w:t>
      </w:r>
      <w:r>
        <w:t xml:space="preserve">is afgerond; verdere analyses over bloedvaten en luchtvervuiling zijn mogelijk.</w:t>
      </w:r>
    </w:p>
    <w:p>
      <w:pPr>
        <w:pStyle w:val="FirstParagraph"/>
      </w:pPr>
      <w:r>
        <w:rPr>
          <w:bCs/>
          <w:b/>
        </w:rPr>
        <w:t xml:space="preserve">Inschatting:</w:t>
      </w:r>
      <w:r>
        <w:t xml:space="preserve"> </w:t>
      </w:r>
      <w:r>
        <w:t xml:space="preserve">carnosine is biologisch interessant, maar de studies bij mensen zijn klein en niet eenduidig. Voor de sport is de voorloper bèta-alanine de beter onderbouwde weg. Voor diabetes en hersenveroudering zouden grotere, langere studies met klinische eindpunten nodig zijn. Een onderzoeksaanpak zijn carnosinaseresistente afgeleiden die in het bloed niet meteen worden afgebroken – die bevinden zich echter nog in het laboratoriumstadium.</w:t>
      </w:r>
    </w:p>
    <w:bookmarkEnd w:id="2450"/>
    <w:bookmarkStart w:id="2451" w:name="conclusie-54"/>
    <w:p>
      <w:pPr>
        <w:pStyle w:val="Heading3"/>
      </w:pPr>
      <w:r>
        <w:t xml:space="preserve">Conclusie</w:t>
      </w:r>
    </w:p>
    <w:p>
      <w:pPr>
        <w:pStyle w:val="FirstParagraph"/>
      </w:pPr>
      <w:r>
        <w:t xml:space="preserve">Carnosine is een lichaamseigen dipeptide dat in de spier zuur buffert en in het laboratorium cellen beschermt tegen afbraakproducten van suikers en vetten. Bij mensen wordt het in het bloed snel afgebroken door het enzym carnosinase, waardoor resultaten uit dierproeven slechts beperkt overdraagbaar zijn. Kleine studies en meta-analyses wijzen op een lichte verbetering van de langetermijnbloedsuiker bij diabetes en op effecten op ontstekingsmarkers; voor prestaties, geheugen en huidveroudering zijn de gegevens zwak of tegenstrijdig. Voor sportprestaties is de voorloper bèta-alanine beter onderzocht en geassocieerd met kleine voordelen bij korte intensieve belastingen. Carnosine geldt in de onderzochte hoeveelheden als goed verdraagbaar.</w:t>
      </w:r>
    </w:p>
    <w:bookmarkEnd w:id="2451"/>
    <w:bookmarkEnd w:id="2452"/>
    <w:bookmarkStart w:id="2480" w:name="ghk-cu-koperpeptide"/>
    <w:p>
      <w:pPr>
        <w:pStyle w:val="Heading2"/>
      </w:pPr>
      <w:r>
        <w:t xml:space="preserve">GHK-Cu (koperpeptide)</w:t>
      </w:r>
    </w:p>
    <w:bookmarkStart w:id="2454" w:name="profiel-55"/>
    <w:p>
      <w:pPr>
        <w:pStyle w:val="Heading3"/>
      </w:pPr>
      <w:r>
        <w:t xml:space="preserve">Profiel</w:t>
      </w:r>
    </w:p>
    <w:p>
      <w:pPr>
        <w:numPr>
          <w:ilvl w:val="0"/>
          <w:numId w:val="1307"/>
        </w:numPr>
        <w:pStyle w:val="Compact"/>
      </w:pPr>
      <w:r>
        <w:rPr>
          <w:bCs/>
          <w:b/>
        </w:rPr>
        <w:t xml:space="preserve">Soort/structuur:</w:t>
      </w:r>
      <w:r>
        <w:t xml:space="preserve"> </w:t>
      </w:r>
      <w:r>
        <w:t xml:space="preserve">tripeptide uit glycine, histidine en lysine (Gly-His-Lys, kort GHK) dat een koperion stevig bindt. In ingrediëntenlijsten van cosmetica heet het meestal</w:t>
      </w:r>
      <w:r>
        <w:t xml:space="preserve"> </w:t>
      </w:r>
      <w:r>
        <w:rPr>
          <w:iCs/>
          <w:i/>
        </w:rPr>
        <w:t xml:space="preserve">Copper Tripeptide-1</w:t>
      </w:r>
      <w:r>
        <w:t xml:space="preserve">. Een verwante vorm zonder koper, maar met een vetzuurrest, is palmitoyl-tripeptide-1 (Pal-GHK), een bestanddeel van „Matrixyl 3000”.</w:t>
      </w:r>
    </w:p>
    <w:p>
      <w:pPr>
        <w:numPr>
          <w:ilvl w:val="0"/>
          <w:numId w:val="1307"/>
        </w:numPr>
        <w:pStyle w:val="Compact"/>
      </w:pPr>
      <w:r>
        <w:rPr>
          <w:bCs/>
          <w:b/>
        </w:rPr>
        <w:t xml:space="preserve">Herkomst:</w:t>
      </w:r>
      <w:r>
        <w:t xml:space="preserve"> </w:t>
      </w:r>
      <w:r>
        <w:t xml:space="preserve">lichaamseigen. GHK werd in de jaren 1970 ontdekt in menselijk bloedplasma</w:t>
      </w:r>
      <w:r>
        <w:rPr>
          <w:rStyle w:val="FootnoteReference"/>
        </w:rPr>
        <w:footnoteReference w:id="2453"/>
      </w:r>
      <w:r>
        <w:t xml:space="preserve"> </w:t>
      </w:r>
      <w:r>
        <w:t xml:space="preserve">en komt ook voor in speeksel en urine. De sequentie GHK maakt deel uit van collageen en zou bij de afbraak ervan kunnen vrijkomen. Voor producten wordt het synthetisch vervaardigd.</w:t>
      </w:r>
    </w:p>
    <w:p>
      <w:pPr>
        <w:numPr>
          <w:ilvl w:val="0"/>
          <w:numId w:val="1307"/>
        </w:numPr>
        <w:pStyle w:val="Compact"/>
      </w:pPr>
      <w:r>
        <w:rPr>
          <w:bCs/>
          <w:b/>
        </w:rPr>
        <w:t xml:space="preserve">Werkingsprincipe:</w:t>
      </w:r>
      <w:r>
        <w:t xml:space="preserve"> </w:t>
      </w:r>
      <w:r>
        <w:t xml:space="preserve">zou de wondgenezing en de ombouw van het bindweefsel stimuleren, onder meer door transport van koper naar cellen en stimulatie van de collageenaanmaak.</w:t>
      </w:r>
    </w:p>
    <w:p>
      <w:pPr>
        <w:numPr>
          <w:ilvl w:val="0"/>
          <w:numId w:val="1307"/>
        </w:numPr>
        <w:pStyle w:val="Compact"/>
      </w:pPr>
      <w:r>
        <w:rPr>
          <w:bCs/>
          <w:b/>
        </w:rPr>
        <w:t xml:space="preserve">Gebruik:</w:t>
      </w:r>
      <w:r>
        <w:t xml:space="preserve"> </w:t>
      </w:r>
      <w:r>
        <w:t xml:space="preserve">toegestaan als ingrediënt in cosmetica (crèmes, serums, haarverzorging). Daarnaast op de grijze markt aangeboden als „research peptide” voor injectie.</w:t>
      </w:r>
    </w:p>
    <w:p>
      <w:pPr>
        <w:numPr>
          <w:ilvl w:val="0"/>
          <w:numId w:val="1307"/>
        </w:numPr>
        <w:pStyle w:val="Compact"/>
      </w:pPr>
      <w:r>
        <w:rPr>
          <w:bCs/>
          <w:b/>
        </w:rPr>
        <w:t xml:space="preserve">Registratie EU:</w:t>
      </w:r>
      <w:r>
        <w:t xml:space="preserve"> </w:t>
      </w:r>
      <w:r>
        <w:t xml:space="preserve">geen registratie als geneesmiddel. Bruikbaar als cosmetisch ingrediënt.</w:t>
      </w:r>
    </w:p>
    <w:p>
      <w:pPr>
        <w:numPr>
          <w:ilvl w:val="0"/>
          <w:numId w:val="1307"/>
        </w:numPr>
        <w:pStyle w:val="Compact"/>
      </w:pPr>
      <w:r>
        <w:rPr>
          <w:bCs/>
          <w:b/>
        </w:rPr>
        <w:t xml:space="preserve">Registratie VS:</w:t>
      </w:r>
      <w:r>
        <w:t xml:space="preserve"> </w:t>
      </w:r>
      <w:r>
        <w:t xml:space="preserve">geen registratie als geneesmiddel; als cosmetisch ingrediënt in de handel. Voor het bereiden van injecteerbare preparaten in apotheken gelden beperkingen (zie Juridische status).</w:t>
      </w:r>
    </w:p>
    <w:p>
      <w:pPr>
        <w:numPr>
          <w:ilvl w:val="0"/>
          <w:numId w:val="1307"/>
        </w:numPr>
        <w:pStyle w:val="Compact"/>
      </w:pPr>
      <w:r>
        <w:rPr>
          <w:bCs/>
          <w:b/>
        </w:rPr>
        <w:t xml:space="preserve">WADA:</w:t>
      </w:r>
      <w:r>
        <w:t xml:space="preserve"> </w:t>
      </w:r>
      <w:r>
        <w:t xml:space="preserve">niet bij naam vermeld. Bij injectie als niet-goedgekeurde werkzame stof kan categorie S0 („niet-goedgekeurde substanties”) van toepassing zijn.</w:t>
      </w:r>
    </w:p>
    <w:p>
      <w:pPr>
        <w:numPr>
          <w:ilvl w:val="0"/>
          <w:numId w:val="1307"/>
        </w:numPr>
        <w:pStyle w:val="Compact"/>
      </w:pPr>
      <w:r>
        <w:rPr>
          <w:bCs/>
          <w:b/>
        </w:rPr>
        <w:t xml:space="preserve">Bewijsniveau:</w:t>
      </w:r>
      <w:r>
        <w:t xml:space="preserve"> </w:t>
      </w:r>
      <w:r>
        <w:rPr>
          <w:bCs/>
          <w:b/>
        </w:rPr>
        <w:t xml:space="preserve">C</w:t>
      </w:r>
      <w:r>
        <w:t xml:space="preserve"> </w:t>
      </w:r>
      <w:r>
        <w:t xml:space="preserve">– één oudere gerandomiseerde wondstudie en enkele zeer kleine huidstudies; voor de toepassingen die tegenwoordig worden aangeprezen (anti-agingcosmetica, injecties) geen betrouwbare gecontroleerde gegevens bij mensen.</w:t>
      </w:r>
    </w:p>
    <w:bookmarkEnd w:id="2454"/>
    <w:bookmarkStart w:id="2461" w:name="hoe-het-zou-moeten-werken-55"/>
    <w:p>
      <w:pPr>
        <w:pStyle w:val="Heading3"/>
      </w:pPr>
      <w:r>
        <w:t xml:space="preserve">Hoe het zou moeten werken</w:t>
      </w:r>
    </w:p>
    <w:p>
      <w:pPr>
        <w:pStyle w:val="FirstParagraph"/>
      </w:pPr>
      <w:r>
        <w:t xml:space="preserve">GHK bindt koper zo stevig dat het dit vitale sporenelement naar cellen kan transporteren. Koper is nodig voor meerdere enzymen die belangrijk zijn voor het bindweefsel, bijvoorbeeld lysyloxidase, dat collageen- en elastinevezels met elkaar verbindt. Een vroeg artikel vermoedde al in 1980 dat GHK zijn werking op cellen uitoefent door de opname van koper te vergemakkelijken</w:t>
      </w:r>
      <w:r>
        <w:rPr>
          <w:rStyle w:val="FootnoteReference"/>
        </w:rPr>
        <w:footnoteReference w:id="2455"/>
      </w:r>
      <w:r>
        <w:t xml:space="preserve">.</w:t>
      </w:r>
    </w:p>
    <w:p>
      <w:pPr>
        <w:pStyle w:val="BodyText"/>
      </w:pPr>
      <w:r>
        <w:t xml:space="preserve">In celkweken stimuleerde GHK-Cu de collageenaanmaak van fibroblasten al in extreem lage concentraties; het maximum lag bij ongeveer één nanomol per liter</w:t>
      </w:r>
      <w:r>
        <w:rPr>
          <w:rStyle w:val="FootnoteReference"/>
        </w:rPr>
        <w:footnoteReference w:id="2456"/>
      </w:r>
      <w:r>
        <w:t xml:space="preserve">. De ontdekker van GHK, Loren Pickart, heeft in meerdere overzichtsartikelen een groot aantal andere effecten beschreven – op wondgenezing, haargroei, ontsteking, zenuwgroei en zelfs op de activiteit van duizenden genen</w:t>
      </w:r>
      <w:r>
        <w:rPr>
          <w:rStyle w:val="FootnoteReference"/>
        </w:rPr>
        <w:footnoteReference w:id="2457"/>
      </w:r>
      <w:r>
        <w:t xml:space="preserve">. Deze uitspraken berusten overwegend op cel- en dierproeven en op genexpressiegegevens uit databanken, niet op studies bij mensen. Bovendien komen veel van deze overzichten uit de kring van de personen die GHK-Cu ook commercieel hebben ontwikkeld – een omstandigheid die lezers bij de beoordeling moeten kennen.</w:t>
      </w:r>
    </w:p>
    <w:bookmarkStart w:id="2460" w:name="komt-het-peptide-door-de-huid"/>
    <w:p>
      <w:pPr>
        <w:pStyle w:val="Heading4"/>
      </w:pPr>
      <w:r>
        <w:t xml:space="preserve">Komt het peptide door de huid?</w:t>
      </w:r>
    </w:p>
    <w:p>
      <w:pPr>
        <w:pStyle w:val="FirstParagraph"/>
      </w:pPr>
      <w:r>
        <w:t xml:space="preserve">Voor cosmetisch gebruik is beslissend of GHK-Cu de huidbarrière passeert. De hoornlaag van de huid is slecht doorlaatbaar voor wateroplosbare, geladen moleculen zoals GHK. Een overzichtsartikel uit 2025 concludeert dat GHK in celproeven ongetwijfeld als antirimpelstof zou kunnen gelden, maar dat er opvallend weinig klinische studies zijn; koperbinding en vetzuuraanhangsels verbeteren de doorlaatbaarheid, en microneedles en andere hulpmiddelen worden onderzocht</w:t>
      </w:r>
      <w:r>
        <w:rPr>
          <w:rStyle w:val="FootnoteReference"/>
        </w:rPr>
        <w:footnoteReference w:id="2458"/>
      </w:r>
      <w:r>
        <w:t xml:space="preserve">. Een onderzoek bij drie vrijwilligers vond het verwante Pal-GHK na het aanbrengen in alle lagen van de hoornlaag, maar alleen tussen de cellen en met afnemende hoeveelheid in de diepte</w:t>
      </w:r>
      <w:r>
        <w:rPr>
          <w:rStyle w:val="FootnoteReference"/>
        </w:rPr>
        <w:footnoteReference w:id="2459"/>
      </w:r>
      <w:r>
        <w:t xml:space="preserve">. Of voldoende hoeveelheden de diepere huidlagen bereiken, waar collageen wordt gevormd, is niet opgehelderd.</w:t>
      </w:r>
    </w:p>
    <w:bookmarkEnd w:id="2460"/>
    <w:bookmarkEnd w:id="2461"/>
    <w:bookmarkStart w:id="2465" w:name="studies-bij-mensen-55"/>
    <w:p>
      <w:pPr>
        <w:pStyle w:val="Heading3"/>
      </w:pPr>
      <w:r>
        <w:t xml:space="preserve">Studies bij mensen</w:t>
      </w:r>
    </w:p>
    <w:p>
      <w:pPr>
        <w:pStyle w:val="FirstParagraph"/>
      </w:pPr>
      <w:r>
        <w:t xml:space="preserve">De voor dit boek uitgevoerde PubMed-zoekopdracht (GHK-Cu, koper-tripeptide of koperpeptide GHK in titel of abstract, zoekdatum oktober 2026) leverde slechts</w:t>
      </w:r>
      <w:r>
        <w:t xml:space="preserve"> </w:t>
      </w:r>
      <w:r>
        <w:rPr>
          <w:bCs/>
          <w:b/>
        </w:rPr>
        <w:t xml:space="preserve">één</w:t>
      </w:r>
      <w:r>
        <w:t xml:space="preserve"> </w:t>
      </w:r>
      <w:r>
        <w:t xml:space="preserve">studie bij mensen op. Op ClinicalTrials.gov leverde de zoekopdracht 25 registraties op, waarvan echter bijna alle andere koperverbindingen betreffen (bijvoorbeeld radioactief koper-64 voor beeldvorming). Slechts één geloofwaardige registratie onderzoekt daadwerkelijk GHK of GHK-Cu; een andere registratie over een GHK-Cu-wondgel komt van een sponsor van wie de registraties na onze controle kennelijk fictieve voorbeeld- of testregistraties zijn, en wordt daarom hier niet meegenomen. Een uitgebreidere zoekopdracht leverde daarnaast de hieronder genoemde oudere wondstudie en afzonderlijke casusbeschrijvingen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Mulder 1994, PMID 17147644</w:t>
            </w:r>
          </w:p>
        </w:tc>
        <w:tc>
          <w:tcPr/>
          <w:p>
            <w:pPr>
              <w:pStyle w:val="Compact"/>
              <w:jc w:val="left"/>
            </w:pPr>
            <w:r>
              <w:t xml:space="preserve">mensen met diabetische voetzweren, multicenter, gerandomiseerd, geblindeerde beoordeling, GHK-Cu-gel vs. dragergel</w:t>
            </w:r>
          </w:p>
        </w:tc>
        <w:tc>
          <w:tcPr/>
          <w:p>
            <w:pPr>
              <w:pStyle w:val="Compact"/>
              <w:jc w:val="left"/>
            </w:pPr>
            <w:r>
              <w:t xml:space="preserve">n.v.t. in abstract</w:t>
            </w:r>
          </w:p>
        </w:tc>
        <w:tc>
          <w:tcPr/>
          <w:p>
            <w:pPr>
              <w:pStyle w:val="Compact"/>
              <w:jc w:val="left"/>
            </w:pPr>
            <w:r>
              <w:t xml:space="preserve">Mediane verkleining van het wondoppervlak 98,5% vs. 60,8%; infecties 7% vs. 34%</w:t>
            </w:r>
          </w:p>
        </w:tc>
      </w:tr>
      <w:tr>
        <w:tc>
          <w:tcPr/>
          <w:p>
            <w:pPr>
              <w:pStyle w:val="Compact"/>
              <w:jc w:val="left"/>
            </w:pPr>
            <w:r>
              <w:t xml:space="preserve">Miller 2006, PMID 16847171</w:t>
            </w:r>
          </w:p>
        </w:tc>
        <w:tc>
          <w:tcPr/>
          <w:p>
            <w:pPr>
              <w:pStyle w:val="Compact"/>
              <w:jc w:val="left"/>
            </w:pPr>
            <w:r>
              <w:t xml:space="preserve">huidverzorging na CO₂-laserbehandeling, gerandomiseerd, 13 analyseerbaar</w:t>
            </w:r>
          </w:p>
        </w:tc>
        <w:tc>
          <w:tcPr/>
          <w:p>
            <w:pPr>
              <w:pStyle w:val="Compact"/>
              <w:jc w:val="left"/>
            </w:pPr>
            <w:r>
              <w:t xml:space="preserve">12 weken</w:t>
            </w:r>
          </w:p>
        </w:tc>
        <w:tc>
          <w:tcPr/>
          <w:p>
            <w:pPr>
              <w:pStyle w:val="Compact"/>
              <w:jc w:val="left"/>
            </w:pPr>
            <w:r>
              <w:t xml:space="preserve">Geen verschil in roodheid, rimpels of huidkwaliteit volgens meting en geblindeerde beoordeling; hogere tevredenheid in de vragenlijst</w:t>
            </w:r>
          </w:p>
        </w:tc>
      </w:tr>
      <w:tr>
        <w:tc>
          <w:tcPr/>
          <w:p>
            <w:pPr>
              <w:pStyle w:val="Compact"/>
              <w:jc w:val="left"/>
            </w:pPr>
            <w:r>
              <w:t xml:space="preserve">Byun 2016, PMID 27064823</w:t>
            </w:r>
          </w:p>
        </w:tc>
        <w:tc>
          <w:tcPr/>
          <w:p>
            <w:pPr>
              <w:pStyle w:val="Compact"/>
              <w:jc w:val="left"/>
            </w:pPr>
            <w:r>
              <w:t xml:space="preserve">1 man, mengsel van GHK-Cu, hyaluronzuur, plantenextract, tranexaminezuur en bètaglucaan met sproeiapparaat</w:t>
            </w:r>
          </w:p>
        </w:tc>
        <w:tc>
          <w:tcPr/>
          <w:p>
            <w:pPr>
              <w:pStyle w:val="Compact"/>
              <w:jc w:val="left"/>
            </w:pPr>
            <w:r>
              <w:t xml:space="preserve">12 weken</w:t>
            </w:r>
          </w:p>
        </w:tc>
        <w:tc>
          <w:tcPr/>
          <w:p>
            <w:pPr>
              <w:pStyle w:val="Compact"/>
              <w:jc w:val="left"/>
            </w:pPr>
            <w:r>
              <w:t xml:space="preserve">Minder rimpels rond de ogen; meer collageen in huidbiopten (afzonderlijk geval, combinatieproduct)</w:t>
            </w:r>
          </w:p>
        </w:tc>
      </w:tr>
    </w:tbl>
    <w:p>
      <w:pPr>
        <w:pStyle w:val="BodyText"/>
      </w:pPr>
      <w:r>
        <w:rPr>
          <w:bCs/>
          <w:b/>
        </w:rPr>
        <w:t xml:space="preserve">De wondstudie uit 1994</w:t>
      </w:r>
      <w:r>
        <w:t xml:space="preserve"> </w:t>
      </w:r>
      <w:r>
        <w:t xml:space="preserve">is de enige gecontroleerde studie die een klinisch relevant eindpunt heeft verbeterd. Het preparaat (ontwikkeld onder de naam Iamin) heeft echter geen registratie als geneesmiddel gekregen. Het abstract noemt noch het aantal deelnemers noch de studieduur; latere bevestigende studies zijn in PubMed niet te vinden.</w:t>
      </w:r>
    </w:p>
    <w:p>
      <w:pPr>
        <w:pStyle w:val="BodyText"/>
      </w:pPr>
      <w:r>
        <w:rPr>
          <w:bCs/>
          <w:b/>
        </w:rPr>
        <w:t xml:space="preserve">De laserstudie uit 2006</w:t>
      </w:r>
      <w:r>
        <w:t xml:space="preserve"> </w:t>
      </w:r>
      <w:r>
        <w:t xml:space="preserve">is de enige gerandomiseerde studie met een cosmetische vraagstelling die in PubMed is opgenomen. Met slechts 13 analyseerbare patiënten was ze te klein om verschillen betrouwbaar te herkennen – en objectief vond ze er geen.</w:t>
      </w:r>
    </w:p>
    <w:p>
      <w:pPr>
        <w:pStyle w:val="BodyText"/>
      </w:pPr>
      <w:r>
        <w:rPr>
          <w:bCs/>
          <w:b/>
        </w:rPr>
        <w:t xml:space="preserve">Cosmetische studies:</w:t>
      </w:r>
      <w:r>
        <w:t xml:space="preserve"> </w:t>
      </w:r>
      <w:r>
        <w:t xml:space="preserve">in vakboeken en reclamemateriaal worden studies geciteerd waarin GHK-Cu-crèmes rimpels, huiddichtheid en elasticiteit zouden hebben verbeterd. Deze zijn overwegend niet verschenen in tijdschriften die in PubMed zijn opgenomen, of alleen beschikbaar als congresbijdragen en fabrikantenrapporten, en konden voor dit boek niet in het origineel worden gecontroleerd. Een meta-analyse uit 2026 van orale en uitwendig gebruikte peptiden tegen huidveroudering vond dat het nut bij rimpels vooral werd gedragen door</w:t>
      </w:r>
      <w:r>
        <w:t xml:space="preserve"> </w:t>
      </w:r>
      <w:r>
        <w:rPr>
          <w:iCs/>
          <w:i/>
        </w:rPr>
        <w:t xml:space="preserve">oraal</w:t>
      </w:r>
      <w:r>
        <w:t xml:space="preserve"> </w:t>
      </w:r>
      <w:r>
        <w:t xml:space="preserve">ingenomen peptiden; resultaten specifiek voor GHK-Cu vermeldt het abstract niet</w:t>
      </w:r>
      <w:r>
        <w:rPr>
          <w:rStyle w:val="FootnoteReference"/>
        </w:rPr>
        <w:footnoteReference w:id="2462"/>
      </w:r>
      <w:r>
        <w:t xml:space="preserve">.</w:t>
      </w:r>
    </w:p>
    <w:p>
      <w:pPr>
        <w:pStyle w:val="BodyText"/>
      </w:pPr>
      <w:r>
        <w:rPr>
          <w:bCs/>
          <w:b/>
        </w:rPr>
        <w:t xml:space="preserve">Injecties:</w:t>
      </w:r>
      <w:r>
        <w:t xml:space="preserve"> </w:t>
      </w:r>
      <w:r>
        <w:t xml:space="preserve">voor geïnjecteerd GHK-Cu bestaat geen enkele gepubliceerde gecontroleerde studie bij mensen. Een overzichtsartikel voor orthopedie en sportgeneeskunde stelt vast dat er voor gebruik bij aandoeningen van het bewegingsapparaat geen klinische gegevens zijn en dat dosering, frequentie en duur van een behandeling onbekend zijn</w:t>
      </w:r>
      <w:r>
        <w:rPr>
          <w:rStyle w:val="FootnoteReference"/>
        </w:rPr>
        <w:footnoteReference w:id="2463"/>
      </w:r>
      <w:r>
        <w:t xml:space="preserve">. Een ander overzicht van niet-geregistreerde peptiden in de sportgeneeskunde concludeert dat betrouwbare veiligheidsgegevens bij mensen ontbreken en dat er schadepotentieel bestaat</w:t>
      </w:r>
      <w:r>
        <w:rPr>
          <w:rStyle w:val="FootnoteReference"/>
        </w:rPr>
        <w:footnoteReference w:id="2464"/>
      </w:r>
      <w:r>
        <w:t xml:space="preserve">.</w:t>
      </w:r>
    </w:p>
    <w:bookmarkEnd w:id="2465"/>
    <w:bookmarkStart w:id="2472" w:name="dier--en-laboratoriumstudies-55"/>
    <w:p>
      <w:pPr>
        <w:pStyle w:val="Heading3"/>
      </w:pPr>
      <w:r>
        <w:t xml:space="preserve">Dier- en laboratoriumstudies</w:t>
      </w:r>
    </w:p>
    <w:p>
      <w:pPr>
        <w:pStyle w:val="FirstParagraph"/>
      </w:pPr>
      <w:r>
        <w:t xml:space="preserve">De preklinische literatuur is omvangrijk:</w:t>
      </w:r>
    </w:p>
    <w:p>
      <w:pPr>
        <w:numPr>
          <w:ilvl w:val="0"/>
          <w:numId w:val="1308"/>
        </w:numPr>
        <w:pStyle w:val="Compact"/>
      </w:pPr>
      <w:r>
        <w:rPr>
          <w:bCs/>
          <w:b/>
        </w:rPr>
        <w:t xml:space="preserve">Celkweek:</w:t>
      </w:r>
      <w:r>
        <w:t xml:space="preserve"> </w:t>
      </w:r>
      <w:r>
        <w:t xml:space="preserve">verhoging van de collageenaanmaak in fibroblasten</w:t>
      </w:r>
      <w:r>
        <w:rPr>
          <w:rStyle w:val="FootnoteReference"/>
        </w:rPr>
        <w:footnoteReference w:id="2466"/>
      </w:r>
      <w:r>
        <w:t xml:space="preserve">; beïnvloeding van enzymen die bindweefsel op- en afbouwen.</w:t>
      </w:r>
    </w:p>
    <w:p>
      <w:pPr>
        <w:numPr>
          <w:ilvl w:val="0"/>
          <w:numId w:val="1308"/>
        </w:numPr>
        <w:pStyle w:val="Compact"/>
      </w:pPr>
      <w:r>
        <w:rPr>
          <w:bCs/>
          <w:b/>
        </w:rPr>
        <w:t xml:space="preserve">Wondgenezing bij dieren:</w:t>
      </w:r>
      <w:r>
        <w:t xml:space="preserve"> </w:t>
      </w:r>
      <w:r>
        <w:t xml:space="preserve">bij ratten met slecht doorbloede wonden verkleinde het wondoppervlak onder GHK-Cu-gel na 13 dagen met 64,5%, onder de dragergel met 45,6% en zonder behandeling met 28,2%</w:t>
      </w:r>
      <w:r>
        <w:rPr>
          <w:rStyle w:val="FootnoteReference"/>
        </w:rPr>
        <w:footnoteReference w:id="2467"/>
      </w:r>
      <w:r>
        <w:t xml:space="preserve">. Bij muizen bevorderden GHK-Cu-houdende liposomen de vorming van nieuwe bloedvaten in verbrande huid en verkortten ze de genezingstijd</w:t>
      </w:r>
      <w:r>
        <w:rPr>
          <w:rStyle w:val="FootnoteReference"/>
        </w:rPr>
        <w:footnoteReference w:id="2468"/>
      </w:r>
      <w:r>
        <w:t xml:space="preserve">.</w:t>
      </w:r>
    </w:p>
    <w:p>
      <w:pPr>
        <w:numPr>
          <w:ilvl w:val="0"/>
          <w:numId w:val="1308"/>
        </w:numPr>
        <w:pStyle w:val="Compact"/>
      </w:pPr>
      <w:r>
        <w:rPr>
          <w:bCs/>
          <w:b/>
        </w:rPr>
        <w:t xml:space="preserve">Andere organen (bij dieren):</w:t>
      </w:r>
      <w:r>
        <w:t xml:space="preserve"> </w:t>
      </w:r>
      <w:r>
        <w:t xml:space="preserve">bij muizen verzachtte GHK-Cu, in de buikholte gespoten, een experimenteel opgewekte longfibrose</w:t>
      </w:r>
      <w:r>
        <w:rPr>
          <w:rStyle w:val="FootnoteReference"/>
        </w:rPr>
        <w:footnoteReference w:id="2469"/>
      </w:r>
      <w:r>
        <w:t xml:space="preserve">; andere muizenstudies beschrijven effecten bij longschade, darmontsteking en spierzwakte na sigarettenrook. Bij ratten verbeterde het de genezing na vervanging van de kruisband slechts tijdelijk</w:t>
      </w:r>
      <w:r>
        <w:rPr>
          <w:rStyle w:val="FootnoteReference"/>
        </w:rPr>
        <w:footnoteReference w:id="2470"/>
      </w:r>
      <w:r>
        <w:t xml:space="preserve">.</w:t>
      </w:r>
    </w:p>
    <w:p>
      <w:pPr>
        <w:numPr>
          <w:ilvl w:val="0"/>
          <w:numId w:val="1308"/>
        </w:numPr>
        <w:pStyle w:val="Compact"/>
      </w:pPr>
      <w:r>
        <w:rPr>
          <w:bCs/>
          <w:b/>
        </w:rPr>
        <w:t xml:space="preserve">Hersenen (bij muizen):</w:t>
      </w:r>
      <w:r>
        <w:t xml:space="preserve"> </w:t>
      </w:r>
      <w:r>
        <w:t xml:space="preserve">een nog niet peer-reviewed voorpublicatie uit 2026 beschreef bij oude muizen betere leerprestaties na toediening via de neus gedurende acht weken, na korte toediening in de buikholte slechts tijdelijk en alleen bij mannetjes</w:t>
      </w:r>
      <w:r>
        <w:rPr>
          <w:rStyle w:val="FootnoteReference"/>
        </w:rPr>
        <w:footnoteReference w:id="2471"/>
      </w:r>
      <w:r>
        <w:t xml:space="preserve">.</w:t>
      </w:r>
    </w:p>
    <w:p>
      <w:pPr>
        <w:pStyle w:val="FirstParagraph"/>
      </w:pPr>
      <w:r>
        <w:t xml:space="preserve">Deze bevindingen tonen een biologische activiteit, maar kunnen niet zonder meer worden overgedragen op mensen – en zeker niet op cosmetische crèmes met een onduidelijke huiddoorlaatbaarheid.</w:t>
      </w:r>
    </w:p>
    <w:bookmarkEnd w:id="2472"/>
    <w:bookmarkStart w:id="2475" w:name="risicos-en-bijwerkingen-55"/>
    <w:p>
      <w:pPr>
        <w:pStyle w:val="Heading3"/>
      </w:pPr>
      <w:r>
        <w:t xml:space="preserve">Risico’s en bijwerkingen</w:t>
      </w:r>
    </w:p>
    <w:p>
      <w:pPr>
        <w:pStyle w:val="FirstParagraph"/>
      </w:pPr>
      <w:r>
        <w:rPr>
          <w:bCs/>
          <w:b/>
        </w:rPr>
        <w:t xml:space="preserve">Cosmetisch gebruik (aangetoond of waarschijnlijk):</w:t>
      </w:r>
      <w:r>
        <w:t xml:space="preserve"> </w:t>
      </w:r>
      <w:r>
        <w:t xml:space="preserve">GHK-Cu wordt al tientallen jaren in cosmetica gebruikt; in de weinige studies werden geen relevante bijwerkingen gemeld. Zoals bij elk cosmetisch ingrediënt zijn huidirritaties en contactallergieën mogelijk. Koperhoudende serums kunnen chemisch al dan niet verenigbaar zijn met andere werkzame stoffen (bijvoorbeeld vitamine C of zuren) – dat is een kwestie van de formulering.</w:t>
      </w:r>
    </w:p>
    <w:p>
      <w:pPr>
        <w:pStyle w:val="BodyText"/>
      </w:pPr>
      <w:r>
        <w:rPr>
          <w:bCs/>
          <w:b/>
        </w:rPr>
        <w:t xml:space="preserve">Injectie (theoretisch, maar serieus te nemen):</w:t>
      </w:r>
    </w:p>
    <w:p>
      <w:pPr>
        <w:numPr>
          <w:ilvl w:val="0"/>
          <w:numId w:val="1309"/>
        </w:numPr>
        <w:pStyle w:val="Compact"/>
      </w:pPr>
      <w:r>
        <w:rPr>
          <w:bCs/>
          <w:b/>
        </w:rPr>
        <w:t xml:space="preserve">Geen veiligheidsgegevens:</w:t>
      </w:r>
      <w:r>
        <w:t xml:space="preserve"> </w:t>
      </w:r>
      <w:r>
        <w:t xml:space="preserve">er zijn geen systematische gegevens over verdraagbaarheid, dosering of langetermijngevolgen bij mensen.</w:t>
      </w:r>
    </w:p>
    <w:p>
      <w:pPr>
        <w:numPr>
          <w:ilvl w:val="0"/>
          <w:numId w:val="1309"/>
        </w:numPr>
        <w:pStyle w:val="Compact"/>
      </w:pPr>
      <w:r>
        <w:rPr>
          <w:bCs/>
          <w:b/>
        </w:rPr>
        <w:t xml:space="preserve">Wisselende effecten op cellen:</w:t>
      </w:r>
      <w:r>
        <w:t xml:space="preserve"> </w:t>
      </w:r>
      <w:r>
        <w:t xml:space="preserve">al de vroege laboratoriumstudies beschreven dat GHK afhankelijk van het celsysteem groei kan bevorderen, maar ook giftig kan werken</w:t>
      </w:r>
      <w:r>
        <w:rPr>
          <w:rStyle w:val="FootnoteReference"/>
        </w:rPr>
        <w:footnoteReference w:id="2473"/>
      </w:r>
      <w:r>
        <w:t xml:space="preserve">.</w:t>
      </w:r>
    </w:p>
    <w:p>
      <w:pPr>
        <w:numPr>
          <w:ilvl w:val="0"/>
          <w:numId w:val="1309"/>
        </w:numPr>
        <w:pStyle w:val="Compact"/>
      </w:pPr>
      <w:r>
        <w:rPr>
          <w:bCs/>
          <w:b/>
        </w:rPr>
        <w:t xml:space="preserve">Koperbelasting:</w:t>
      </w:r>
      <w:r>
        <w:t xml:space="preserve"> </w:t>
      </w:r>
      <w:r>
        <w:t xml:space="preserve">koper is in hogere hoeveelheden giftig. Hoeveel koper bij herhaalde injecties in het lichaam achterblijft, is niet onderzocht. Bijzonder kwetsbaar zouden mensen met de ziekte van Wilson zijn, een aangeboren koperstapelingsziekte.</w:t>
      </w:r>
    </w:p>
    <w:p>
      <w:pPr>
        <w:numPr>
          <w:ilvl w:val="0"/>
          <w:numId w:val="1309"/>
        </w:numPr>
        <w:pStyle w:val="Compact"/>
      </w:pPr>
      <w:r>
        <w:rPr>
          <w:bCs/>
          <w:b/>
        </w:rPr>
        <w:t xml:space="preserve">Groeisignalen:</w:t>
      </w:r>
      <w:r>
        <w:t xml:space="preserve"> </w:t>
      </w:r>
      <w:r>
        <w:t xml:space="preserve">GHK-Cu bevordert in dierproeven de vorming van nieuwe bloedvaten (angiogenese). Of dat bij bestaande tumoren een risico vormt, is onbekend (theoretisch risico).</w:t>
      </w:r>
    </w:p>
    <w:p>
      <w:pPr>
        <w:numPr>
          <w:ilvl w:val="0"/>
          <w:numId w:val="1309"/>
        </w:numPr>
        <w:pStyle w:val="Compact"/>
      </w:pPr>
      <w:r>
        <w:rPr>
          <w:bCs/>
          <w:b/>
        </w:rPr>
        <w:t xml:space="preserve">Kwaliteit van de grijze markt:</w:t>
      </w:r>
      <w:r>
        <w:t xml:space="preserve"> </w:t>
      </w:r>
      <w:r>
        <w:t xml:space="preserve">„research peptides” worden zonder farmaceutische kwaliteitscontrole vervaardigd. Verontreinigingen, verkeerde hoeveelheden of bacteriële besmetting zijn mogelijk; injecties van niet-steriele producten kunnen leiden tot abcessen en infecties. Een overzicht beschrijft deze risico’s voor injecteerbare „biohacking”-peptiden in het algemeen</w:t>
      </w:r>
      <w:r>
        <w:rPr>
          <w:rStyle w:val="FootnoteReference"/>
        </w:rPr>
        <w:footnoteReference w:id="2474"/>
      </w:r>
      <w:r>
        <w:t xml:space="preserve">. Deel IV behandelt het onderwerp uitgebreid.</w:t>
      </w:r>
    </w:p>
    <w:bookmarkEnd w:id="2475"/>
    <w:bookmarkStart w:id="2476" w:name="juridische-status-55"/>
    <w:p>
      <w:pPr>
        <w:pStyle w:val="Heading3"/>
      </w:pPr>
      <w:r>
        <w:t xml:space="preserve">Juridische status</w:t>
      </w:r>
    </w:p>
    <w:p>
      <w:pPr>
        <w:numPr>
          <w:ilvl w:val="0"/>
          <w:numId w:val="1310"/>
        </w:numPr>
        <w:pStyle w:val="Compact"/>
      </w:pPr>
      <w:r>
        <w:rPr>
          <w:bCs/>
          <w:b/>
        </w:rPr>
        <w:t xml:space="preserve">EU / Oostenrijk / Duitsland:</w:t>
      </w:r>
      <w:r>
        <w:t xml:space="preserve"> </w:t>
      </w:r>
      <w:r>
        <w:t xml:space="preserve">GHK-Cu (Copper Tripeptide-1) mag als ingrediënt in cosmetica worden gebruikt; de EU-cosmeticaverordening (Verordening (EG) nr. 1223/2009) is van toepassing. Cosmetica mogen alleen bestemd zijn voor gebruik op de huid en haar aanhangsels en mogen geen geneeskundige werking claimen; reclameclaims moeten volgens Verordening (EU) nr. 655/2013 onderbouwd kunnen worden. GHK-Cu dat bestemd is voor injectie, is geen cosmetisch product, maar een niet-geregistreerd geneesmiddel. De verkoop ervan voor gebruik bij mensen is niet toegestaan; etiketten als „alleen voor onderzoeksdoeleinden” veranderen daar niets aan.</w:t>
      </w:r>
    </w:p>
    <w:p>
      <w:pPr>
        <w:numPr>
          <w:ilvl w:val="0"/>
          <w:numId w:val="1310"/>
        </w:numPr>
        <w:pStyle w:val="Compact"/>
      </w:pPr>
      <w:r>
        <w:rPr>
          <w:bCs/>
          <w:b/>
        </w:rPr>
        <w:t xml:space="preserve">VS:</w:t>
      </w:r>
      <w:r>
        <w:t xml:space="preserve"> </w:t>
      </w:r>
      <w:r>
        <w:t xml:space="preserve">toegestaan in cosmetica. De FDA heeft GHK-Cu voor injectie naar onze kennis in 2023 op een lijst gezet van werkzame stoffen waarbij ze ernstige veiligheidsbezwaren ziet voor bereiding in apotheken (compounding); de indeling van meerdere peptiden is sindsdien opnieuw besproken.</w:t>
      </w:r>
    </w:p>
    <w:p>
      <w:pPr>
        <w:numPr>
          <w:ilvl w:val="0"/>
          <w:numId w:val="1310"/>
        </w:numPr>
        <w:pStyle w:val="Compact"/>
      </w:pPr>
      <w:r>
        <w:rPr>
          <w:bCs/>
          <w:b/>
        </w:rPr>
        <w:t xml:space="preserve">Sport:</w:t>
      </w:r>
      <w:r>
        <w:t xml:space="preserve"> </w:t>
      </w:r>
      <w:r>
        <w:t xml:space="preserve">GHK-Cu staat niet bij naam op de WADA-lijst. Cosmetische crèmes gelden als onproblematisch. Geïnjecteerd GHK-Cu zou als niet-goedgekeurde substantie onder categorie S0 kunnen vallen; sporters doen er goed aan bij twijfel navraag te doen bij de nationale antidopingorganisatie (stand 2026, actuele situatie controleren).</w:t>
      </w:r>
    </w:p>
    <w:bookmarkEnd w:id="2476"/>
    <w:bookmarkStart w:id="2478" w:name="lopende-studies-en-vooruitzichten-55"/>
    <w:p>
      <w:pPr>
        <w:pStyle w:val="Heading3"/>
      </w:pPr>
      <w:r>
        <w:t xml:space="preserve">Lopende studies en vooruitzichten</w:t>
      </w:r>
    </w:p>
    <w:p>
      <w:pPr>
        <w:pStyle w:val="FirstParagraph"/>
      </w:pPr>
      <w:r>
        <w:rPr>
          <w:bCs/>
          <w:b/>
        </w:rPr>
        <w:t xml:space="preserve">Zeker (geregistreerde studies, stand oktober 2026):</w:t>
      </w:r>
    </w:p>
    <w:p>
      <w:pPr>
        <w:numPr>
          <w:ilvl w:val="0"/>
          <w:numId w:val="1311"/>
        </w:numPr>
        <w:pStyle w:val="Compact"/>
      </w:pPr>
      <w:r>
        <w:rPr>
          <w:bCs/>
          <w:b/>
        </w:rPr>
        <w:t xml:space="preserve">Pleister:</w:t>
      </w:r>
      <w:r>
        <w:t xml:space="preserve"> </w:t>
      </w:r>
      <w:r>
        <w:t xml:space="preserve">een studie met gepland 100 gezonde personen moet onderzoeken of een pleister (X39) de GHK- en GHK-Cu-spiegels in het bloed verandert; start gepland in 2027</w:t>
      </w:r>
      <w:r>
        <w:rPr>
          <w:rStyle w:val="FootnoteReference"/>
        </w:rPr>
        <w:footnoteReference w:id="2477"/>
      </w:r>
      <w:r>
        <w:t xml:space="preserve">. De sponsor is een bedrijf dat de pleister verkoopt.</w:t>
      </w:r>
    </w:p>
    <w:p>
      <w:pPr>
        <w:pStyle w:val="FirstParagraph"/>
      </w:pPr>
      <w:r>
        <w:rPr>
          <w:bCs/>
          <w:b/>
        </w:rPr>
        <w:t xml:space="preserve">Inschatting:</w:t>
      </w:r>
      <w:r>
        <w:t xml:space="preserve"> </w:t>
      </w:r>
      <w:r>
        <w:t xml:space="preserve">een serieuze, geregistreerde studie naar een medisch relevant eindpunt – bijvoorbeeld de wondgenezing, waar de enige positieve gecontroleerde gegevens bij mensen vandaan komen – is momenteel niet in zicht. Voor cosmetisch gebruik zouden onafhankelijke, voldoende grote, placebogecontroleerde studies nodig zijn met een crème zonder andere werkzame stoffen. Voor injecties is geen serieuze studie in zicht; de belangstelling wordt vooral aangewakkerd op sociale media en de grijze markt.</w:t>
      </w:r>
    </w:p>
    <w:bookmarkEnd w:id="2478"/>
    <w:bookmarkStart w:id="2479" w:name="conclusie-55"/>
    <w:p>
      <w:pPr>
        <w:pStyle w:val="Heading3"/>
      </w:pPr>
      <w:r>
        <w:t xml:space="preserve">Conclusie</w:t>
      </w:r>
    </w:p>
    <w:p>
      <w:pPr>
        <w:pStyle w:val="FirstParagraph"/>
      </w:pPr>
      <w:r>
        <w:t xml:space="preserve">GHK-Cu is een lichaamseigen koperpeptide dat in het laboratorium de collageenaanmaak stimuleert en in dierproeven de wondgenezing versnelt. Bij mensen bestaat er slechts één oudere gerandomiseerde studie bij diabetische voetzweren met een positief resultaat en één piepkleine cosmetische studie zonder meetbaar effect. Of GHK-Cu uit crèmes in voldoende hoeveelheid in de huid terechtkomt, is onopgehelderd; reclameclaims steunen vooral op laboratoriumgegevens en niet onafhankelijk gecontroleerde fabrikantenstudies. Als cosmetisch ingrediënt is het legaal en geldt het als goed verdraagbaar. Injecties met GHK-Cu van de grijze markt zijn onderzocht noch toegelaten en brengen vermijdbare risico’s met zich mee.</w:t>
      </w:r>
    </w:p>
    <w:bookmarkEnd w:id="2479"/>
    <w:bookmarkEnd w:id="2480"/>
    <w:bookmarkStart w:id="2499" w:name="palmitoyl-pentapeptide-4-matrixyl"/>
    <w:p>
      <w:pPr>
        <w:pStyle w:val="Heading2"/>
      </w:pPr>
      <w:r>
        <w:t xml:space="preserve">Palmitoyl-pentapeptide-4 (Matrixyl)</w:t>
      </w:r>
    </w:p>
    <w:bookmarkStart w:id="2481" w:name="profiel-56"/>
    <w:p>
      <w:pPr>
        <w:pStyle w:val="Heading3"/>
      </w:pPr>
      <w:r>
        <w:t xml:space="preserve">Profiel</w:t>
      </w:r>
    </w:p>
    <w:p>
      <w:pPr>
        <w:numPr>
          <w:ilvl w:val="0"/>
          <w:numId w:val="1312"/>
        </w:numPr>
        <w:pStyle w:val="Compact"/>
      </w:pPr>
      <w:r>
        <w:rPr>
          <w:bCs/>
          <w:b/>
        </w:rPr>
        <w:t xml:space="preserve">Soort/structuur:</w:t>
      </w:r>
      <w:r>
        <w:t xml:space="preserve"> </w:t>
      </w:r>
      <w:r>
        <w:t xml:space="preserve">pentapeptide uit lysine, threonine, threonine, lysine en serine (KTTKS), waaraan een palmitinezuur (een vetzuur met 16 koolstofatomen) is gekoppeld. Korte aanduiding Pal-KTTKS; vroeger vermeld als palmitoyl-pentapeptide-3. Handelsnaam van de grondstof: Matrixyl.</w:t>
      </w:r>
    </w:p>
    <w:p>
      <w:pPr>
        <w:numPr>
          <w:ilvl w:val="0"/>
          <w:numId w:val="1312"/>
        </w:numPr>
        <w:pStyle w:val="Compact"/>
      </w:pPr>
      <w:r>
        <w:rPr>
          <w:bCs/>
          <w:b/>
        </w:rPr>
        <w:t xml:space="preserve">Herkomst:</w:t>
      </w:r>
      <w:r>
        <w:t xml:space="preserve"> </w:t>
      </w:r>
      <w:r>
        <w:t xml:space="preserve">synthetisch. De sequentie KTTKS komt uit het voorlopermolecuul van type I-collageen (procollageen). Het vetzuuraanhangsel zou het binnendringen in de huid verbeteren.</w:t>
      </w:r>
    </w:p>
    <w:p>
      <w:pPr>
        <w:numPr>
          <w:ilvl w:val="0"/>
          <w:numId w:val="1312"/>
        </w:numPr>
        <w:pStyle w:val="Compact"/>
      </w:pPr>
      <w:r>
        <w:rPr>
          <w:bCs/>
          <w:b/>
        </w:rPr>
        <w:t xml:space="preserve">Werkingsprincipe:</w:t>
      </w:r>
      <w:r>
        <w:t xml:space="preserve"> </w:t>
      </w:r>
      <w:r>
        <w:t xml:space="preserve">zou als „matrikine” – een brokstuk van de bindweefselmatrix met signaalwerking – fibroblasten in de huid aanzetten tot de aanmaak van collageen en andere matrixbestanddelen.</w:t>
      </w:r>
    </w:p>
    <w:p>
      <w:pPr>
        <w:numPr>
          <w:ilvl w:val="0"/>
          <w:numId w:val="1312"/>
        </w:numPr>
        <w:pStyle w:val="Compact"/>
      </w:pPr>
      <w:r>
        <w:rPr>
          <w:bCs/>
          <w:b/>
        </w:rPr>
        <w:t xml:space="preserve">Afbakening:</w:t>
      </w:r>
      <w:r>
        <w:t xml:space="preserve"> </w:t>
      </w:r>
      <w:r>
        <w:t xml:space="preserve">„Matrixyl 3000” is een ander product, een combinatie van palmitoyl-tripeptide-1 (Pal-GHK, zie hoofdstuk GHK-Cu) en palmitoyl-tetrapeptide-7.</w:t>
      </w:r>
    </w:p>
    <w:p>
      <w:pPr>
        <w:numPr>
          <w:ilvl w:val="0"/>
          <w:numId w:val="1312"/>
        </w:numPr>
        <w:pStyle w:val="Compact"/>
      </w:pPr>
      <w:r>
        <w:rPr>
          <w:bCs/>
          <w:b/>
        </w:rPr>
        <w:t xml:space="preserve">Registratie EU:</w:t>
      </w:r>
      <w:r>
        <w:t xml:space="preserve"> </w:t>
      </w:r>
      <w:r>
        <w:t xml:space="preserve">geen geneesmiddel; cosmetisch ingrediënt.</w:t>
      </w:r>
    </w:p>
    <w:p>
      <w:pPr>
        <w:numPr>
          <w:ilvl w:val="0"/>
          <w:numId w:val="1312"/>
        </w:numPr>
        <w:pStyle w:val="Compact"/>
      </w:pPr>
      <w:r>
        <w:rPr>
          <w:bCs/>
          <w:b/>
        </w:rPr>
        <w:t xml:space="preserve">Registratie VS:</w:t>
      </w:r>
      <w:r>
        <w:t xml:space="preserve"> </w:t>
      </w:r>
      <w:r>
        <w:t xml:space="preserve">geen geneesmiddel; cosmetisch ingrediënt.</w:t>
      </w:r>
    </w:p>
    <w:p>
      <w:pPr>
        <w:numPr>
          <w:ilvl w:val="0"/>
          <w:numId w:val="1312"/>
        </w:numPr>
        <w:pStyle w:val="Compact"/>
      </w:pPr>
      <w:r>
        <w:rPr>
          <w:bCs/>
          <w:b/>
        </w:rPr>
        <w:t xml:space="preserve">WADA:</w:t>
      </w:r>
      <w:r>
        <w:t xml:space="preserve"> </w:t>
      </w:r>
      <w:r>
        <w:t xml:space="preserve">niet vermeld; als bestanddeel van cosmetica sportrechtelijk zonder betekenis.</w:t>
      </w:r>
    </w:p>
    <w:p>
      <w:pPr>
        <w:numPr>
          <w:ilvl w:val="0"/>
          <w:numId w:val="1312"/>
        </w:numPr>
        <w:pStyle w:val="Compact"/>
      </w:pPr>
      <w:r>
        <w:rPr>
          <w:bCs/>
          <w:b/>
        </w:rPr>
        <w:t xml:space="preserve">Bewijsniveau:</w:t>
      </w:r>
      <w:r>
        <w:t xml:space="preserve"> </w:t>
      </w:r>
      <w:r>
        <w:rPr>
          <w:bCs/>
          <w:b/>
        </w:rPr>
        <w:t xml:space="preserve">B</w:t>
      </w:r>
      <w:r>
        <w:t xml:space="preserve"> </w:t>
      </w:r>
      <w:r>
        <w:t xml:space="preserve">(zwak) – één grotere gerandomiseerde halfzijdige studie uit 2005 en één zeer kleine gerandomiseerde studie; geen onafhankelijke bevestigende studies.</w:t>
      </w:r>
    </w:p>
    <w:bookmarkEnd w:id="2481"/>
    <w:bookmarkStart w:id="2485" w:name="hoe-het-zou-moeten-werken-56"/>
    <w:p>
      <w:pPr>
        <w:pStyle w:val="Heading3"/>
      </w:pPr>
      <w:r>
        <w:t xml:space="preserve">Hoe het zou moeten werken</w:t>
      </w:r>
    </w:p>
    <w:p>
      <w:pPr>
        <w:pStyle w:val="FirstParagraph"/>
      </w:pPr>
      <w:r>
        <w:t xml:space="preserve">Wanneer bindweefsel beschadigd raakt, knippen enzymen collageen en andere matrixbestanddelen in brokstukken. Sommige van deze brokstukken werken als signaal: ze geven de bindweefselcellen aan dat er herstel nodig is. Zulke signaalfragmenten worden matrikinen genoemd.</w:t>
      </w:r>
    </w:p>
    <w:p>
      <w:pPr>
        <w:pStyle w:val="BodyText"/>
      </w:pPr>
      <w:r>
        <w:t xml:space="preserve">In 1993 beschreef een onderzoeksgroep dat het pentapeptide KTTKS – een klein stukje van het uiteinde van type I-procollageen – in fibroblastculturen de aanmaak van type I- en type III-collageen en van fibronectine krachtig verhoogt. KTTKS was de kleinste sequentie die dit effect nog opwekte</w:t>
      </w:r>
      <w:r>
        <w:rPr>
          <w:rStyle w:val="FootnoteReference"/>
        </w:rPr>
        <w:footnoteReference w:id="2482"/>
      </w:r>
      <w:r>
        <w:t xml:space="preserve">. De cosmetica-industrie pakte het idee op: een peptide dat de huid „herstelbehoefte” signaleert, zou de met de leeftijd afnemende collageenaanmaak kunnen aanzwengelen.</w:t>
      </w:r>
    </w:p>
    <w:p>
      <w:pPr>
        <w:pStyle w:val="BodyText"/>
      </w:pPr>
      <w:r>
        <w:t xml:space="preserve">Zuiver KTTKS dringt echter nauwelijks in de huid door. Door een vetzuur aan te hangen (palmitoylering) wordt het molecuul beter vetoplosbaar. In celkweek stimuleerde Pal-KTTKS de collageenaanmaak van huid- en hoornvliesfibroblasten concentratieafhankelijk; het effect trad op nabij de concentratie waarboven de moleculen zich samenvoegen tot bandvormige nanostructuren</w:t>
      </w:r>
      <w:r>
        <w:rPr>
          <w:rStyle w:val="FootnoteReference"/>
        </w:rPr>
        <w:footnoteReference w:id="2483"/>
      </w:r>
      <w:r>
        <w:t xml:space="preserve">.</w:t>
      </w:r>
    </w:p>
    <w:p>
      <w:pPr>
        <w:pStyle w:val="BodyText"/>
      </w:pPr>
      <w:r>
        <w:t xml:space="preserve">Open blijft hoeveel Pal-KTTKS uit een crème werkelijk de lederhuid bereikt, waar de fibroblasten zitten. Voor het verwante Pal-GHK liet een onderzoek bij vrijwilligers zien dat het zich na het aanbrengen alleen tussen de cellen van de hoornlaag verdeelt en met de diepte afneemt</w:t>
      </w:r>
      <w:r>
        <w:rPr>
          <w:rStyle w:val="FootnoteReference"/>
        </w:rPr>
        <w:footnoteReference w:id="2484"/>
      </w:r>
      <w:r>
        <w:t xml:space="preserve">. Voor Pal-KTTKS zelf ontbreken vergelijkbare metingen bij mensen in de geanalyseerde literatuur.</w:t>
      </w:r>
    </w:p>
    <w:bookmarkEnd w:id="2485"/>
    <w:bookmarkStart w:id="2488" w:name="studies-bij-mensen-56"/>
    <w:p>
      <w:pPr>
        <w:pStyle w:val="Heading3"/>
      </w:pPr>
      <w:r>
        <w:t xml:space="preserve">Studies bij mensen</w:t>
      </w:r>
    </w:p>
    <w:p>
      <w:pPr>
        <w:pStyle w:val="FirstParagraph"/>
      </w:pPr>
      <w:r>
        <w:t xml:space="preserve">De voor dit boek uitgevoerde PubMed-zoekopdracht (palmitoyl-pentapeptide of Matrixyl in titel of abstract, zoekdatum oktober 2026) leverde slechts</w:t>
      </w:r>
      <w:r>
        <w:t xml:space="preserve"> </w:t>
      </w:r>
      <w:r>
        <w:rPr>
          <w:bCs/>
          <w:b/>
        </w:rPr>
        <w:t xml:space="preserve">één</w:t>
      </w:r>
      <w:r>
        <w:t xml:space="preserve"> </w:t>
      </w:r>
      <w:r>
        <w:t xml:space="preserve">als studie bij mensen geclassificeerd artikel op; op ClinicalTrials.gov staat geen enkele registratie. Bij de handmatige doorlichting werden twee andere gecontroleerde studies gevonden, plus studies met combinatieproducten.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Robinson 2005, PMID 18492182</w:t>
            </w:r>
          </w:p>
        </w:tc>
        <w:tc>
          <w:tcPr/>
          <w:p>
            <w:pPr>
              <w:pStyle w:val="Compact"/>
              <w:jc w:val="left"/>
            </w:pPr>
            <w:r>
              <w:t xml:space="preserve">93 vrouwen met een lichte huid (35–55 j.), vochtinbrengende crème met Pal-KTTKS op één gezichtshelft vs. dezelfde crème zonder werkzame stof op de andere, dubbelblind</w:t>
            </w:r>
          </w:p>
        </w:tc>
        <w:tc>
          <w:tcPr/>
          <w:p>
            <w:pPr>
              <w:pStyle w:val="Compact"/>
              <w:jc w:val="left"/>
            </w:pPr>
            <w:r>
              <w:t xml:space="preserve">12 weken</w:t>
            </w:r>
          </w:p>
        </w:tc>
        <w:tc>
          <w:tcPr/>
          <w:p>
            <w:pPr>
              <w:pStyle w:val="Compact"/>
              <w:jc w:val="left"/>
            </w:pPr>
            <w:r>
              <w:t xml:space="preserve">Significante vermindering van rimpels en fijne lijntjes ten opzichte van de controlezijde, gemeten met beeldanalyse en door deskundigen; goed verdraagbaar</w:t>
            </w:r>
          </w:p>
        </w:tc>
      </w:tr>
      <w:tr>
        <w:tc>
          <w:tcPr/>
          <w:p>
            <w:pPr>
              <w:pStyle w:val="Compact"/>
              <w:jc w:val="left"/>
            </w:pPr>
            <w:r>
              <w:t xml:space="preserve">Aruan 2023, PMID 36909866</w:t>
            </w:r>
          </w:p>
        </w:tc>
        <w:tc>
          <w:tcPr/>
          <w:p>
            <w:pPr>
              <w:pStyle w:val="Compact"/>
              <w:jc w:val="left"/>
            </w:pPr>
            <w:r>
              <w:t xml:space="preserve">21 Indonesische vrouwen (26–55 j.), crème met palmitoyl-pentapeptide-4 vs. acetyl-hexapeptide-3 vs. placebo, dubbelblind</w:t>
            </w:r>
          </w:p>
        </w:tc>
        <w:tc>
          <w:tcPr/>
          <w:p>
            <w:pPr>
              <w:pStyle w:val="Compact"/>
              <w:jc w:val="left"/>
            </w:pPr>
            <w:r>
              <w:t xml:space="preserve">8 weken</w:t>
            </w:r>
          </w:p>
        </w:tc>
        <w:tc>
          <w:tcPr/>
          <w:p>
            <w:pPr>
              <w:pStyle w:val="Compact"/>
              <w:jc w:val="left"/>
            </w:pPr>
            <w:r>
              <w:t xml:space="preserve">Verbeteringen „bij sommige deelneemsters”; palmitoyl-pentapeptide-4 scoorde beter dan de vergelijkingsgroepen; geen betrouwbare effectgroottes in het abstract</w:t>
            </w:r>
          </w:p>
        </w:tc>
      </w:tr>
      <w:tr>
        <w:tc>
          <w:tcPr/>
          <w:p>
            <w:pPr>
              <w:pStyle w:val="Compact"/>
              <w:jc w:val="left"/>
            </w:pPr>
            <w:r>
              <w:t xml:space="preserve">Röper 2004, PMID 15127162</w:t>
            </w:r>
          </w:p>
        </w:tc>
        <w:tc>
          <w:tcPr/>
          <w:p>
            <w:pPr>
              <w:pStyle w:val="Compact"/>
              <w:jc w:val="left"/>
            </w:pPr>
            <w:r>
              <w:t xml:space="preserve">20 vrouwen met borstkanker onder bestraling, crème met Matrixyl en andere werkzame stoffen vs. dexpanthenollotion</w:t>
            </w:r>
          </w:p>
        </w:tc>
        <w:tc>
          <w:tcPr/>
          <w:p>
            <w:pPr>
              <w:pStyle w:val="Compact"/>
              <w:jc w:val="left"/>
            </w:pPr>
            <w:r>
              <w:t xml:space="preserve">duur van de therapie</w:t>
            </w:r>
          </w:p>
        </w:tc>
        <w:tc>
          <w:tcPr/>
          <w:p>
            <w:pPr>
              <w:pStyle w:val="Compact"/>
              <w:jc w:val="left"/>
            </w:pPr>
            <w:r>
              <w:t xml:space="preserve">Geen voordeel bij huidreacties; jeuk vaker, één vermoeden van allergische reactie alleen in de Matrixylgroep</w:t>
            </w:r>
          </w:p>
        </w:tc>
      </w:tr>
    </w:tbl>
    <w:p>
      <w:pPr>
        <w:pStyle w:val="BodyText"/>
      </w:pPr>
      <w:r>
        <w:rPr>
          <w:bCs/>
          <w:b/>
        </w:rPr>
        <w:t xml:space="preserve">Robinson 2005</w:t>
      </w:r>
      <w:r>
        <w:t xml:space="preserve"> </w:t>
      </w:r>
      <w:r>
        <w:t xml:space="preserve">is de centrale studie. De halfzijdige opzet is slim, omdat elke deelneemster haar eigen controle is. De concentratie in het product bedroeg 3 ppm (miljoenste delen). Beperkingen: het abstract noemt geen effectgroottes; de studie werd gepubliceerd in een vaktijdschrift voor cosmetica en is sindsdien niet door een onafhankelijke partij herhaald. Er werden uitsluitend vrouwen met een lichte huid en door licht verouderde huid onderzocht; of de resultaten over te dragen zijn op andere huidtypen, is open.</w:t>
      </w:r>
    </w:p>
    <w:p>
      <w:pPr>
        <w:pStyle w:val="BodyText"/>
      </w:pPr>
      <w:r>
        <w:rPr>
          <w:bCs/>
          <w:b/>
        </w:rPr>
        <w:t xml:space="preserve">Aruan 2023</w:t>
      </w:r>
      <w:r>
        <w:t xml:space="preserve"> </w:t>
      </w:r>
      <w:r>
        <w:t xml:space="preserve">was met 21 deelneemsters in drie groepen te klein voor betrouwbare uitspraken; de auteurs noemen haar zelf een vertrekpunt voor grotere studies.</w:t>
      </w:r>
    </w:p>
    <w:p>
      <w:pPr>
        <w:pStyle w:val="BodyText"/>
      </w:pPr>
      <w:r>
        <w:rPr>
          <w:bCs/>
          <w:b/>
        </w:rPr>
        <w:t xml:space="preserve">Röper 2004</w:t>
      </w:r>
      <w:r>
        <w:t xml:space="preserve"> </w:t>
      </w:r>
      <w:r>
        <w:t xml:space="preserve">testte een combinatieproduct in een medische context en vond geen nut.</w:t>
      </w:r>
    </w:p>
    <w:p>
      <w:pPr>
        <w:pStyle w:val="BodyText"/>
      </w:pPr>
      <w:r>
        <w:rPr>
          <w:bCs/>
          <w:b/>
        </w:rPr>
        <w:t xml:space="preserve">Combinatieproducten:</w:t>
      </w:r>
      <w:r>
        <w:t xml:space="preserve"> </w:t>
      </w:r>
      <w:r>
        <w:t xml:space="preserve">in twee halfzijdige studies met 42 en 35 vrouwen verbeterden verzorgingsproducten die Pal-KTTKS bevatten samen met niacinamide, een ander peptide, carnosine en deels retinylpropionaat, de gladheid van de huid rond de ogen ten opzichte van onbehandelde huid</w:t>
      </w:r>
      <w:r>
        <w:rPr>
          <w:rStyle w:val="FootnoteReference"/>
        </w:rPr>
        <w:footnoteReference w:id="2486"/>
      </w:r>
      <w:r>
        <w:t xml:space="preserve">. Omdat meerdere werkzame stoffen tegelijk werden getest en vergeleken met „geen behandeling”, kan het effect niet aan het peptide worden toegeschreven.</w:t>
      </w:r>
    </w:p>
    <w:p>
      <w:pPr>
        <w:pStyle w:val="BodyText"/>
      </w:pPr>
      <w:r>
        <w:rPr>
          <w:bCs/>
          <w:b/>
        </w:rPr>
        <w:t xml:space="preserve">Meta-analyse:</w:t>
      </w:r>
      <w:r>
        <w:t xml:space="preserve"> </w:t>
      </w:r>
      <w:r>
        <w:t xml:space="preserve">een meta-analyse van orale en uitwendig gebruikte peptiden tegen huidveroudering (19 studies, 1.341 deelnemers) vond een bescheiden totaaleffect op rimpels, dat vooral werd gedragen door oraal ingenomen peptiden</w:t>
      </w:r>
      <w:r>
        <w:rPr>
          <w:rStyle w:val="FootnoteReference"/>
        </w:rPr>
        <w:footnoteReference w:id="2487"/>
      </w:r>
      <w:r>
        <w:t xml:space="preserve">. Voor uitwendig gebruikte peptiden zoals Pal-KTTKS levert dat geen eigen bewijs op.</w:t>
      </w:r>
    </w:p>
    <w:bookmarkEnd w:id="2488"/>
    <w:bookmarkStart w:id="2492" w:name="dier--en-laboratoriumstudies-56"/>
    <w:p>
      <w:pPr>
        <w:pStyle w:val="Heading3"/>
      </w:pPr>
      <w:r>
        <w:t xml:space="preserve">Dier- en laboratoriumstudies</w:t>
      </w:r>
    </w:p>
    <w:p>
      <w:pPr>
        <w:numPr>
          <w:ilvl w:val="0"/>
          <w:numId w:val="1313"/>
        </w:numPr>
        <w:pStyle w:val="Compact"/>
      </w:pPr>
      <w:r>
        <w:rPr>
          <w:bCs/>
          <w:b/>
        </w:rPr>
        <w:t xml:space="preserve">Celkweek:</w:t>
      </w:r>
      <w:r>
        <w:t xml:space="preserve"> </w:t>
      </w:r>
      <w:r>
        <w:t xml:space="preserve">KTTKS en Pal-KTTKS verhogen de aanmaak van collageen en fibronectine in fibroblasten</w:t>
      </w:r>
      <w:r>
        <w:rPr>
          <w:rStyle w:val="FootnoteReference"/>
        </w:rPr>
        <w:footnoteReference w:id="2489"/>
      </w:r>
      <w:r>
        <w:t xml:space="preserve">. In een andere celstudie verminderde Pal-KTTKS in lage concentratie de omzetting van fibroblasten in littekenvormende myofibroblasten; in hogere concentratie was het effect niet significant</w:t>
      </w:r>
      <w:r>
        <w:rPr>
          <w:rStyle w:val="FootnoteReference"/>
        </w:rPr>
        <w:footnoteReference w:id="2490"/>
      </w:r>
      <w:r>
        <w:t xml:space="preserve">.</w:t>
      </w:r>
    </w:p>
    <w:p>
      <w:pPr>
        <w:numPr>
          <w:ilvl w:val="0"/>
          <w:numId w:val="1313"/>
        </w:numPr>
        <w:pStyle w:val="Compact"/>
      </w:pPr>
      <w:r>
        <w:rPr>
          <w:bCs/>
          <w:b/>
        </w:rPr>
        <w:t xml:space="preserve">Dierproeven:</w:t>
      </w:r>
      <w:r>
        <w:t xml:space="preserve"> </w:t>
      </w:r>
      <w:r>
        <w:t xml:space="preserve">bij proefdieren verbeterden pleisters en crèmes met Matrixyl de genezing van huidwonden ten opzichte van onbehandelde controles</w:t>
      </w:r>
      <w:r>
        <w:rPr>
          <w:rStyle w:val="FootnoteReference"/>
        </w:rPr>
        <w:footnoteReference w:id="2491"/>
      </w:r>
      <w:r>
        <w:t xml:space="preserve">.</w:t>
      </w:r>
    </w:p>
    <w:p>
      <w:pPr>
        <w:numPr>
          <w:ilvl w:val="0"/>
          <w:numId w:val="1313"/>
        </w:numPr>
        <w:pStyle w:val="Compact"/>
      </w:pPr>
      <w:r>
        <w:rPr>
          <w:bCs/>
          <w:b/>
        </w:rPr>
        <w:t xml:space="preserve">Nieuwe varianten:</w:t>
      </w:r>
      <w:r>
        <w:t xml:space="preserve"> </w:t>
      </w:r>
      <w:r>
        <w:t xml:space="preserve">onderzoeksgroepen koppelen KTTKS aan andere moleculen om antibacteriële of sterker collageenstimulerende varianten te maken – tot nu toe uitsluitend in het laboratorium.</w:t>
      </w:r>
    </w:p>
    <w:bookmarkEnd w:id="2492"/>
    <w:bookmarkStart w:id="2495" w:name="risicos-en-bijwerkingen-56"/>
    <w:p>
      <w:pPr>
        <w:pStyle w:val="Heading3"/>
      </w:pPr>
      <w:r>
        <w:t xml:space="preserve">Risico’s en bijwerkingen</w:t>
      </w:r>
    </w:p>
    <w:p>
      <w:pPr>
        <w:pStyle w:val="FirstParagraph"/>
      </w:pPr>
      <w:r>
        <w:rPr>
          <w:bCs/>
          <w:b/>
        </w:rPr>
        <w:t xml:space="preserve">Aangetoond:</w:t>
      </w:r>
      <w:r>
        <w:t xml:space="preserve"> </w:t>
      </w:r>
      <w:r>
        <w:t xml:space="preserve">in de studie van Robinson werd het peptide goed verdragen. In de bestralingsstudie trad jeuk vaker op onder het Matrixylhoudende combinatieproduct, en één vermoeden van een allergische reactie alleen onder dit product</w:t>
      </w:r>
      <w:r>
        <w:rPr>
          <w:rStyle w:val="FootnoteReference"/>
        </w:rPr>
        <w:footnoteReference w:id="2493"/>
      </w:r>
      <w:r>
        <w:t xml:space="preserve">; welk bestanddeel verantwoordelijk was, is onduidelijk.</w:t>
      </w:r>
    </w:p>
    <w:p>
      <w:pPr>
        <w:pStyle w:val="BodyText"/>
      </w:pPr>
      <w:r>
        <w:rPr>
          <w:bCs/>
          <w:b/>
        </w:rPr>
        <w:t xml:space="preserve">Algemeen:</w:t>
      </w:r>
      <w:r>
        <w:t xml:space="preserve"> </w:t>
      </w:r>
      <w:r>
        <w:t xml:space="preserve">zoals bij elk bestanddeel van cosmetica zijn irritaties en contactallergieën mogelijk, maar ze lijken zeldzaam. Een artikel uit de cosmetica-industrie dat peptiden met bio-informatische hulpmiddelen toetste op toxisch en allergeen potentieel, vond voor palmitoyl-pentapeptide-4 overeenkomsten met bindweefseleiwitten van de huid, maar geen aanwijzingen voor toxine- of allergeenstructuren</w:t>
      </w:r>
      <w:r>
        <w:rPr>
          <w:rStyle w:val="FootnoteReference"/>
        </w:rPr>
        <w:footnoteReference w:id="2494"/>
      </w:r>
      <w:r>
        <w:t xml:space="preserve">. Zulke computeranalyses vervangen geen klinische observatie.</w:t>
      </w:r>
    </w:p>
    <w:p>
      <w:pPr>
        <w:pStyle w:val="BodyText"/>
      </w:pPr>
      <w:r>
        <w:rPr>
          <w:bCs/>
          <w:b/>
        </w:rPr>
        <w:t xml:space="preserve">Theoretisch:</w:t>
      </w:r>
      <w:r>
        <w:t xml:space="preserve"> </w:t>
      </w:r>
      <w:r>
        <w:t xml:space="preserve">een signaalstof die fibroblasten werkelijk tot collageenaanmaak aanzet, zou bij een neiging tot woekerende littekens ongewenst kunnen zijn. Daarvoor zijn er geen casusbeschrijvingen; de geringe huiddoorlaatbaarheid pleit tegen een relevant effect.</w:t>
      </w:r>
    </w:p>
    <w:bookmarkEnd w:id="2495"/>
    <w:bookmarkStart w:id="2496" w:name="juridische-status-56"/>
    <w:p>
      <w:pPr>
        <w:pStyle w:val="Heading3"/>
      </w:pPr>
      <w:r>
        <w:t xml:space="preserve">Juridische status</w:t>
      </w:r>
    </w:p>
    <w:p>
      <w:pPr>
        <w:numPr>
          <w:ilvl w:val="0"/>
          <w:numId w:val="1314"/>
        </w:numPr>
        <w:pStyle w:val="Compact"/>
      </w:pPr>
      <w:r>
        <w:rPr>
          <w:bCs/>
          <w:b/>
        </w:rPr>
        <w:t xml:space="preserve">EU / Oostenrijk / Duitsland:</w:t>
      </w:r>
      <w:r>
        <w:t xml:space="preserve"> </w:t>
      </w:r>
      <w:r>
        <w:t xml:space="preserve">palmitoyl-pentapeptide-4 is een toegestaan cosmetisch ingrediënt volgens de EU-cosmeticaverordening (Verordening (EG) nr. 1223/2009). Cosmetica worden vóór de verkoop niet door de overheid op werkzaamheid getoetst; de fabrikant moet een veiligheidsbeoordeling opstellen en reclameclaims volgens Verordening (EU) nr. 655/2013 kunnen onderbouwen. Uitspraken als „werkt als een rimpelfiller” of „bouwt collageen op” zijn daarom juridisch riskant als ze niet door studies met het product worden gedekt.</w:t>
      </w:r>
    </w:p>
    <w:p>
      <w:pPr>
        <w:numPr>
          <w:ilvl w:val="0"/>
          <w:numId w:val="1314"/>
        </w:numPr>
        <w:pStyle w:val="Compact"/>
      </w:pPr>
      <w:r>
        <w:rPr>
          <w:bCs/>
          <w:b/>
        </w:rPr>
        <w:t xml:space="preserve">VS:</w:t>
      </w:r>
      <w:r>
        <w:t xml:space="preserve"> </w:t>
      </w:r>
      <w:r>
        <w:t xml:space="preserve">cosmetisch ingrediënt zonder voorafgaande toetsing door de FDA. Reclameclaims die een verandering van de huidstructuur beloven, kunnen een product juridisch tot geneesmiddel maken.</w:t>
      </w:r>
    </w:p>
    <w:p>
      <w:pPr>
        <w:numPr>
          <w:ilvl w:val="0"/>
          <w:numId w:val="1314"/>
        </w:numPr>
        <w:pStyle w:val="Compact"/>
      </w:pPr>
      <w:r>
        <w:rPr>
          <w:bCs/>
          <w:b/>
        </w:rPr>
        <w:t xml:space="preserve">Sport:</w:t>
      </w:r>
      <w:r>
        <w:t xml:space="preserve"> </w:t>
      </w:r>
      <w:r>
        <w:t xml:space="preserve">zonder betekenis (stand 2026, actuele situatie controleren).</w:t>
      </w:r>
    </w:p>
    <w:bookmarkEnd w:id="2496"/>
    <w:bookmarkStart w:id="2497" w:name="lopende-studies-en-vooruitzichten-56"/>
    <w:p>
      <w:pPr>
        <w:pStyle w:val="Heading3"/>
      </w:pPr>
      <w:r>
        <w:t xml:space="preserve">Lopende studies en vooruitzichten</w:t>
      </w:r>
    </w:p>
    <w:p>
      <w:pPr>
        <w:pStyle w:val="FirstParagraph"/>
      </w:pPr>
      <w:r>
        <w:rPr>
          <w:bCs/>
          <w:b/>
        </w:rPr>
        <w:t xml:space="preserve">Zeker:</w:t>
      </w:r>
      <w:r>
        <w:t xml:space="preserve"> </w:t>
      </w:r>
      <w:r>
        <w:t xml:space="preserve">op ClinicalTrials.gov is onder „palmitoyl pentapeptide” geen studie geregistreerd (stand oktober 2026). Studies naar de werkzaamheid van cosmetica worden doorgaans niet geregistreerd, maar in opdracht van de fabrikanten uitgevoerd en slechts gedeeltelijk gepubliceerd.</w:t>
      </w:r>
    </w:p>
    <w:p>
      <w:pPr>
        <w:pStyle w:val="BodyText"/>
      </w:pPr>
      <w:r>
        <w:rPr>
          <w:bCs/>
          <w:b/>
        </w:rPr>
        <w:t xml:space="preserve">Inschatting:</w:t>
      </w:r>
      <w:r>
        <w:t xml:space="preserve"> </w:t>
      </w:r>
      <w:r>
        <w:t xml:space="preserve">Matrixyl is een van de oudste en meest gebruikte „anti-agingpeptiden” in cosmetica. De wetenschappelijke basis – een celkweekstudie uit 1993 en een halfzijdige studie uit 2005 – is voor zo’n wijdverbreid product verbazend smal. Nieuwe ontwikkelingen richten zich op betere huiddoorlaatbaarheid (microneedles, nanostructuren) en op combinaties met andere peptiden. Zonder onafhankelijke, voldoende grote studies met de afzonderlijke werkzame stof zal er aan de stand van kennis weinig veranderen.</w:t>
      </w:r>
    </w:p>
    <w:bookmarkEnd w:id="2497"/>
    <w:bookmarkStart w:id="2498" w:name="conclusie-56"/>
    <w:p>
      <w:pPr>
        <w:pStyle w:val="Heading3"/>
      </w:pPr>
      <w:r>
        <w:t xml:space="preserve">Conclusie</w:t>
      </w:r>
    </w:p>
    <w:p>
      <w:pPr>
        <w:pStyle w:val="FirstParagraph"/>
      </w:pPr>
      <w:r>
        <w:t xml:space="preserve">Palmitoyl-pentapeptide-4 is een aan een vetzuur gekoppeld brokstuk van de collageenvoorloper, dat in het laboratorium fibroblasten aanzet tot collageenaanmaak. Bij mensen steunt de werkzaamheid vooral op een halfzijdige studie met 93 vrouwen uit 2005, die een vermindering van fijne lijntjes liet zien, en op een zeer kleine studie uit 2023. Hoeveel werkzame stof daadwerkelijk de diepere huid bereikt, is niet opgehelderd. Als cosmetisch ingrediënt geldt het als goed verdraagbaar. Wie Matrixylproducten gebruikt, moet een klein, cosmetisch effect verwachten – geen vervanging voor uv-bescherming of medisch geteste werkzame stoffen zoals retinoïden.</w:t>
      </w:r>
    </w:p>
    <w:bookmarkEnd w:id="2498"/>
    <w:bookmarkEnd w:id="2499"/>
    <w:bookmarkStart w:id="2523" w:name="acetyl-hexapeptide-8-argireline"/>
    <w:p>
      <w:pPr>
        <w:pStyle w:val="Heading2"/>
      </w:pPr>
      <w:r>
        <w:t xml:space="preserve">Acetyl-hexapeptide-8 (Argireline)</w:t>
      </w:r>
    </w:p>
    <w:bookmarkStart w:id="2500" w:name="profiel-57"/>
    <w:p>
      <w:pPr>
        <w:pStyle w:val="Heading3"/>
      </w:pPr>
      <w:r>
        <w:t xml:space="preserve">Profiel</w:t>
      </w:r>
    </w:p>
    <w:p>
      <w:pPr>
        <w:numPr>
          <w:ilvl w:val="0"/>
          <w:numId w:val="1315"/>
        </w:numPr>
        <w:pStyle w:val="Compact"/>
      </w:pPr>
      <w:r>
        <w:rPr>
          <w:bCs/>
          <w:b/>
        </w:rPr>
        <w:t xml:space="preserve">Soort/structuur:</w:t>
      </w:r>
      <w:r>
        <w:t xml:space="preserve"> </w:t>
      </w:r>
      <w:r>
        <w:t xml:space="preserve">hexapeptide met de sequentie glutamaat-glutamaat-methionine-glutamine-arginine-arginine (Ac-EEMQRR-NH₂), aan het begin geacetyleerd en aan het einde geamideerd. Vroeger aangeduid als acetyl-hexapeptide-3; handelsnaam van de grondstof: Argireline.</w:t>
      </w:r>
    </w:p>
    <w:p>
      <w:pPr>
        <w:numPr>
          <w:ilvl w:val="0"/>
          <w:numId w:val="1315"/>
        </w:numPr>
        <w:pStyle w:val="Compact"/>
      </w:pPr>
      <w:r>
        <w:rPr>
          <w:bCs/>
          <w:b/>
        </w:rPr>
        <w:t xml:space="preserve">Herkomst:</w:t>
      </w:r>
      <w:r>
        <w:t xml:space="preserve"> </w:t>
      </w:r>
      <w:r>
        <w:t xml:space="preserve">synthetisch, begin jaren 2000 doelgericht ontworpen. De sequentie is nagebouwd naar het beginstuk van het zenuwceleiwit SNAP-25.</w:t>
      </w:r>
    </w:p>
    <w:p>
      <w:pPr>
        <w:numPr>
          <w:ilvl w:val="0"/>
          <w:numId w:val="1315"/>
        </w:numPr>
        <w:pStyle w:val="Compact"/>
      </w:pPr>
      <w:r>
        <w:rPr>
          <w:bCs/>
          <w:b/>
        </w:rPr>
        <w:t xml:space="preserve">Werkingsprincipe:</w:t>
      </w:r>
      <w:r>
        <w:t xml:space="preserve"> </w:t>
      </w:r>
      <w:r>
        <w:t xml:space="preserve">zou de afgifte van de boodschapperstof acetylcholine op de verbinding tussen zenuw en spier afzwakken en zo door mimiek veroorzaakte rimpels gladmaken – een vergelijkbaar aangrijpingspunt als bij botulinetoxine, alleen veel zwakker. Vandaar de reclameterm „Botox uit de tube”.</w:t>
      </w:r>
    </w:p>
    <w:p>
      <w:pPr>
        <w:numPr>
          <w:ilvl w:val="0"/>
          <w:numId w:val="1315"/>
        </w:numPr>
        <w:pStyle w:val="Compact"/>
      </w:pPr>
      <w:r>
        <w:rPr>
          <w:bCs/>
          <w:b/>
        </w:rPr>
        <w:t xml:space="preserve">Registratie EU:</w:t>
      </w:r>
      <w:r>
        <w:t xml:space="preserve"> </w:t>
      </w:r>
      <w:r>
        <w:t xml:space="preserve">geen geneesmiddel; cosmetisch ingrediënt.</w:t>
      </w:r>
    </w:p>
    <w:p>
      <w:pPr>
        <w:numPr>
          <w:ilvl w:val="0"/>
          <w:numId w:val="1315"/>
        </w:numPr>
        <w:pStyle w:val="Compact"/>
      </w:pPr>
      <w:r>
        <w:rPr>
          <w:bCs/>
          <w:b/>
        </w:rPr>
        <w:t xml:space="preserve">Registratie VS:</w:t>
      </w:r>
      <w:r>
        <w:t xml:space="preserve"> </w:t>
      </w:r>
      <w:r>
        <w:t xml:space="preserve">geen geneesmiddel; cosmetisch ingrediënt.</w:t>
      </w:r>
    </w:p>
    <w:p>
      <w:pPr>
        <w:numPr>
          <w:ilvl w:val="0"/>
          <w:numId w:val="1315"/>
        </w:numPr>
        <w:pStyle w:val="Compact"/>
      </w:pPr>
      <w:r>
        <w:rPr>
          <w:bCs/>
          <w:b/>
        </w:rPr>
        <w:t xml:space="preserve">WADA:</w:t>
      </w:r>
      <w:r>
        <w:t xml:space="preserve"> </w:t>
      </w:r>
      <w:r>
        <w:t xml:space="preserve">niet vermeld.</w:t>
      </w:r>
    </w:p>
    <w:p>
      <w:pPr>
        <w:numPr>
          <w:ilvl w:val="0"/>
          <w:numId w:val="1315"/>
        </w:numPr>
        <w:pStyle w:val="Compact"/>
      </w:pPr>
      <w:r>
        <w:rPr>
          <w:bCs/>
          <w:b/>
        </w:rPr>
        <w:t xml:space="preserve">Bewijsniveau:</w:t>
      </w:r>
      <w:r>
        <w:t xml:space="preserve"> </w:t>
      </w:r>
      <w:r>
        <w:rPr>
          <w:bCs/>
          <w:b/>
        </w:rPr>
        <w:t xml:space="preserve">B</w:t>
      </w:r>
      <w:r>
        <w:t xml:space="preserve"> </w:t>
      </w:r>
      <w:r>
        <w:t xml:space="preserve">(zwak) – enkele kleine gerandomiseerde studies met overwegend korte looptijden en niet eenduidige resultaten.</w:t>
      </w:r>
    </w:p>
    <w:bookmarkEnd w:id="2500"/>
    <w:bookmarkStart w:id="2504" w:name="hoe-het-zou-moeten-werken-57"/>
    <w:p>
      <w:pPr>
        <w:pStyle w:val="Heading3"/>
      </w:pPr>
      <w:r>
        <w:t xml:space="preserve">Hoe het zou moeten werken</w:t>
      </w:r>
    </w:p>
    <w:p>
      <w:pPr>
        <w:pStyle w:val="FirstParagraph"/>
      </w:pPr>
      <w:r>
        <w:t xml:space="preserve">Om een spier te laten samentrekken, moet een zenuwcel de boodschapperstof acetylcholine afgeven. Daarvoor versmelten kleine blaasjes, gevuld met de boodschapperstof, met het celmembraan. Deze versmelting wordt gemedieerd door een eiwitcomplex, het SNARE-complex, waarbij onder meer het eiwit SNAP-25 betrokken is. Botulinetoxine type A knipt SNAP-25 door en legt zo de afgifte van de boodschapperstof maandenlang stil – de spier ontspant, de rimpel erboven wordt gladder.</w:t>
      </w:r>
    </w:p>
    <w:p>
      <w:pPr>
        <w:pStyle w:val="BodyText"/>
      </w:pPr>
      <w:r>
        <w:t xml:space="preserve">Argireline werd ontworpen als nabootsing van het beginstuk van SNAP-25. Het idee: het korte peptide concurreert met het echte SNAP-25 om zijn plaats in het SNARE-complex en verstoort de vorming daarvan. In de eerste beschrijving remde Argireline in celproeven de afgifte van boodschapperstoffen met een vergelijkbare</w:t>
      </w:r>
      <w:r>
        <w:t xml:space="preserve"> </w:t>
      </w:r>
      <w:r>
        <w:rPr>
          <w:iCs/>
          <w:i/>
        </w:rPr>
        <w:t xml:space="preserve">potentie</w:t>
      </w:r>
      <w:r>
        <w:t xml:space="preserve"> </w:t>
      </w:r>
      <w:r>
        <w:t xml:space="preserve">als botulinetoxine A, maar bereikte het zoals verwacht een veel geringere</w:t>
      </w:r>
      <w:r>
        <w:t xml:space="preserve"> </w:t>
      </w:r>
      <w:r>
        <w:rPr>
          <w:iCs/>
          <w:i/>
        </w:rPr>
        <w:t xml:space="preserve">werkzaamheid</w:t>
      </w:r>
      <w:r>
        <w:t xml:space="preserve"> </w:t>
      </w:r>
      <w:r>
        <w:t xml:space="preserve">– dus een duidelijk kleiner maximaal effect</w:t>
      </w:r>
      <w:r>
        <w:rPr>
          <w:rStyle w:val="FootnoteReference"/>
        </w:rPr>
        <w:footnoteReference w:id="2501"/>
      </w:r>
      <w:r>
        <w:t xml:space="preserve">.</w:t>
      </w:r>
    </w:p>
    <w:p>
      <w:pPr>
        <w:pStyle w:val="BodyText"/>
      </w:pPr>
      <w:r>
        <w:t xml:space="preserve">Het beslissende addertje onder het gras: om te werken zou Argireline vanuit een crème door opperhuid en lederhuid heen tot aan de zenuwuiteinden bij de gezichtsspieren moeten komen. Het molecuul is wateroplosbaar, elektrisch geladen en voor de huid relatief groot. In een laboratoriumproef met huid van lichaamsdonoren bleef na 24 uur het grootste deel op het huidoppervlak; 0,22% van het aangebrachte peptide werd teruggevonden in de hoornlaag, 0,01% in de opperhuid, en in de lederhuid en daaronder was niets aantoonbaar</w:t>
      </w:r>
      <w:r>
        <w:rPr>
          <w:rStyle w:val="FootnoteReference"/>
        </w:rPr>
        <w:footnoteReference w:id="2502"/>
      </w:r>
      <w:r>
        <w:t xml:space="preserve">. Een overzichtsartikel uit 2025 stelt vast dat onduidelijk blijft of het peptide de zenuw-spierverbinding überhaupt bereikt</w:t>
      </w:r>
      <w:r>
        <w:rPr>
          <w:rStyle w:val="FootnoteReference"/>
        </w:rPr>
        <w:footnoteReference w:id="2503"/>
      </w:r>
      <w:r>
        <w:t xml:space="preserve">.</w:t>
      </w:r>
    </w:p>
    <w:p>
      <w:pPr>
        <w:pStyle w:val="BodyText"/>
      </w:pPr>
      <w:r>
        <w:t xml:space="preserve">Dat sluit effecten op de huid niet uit – bijvoorbeeld op het vochtgehalte of via zenuwuiteinden in de bovenste huidlagen –, maar maakt het aangeprezen „botoxmechanisme” bij aanbrengen op de huid weinig waarschijnlijk.</w:t>
      </w:r>
    </w:p>
    <w:bookmarkEnd w:id="2504"/>
    <w:bookmarkStart w:id="2511" w:name="studies-bij-mensen-57"/>
    <w:p>
      <w:pPr>
        <w:pStyle w:val="Heading3"/>
      </w:pPr>
      <w:r>
        <w:t xml:space="preserve">Studies bij mensen</w:t>
      </w:r>
    </w:p>
    <w:p>
      <w:pPr>
        <w:pStyle w:val="FirstParagraph"/>
      </w:pPr>
      <w:r>
        <w:t xml:space="preserve">De voor dit boek uitgevoerde PubMed-zoekopdracht (acetyl-hexapeptide of Argireline in titel of abstract, zoekdatum oktober 2026) leverde drie als studie bij mensen geclassificeerde artikelen op; op ClinicalTrials.gov staan zeven registraties. Bij de doorlichting werden nog enkele andere kleine studies gevonden.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Blanes-Mira 2002, PMID 18498523</w:t>
            </w:r>
          </w:p>
        </w:tc>
        <w:tc>
          <w:tcPr/>
          <w:p>
            <w:pPr>
              <w:pStyle w:val="Compact"/>
              <w:jc w:val="left"/>
            </w:pPr>
            <w:r>
              <w:t xml:space="preserve">gezonde vrouwen, emulsie met 10% Argireline (gegevens in abstract summier)</w:t>
            </w:r>
          </w:p>
        </w:tc>
        <w:tc>
          <w:tcPr/>
          <w:p>
            <w:pPr>
              <w:pStyle w:val="Compact"/>
              <w:jc w:val="left"/>
            </w:pPr>
            <w:r>
              <w:t xml:space="preserve">30 dagen</w:t>
            </w:r>
          </w:p>
        </w:tc>
        <w:tc>
          <w:tcPr/>
          <w:p>
            <w:pPr>
              <w:pStyle w:val="Compact"/>
              <w:jc w:val="left"/>
            </w:pPr>
            <w:r>
              <w:t xml:space="preserve">Rimpeldiepte met maximaal 30% verminderd</w:t>
            </w:r>
          </w:p>
        </w:tc>
      </w:tr>
      <w:tr>
        <w:tc>
          <w:tcPr/>
          <w:p>
            <w:pPr>
              <w:pStyle w:val="Compact"/>
              <w:jc w:val="left"/>
            </w:pPr>
            <w:r>
              <w:t xml:space="preserve">Wang 2013, PMID 23417317</w:t>
            </w:r>
          </w:p>
        </w:tc>
        <w:tc>
          <w:tcPr/>
          <w:p>
            <w:pPr>
              <w:pStyle w:val="Compact"/>
              <w:jc w:val="left"/>
            </w:pPr>
            <w:r>
              <w:t xml:space="preserve">60 Chinese volwassenen met rimpeltjes rond de ogen, Argireline vs. placebo in verhouding 3:1</w:t>
            </w:r>
          </w:p>
        </w:tc>
        <w:tc>
          <w:tcPr/>
          <w:p>
            <w:pPr>
              <w:pStyle w:val="Compact"/>
              <w:jc w:val="left"/>
            </w:pPr>
            <w:r>
              <w:t xml:space="preserve">4 weken</w:t>
            </w:r>
          </w:p>
        </w:tc>
        <w:tc>
          <w:tcPr/>
          <w:p>
            <w:pPr>
              <w:pStyle w:val="Compact"/>
              <w:jc w:val="left"/>
            </w:pPr>
            <w:r>
              <w:t xml:space="preserve">Subjectieve „totale werkzaamheid” 48,9% vs. 0%; ruwheidswaarden in huidafdrukken gedaald</w:t>
            </w:r>
          </w:p>
        </w:tc>
      </w:tr>
      <w:tr>
        <w:tc>
          <w:tcPr/>
          <w:p>
            <w:pPr>
              <w:pStyle w:val="Compact"/>
              <w:jc w:val="left"/>
            </w:pPr>
            <w:r>
              <w:t xml:space="preserve">Raikou 2017, PMID 28150423</w:t>
            </w:r>
          </w:p>
        </w:tc>
        <w:tc>
          <w:tcPr/>
          <w:p>
            <w:pPr>
              <w:pStyle w:val="Compact"/>
              <w:jc w:val="left"/>
            </w:pPr>
            <w:r>
              <w:t xml:space="preserve">24 gezonde personen, vier groepen: Argireline, tripeptide-10-citrulline, beide of geen van beide</w:t>
            </w:r>
          </w:p>
        </w:tc>
        <w:tc>
          <w:tcPr/>
          <w:p>
            <w:pPr>
              <w:pStyle w:val="Compact"/>
              <w:jc w:val="left"/>
            </w:pPr>
            <w:r>
              <w:t xml:space="preserve">60 dagen</w:t>
            </w:r>
          </w:p>
        </w:tc>
        <w:tc>
          <w:tcPr/>
          <w:p>
            <w:pPr>
              <w:pStyle w:val="Compact"/>
              <w:jc w:val="left"/>
            </w:pPr>
            <w:r>
              <w:t xml:space="preserve">Afzonderlijke rimpelparameters en waterverlies van de huid beter met Argireline</w:t>
            </w:r>
          </w:p>
        </w:tc>
      </w:tr>
      <w:tr>
        <w:tc>
          <w:tcPr/>
          <w:p>
            <w:pPr>
              <w:pStyle w:val="Compact"/>
              <w:jc w:val="left"/>
            </w:pPr>
            <w:r>
              <w:t xml:space="preserve">Henseler 2023, PMID 38024099</w:t>
            </w:r>
          </w:p>
        </w:tc>
        <w:tc>
          <w:tcPr/>
          <w:p>
            <w:pPr>
              <w:pStyle w:val="Compact"/>
              <w:jc w:val="left"/>
            </w:pPr>
            <w:r>
              <w:t xml:space="preserve">19 vrouwen, halfzijdige vergelijking: hyaluronserum met vs. zonder Argireline, dubbelblind</w:t>
            </w:r>
          </w:p>
        </w:tc>
        <w:tc>
          <w:tcPr/>
          <w:p>
            <w:pPr>
              <w:pStyle w:val="Compact"/>
              <w:jc w:val="left"/>
            </w:pPr>
            <w:r>
              <w:t xml:space="preserve">4 weken</w:t>
            </w:r>
          </w:p>
        </w:tc>
        <w:tc>
          <w:tcPr/>
          <w:p>
            <w:pPr>
              <w:pStyle w:val="Compact"/>
              <w:jc w:val="left"/>
            </w:pPr>
            <w:r>
              <w:t xml:space="preserve">Geen significant verschil tussen de gezichtshelften</w:t>
            </w:r>
          </w:p>
        </w:tc>
      </w:tr>
      <w:tr>
        <w:tc>
          <w:tcPr/>
          <w:p>
            <w:pPr>
              <w:pStyle w:val="Compact"/>
              <w:jc w:val="left"/>
            </w:pPr>
            <w:r>
              <w:t xml:space="preserve">Aruan 2023, PMID 36909866</w:t>
            </w:r>
          </w:p>
        </w:tc>
        <w:tc>
          <w:tcPr/>
          <w:p>
            <w:pPr>
              <w:pStyle w:val="Compact"/>
              <w:jc w:val="left"/>
            </w:pPr>
            <w:r>
              <w:t xml:space="preserve">21 vrouwen, acetyl-hexapeptide-3 vs. palmitoyl-pentapeptide-4 vs. placebo</w:t>
            </w:r>
          </w:p>
        </w:tc>
        <w:tc>
          <w:tcPr/>
          <w:p>
            <w:pPr>
              <w:pStyle w:val="Compact"/>
              <w:jc w:val="left"/>
            </w:pPr>
            <w:r>
              <w:t xml:space="preserve">8 weken</w:t>
            </w:r>
          </w:p>
        </w:tc>
        <w:tc>
          <w:tcPr/>
          <w:p>
            <w:pPr>
              <w:pStyle w:val="Compact"/>
              <w:jc w:val="left"/>
            </w:pPr>
            <w:r>
              <w:t xml:space="preserve">Palmitoyl-pentapeptide-4 scoorde beter dan Argireline en placebo</w:t>
            </w:r>
          </w:p>
        </w:tc>
      </w:tr>
    </w:tbl>
    <w:p>
      <w:pPr>
        <w:pStyle w:val="BodyText"/>
      </w:pPr>
      <w:r>
        <w:rPr>
          <w:bCs/>
          <w:b/>
        </w:rPr>
        <w:t xml:space="preserve">Ter plaatsing van de positieve studies:</w:t>
      </w:r>
    </w:p>
    <w:p>
      <w:pPr>
        <w:numPr>
          <w:ilvl w:val="0"/>
          <w:numId w:val="1316"/>
        </w:numPr>
        <w:pStyle w:val="Compact"/>
      </w:pPr>
      <w:r>
        <w:t xml:space="preserve">De eerste beschrijving uit 2002 komt van de ontwikkelaars en vermeldt in het abstract noch het aantal deelnemers noch een controlegroep. Ze testte een concentratie van 10% – ver boven wat een Amerikaanse veiligheidsbeoordeling later als voldoende onderzocht beschouwde (zie risico’s).</w:t>
      </w:r>
    </w:p>
    <w:p>
      <w:pPr>
        <w:numPr>
          <w:ilvl w:val="0"/>
          <w:numId w:val="1316"/>
        </w:numPr>
        <w:pStyle w:val="Compact"/>
      </w:pPr>
      <w:r>
        <w:t xml:space="preserve">De Chinese studie (Wang 2013) is de grootste. De groepen waren ongelijk van grootte (ongeveer 45 tegenover 15), de hoofdbeoordeling was subjectief, en dezelfde klinische gegevens verschijnen samen met muizenproeven in een andere publicatie van dezelfde groep</w:t>
      </w:r>
      <w:r>
        <w:rPr>
          <w:rStyle w:val="FootnoteReference"/>
        </w:rPr>
        <w:footnoteReference w:id="2505"/>
      </w:r>
      <w:r>
        <w:t xml:space="preserve">. Bij vergelijkingen met de uitgangswaarde liet alleen de Argirelinegroep dalende ruwheidswaarden zien – een directe statistische vergelijking van de groepen wordt in het abstract niet gerapporteerd.</w:t>
      </w:r>
    </w:p>
    <w:p>
      <w:pPr>
        <w:numPr>
          <w:ilvl w:val="0"/>
          <w:numId w:val="1316"/>
        </w:numPr>
        <w:pStyle w:val="Compact"/>
      </w:pPr>
      <w:r>
        <w:t xml:space="preserve">De studie van Raikou had slechts zes deelnemers per groep en een groot aantal afzonderlijke vergelijkingen; sommige verschillen waren significant, andere niet.</w:t>
      </w:r>
    </w:p>
    <w:p>
      <w:pPr>
        <w:pStyle w:val="FirstParagraph"/>
      </w:pPr>
      <w:r>
        <w:rPr>
          <w:bCs/>
          <w:b/>
        </w:rPr>
        <w:t xml:space="preserve">De negatieve studie:</w:t>
      </w:r>
      <w:r>
        <w:t xml:space="preserve"> </w:t>
      </w:r>
      <w:r>
        <w:t xml:space="preserve">een dubbelblinde halfzijdige studie uit een praktijk voor plastische chirurgie met objectieve camerameting (Henseler 2023) vond geen verschil tussen de gezichtshelft met en zonder Argireline. De onderzoekers concludeerden dat een effect niet was aangetoond en dat Argireline niet als alternatief voor botulinetoxine moet worden beschouwd. Met 19 deelneemsters was echter ook deze studie klein.</w:t>
      </w:r>
    </w:p>
    <w:bookmarkStart w:id="2510" w:name="andere-toepassingen-5"/>
    <w:p>
      <w:pPr>
        <w:pStyle w:val="Heading4"/>
      </w:pPr>
      <w:r>
        <w:t xml:space="preserve">Andere toepassingen</w:t>
      </w:r>
    </w:p>
    <w:p>
      <w:pPr>
        <w:numPr>
          <w:ilvl w:val="0"/>
          <w:numId w:val="1317"/>
        </w:numPr>
        <w:pStyle w:val="Compact"/>
      </w:pPr>
      <w:r>
        <w:rPr>
          <w:bCs/>
          <w:b/>
        </w:rPr>
        <w:t xml:space="preserve">Ooglidkramp (blefarospasme):</w:t>
      </w:r>
      <w:r>
        <w:t xml:space="preserve"> </w:t>
      </w:r>
      <w:r>
        <w:t xml:space="preserve">bij deze neurologische aandoening verkrampen de ooglidspieren onwillekeurig; de standaardbehandeling is een injectie met botulinetoxine elke drie maanden. In een pilotstudie met 24 patiënten zou een Argirelinecrème de werkingsduur van de injectie verlengen. Er was een niet-significante trend (3,7 tegenover 3,0 maanden tot de terugkeer van de klachten) en er waren geen relevante bijwerkingen (Lungu 2013, PMID 23146065; geregistreerd als NCT00942851). Een vervolgstudie werd na acht deelnemers afgebroken</w:t>
      </w:r>
      <w:r>
        <w:rPr>
          <w:rStyle w:val="FootnoteReference"/>
        </w:rPr>
        <w:footnoteReference w:id="2506"/>
      </w:r>
      <w:r>
        <w:t xml:space="preserve">.</w:t>
      </w:r>
    </w:p>
    <w:p>
      <w:pPr>
        <w:numPr>
          <w:ilvl w:val="0"/>
          <w:numId w:val="1317"/>
        </w:numPr>
        <w:pStyle w:val="Compact"/>
      </w:pPr>
      <w:r>
        <w:rPr>
          <w:bCs/>
          <w:b/>
        </w:rPr>
        <w:t xml:space="preserve">Microneedlepleister:</w:t>
      </w:r>
      <w:r>
        <w:t xml:space="preserve"> </w:t>
      </w:r>
      <w:r>
        <w:t xml:space="preserve">in een Koreaanse halfzijdige studie met 52 vrouwen verbeterde een hyaluron-microneedlepleister met Argireline de rimpels sterker dan de pleister alleen</w:t>
      </w:r>
      <w:r>
        <w:rPr>
          <w:rStyle w:val="FootnoteReference"/>
        </w:rPr>
        <w:footnoteReference w:id="2507"/>
      </w:r>
      <w:r>
        <w:t xml:space="preserve">. Hier wordt het peptide via minuscule naaldjes in de huid gebracht – het resultaat is niet over te dragen op gewone crèmes.</w:t>
      </w:r>
    </w:p>
    <w:p>
      <w:pPr>
        <w:numPr>
          <w:ilvl w:val="0"/>
          <w:numId w:val="1317"/>
        </w:numPr>
        <w:pStyle w:val="Compact"/>
      </w:pPr>
      <w:r>
        <w:rPr>
          <w:bCs/>
          <w:b/>
        </w:rPr>
        <w:t xml:space="preserve">Combinatieproducten:</w:t>
      </w:r>
      <w:r>
        <w:t xml:space="preserve"> </w:t>
      </w:r>
      <w:r>
        <w:t xml:space="preserve">veel studies testen serums die Argireline bevatten samen met retinol, hyaluronzuur of andere peptiden. Het resultaat daarvan kan niet aan het afzonderlijke peptide worden toegeschreven.</w:t>
      </w:r>
    </w:p>
    <w:p>
      <w:pPr>
        <w:numPr>
          <w:ilvl w:val="0"/>
          <w:numId w:val="1317"/>
        </w:numPr>
        <w:pStyle w:val="Compact"/>
      </w:pPr>
      <w:r>
        <w:rPr>
          <w:bCs/>
          <w:b/>
        </w:rPr>
        <w:t xml:space="preserve">Geregistreerde zeer kleine studies:</w:t>
      </w:r>
      <w:r>
        <w:t xml:space="preserve"> </w:t>
      </w:r>
      <w:r>
        <w:t xml:space="preserve">op ClinicalTrials.gov staan onder meer een afgeronde studie naar een vette huid met 14 deelnemers</w:t>
      </w:r>
      <w:r>
        <w:rPr>
          <w:rStyle w:val="FootnoteReference"/>
        </w:rPr>
        <w:footnoteReference w:id="2508"/>
      </w:r>
      <w:r>
        <w:t xml:space="preserve"> </w:t>
      </w:r>
      <w:r>
        <w:t xml:space="preserve">en een als fase 3 aangeduide studie naar rimpeltjes rond de ogen met 70 deelnemers</w:t>
      </w:r>
      <w:r>
        <w:rPr>
          <w:rStyle w:val="FootnoteReference"/>
        </w:rPr>
        <w:footnoteReference w:id="2509"/>
      </w:r>
      <w:r>
        <w:t xml:space="preserve">; of deze laatste overeenkomt met de hierboven genoemde Chinese studie, kon niet eenduidig worden vastgesteld.</w:t>
      </w:r>
    </w:p>
    <w:bookmarkEnd w:id="2510"/>
    <w:bookmarkEnd w:id="2511"/>
    <w:bookmarkStart w:id="2516" w:name="dier--en-laboratoriumstudies-57"/>
    <w:p>
      <w:pPr>
        <w:pStyle w:val="Heading3"/>
      </w:pPr>
      <w:r>
        <w:t xml:space="preserve">Dier- en laboratoriumstudies</w:t>
      </w:r>
    </w:p>
    <w:p>
      <w:pPr>
        <w:numPr>
          <w:ilvl w:val="0"/>
          <w:numId w:val="1318"/>
        </w:numPr>
        <w:pStyle w:val="Compact"/>
      </w:pPr>
      <w:r>
        <w:rPr>
          <w:bCs/>
          <w:b/>
        </w:rPr>
        <w:t xml:space="preserve">Celproeven:</w:t>
      </w:r>
      <w:r>
        <w:t xml:space="preserve"> </w:t>
      </w:r>
      <w:r>
        <w:t xml:space="preserve">remming van de afgifte van boodschapperstoffen en verstoring van de vorming van het SNARE-complex</w:t>
      </w:r>
      <w:r>
        <w:rPr>
          <w:rStyle w:val="FootnoteReference"/>
        </w:rPr>
        <w:footnoteReference w:id="2512"/>
      </w:r>
      <w:r>
        <w:t xml:space="preserve">. In celkweken van menselijke huidfibroblasten en andere cellijnen remde Argireline de celvermenigvuldiging dosisafhankelijk, maar pas bij concentraties die 18 tot 10.000 keer hoger lagen dan bij de vergelijkingsstof doxorubicine, een kankermiddel</w:t>
      </w:r>
      <w:r>
        <w:rPr>
          <w:rStyle w:val="FootnoteReference"/>
        </w:rPr>
        <w:footnoteReference w:id="2513"/>
      </w:r>
      <w:r>
        <w:t xml:space="preserve">.</w:t>
      </w:r>
    </w:p>
    <w:p>
      <w:pPr>
        <w:numPr>
          <w:ilvl w:val="0"/>
          <w:numId w:val="1318"/>
        </w:numPr>
        <w:pStyle w:val="Compact"/>
      </w:pPr>
      <w:r>
        <w:rPr>
          <w:bCs/>
          <w:b/>
        </w:rPr>
        <w:t xml:space="preserve">Dierproeven:</w:t>
      </w:r>
      <w:r>
        <w:t xml:space="preserve"> </w:t>
      </w:r>
      <w:r>
        <w:t xml:space="preserve">bij muizen met kunstmatig versnelde veroudering (door D-galactose) nam onder Argireline het aandeel type I-collageenvezels in de huid toe</w:t>
      </w:r>
      <w:r>
        <w:rPr>
          <w:rStyle w:val="FootnoteReference"/>
        </w:rPr>
        <w:footnoteReference w:id="2514"/>
      </w:r>
      <w:r>
        <w:t xml:space="preserve">.</w:t>
      </w:r>
    </w:p>
    <w:p>
      <w:pPr>
        <w:numPr>
          <w:ilvl w:val="0"/>
          <w:numId w:val="1318"/>
        </w:numPr>
        <w:pStyle w:val="Compact"/>
      </w:pPr>
      <w:r>
        <w:rPr>
          <w:bCs/>
          <w:b/>
        </w:rPr>
        <w:t xml:space="preserve">Huiddoorlaatbaarheid:</w:t>
      </w:r>
      <w:r>
        <w:t xml:space="preserve"> </w:t>
      </w:r>
      <w:r>
        <w:t xml:space="preserve">naast de studie met huid van lichaamsdonoren</w:t>
      </w:r>
      <w:r>
        <w:rPr>
          <w:rStyle w:val="FootnoteReference"/>
        </w:rPr>
        <w:footnoteReference w:id="2515"/>
      </w:r>
      <w:r>
        <w:t xml:space="preserve"> </w:t>
      </w:r>
      <w:r>
        <w:t xml:space="preserve">onderzoeken talrijke laboratoriumstudies emulsies, microneedles, iontoforese en chemische wijzigingen om meer werkzame stof in de huid te krijgen.</w:t>
      </w:r>
    </w:p>
    <w:bookmarkEnd w:id="2516"/>
    <w:bookmarkStart w:id="2519" w:name="risicos-en-bijwerkingen-57"/>
    <w:p>
      <w:pPr>
        <w:pStyle w:val="Heading3"/>
      </w:pPr>
      <w:r>
        <w:t xml:space="preserve">Risico’s en bijwerkingen</w:t>
      </w:r>
    </w:p>
    <w:p>
      <w:pPr>
        <w:pStyle w:val="FirstParagraph"/>
      </w:pPr>
      <w:r>
        <w:rPr>
          <w:bCs/>
          <w:b/>
        </w:rPr>
        <w:t xml:space="preserve">Als crème (aangetoond):</w:t>
      </w:r>
      <w:r>
        <w:t xml:space="preserve"> </w:t>
      </w:r>
      <w:r>
        <w:t xml:space="preserve">in de studies werden geen relevante bijwerkingen waargenomen; huidirritaties en allergieën zijn zoals bij elk bestanddeel van cosmetica mogelijk. Het onafhankelijke Amerikaanse deskundigenpanel voor de veiligheid van cosmetische ingrediënten (Cosmetic Ingredient Review) concludeerde in 2025 dat acetyl-hexapeptide-8 in de momenteel gebruikelijke concentraties tot 0,005% veilig is. Voor hogere concentraties waren de beschikbare gegevens onvoldoende voor een uitspraak over de veiligheid</w:t>
      </w:r>
      <w:r>
        <w:rPr>
          <w:rStyle w:val="FootnoteReference"/>
        </w:rPr>
        <w:footnoteReference w:id="2517"/>
      </w:r>
      <w:r>
        <w:t xml:space="preserve">.</w:t>
      </w:r>
    </w:p>
    <w:p>
      <w:pPr>
        <w:pStyle w:val="BodyText"/>
      </w:pPr>
      <w:r>
        <w:rPr>
          <w:bCs/>
          <w:b/>
        </w:rPr>
        <w:t xml:space="preserve">Als injectie:</w:t>
      </w:r>
      <w:r>
        <w:t xml:space="preserve"> </w:t>
      </w:r>
      <w:r>
        <w:t xml:space="preserve">Argireline wordt soms ook in de huid gespoten, bijvoorbeeld in schoonheidssalons of via producten van de grijze markt. Daarvoor bestaat geen registratie en zijn er geen studies. Een casusbeschrijving beschrijft een 45-jarige vrouw bij wie na Argirelineinjecties in voorhoofd en slapen roodheid, knobbels en abcessen optraden; de oorzaak was een infectie met de moeilijk te behandelen bacterie</w:t>
      </w:r>
      <w:r>
        <w:t xml:space="preserve"> </w:t>
      </w:r>
      <w:r>
        <w:rPr>
          <w:iCs/>
          <w:i/>
        </w:rPr>
        <w:t xml:space="preserve">Mycobacterium abscessus</w:t>
      </w:r>
      <w:r>
        <w:t xml:space="preserve">, die een antibioticabehandeling van vijf maanden vereiste</w:t>
      </w:r>
      <w:r>
        <w:rPr>
          <w:rStyle w:val="FootnoteReference"/>
        </w:rPr>
        <w:footnoteReference w:id="2518"/>
      </w:r>
      <w:r>
        <w:t xml:space="preserve">. Het risico ligt hier minder in het peptide zelf dan in niet-steriele producten en procedures.</w:t>
      </w:r>
    </w:p>
    <w:p>
      <w:pPr>
        <w:pStyle w:val="BodyText"/>
      </w:pPr>
      <w:r>
        <w:rPr>
          <w:bCs/>
          <w:b/>
        </w:rPr>
        <w:t xml:space="preserve">Theoretisch:</w:t>
      </w:r>
      <w:r>
        <w:t xml:space="preserve"> </w:t>
      </w:r>
      <w:r>
        <w:t xml:space="preserve">als Argireline in noemenswaardige hoeveelheid bij zenuw-spierverbindingen terecht zou komen, zou – zoals bij botulinetoxine – ongewenste spierzwakte denkbaar zijn. Daarvoor zijn er bij uitwendig gebruik geen aanwijzingen.</w:t>
      </w:r>
    </w:p>
    <w:bookmarkEnd w:id="2519"/>
    <w:bookmarkStart w:id="2520" w:name="juridische-status-57"/>
    <w:p>
      <w:pPr>
        <w:pStyle w:val="Heading3"/>
      </w:pPr>
      <w:r>
        <w:t xml:space="preserve">Juridische status</w:t>
      </w:r>
    </w:p>
    <w:p>
      <w:pPr>
        <w:numPr>
          <w:ilvl w:val="0"/>
          <w:numId w:val="1319"/>
        </w:numPr>
        <w:pStyle w:val="Compact"/>
      </w:pPr>
      <w:r>
        <w:rPr>
          <w:bCs/>
          <w:b/>
        </w:rPr>
        <w:t xml:space="preserve">EU / Oostenrijk / Duitsland:</w:t>
      </w:r>
      <w:r>
        <w:t xml:space="preserve"> </w:t>
      </w:r>
      <w:r>
        <w:t xml:space="preserve">acetyl-hexapeptide-8 is een toegestaan cosmetisch ingrediënt volgens de EU-cosmeticaverordening (Verordening (EG) nr. 1223/2009). Reclameclaims moeten volgens Verordening (EU) nr. 655/2013 onderbouwd kunnen worden. Vergelijkingen met botulinetoxine („zoals Botox”) zijn misleidend als ze een vergelijkbaar effect suggereren. Een injectie is geen cosmetische toepassing; een product dat voor injectie bestemd is, zou een niet-geregistreerd geneesmiddel of medisch hulpmiddel zijn en mag zo niet worden verkocht.</w:t>
      </w:r>
    </w:p>
    <w:p>
      <w:pPr>
        <w:numPr>
          <w:ilvl w:val="0"/>
          <w:numId w:val="1319"/>
        </w:numPr>
        <w:pStyle w:val="Compact"/>
      </w:pPr>
      <w:r>
        <w:rPr>
          <w:bCs/>
          <w:b/>
        </w:rPr>
        <w:t xml:space="preserve">VS:</w:t>
      </w:r>
      <w:r>
        <w:t xml:space="preserve"> </w:t>
      </w:r>
      <w:r>
        <w:t xml:space="preserve">cosmetisch ingrediënt zonder voorafgaande toetsing door de FDA; uitspraken die een effect op spieren beloven, kunnen een product juridisch tot geneesmiddel maken.</w:t>
      </w:r>
    </w:p>
    <w:p>
      <w:pPr>
        <w:numPr>
          <w:ilvl w:val="0"/>
          <w:numId w:val="1319"/>
        </w:numPr>
        <w:pStyle w:val="Compact"/>
      </w:pPr>
      <w:r>
        <w:rPr>
          <w:bCs/>
          <w:b/>
        </w:rPr>
        <w:t xml:space="preserve">Sport:</w:t>
      </w:r>
      <w:r>
        <w:t xml:space="preserve"> </w:t>
      </w:r>
      <w:r>
        <w:t xml:space="preserve">zonder betekenis (stand 2026, actuele situatie controleren).</w:t>
      </w:r>
    </w:p>
    <w:bookmarkEnd w:id="2520"/>
    <w:bookmarkStart w:id="2521" w:name="lopende-studies-en-vooruitzichten-57"/>
    <w:p>
      <w:pPr>
        <w:pStyle w:val="Heading3"/>
      </w:pPr>
      <w:r>
        <w:t xml:space="preserve">Lopende studies en vooruitzichten</w:t>
      </w:r>
    </w:p>
    <w:p>
      <w:pPr>
        <w:pStyle w:val="FirstParagraph"/>
      </w:pPr>
      <w:r>
        <w:rPr>
          <w:bCs/>
          <w:b/>
        </w:rPr>
        <w:t xml:space="preserve">Zeker:</w:t>
      </w:r>
      <w:r>
        <w:t xml:space="preserve"> </w:t>
      </w:r>
      <w:r>
        <w:t xml:space="preserve">op ClinicalTrials.gov staat (stand oktober 2026) geen lopende studie met acetyl-hexapeptide-8 als enige werkzame stof; de vermelde registraties zijn afgerond of afgebroken. Studies naar de werkzaamheid van cosmetica worden zelden geregistreerd.</w:t>
      </w:r>
    </w:p>
    <w:p>
      <w:pPr>
        <w:pStyle w:val="BodyText"/>
      </w:pPr>
      <w:r>
        <w:rPr>
          <w:bCs/>
          <w:b/>
        </w:rPr>
        <w:t xml:space="preserve">Inschatting:</w:t>
      </w:r>
      <w:r>
        <w:t xml:space="preserve"> </w:t>
      </w:r>
      <w:r>
        <w:t xml:space="preserve">Argireline is een voorbeeld van een rationeel ontworpen peptide waarvan de laboratoriumbevinding overtuigend is, maar waarvan de weg naar de plaats van werking onopgelost blijft. Het onderzoek richt zich daarom op transportsystemen zoals microneedles en nanodragers. Of die een effect bereiken dat voor gebruikers zichtbaar is en verder gaat dan dat van een goed vochtinbrengend product, moeten grotere, onafhankelijke studies uitwijzen. Een echt alternatief voor botulinetoxine valt naar de huidige kennis niet te verwachten.</w:t>
      </w:r>
    </w:p>
    <w:bookmarkEnd w:id="2521"/>
    <w:bookmarkStart w:id="2522" w:name="conclusie-57"/>
    <w:p>
      <w:pPr>
        <w:pStyle w:val="Heading3"/>
      </w:pPr>
      <w:r>
        <w:t xml:space="preserve">Conclusie</w:t>
      </w:r>
    </w:p>
    <w:p>
      <w:pPr>
        <w:pStyle w:val="FirstParagraph"/>
      </w:pPr>
      <w:r>
        <w:t xml:space="preserve">Acetyl-hexapeptide-8 is een synthetisch peptide dat in het laboratorium de afgifte van boodschapperstoffen door zenuwcellen remt, vergelijkbaar met botulinetoxine, maar aanzienlijk zwakker. Uit crèmes dringt het nauwelijks in de huid door; in een laboratoriumproef bleef het bijna volledig in de oppervlakkige lagen. Kleine, korte studies – deels van de ontwikkelaars, deels met combinatieproducten – melden minder rimpeltjes; een geblindeerde halfzijdige studie met objectieve meting vond daarentegen geen verschil. Als crème geldt het in gebruikelijke concentraties als veilig; injecties zijn onderzocht noch toegelaten en kunnen tot ernstige infecties leiden. De reclameterm „Botox uit de tube” wordt door de gegevens niet gedekt.</w:t>
      </w:r>
    </w:p>
    <w:bookmarkEnd w:id="2522"/>
    <w:bookmarkEnd w:id="2523"/>
    <w:bookmarkEnd w:id="2524"/>
    <w:bookmarkStart w:id="2603" w:name="deel-iii-de-grote-vergelijking"/>
    <w:p>
      <w:pPr>
        <w:pStyle w:val="Heading1"/>
      </w:pPr>
      <w:r>
        <w:t xml:space="preserve">Deel III – De grote vergelijking</w:t>
      </w:r>
    </w:p>
    <w:p>
      <w:pPr>
        <w:pStyle w:val="FirstParagraph"/>
      </w:pPr>
      <w:r>
        <w:t xml:space="preserve">In Deel II werd elk peptide afzonderlijk bekeken. Dit deel zet de resultaten naast elkaar en beantwoordt drie vragen: hoe goed is een peptide onderzocht in vergelijking met de andere? Hoe verhouden de afslank- en diabetesmiddelen zich tot elkaar? En wat blijft er over van de beloften op internet als men alleen studies bij mensen laat meetellen?</w:t>
      </w:r>
    </w:p>
    <w:p>
      <w:pPr>
        <w:pStyle w:val="BodyText"/>
      </w:pPr>
      <w:r>
        <w:t xml:space="preserve">De tabellen zijn samenvattingen. Bronnen en beperkingen van elk getal staan in de hoofdstukken van Deel II. Alle gegevens over registratie en dopingstatus geven de stand van 2026 weer en moeten actueel worden gecontroleerd.</w:t>
      </w:r>
    </w:p>
    <w:bookmarkStart w:id="2537" w:name="alle-peptiden-in-één-oogopslag"/>
    <w:p>
      <w:pPr>
        <w:pStyle w:val="Heading2"/>
      </w:pPr>
      <w:r>
        <w:t xml:space="preserve">Alle peptiden in één oogopslag</w:t>
      </w:r>
    </w:p>
    <w:bookmarkStart w:id="2525" w:name="zo-lees-je-de-tabellen"/>
    <w:p>
      <w:pPr>
        <w:pStyle w:val="Heading3"/>
      </w:pPr>
      <w:r>
        <w:t xml:space="preserve">Zo lees je de tabellen</w:t>
      </w:r>
    </w:p>
    <w:p>
      <w:pPr>
        <w:pStyle w:val="FirstParagraph"/>
      </w:pPr>
      <w:r>
        <w:t xml:space="preserve">Voor elke groep uit Deel II volgen twee tabellen: de eerste met bewijsniveau, registratie en omvang van het onderzoek, de tweede met het belangrijkste studieresultaat en het belangrijkste risico.</w:t>
      </w:r>
    </w:p>
    <w:p>
      <w:pPr>
        <w:pStyle w:val="BodyText"/>
      </w:pPr>
      <w:r>
        <w:rPr>
          <w:bCs/>
          <w:b/>
        </w:rPr>
        <w:t xml:space="preserve">Bewijsniveau</w:t>
      </w:r>
      <w:r>
        <w:t xml:space="preserve"> </w:t>
      </w:r>
      <w:r>
        <w:t xml:space="preserve">(zoals in Deel II):</w:t>
      </w:r>
    </w:p>
    <w:p>
      <w:pPr>
        <w:numPr>
          <w:ilvl w:val="0"/>
          <w:numId w:val="1320"/>
        </w:numPr>
        <w:pStyle w:val="Compact"/>
      </w:pPr>
      <w:r>
        <w:rPr>
          <w:bCs/>
          <w:b/>
        </w:rPr>
        <w:t xml:space="preserve">A</w:t>
      </w:r>
      <w:r>
        <w:t xml:space="preserve">: meerdere grote gerandomiseerde studies bij mensen, meestal met registratie</w:t>
      </w:r>
    </w:p>
    <w:p>
      <w:pPr>
        <w:numPr>
          <w:ilvl w:val="0"/>
          <w:numId w:val="1320"/>
        </w:numPr>
        <w:pStyle w:val="Compact"/>
      </w:pPr>
      <w:r>
        <w:rPr>
          <w:bCs/>
          <w:b/>
        </w:rPr>
        <w:t xml:space="preserve">B</w:t>
      </w:r>
      <w:r>
        <w:t xml:space="preserve">: afzonderlijke gerandomiseerde studies bij mensen</w:t>
      </w:r>
    </w:p>
    <w:p>
      <w:pPr>
        <w:numPr>
          <w:ilvl w:val="0"/>
          <w:numId w:val="1320"/>
        </w:numPr>
        <w:pStyle w:val="Compact"/>
      </w:pPr>
      <w:r>
        <w:rPr>
          <w:bCs/>
          <w:b/>
        </w:rPr>
        <w:t xml:space="preserve">C</w:t>
      </w:r>
      <w:r>
        <w:t xml:space="preserve">: alleen kleine of ongecontroleerde studies bij mensen</w:t>
      </w:r>
    </w:p>
    <w:p>
      <w:pPr>
        <w:numPr>
          <w:ilvl w:val="0"/>
          <w:numId w:val="1320"/>
        </w:numPr>
        <w:pStyle w:val="Compact"/>
      </w:pPr>
      <w:r>
        <w:rPr>
          <w:bCs/>
          <w:b/>
        </w:rPr>
        <w:t xml:space="preserve">D</w:t>
      </w:r>
      <w:r>
        <w:t xml:space="preserve">: alleen dier- en laboratoriumstudies</w:t>
      </w:r>
    </w:p>
    <w:p>
      <w:pPr>
        <w:pStyle w:val="FirstParagraph"/>
      </w:pPr>
      <w:r>
        <w:t xml:space="preserve">Het niveau beschrijft</w:t>
      </w:r>
      <w:r>
        <w:t xml:space="preserve"> </w:t>
      </w:r>
      <w:r>
        <w:rPr>
          <w:iCs/>
          <w:i/>
        </w:rPr>
        <w:t xml:space="preserve">hoe goed</w:t>
      </w:r>
      <w:r>
        <w:t xml:space="preserve"> </w:t>
      </w:r>
      <w:r>
        <w:t xml:space="preserve">iets is onderzocht, niet</w:t>
      </w:r>
      <w:r>
        <w:t xml:space="preserve"> </w:t>
      </w:r>
      <w:r>
        <w:rPr>
          <w:iCs/>
          <w:i/>
        </w:rPr>
        <w:t xml:space="preserve">of</w:t>
      </w:r>
      <w:r>
        <w:t xml:space="preserve"> </w:t>
      </w:r>
      <w:r>
        <w:t xml:space="preserve">het werkt – en geldt alleen voor de onderzochte toepassing.</w:t>
      </w:r>
    </w:p>
    <w:p>
      <w:pPr>
        <w:pStyle w:val="BodyText"/>
      </w:pPr>
      <w:r>
        <w:rPr>
          <w:bCs/>
          <w:b/>
        </w:rPr>
        <w:t xml:space="preserve">Studies bij mensen / register:</w:t>
      </w:r>
      <w:r>
        <w:t xml:space="preserve"> </w:t>
      </w:r>
      <w:r>
        <w:t xml:space="preserve">de getallen komen uit de geautomatiseerde zoekopdracht voor dit boek (oktober 2026, methodiek in de bijlage): als studie bij mensen ingedeelde publicaties in PubMed en registraties in het studieregister ClinicalTrials.gov. Ze laten alleen de orde van grootte zien, hangen sterk af van de zoekterm en bevatten deels treffers uit andere vakgebieden, terwijl oudere studies onder andere namen kunnen ontbreken. Waar een getal duidelijk misleidt, is het gemarkeerd met „(opm.)” en onder de tabel toegelicht. Registraties van een sponsor van wie de registraties bij controle kennelijk fictieve voorbeeld- of testregistraties bleken te zijn, zijn niet meegeteld.</w:t>
      </w:r>
    </w:p>
    <w:bookmarkEnd w:id="2525"/>
    <w:bookmarkStart w:id="2526" w:name="a.-stofwisseling-en-gewicht"/>
    <w:p>
      <w:pPr>
        <w:pStyle w:val="Heading3"/>
      </w:pPr>
      <w:r>
        <w:t xml:space="preserve">A. Stofwisseling en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ja / ja (ook generieken)</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ja / ja (injectie en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nee / nee (alleen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15 / 44</w:t>
            </w:r>
          </w:p>
        </w:tc>
      </w:tr>
      <w:tr>
        <w:tc>
          <w:tcPr/>
          <w:p>
            <w:pPr>
              <w:pStyle w:val="Compact"/>
              <w:jc w:val="left"/>
            </w:pPr>
            <w:r>
              <w:t xml:space="preserve">Amycretine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 (opm.)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nee / ja</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ja / ja (zeldzame genetische vormen)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Orforglipron (geen peptide)</w:t>
            </w:r>
          </w:p>
        </w:tc>
        <w:tc>
          <w:tcPr/>
          <w:p>
            <w:pPr>
              <w:pStyle w:val="Compact"/>
              <w:jc w:val="left"/>
            </w:pPr>
            <w:r>
              <w:t xml:space="preserve">A</w:t>
            </w:r>
          </w:p>
        </w:tc>
        <w:tc>
          <w:tcPr/>
          <w:p>
            <w:pPr>
              <w:pStyle w:val="Compact"/>
              <w:jc w:val="left"/>
            </w:pPr>
            <w:r>
              <w:t xml:space="preserve">nee / aanvraag ingediend (controleren)</w:t>
            </w:r>
          </w:p>
        </w:tc>
        <w:tc>
          <w:tcPr/>
          <w:p>
            <w:pPr>
              <w:pStyle w:val="Compact"/>
              <w:jc w:val="left"/>
            </w:pPr>
            <w:r>
              <w:t xml:space="preserve">20 / 53</w:t>
            </w:r>
          </w:p>
        </w:tc>
      </w:tr>
    </w:tbl>
    <w:p>
      <w:pPr>
        <w:pStyle w:val="BodyText"/>
      </w:pPr>
      <w:r>
        <w:t xml:space="preserve">Opmerking bij de tabel: bij</w:t>
      </w:r>
      <w:r>
        <w:t xml:space="preserve"> </w:t>
      </w:r>
      <w:r>
        <w:rPr>
          <w:bCs/>
          <w:b/>
        </w:rPr>
        <w:t xml:space="preserve">amycretine</w:t>
      </w:r>
      <w:r>
        <w:t xml:space="preserve"> </w:t>
      </w:r>
      <w:r>
        <w:t xml:space="preserve">vond de zoekopdracht in het register slechts één registratie; onder de naam zenagamtide en de ontwikkelingscode zijn ongeveer 30 studies geregistreerd, waaronder het in 2026 gestarte fase 3-programma. Bij</w:t>
      </w:r>
      <w:r>
        <w:t xml:space="preserve"> </w:t>
      </w:r>
      <w:r>
        <w:rPr>
          <w:bCs/>
          <w:b/>
        </w:rPr>
        <w:t xml:space="preserve">mazdutide</w:t>
      </w:r>
      <w:r>
        <w:t xml:space="preserve"> </w:t>
      </w:r>
      <w:r>
        <w:t xml:space="preserve">komen de studies bijna alleen uit China; bij</w:t>
      </w:r>
      <w:r>
        <w:t xml:space="preserve"> </w:t>
      </w:r>
      <w:r>
        <w:rPr>
          <w:bCs/>
          <w:b/>
        </w:rPr>
        <w:t xml:space="preserve">orforglipron</w:t>
      </w:r>
      <w:r>
        <w:t xml:space="preserve"> </w:t>
      </w:r>
      <w:r>
        <w:t xml:space="preserve">stond de registratie bij het afsluiten van de redactie nog uit.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Exenatide</w:t>
            </w:r>
          </w:p>
        </w:tc>
        <w:tc>
          <w:tcPr/>
          <w:p>
            <w:pPr>
              <w:pStyle w:val="Compact"/>
              <w:jc w:val="left"/>
            </w:pPr>
            <w:r>
              <w:t xml:space="preserve">EXSCEL: cardiovasculair risico niet verhoogd, maar ook niet significant verlaagd (HR 0,91; PMID 28910237)</w:t>
            </w:r>
          </w:p>
        </w:tc>
        <w:tc>
          <w:tcPr/>
          <w:p>
            <w:pPr>
              <w:pStyle w:val="Compact"/>
              <w:jc w:val="left"/>
            </w:pPr>
            <w:r>
              <w:t xml:space="preserve">misselijkheid, knobbeltjes, antistoffen</w:t>
            </w:r>
          </w:p>
        </w:tc>
      </w:tr>
      <w:tr>
        <w:tc>
          <w:tcPr/>
          <w:p>
            <w:pPr>
              <w:pStyle w:val="Compact"/>
              <w:jc w:val="left"/>
            </w:pPr>
            <w:r>
              <w:t xml:space="preserve">Liraglutide</w:t>
            </w:r>
          </w:p>
        </w:tc>
        <w:tc>
          <w:tcPr/>
          <w:p>
            <w:pPr>
              <w:pStyle w:val="Compact"/>
              <w:jc w:val="left"/>
            </w:pPr>
            <w:r>
              <w:t xml:space="preserve">LEADER: 13% minder cardiovasculaire voorvallen (PMID 27295427); SCALE: −8,4 vs. −2,8 kg (PMID 26132939)</w:t>
            </w:r>
          </w:p>
        </w:tc>
        <w:tc>
          <w:tcPr/>
          <w:p>
            <w:pPr>
              <w:pStyle w:val="Compact"/>
              <w:jc w:val="left"/>
            </w:pPr>
            <w:r>
              <w:t xml:space="preserve">maag-darmklachten, galblaas</w:t>
            </w:r>
          </w:p>
        </w:tc>
      </w:tr>
      <w:tr>
        <w:tc>
          <w:tcPr/>
          <w:p>
            <w:pPr>
              <w:pStyle w:val="Compact"/>
              <w:jc w:val="left"/>
            </w:pPr>
            <w:r>
              <w:t xml:space="preserve">Dulaglutide</w:t>
            </w:r>
          </w:p>
        </w:tc>
        <w:tc>
          <w:tcPr/>
          <w:p>
            <w:pPr>
              <w:pStyle w:val="Compact"/>
              <w:jc w:val="left"/>
            </w:pPr>
            <w:r>
              <w:t xml:space="preserve">REWIND: 12% minder ernstige cardiovasculaire voorvallen bij 9.901 deelnemers (PMID 31189511)</w:t>
            </w:r>
          </w:p>
        </w:tc>
        <w:tc>
          <w:tcPr/>
          <w:p>
            <w:pPr>
              <w:pStyle w:val="Compact"/>
              <w:jc w:val="left"/>
            </w:pPr>
            <w:r>
              <w:t xml:space="preserve">maag-darmklachten; hypoglykemie in combinatie</w:t>
            </w:r>
          </w:p>
        </w:tc>
      </w:tr>
      <w:tr>
        <w:tc>
          <w:tcPr/>
          <w:p>
            <w:pPr>
              <w:pStyle w:val="Compact"/>
              <w:jc w:val="left"/>
            </w:pPr>
            <w:r>
              <w:t xml:space="preserve">Semaglutide</w:t>
            </w:r>
          </w:p>
        </w:tc>
        <w:tc>
          <w:tcPr/>
          <w:p>
            <w:pPr>
              <w:pStyle w:val="Compact"/>
              <w:jc w:val="left"/>
            </w:pPr>
            <w:r>
              <w:t xml:space="preserve">STEP 1: −14,9% vs. −2,4% (PMID 33567185); SELECT: 20% minder cardiovasculaire voorvallen (PMID 37952131)</w:t>
            </w:r>
          </w:p>
        </w:tc>
        <w:tc>
          <w:tcPr/>
          <w:p>
            <w:pPr>
              <w:pStyle w:val="Compact"/>
              <w:jc w:val="left"/>
            </w:pPr>
            <w:r>
              <w:t xml:space="preserve">maag-darmklachten, galblaas, zeldzaam NAION-signaal, vervalsingen</w:t>
            </w:r>
          </w:p>
        </w:tc>
      </w:tr>
      <w:tr>
        <w:tc>
          <w:tcPr/>
          <w:p>
            <w:pPr>
              <w:pStyle w:val="Compact"/>
              <w:jc w:val="left"/>
            </w:pPr>
            <w:r>
              <w:t xml:space="preserve">Tirzepatide</w:t>
            </w:r>
          </w:p>
        </w:tc>
        <w:tc>
          <w:tcPr/>
          <w:p>
            <w:pPr>
              <w:pStyle w:val="Compact"/>
              <w:jc w:val="left"/>
            </w:pPr>
            <w:r>
              <w:t xml:space="preserve">SURMOUNT-5: −20,2% vs. −13,7% onder semaglutide (PMID 40353578)</w:t>
            </w:r>
          </w:p>
        </w:tc>
        <w:tc>
          <w:tcPr/>
          <w:p>
            <w:pPr>
              <w:pStyle w:val="Compact"/>
              <w:jc w:val="left"/>
            </w:pPr>
            <w:r>
              <w:t xml:space="preserve">maag-darmklachten, galwegen; gewichtstoename na stoppen</w:t>
            </w:r>
          </w:p>
        </w:tc>
      </w:tr>
      <w:tr>
        <w:tc>
          <w:tcPr/>
          <w:p>
            <w:pPr>
              <w:pStyle w:val="Compact"/>
              <w:jc w:val="left"/>
            </w:pPr>
            <w:r>
              <w:t xml:space="preserve">Retatrutide</w:t>
            </w:r>
          </w:p>
        </w:tc>
        <w:tc>
          <w:tcPr/>
          <w:p>
            <w:pPr>
              <w:pStyle w:val="Compact"/>
              <w:jc w:val="left"/>
            </w:pPr>
            <w:r>
              <w:t xml:space="preserve">TRIUMPH-1: tot −25,0% vs. −3,9% na 80 weken (PMID 42814954)</w:t>
            </w:r>
          </w:p>
        </w:tc>
        <w:tc>
          <w:tcPr/>
          <w:p>
            <w:pPr>
              <w:pStyle w:val="Compact"/>
              <w:jc w:val="left"/>
            </w:pPr>
            <w:r>
              <w:t xml:space="preserve">maag-darmklachten, huidgevoelsstoornissen, meer uitval bij hoge dosis</w:t>
            </w:r>
          </w:p>
        </w:tc>
      </w:tr>
      <w:tr>
        <w:tc>
          <w:tcPr/>
          <w:p>
            <w:pPr>
              <w:pStyle w:val="Compact"/>
              <w:jc w:val="left"/>
            </w:pPr>
            <w:r>
              <w:t xml:space="preserve">Survodutide</w:t>
            </w:r>
          </w:p>
        </w:tc>
        <w:tc>
          <w:tcPr/>
          <w:p>
            <w:pPr>
              <w:pStyle w:val="Compact"/>
              <w:jc w:val="left"/>
            </w:pPr>
            <w:r>
              <w:t xml:space="preserve">SYNCHRONIZE-1: tot −13,0% vs. −5,4% na 76 weken (PMID 42253238)</w:t>
            </w:r>
          </w:p>
        </w:tc>
        <w:tc>
          <w:tcPr/>
          <w:p>
            <w:pPr>
              <w:pStyle w:val="Compact"/>
              <w:jc w:val="left"/>
            </w:pPr>
            <w:r>
              <w:t xml:space="preserve">zeer vaak maag-darmklachten</w:t>
            </w:r>
          </w:p>
        </w:tc>
      </w:tr>
      <w:tr>
        <w:tc>
          <w:tcPr/>
          <w:p>
            <w:pPr>
              <w:pStyle w:val="Compact"/>
              <w:jc w:val="left"/>
            </w:pPr>
            <w:r>
              <w:t xml:space="preserve">Mazdutide</w:t>
            </w:r>
          </w:p>
        </w:tc>
        <w:tc>
          <w:tcPr/>
          <w:p>
            <w:pPr>
              <w:pStyle w:val="Compact"/>
              <w:jc w:val="left"/>
            </w:pPr>
            <w:r>
              <w:t xml:space="preserve">GLORY-1: tot −14,0% vs. +0,3% na 48 weken (PMID 40421736)</w:t>
            </w:r>
          </w:p>
        </w:tc>
        <w:tc>
          <w:tcPr/>
          <w:p>
            <w:pPr>
              <w:pStyle w:val="Compact"/>
              <w:jc w:val="left"/>
            </w:pPr>
            <w:r>
              <w:t xml:space="preserve">maag-darmklachten, vooral braken</w:t>
            </w:r>
          </w:p>
        </w:tc>
      </w:tr>
      <w:tr>
        <w:tc>
          <w:tcPr/>
          <w:p>
            <w:pPr>
              <w:pStyle w:val="Compact"/>
              <w:jc w:val="left"/>
            </w:pPr>
            <w:r>
              <w:t xml:space="preserve">Cagrilintide / CagriSema</w:t>
            </w:r>
          </w:p>
        </w:tc>
        <w:tc>
          <w:tcPr/>
          <w:p>
            <w:pPr>
              <w:pStyle w:val="Compact"/>
              <w:jc w:val="left"/>
            </w:pPr>
            <w:r>
              <w:t xml:space="preserve">REDEFINE 1: −20,4% vs. −3,0% na 68 weken (PMID 40544433)</w:t>
            </w:r>
          </w:p>
        </w:tc>
        <w:tc>
          <w:tcPr/>
          <w:p>
            <w:pPr>
              <w:pStyle w:val="Compact"/>
              <w:jc w:val="left"/>
            </w:pPr>
            <w:r>
              <w:t xml:space="preserve">maag-darmklachten bij ongeveer 80%</w:t>
            </w:r>
          </w:p>
        </w:tc>
      </w:tr>
      <w:tr>
        <w:tc>
          <w:tcPr/>
          <w:p>
            <w:pPr>
              <w:pStyle w:val="Compact"/>
              <w:jc w:val="left"/>
            </w:pPr>
            <w:r>
              <w:t xml:space="preserve">Amycretine</w:t>
            </w:r>
          </w:p>
        </w:tc>
        <w:tc>
          <w:tcPr/>
          <w:p>
            <w:pPr>
              <w:pStyle w:val="Compact"/>
              <w:jc w:val="left"/>
            </w:pPr>
            <w:r>
              <w:t xml:space="preserve">fase 1b/2a: tot −24,3% vs. −1,1% na 36 weken (PMID 40550231)</w:t>
            </w:r>
          </w:p>
        </w:tc>
        <w:tc>
          <w:tcPr/>
          <w:p>
            <w:pPr>
              <w:pStyle w:val="Compact"/>
              <w:jc w:val="left"/>
            </w:pPr>
            <w:r>
              <w:t xml:space="preserve">maag-darmklachten; langetermijngevolgen onbekend</w:t>
            </w:r>
          </w:p>
        </w:tc>
      </w:tr>
      <w:tr>
        <w:tc>
          <w:tcPr/>
          <w:p>
            <w:pPr>
              <w:pStyle w:val="Compact"/>
              <w:jc w:val="left"/>
            </w:pPr>
            <w:r>
              <w:t xml:space="preserve">Maridebart cafraglutide</w:t>
            </w:r>
          </w:p>
        </w:tc>
        <w:tc>
          <w:tcPr/>
          <w:p>
            <w:pPr>
              <w:pStyle w:val="Compact"/>
              <w:jc w:val="left"/>
            </w:pPr>
            <w:r>
              <w:t xml:space="preserve">fase 2: −12,3 tot −16,2% vs. −2,5% na 52 weken (PMID 40549887)</w:t>
            </w:r>
          </w:p>
        </w:tc>
        <w:tc>
          <w:tcPr/>
          <w:p>
            <w:pPr>
              <w:pStyle w:val="Compact"/>
              <w:jc w:val="left"/>
            </w:pPr>
            <w:r>
              <w:t xml:space="preserve">maag-darmklachten; zeer lange werkingsduur</w:t>
            </w:r>
          </w:p>
        </w:tc>
      </w:tr>
      <w:tr>
        <w:tc>
          <w:tcPr/>
          <w:p>
            <w:pPr>
              <w:pStyle w:val="Compact"/>
              <w:jc w:val="left"/>
            </w:pPr>
            <w:r>
              <w:t xml:space="preserve">Pramlintide</w:t>
            </w:r>
          </w:p>
        </w:tc>
        <w:tc>
          <w:tcPr/>
          <w:p>
            <w:pPr>
              <w:pStyle w:val="Compact"/>
              <w:jc w:val="left"/>
            </w:pPr>
            <w:r>
              <w:t xml:space="preserve">HbA1c −0,62 procentpunt, gewicht −1,4 kg (PMID 12610038)</w:t>
            </w:r>
          </w:p>
        </w:tc>
        <w:tc>
          <w:tcPr/>
          <w:p>
            <w:pPr>
              <w:pStyle w:val="Compact"/>
              <w:jc w:val="left"/>
            </w:pPr>
            <w:r>
              <w:t xml:space="preserve">ernstige hypoglykemie met insuline, misselijkheid</w:t>
            </w:r>
          </w:p>
        </w:tc>
      </w:tr>
      <w:tr>
        <w:tc>
          <w:tcPr/>
          <w:p>
            <w:pPr>
              <w:pStyle w:val="Compact"/>
              <w:jc w:val="left"/>
            </w:pPr>
            <w:r>
              <w:t xml:space="preserve">Setmelanotide</w:t>
            </w:r>
          </w:p>
        </w:tc>
        <w:tc>
          <w:tcPr/>
          <w:p>
            <w:pPr>
              <w:pStyle w:val="Compact"/>
              <w:jc w:val="left"/>
            </w:pPr>
            <w:r>
              <w:t xml:space="preserve">TRANSCEND: BMI −16,5% vs. +3,3% bij hypothalame obesitas (PMID 42418774)</w:t>
            </w:r>
          </w:p>
        </w:tc>
        <w:tc>
          <w:tcPr/>
          <w:p>
            <w:pPr>
              <w:pStyle w:val="Compact"/>
              <w:jc w:val="left"/>
            </w:pPr>
            <w:r>
              <w:t xml:space="preserve">injectieplaatsen, donkerder wordende huid, misselijkheid</w:t>
            </w:r>
          </w:p>
        </w:tc>
      </w:tr>
      <w:tr>
        <w:tc>
          <w:tcPr/>
          <w:p>
            <w:pPr>
              <w:pStyle w:val="Compact"/>
              <w:jc w:val="left"/>
            </w:pPr>
            <w:r>
              <w:t xml:space="preserve">AOD-9604</w:t>
            </w:r>
          </w:p>
        </w:tc>
        <w:tc>
          <w:tcPr/>
          <w:p>
            <w:pPr>
              <w:pStyle w:val="Compact"/>
              <w:jc w:val="left"/>
            </w:pPr>
            <w:r>
              <w:t xml:space="preserve">alleen dierlijke gegevens: bij muizen minder gewichtstoename (PMID 11673763)</w:t>
            </w:r>
          </w:p>
        </w:tc>
        <w:tc>
          <w:tcPr/>
          <w:p>
            <w:pPr>
              <w:pStyle w:val="Compact"/>
              <w:jc w:val="left"/>
            </w:pPr>
            <w:r>
              <w:t xml:space="preserve">effect bij mensen onbekend</w:t>
            </w:r>
          </w:p>
        </w:tc>
      </w:tr>
      <w:tr>
        <w:tc>
          <w:tcPr/>
          <w:p>
            <w:pPr>
              <w:pStyle w:val="Compact"/>
              <w:jc w:val="left"/>
            </w:pPr>
            <w:r>
              <w:t xml:space="preserve">Orforglipron</w:t>
            </w:r>
          </w:p>
        </w:tc>
        <w:tc>
          <w:tcPr/>
          <w:p>
            <w:pPr>
              <w:pStyle w:val="Compact"/>
              <w:jc w:val="left"/>
            </w:pPr>
            <w:r>
              <w:t xml:space="preserve">ATTAIN-1: tot −11,2% vs. −2,1% als tablet (PMID 40960239)</w:t>
            </w:r>
          </w:p>
        </w:tc>
        <w:tc>
          <w:tcPr/>
          <w:p>
            <w:pPr>
              <w:pStyle w:val="Compact"/>
              <w:jc w:val="left"/>
            </w:pPr>
            <w:r>
              <w:t xml:space="preserve">maag-darmklachten, iets meer uitval dan semaglutidetablet</w:t>
            </w:r>
          </w:p>
        </w:tc>
      </w:tr>
    </w:tbl>
    <w:bookmarkEnd w:id="2526"/>
    <w:bookmarkStart w:id="2527" w:name="b.-genezing-regeneratie-en-immuunsysteem"/>
    <w:p>
      <w:pPr>
        <w:pStyle w:val="Heading3"/>
      </w:pPr>
      <w:r>
        <w:t xml:space="preserve">B. Genezing, regeneratie en immuunsysteem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0 / 4 (opm.)</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 / nee</w:t>
            </w:r>
          </w:p>
        </w:tc>
        <w:tc>
          <w:tcPr/>
          <w:p>
            <w:pPr>
              <w:pStyle w:val="Compact"/>
              <w:jc w:val="left"/>
            </w:pPr>
            <w:r>
              <w:t xml:space="preserve">9 / 18 (opm.)</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nee / nee (in China e.a. geregistreerd)</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91 / 20 (opm.)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10 (opm.)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17 / 0</w:t>
            </w:r>
          </w:p>
        </w:tc>
      </w:tr>
    </w:tbl>
    <w:p>
      <w:pPr>
        <w:pStyle w:val="BodyText"/>
      </w:pPr>
      <w:r>
        <w:t xml:space="preserve">Opmerkingen bij de tabel: bij</w:t>
      </w:r>
      <w:r>
        <w:t xml:space="preserve"> </w:t>
      </w:r>
      <w:r>
        <w:rPr>
          <w:bCs/>
          <w:b/>
        </w:rPr>
        <w:t xml:space="preserve">BPC-157</w:t>
      </w:r>
      <w:r>
        <w:t xml:space="preserve"> </w:t>
      </w:r>
      <w:r>
        <w:t xml:space="preserve">voldeed geen enkele publicatie aan de filtercriteria van de automatische zoekopdracht; in werkelijkheid zijn er drie kleine, ongecontroleerde onderzoeken met samen ongeveer 30 personen. Bij</w:t>
      </w:r>
      <w:r>
        <w:t xml:space="preserve"> </w:t>
      </w:r>
      <w:r>
        <w:rPr>
          <w:bCs/>
          <w:b/>
        </w:rPr>
        <w:t xml:space="preserve">TB-500</w:t>
      </w:r>
      <w:r>
        <w:t xml:space="preserve"> </w:t>
      </w:r>
      <w:r>
        <w:t xml:space="preserve">betreffen de treffers het hele eiwit thymosine bèta-4 (slechts zes daarvan als werkzame stof); geen enkele onderzoekt TB-500. Bij</w:t>
      </w:r>
      <w:r>
        <w:t xml:space="preserve"> </w:t>
      </w:r>
      <w:r>
        <w:rPr>
          <w:bCs/>
          <w:b/>
        </w:rPr>
        <w:t xml:space="preserve">LL-37</w:t>
      </w:r>
      <w:r>
        <w:t xml:space="preserve"> </w:t>
      </w:r>
      <w:r>
        <w:t xml:space="preserve">meten de meeste treffers LL-37 alleen als laboratoriumwaarde, bijvoorbeeld in vitamine D-studies; studies waarin LL-37 zelf werd toegediend, zijn er in PubMed maar vijf, in het register twee. Bij</w:t>
      </w:r>
      <w:r>
        <w:t xml:space="preserve"> </w:t>
      </w:r>
      <w:r>
        <w:rPr>
          <w:bCs/>
          <w:b/>
        </w:rPr>
        <w:t xml:space="preserve">larazotide</w:t>
      </w:r>
      <w:r>
        <w:t xml:space="preserve"> </w:t>
      </w:r>
      <w:r>
        <w:t xml:space="preserve">vond de zoekopdracht 29 registraties, waarvan 19 een ander geneesmiddel met dezelfde vroegere ontwikkelingscode betreffen; de tabel noemt het gecorrigeerde getal.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BPC-157</w:t>
            </w:r>
          </w:p>
        </w:tc>
        <w:tc>
          <w:tcPr/>
          <w:p>
            <w:pPr>
              <w:pStyle w:val="Compact"/>
              <w:jc w:val="left"/>
            </w:pPr>
            <w:r>
              <w:t xml:space="preserve">drie ongecontroleerde pilotonderzoeken, bewijs volgens overzicht zeer laag (PMID 42885452)</w:t>
            </w:r>
          </w:p>
        </w:tc>
        <w:tc>
          <w:tcPr/>
          <w:p>
            <w:pPr>
              <w:pStyle w:val="Compact"/>
              <w:jc w:val="left"/>
            </w:pPr>
            <w:r>
              <w:t xml:space="preserve">onbekende veiligheid op lange termijn, kwaliteit van de grijze markt</w:t>
            </w:r>
          </w:p>
        </w:tc>
      </w:tr>
      <w:tr>
        <w:tc>
          <w:tcPr/>
          <w:p>
            <w:pPr>
              <w:pStyle w:val="Compact"/>
              <w:jc w:val="left"/>
            </w:pPr>
            <w:r>
              <w:t xml:space="preserve">TB-500 / thymosine bèta-4</w:t>
            </w:r>
          </w:p>
        </w:tc>
        <w:tc>
          <w:tcPr/>
          <w:p>
            <w:pPr>
              <w:pStyle w:val="Compact"/>
              <w:jc w:val="left"/>
            </w:pPr>
            <w:r>
              <w:t xml:space="preserve">Tβ4 na hartinfarct: infarctgrootte niet significant kleiner (PMID 41229390); TB-500 niet getest</w:t>
            </w:r>
          </w:p>
        </w:tc>
        <w:tc>
          <w:tcPr/>
          <w:p>
            <w:pPr>
              <w:pStyle w:val="Compact"/>
              <w:jc w:val="left"/>
            </w:pPr>
            <w:r>
              <w:t xml:space="preserve">onduidelijke inhoud, theoretisch tumorbevordering</w:t>
            </w:r>
          </w:p>
        </w:tc>
      </w:tr>
      <w:tr>
        <w:tc>
          <w:tcPr/>
          <w:p>
            <w:pPr>
              <w:pStyle w:val="Compact"/>
              <w:jc w:val="left"/>
            </w:pPr>
            <w:r>
              <w:t xml:space="preserve">Thymosine alfa-1</w:t>
            </w:r>
          </w:p>
        </w:tc>
        <w:tc>
          <w:tcPr/>
          <w:p>
            <w:pPr>
              <w:pStyle w:val="Compact"/>
              <w:jc w:val="left"/>
            </w:pPr>
            <w:r>
              <w:t xml:space="preserve">TESTS bij sepsis: sterfte na 28 dagen 23,4% vs. 24,1%, geen verschil (PMID 39814420)</w:t>
            </w:r>
          </w:p>
        </w:tc>
        <w:tc>
          <w:tcPr/>
          <w:p>
            <w:pPr>
              <w:pStyle w:val="Compact"/>
              <w:jc w:val="left"/>
            </w:pPr>
            <w:r>
              <w:t xml:space="preserve">mogelijke nadelen in subgroepen; grijze markt</w:t>
            </w:r>
          </w:p>
        </w:tc>
      </w:tr>
      <w:tr>
        <w:tc>
          <w:tcPr/>
          <w:p>
            <w:pPr>
              <w:pStyle w:val="Compact"/>
              <w:jc w:val="left"/>
            </w:pPr>
            <w:r>
              <w:t xml:space="preserve">KPV</w:t>
            </w:r>
          </w:p>
        </w:tc>
        <w:tc>
          <w:tcPr/>
          <w:p>
            <w:pPr>
              <w:pStyle w:val="Compact"/>
              <w:jc w:val="left"/>
            </w:pPr>
            <w:r>
              <w:t xml:space="preserve">alleen dierlijke gegevens: minder darmontsteking bij muizen (PMID 18061177)</w:t>
            </w:r>
          </w:p>
        </w:tc>
        <w:tc>
          <w:tcPr/>
          <w:p>
            <w:pPr>
              <w:pStyle w:val="Compact"/>
              <w:jc w:val="left"/>
            </w:pPr>
            <w:r>
              <w:t xml:space="preserve">volledig onbekend profiel bij mensen</w:t>
            </w:r>
          </w:p>
        </w:tc>
      </w:tr>
      <w:tr>
        <w:tc>
          <w:tcPr/>
          <w:p>
            <w:pPr>
              <w:pStyle w:val="Compact"/>
              <w:jc w:val="left"/>
            </w:pPr>
            <w:r>
              <w:t xml:space="preserve">LL-37</w:t>
            </w:r>
          </w:p>
        </w:tc>
        <w:tc>
          <w:tcPr/>
          <w:p>
            <w:pPr>
              <w:pStyle w:val="Compact"/>
              <w:jc w:val="left"/>
            </w:pPr>
            <w:r>
              <w:t xml:space="preserve">HEAL LL-37: beenzweren genazen niet beter dan onder placebo (PMID 34687253)</w:t>
            </w:r>
          </w:p>
        </w:tc>
        <w:tc>
          <w:tcPr/>
          <w:p>
            <w:pPr>
              <w:pStyle w:val="Compact"/>
              <w:jc w:val="left"/>
            </w:pPr>
            <w:r>
              <w:t xml:space="preserve">ontstekings- en auto-immuunreacties</w:t>
            </w:r>
          </w:p>
        </w:tc>
      </w:tr>
      <w:tr>
        <w:tc>
          <w:tcPr/>
          <w:p>
            <w:pPr>
              <w:pStyle w:val="Compact"/>
              <w:jc w:val="left"/>
            </w:pPr>
            <w:r>
              <w:t xml:space="preserve">ARA-290</w:t>
            </w:r>
          </w:p>
        </w:tc>
        <w:tc>
          <w:tcPr/>
          <w:p>
            <w:pPr>
              <w:pStyle w:val="Compact"/>
              <w:jc w:val="left"/>
            </w:pPr>
            <w:r>
              <w:t xml:space="preserve">fase 2b: zenuwvezels slechts onder één van drie doses toegenomen (PMID 28475703)</w:t>
            </w:r>
          </w:p>
        </w:tc>
        <w:tc>
          <w:tcPr/>
          <w:p>
            <w:pPr>
              <w:pStyle w:val="Compact"/>
              <w:jc w:val="left"/>
            </w:pPr>
            <w:r>
              <w:t xml:space="preserve">nauwelijks gegevens na twaalf weken</w:t>
            </w:r>
          </w:p>
        </w:tc>
      </w:tr>
      <w:tr>
        <w:tc>
          <w:tcPr/>
          <w:p>
            <w:pPr>
              <w:pStyle w:val="Compact"/>
              <w:jc w:val="left"/>
            </w:pPr>
            <w:r>
              <w:t xml:space="preserve">Larazotide</w:t>
            </w:r>
          </w:p>
        </w:tc>
        <w:tc>
          <w:tcPr/>
          <w:p>
            <w:pPr>
              <w:pStyle w:val="Compact"/>
              <w:jc w:val="left"/>
            </w:pPr>
            <w:r>
              <w:t xml:space="preserve">alleen de laagste van drie doses beter dan placebo (PMID 25683116); fase 3 afgebroken</w:t>
            </w:r>
          </w:p>
        </w:tc>
        <w:tc>
          <w:tcPr/>
          <w:p>
            <w:pPr>
              <w:pStyle w:val="Compact"/>
              <w:jc w:val="left"/>
            </w:pPr>
            <w:r>
              <w:t xml:space="preserve">versoepeld glutenvrij dieet</w:t>
            </w:r>
          </w:p>
        </w:tc>
      </w:tr>
      <w:tr>
        <w:tc>
          <w:tcPr/>
          <w:p>
            <w:pPr>
              <w:pStyle w:val="Compact"/>
              <w:jc w:val="left"/>
            </w:pPr>
            <w:r>
              <w:t xml:space="preserve">Thymaline</w:t>
            </w:r>
          </w:p>
        </w:tc>
        <w:tc>
          <w:tcPr/>
          <w:p>
            <w:pPr>
              <w:pStyle w:val="Compact"/>
              <w:jc w:val="left"/>
            </w:pPr>
            <w:r>
              <w:t xml:space="preserve">Russisch-Oekraïense observatie: lagere sterfte, toewijzing onduidelijk (PMID 14523363)</w:t>
            </w:r>
          </w:p>
        </w:tc>
        <w:tc>
          <w:tcPr/>
          <w:p>
            <w:pPr>
              <w:pStyle w:val="Compact"/>
              <w:jc w:val="left"/>
            </w:pPr>
            <w:r>
              <w:t xml:space="preserve">dierlijk extract, risico’s per partij</w:t>
            </w:r>
          </w:p>
        </w:tc>
      </w:tr>
    </w:tbl>
    <w:bookmarkEnd w:id="2527"/>
    <w:bookmarkStart w:id="2528" w:name="c.-groeihormoonas"/>
    <w:p>
      <w:pPr>
        <w:pStyle w:val="Heading3"/>
      </w:pPr>
      <w:r>
        <w:t xml:space="preserve">C. Groeihormoonas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nee / vroeger ja, van de markt</w:t>
            </w:r>
          </w:p>
        </w:tc>
        <w:tc>
          <w:tcPr/>
          <w:p>
            <w:pPr>
              <w:pStyle w:val="Compact"/>
              <w:jc w:val="left"/>
            </w:pPr>
            <w:r>
              <w:t xml:space="preserve">0 / 27 (opm.)</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nee / ja (hiv-lipodystrofie)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2 / 1</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nee / nee (Japan: diagnosticum)</w:t>
            </w:r>
          </w:p>
        </w:tc>
        <w:tc>
          <w:tcPr/>
          <w:p>
            <w:pPr>
              <w:pStyle w:val="Compact"/>
              <w:jc w:val="left"/>
            </w:pPr>
            <w:r>
              <w:t xml:space="preserve">55 / 0 (opm.)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40 / 0 (opm.)</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58 / 0 (opm.)</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ja / ja (alleen diagnosticum)</w:t>
            </w:r>
          </w:p>
        </w:tc>
        <w:tc>
          <w:tcPr/>
          <w:p>
            <w:pPr>
              <w:pStyle w:val="Compact"/>
              <w:jc w:val="left"/>
            </w:pPr>
            <w:r>
              <w:t xml:space="preserve">4 / 6</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Ibutamoren (geen peptide)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19 / 8</w:t>
            </w:r>
          </w:p>
        </w:tc>
      </w:tr>
    </w:tbl>
    <w:p>
      <w:pPr>
        <w:pStyle w:val="BodyText"/>
      </w:pPr>
      <w:r>
        <w:t xml:space="preserve">Opmerkingen bij de tabel: bij</w:t>
      </w:r>
      <w:r>
        <w:t xml:space="preserve"> </w:t>
      </w:r>
      <w:r>
        <w:rPr>
          <w:bCs/>
          <w:b/>
        </w:rPr>
        <w:t xml:space="preserve">sermoreline</w:t>
      </w:r>
      <w:r>
        <w:t xml:space="preserve"> </w:t>
      </w:r>
      <w:r>
        <w:t xml:space="preserve">vindt de zoekopdracht op naam geen studie bij mensen, omdat de meeste artikelen verschenen onder „GHRH(1-29)” of „GRF 1-29”; gericht nagezocht gaat het om enkele tientallen kleine studies, meestal van vóór 2000. Veel van de 27 registertreffers betreffen daarentegen tesamoreline of GHRH-tests in het algemeen. Bij</w:t>
      </w:r>
      <w:r>
        <w:t xml:space="preserve"> </w:t>
      </w:r>
      <w:r>
        <w:rPr>
          <w:bCs/>
          <w:b/>
        </w:rPr>
        <w:t xml:space="preserve">GHRP-2, GHRP-6 en hexareline</w:t>
      </w:r>
      <w:r>
        <w:t xml:space="preserve"> </w:t>
      </w:r>
      <w:r>
        <w:t xml:space="preserve">gebruiken bijna alle studies de stof alleen als eenmalige testsubstantie voor onderzoek naar de hormoonregulatie; over een nut zeggen ze niets.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Sermoreline</w:t>
            </w:r>
          </w:p>
        </w:tc>
        <w:tc>
          <w:tcPr/>
          <w:p>
            <w:pPr>
              <w:pStyle w:val="Compact"/>
              <w:jc w:val="left"/>
            </w:pPr>
            <w:r>
              <w:t xml:space="preserve">110 kinderen met GH-tekort: groei van 4,1 naar 7,2 cm/jaar (PMID 8772599)</w:t>
            </w:r>
          </w:p>
        </w:tc>
        <w:tc>
          <w:tcPr/>
          <w:p>
            <w:pPr>
              <w:pStyle w:val="Compact"/>
              <w:jc w:val="left"/>
            </w:pPr>
            <w:r>
              <w:t xml:space="preserve">flush; langetermijngevolgen bij volwassenen onopgehelderd</w:t>
            </w:r>
          </w:p>
        </w:tc>
      </w:tr>
      <w:tr>
        <w:tc>
          <w:tcPr/>
          <w:p>
            <w:pPr>
              <w:pStyle w:val="Compact"/>
              <w:jc w:val="left"/>
            </w:pPr>
            <w:r>
              <w:t xml:space="preserve">Tesamoreline</w:t>
            </w:r>
          </w:p>
        </w:tc>
        <w:tc>
          <w:tcPr/>
          <w:p>
            <w:pPr>
              <w:pStyle w:val="Compact"/>
              <w:jc w:val="left"/>
            </w:pPr>
            <w:r>
              <w:t xml:space="preserve">twee fase 3-studies met 806 personen: visceraal buikvet −15,4% ten opzichte van placebo (PMID 20554713)</w:t>
            </w:r>
          </w:p>
        </w:tc>
        <w:tc>
          <w:tcPr/>
          <w:p>
            <w:pPr>
              <w:pStyle w:val="Compact"/>
              <w:jc w:val="left"/>
            </w:pPr>
            <w:r>
              <w:t xml:space="preserve">gewrichtspijn, vochtophoping, bloedsuiker</w:t>
            </w:r>
          </w:p>
        </w:tc>
      </w:tr>
      <w:tr>
        <w:tc>
          <w:tcPr/>
          <w:p>
            <w:pPr>
              <w:pStyle w:val="Compact"/>
              <w:jc w:val="left"/>
            </w:pPr>
            <w:r>
              <w:t xml:space="preserve">CJC-1295</w:t>
            </w:r>
          </w:p>
        </w:tc>
        <w:tc>
          <w:tcPr/>
          <w:p>
            <w:pPr>
              <w:pStyle w:val="Compact"/>
              <w:jc w:val="left"/>
            </w:pPr>
            <w:r>
              <w:t xml:space="preserve">eenmalige injectie: GH 2- tot 10-voudig, IGF-1 1,5- tot 3-voudig verhoogd (PMID 16352683)</w:t>
            </w:r>
          </w:p>
        </w:tc>
        <w:tc>
          <w:tcPr/>
          <w:p>
            <w:pPr>
              <w:pStyle w:val="Compact"/>
              <w:jc w:val="left"/>
            </w:pPr>
            <w:r>
              <w:t xml:space="preserve">aanhoudende stimulatie niet onderzocht, onduidelijke inhoud</w:t>
            </w:r>
          </w:p>
        </w:tc>
      </w:tr>
      <w:tr>
        <w:tc>
          <w:tcPr/>
          <w:p>
            <w:pPr>
              <w:pStyle w:val="Compact"/>
              <w:jc w:val="left"/>
            </w:pPr>
            <w:r>
              <w:t xml:space="preserve">Ipamoreline</w:t>
            </w:r>
          </w:p>
        </w:tc>
        <w:tc>
          <w:tcPr/>
          <w:p>
            <w:pPr>
              <w:pStyle w:val="Compact"/>
              <w:jc w:val="left"/>
            </w:pPr>
            <w:r>
              <w:t xml:space="preserve">fase 2 na darmoperatie: geen significant nut (PMID 25331030)</w:t>
            </w:r>
          </w:p>
        </w:tc>
        <w:tc>
          <w:tcPr/>
          <w:p>
            <w:pPr>
              <w:pStyle w:val="Compact"/>
              <w:jc w:val="left"/>
            </w:pPr>
            <w:r>
              <w:t xml:space="preserve">geen gegevens over langdurig gebruik; gewijzigde moleculen</w:t>
            </w:r>
          </w:p>
        </w:tc>
      </w:tr>
      <w:tr>
        <w:tc>
          <w:tcPr/>
          <w:p>
            <w:pPr>
              <w:pStyle w:val="Compact"/>
              <w:jc w:val="left"/>
            </w:pPr>
            <w:r>
              <w:t xml:space="preserve">GHRP-2</w:t>
            </w:r>
          </w:p>
        </w:tc>
        <w:tc>
          <w:tcPr/>
          <w:p>
            <w:pPr>
              <w:pStyle w:val="Compact"/>
              <w:jc w:val="left"/>
            </w:pPr>
            <w:r>
              <w:t xml:space="preserve">als test onderscheidde het GH-tekort betrouwbaar van gezonde personen (PMID 17609397)</w:t>
            </w:r>
          </w:p>
        </w:tc>
        <w:tc>
          <w:tcPr/>
          <w:p>
            <w:pPr>
              <w:pStyle w:val="Compact"/>
              <w:jc w:val="left"/>
            </w:pPr>
            <w:r>
              <w:t xml:space="preserve">vreetbuien, stijging van stresshormonen</w:t>
            </w:r>
          </w:p>
        </w:tc>
      </w:tr>
      <w:tr>
        <w:tc>
          <w:tcPr/>
          <w:p>
            <w:pPr>
              <w:pStyle w:val="Compact"/>
              <w:jc w:val="left"/>
            </w:pPr>
            <w:r>
              <w:t xml:space="preserve">GHRP-6</w:t>
            </w:r>
          </w:p>
        </w:tc>
        <w:tc>
          <w:tcPr/>
          <w:p>
            <w:pPr>
              <w:pStyle w:val="Compact"/>
              <w:jc w:val="left"/>
            </w:pPr>
            <w:r>
              <w:t xml:space="preserve">combinatietest herkende GH-tekort betrouwbaar (PMID 11030292)</w:t>
            </w:r>
          </w:p>
        </w:tc>
        <w:tc>
          <w:tcPr/>
          <w:p>
            <w:pPr>
              <w:pStyle w:val="Compact"/>
              <w:jc w:val="left"/>
            </w:pPr>
            <w:r>
              <w:t xml:space="preserve">flush, hormoonstijgingen, honger</w:t>
            </w:r>
          </w:p>
        </w:tc>
      </w:tr>
      <w:tr>
        <w:tc>
          <w:tcPr/>
          <w:p>
            <w:pPr>
              <w:pStyle w:val="Compact"/>
              <w:jc w:val="left"/>
            </w:pPr>
            <w:r>
              <w:t xml:space="preserve">Hexareline</w:t>
            </w:r>
          </w:p>
        </w:tc>
        <w:tc>
          <w:tcPr/>
          <w:p>
            <w:pPr>
              <w:pStyle w:val="Compact"/>
              <w:jc w:val="left"/>
            </w:pPr>
            <w:r>
              <w:t xml:space="preserve">over 16 weken verlies van werking, lichaamssamenstelling onveranderd (PMID 9589671)</w:t>
            </w:r>
          </w:p>
        </w:tc>
        <w:tc>
          <w:tcPr/>
          <w:p>
            <w:pPr>
              <w:pStyle w:val="Compact"/>
              <w:jc w:val="left"/>
            </w:pPr>
            <w:r>
              <w:t xml:space="preserve">stresshormonen, prolactine, verlies van werking</w:t>
            </w:r>
          </w:p>
        </w:tc>
      </w:tr>
      <w:tr>
        <w:tc>
          <w:tcPr/>
          <w:p>
            <w:pPr>
              <w:pStyle w:val="Compact"/>
              <w:jc w:val="left"/>
            </w:pPr>
            <w:r>
              <w:t xml:space="preserve">Macimoreline</w:t>
            </w:r>
          </w:p>
        </w:tc>
        <w:tc>
          <w:tcPr/>
          <w:p>
            <w:pPr>
              <w:pStyle w:val="Compact"/>
              <w:jc w:val="left"/>
            </w:pPr>
            <w:r>
              <w:t xml:space="preserve">test met 87% sensitiviteit en 96% specificiteit ten opzichte van de insulinetest (PMID 29860473)</w:t>
            </w:r>
          </w:p>
        </w:tc>
        <w:tc>
          <w:tcPr/>
          <w:p>
            <w:pPr>
              <w:pStyle w:val="Compact"/>
              <w:jc w:val="left"/>
            </w:pPr>
            <w:r>
              <w:t xml:space="preserve">QT-verlenging bij overdosis</w:t>
            </w:r>
          </w:p>
        </w:tc>
      </w:tr>
      <w:tr>
        <w:tc>
          <w:tcPr/>
          <w:p>
            <w:pPr>
              <w:pStyle w:val="Compact"/>
              <w:jc w:val="left"/>
            </w:pPr>
            <w:r>
              <w:t xml:space="preserve">Mecasermine (IGF-1)</w:t>
            </w:r>
          </w:p>
        </w:tc>
        <w:tc>
          <w:tcPr/>
          <w:p>
            <w:pPr>
              <w:pStyle w:val="Compact"/>
              <w:jc w:val="left"/>
            </w:pPr>
            <w:r>
              <w:t xml:space="preserve">76 kinderen met GH-resistentie: groei van 2,8 naar 8,0 cm/jaar (PMID 17192294)</w:t>
            </w:r>
          </w:p>
        </w:tc>
        <w:tc>
          <w:tcPr/>
          <w:p>
            <w:pPr>
              <w:pStyle w:val="Compact"/>
              <w:jc w:val="left"/>
            </w:pPr>
            <w:r>
              <w:t xml:space="preserve">hypoglykemie; waarschuwing nieuwvormingen</w:t>
            </w:r>
          </w:p>
        </w:tc>
      </w:tr>
      <w:tr>
        <w:tc>
          <w:tcPr/>
          <w:p>
            <w:pPr>
              <w:pStyle w:val="Compact"/>
              <w:jc w:val="left"/>
            </w:pPr>
            <w:r>
              <w:t xml:space="preserve">IGF-1 LR3</w:t>
            </w:r>
          </w:p>
        </w:tc>
        <w:tc>
          <w:tcPr/>
          <w:p>
            <w:pPr>
              <w:pStyle w:val="Compact"/>
              <w:jc w:val="left"/>
            </w:pPr>
            <w:r>
              <w:t xml:space="preserve">geen studie bij mensen; in een flesje van de zwarte markt een laboratoriumvariant (PMID 20675162)</w:t>
            </w:r>
          </w:p>
        </w:tc>
        <w:tc>
          <w:tcPr/>
          <w:p>
            <w:pPr>
              <w:pStyle w:val="Compact"/>
              <w:jc w:val="left"/>
            </w:pPr>
            <w:r>
              <w:t xml:space="preserve">hypoglykemie, groeisignalen (theoretisch)</w:t>
            </w:r>
          </w:p>
        </w:tc>
      </w:tr>
      <w:tr>
        <w:tc>
          <w:tcPr/>
          <w:p>
            <w:pPr>
              <w:pStyle w:val="Compact"/>
              <w:jc w:val="left"/>
            </w:pPr>
            <w:r>
              <w:t xml:space="preserve">Ibutamoren</w:t>
            </w:r>
          </w:p>
        </w:tc>
        <w:tc>
          <w:tcPr/>
          <w:p>
            <w:pPr>
              <w:pStyle w:val="Compact"/>
              <w:jc w:val="left"/>
            </w:pPr>
            <w:r>
              <w:t xml:space="preserve">65 ouderen: vetvrije massa +1,1 kg, kracht en functie onveranderd (PMID 18981485)</w:t>
            </w:r>
          </w:p>
        </w:tc>
        <w:tc>
          <w:tcPr/>
          <w:p>
            <w:pPr>
              <w:pStyle w:val="Compact"/>
              <w:jc w:val="left"/>
            </w:pPr>
            <w:r>
              <w:t xml:space="preserve">signaal voor hartfalen, hogere bloedsuiker</w:t>
            </w:r>
          </w:p>
        </w:tc>
      </w:tr>
    </w:tbl>
    <w:bookmarkEnd w:id="2528"/>
    <w:bookmarkStart w:id="2529" w:name="d.-hersenen-slaap-en-levensduur"/>
    <w:p>
      <w:pPr>
        <w:pStyle w:val="Heading3"/>
      </w:pPr>
      <w:r>
        <w:t xml:space="preserve">D. Hersenen, slaap en levensduur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3 / 2 (opm.)</w:t>
            </w:r>
          </w:p>
        </w:tc>
      </w:tr>
      <w:tr>
        <w:tc>
          <w:tcPr/>
          <w:p>
            <w:pPr>
              <w:pStyle w:val="Compact"/>
              <w:jc w:val="left"/>
            </w:pPr>
            <w:r>
              <w:t xml:space="preserve">Cerebrolysine</w:t>
            </w:r>
          </w:p>
        </w:tc>
        <w:tc>
          <w:tcPr/>
          <w:p>
            <w:pPr>
              <w:pStyle w:val="Compact"/>
              <w:jc w:val="left"/>
            </w:pPr>
            <w:r>
              <w:t xml:space="preserve">B</w:t>
            </w:r>
          </w:p>
        </w:tc>
        <w:tc>
          <w:tcPr/>
          <w:p>
            <w:pPr>
              <w:pStyle w:val="Compact"/>
              <w:jc w:val="left"/>
            </w:pPr>
            <w:r>
              <w:t xml:space="preserve">nationaal (o.a. Oostenrijk) / nee</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18 / 1 (opm.)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1 (opm.)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5 / 4 (opm.)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8 / 3 (opm.)</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nee / ja, versneld (alleen barthsyndroom)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161 / 273 (opm.)</w:t>
            </w:r>
          </w:p>
        </w:tc>
      </w:tr>
    </w:tbl>
    <w:p>
      <w:pPr>
        <w:pStyle w:val="BodyText"/>
      </w:pPr>
      <w:r>
        <w:t xml:space="preserve">Opmerkingen bij de tabel: bij</w:t>
      </w:r>
      <w:r>
        <w:t xml:space="preserve"> </w:t>
      </w:r>
      <w:r>
        <w:rPr>
          <w:bCs/>
          <w:b/>
        </w:rPr>
        <w:t xml:space="preserve">Selank</w:t>
      </w:r>
      <w:r>
        <w:t xml:space="preserve"> </w:t>
      </w:r>
      <w:r>
        <w:t xml:space="preserve">en</w:t>
      </w:r>
      <w:r>
        <w:t xml:space="preserve"> </w:t>
      </w:r>
      <w:r>
        <w:rPr>
          <w:bCs/>
          <w:b/>
        </w:rPr>
        <w:t xml:space="preserve">DSIP</w:t>
      </w:r>
      <w:r>
        <w:t xml:space="preserve"> </w:t>
      </w:r>
      <w:r>
        <w:t xml:space="preserve">betreffen de registertreffers andere procedures of onderwerpen; een geregistreerde studie met het peptide bestaat niet. De enige registratie voor</w:t>
      </w:r>
      <w:r>
        <w:t xml:space="preserve"> </w:t>
      </w:r>
      <w:r>
        <w:rPr>
          <w:bCs/>
          <w:b/>
        </w:rPr>
        <w:t xml:space="preserve">epitalon</w:t>
      </w:r>
      <w:r>
        <w:t xml:space="preserve"> </w:t>
      </w:r>
      <w:r>
        <w:t xml:space="preserve">is een ongecontroleerde studie met een huidserum waarin epitalon een van vijf bestanddelen is. Bij</w:t>
      </w:r>
      <w:r>
        <w:t xml:space="preserve"> </w:t>
      </w:r>
      <w:r>
        <w:rPr>
          <w:bCs/>
          <w:b/>
        </w:rPr>
        <w:t xml:space="preserve">MOTS-c</w:t>
      </w:r>
      <w:r>
        <w:t xml:space="preserve"> </w:t>
      </w:r>
      <w:r>
        <w:t xml:space="preserve">en</w:t>
      </w:r>
      <w:r>
        <w:t xml:space="preserve"> </w:t>
      </w:r>
      <w:r>
        <w:rPr>
          <w:bCs/>
          <w:b/>
        </w:rPr>
        <w:t xml:space="preserve">humanine</w:t>
      </w:r>
      <w:r>
        <w:t xml:space="preserve"> </w:t>
      </w:r>
      <w:r>
        <w:t xml:space="preserve">werd in geen van de publicaties het peptide toegediend; ze meten lichaamseigen spiegels. Bij</w:t>
      </w:r>
      <w:r>
        <w:t xml:space="preserve"> </w:t>
      </w:r>
      <w:r>
        <w:rPr>
          <w:bCs/>
          <w:b/>
        </w:rPr>
        <w:t xml:space="preserve">glutathion</w:t>
      </w:r>
      <w:r>
        <w:t xml:space="preserve"> </w:t>
      </w:r>
      <w:r>
        <w:t xml:space="preserve">meten veel treffers glutathion alleen als laboratoriumwaarde of betreffen ze het enzym glutathion-S-transferase; studies met toediening van glutathion vormen een minderheid van enkele tientallen.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Semax</w:t>
            </w:r>
          </w:p>
        </w:tc>
        <w:tc>
          <w:tcPr/>
          <w:p>
            <w:pPr>
              <w:pStyle w:val="Compact"/>
              <w:jc w:val="left"/>
            </w:pPr>
            <w:r>
              <w:t xml:space="preserve">open studie na beroerte: hoger BDNF, sneller herstel (PMID 29798983)</w:t>
            </w:r>
          </w:p>
        </w:tc>
        <w:tc>
          <w:tcPr/>
          <w:p>
            <w:pPr>
              <w:pStyle w:val="Compact"/>
              <w:jc w:val="left"/>
            </w:pPr>
            <w:r>
              <w:t xml:space="preserve">geen systematische veiligheidsgegevens</w:t>
            </w:r>
          </w:p>
        </w:tc>
      </w:tr>
      <w:tr>
        <w:tc>
          <w:tcPr/>
          <w:p>
            <w:pPr>
              <w:pStyle w:val="Compact"/>
              <w:jc w:val="left"/>
            </w:pPr>
            <w:r>
              <w:t xml:space="preserve">Selank</w:t>
            </w:r>
          </w:p>
        </w:tc>
        <w:tc>
          <w:tcPr/>
          <w:p>
            <w:pPr>
              <w:pStyle w:val="Compact"/>
              <w:jc w:val="left"/>
            </w:pPr>
            <w:r>
              <w:t xml:space="preserve">angstverminderend effect vergelijkbaar met medazepam, zonder placebogroep (PMID 18454096)</w:t>
            </w:r>
          </w:p>
        </w:tc>
        <w:tc>
          <w:tcPr/>
          <w:p>
            <w:pPr>
              <w:pStyle w:val="Compact"/>
              <w:jc w:val="left"/>
            </w:pPr>
            <w:r>
              <w:t xml:space="preserve">geen langetermijngegevens; grijze markt</w:t>
            </w:r>
          </w:p>
        </w:tc>
      </w:tr>
      <w:tr>
        <w:tc>
          <w:tcPr/>
          <w:p>
            <w:pPr>
              <w:pStyle w:val="Compact"/>
              <w:jc w:val="left"/>
            </w:pPr>
            <w:r>
              <w:t xml:space="preserve">Cerebrolysine</w:t>
            </w:r>
          </w:p>
        </w:tc>
        <w:tc>
          <w:tcPr/>
          <w:p>
            <w:pPr>
              <w:pStyle w:val="Compact"/>
              <w:jc w:val="left"/>
            </w:pPr>
            <w:r>
              <w:t xml:space="preserve">CASTA met 1.070 personen: primair eindpunt niet gehaald (PMID 22282884)</w:t>
            </w:r>
          </w:p>
        </w:tc>
        <w:tc>
          <w:tcPr/>
          <w:p>
            <w:pPr>
              <w:pStyle w:val="Compact"/>
              <w:jc w:val="left"/>
            </w:pPr>
            <w:r>
              <w:t xml:space="preserve">mogelijk signaal voor ernstige bijwerkingen (Cochrane)</w:t>
            </w:r>
          </w:p>
        </w:tc>
      </w:tr>
      <w:tr>
        <w:tc>
          <w:tcPr/>
          <w:p>
            <w:pPr>
              <w:pStyle w:val="Compact"/>
              <w:jc w:val="left"/>
            </w:pPr>
            <w:r>
              <w:t xml:space="preserve">Dihexa</w:t>
            </w:r>
          </w:p>
        </w:tc>
        <w:tc>
          <w:tcPr/>
          <w:p>
            <w:pPr>
              <w:pStyle w:val="Compact"/>
              <w:jc w:val="left"/>
            </w:pPr>
            <w:r>
              <w:t xml:space="preserve">alleen dierlijke gegevens; een centrale rattenstudie werd in 2025 teruggetrokken (PMID 25187433, intrekking PMID 40312093)</w:t>
            </w:r>
          </w:p>
        </w:tc>
        <w:tc>
          <w:tcPr/>
          <w:p>
            <w:pPr>
              <w:pStyle w:val="Compact"/>
              <w:jc w:val="left"/>
            </w:pPr>
            <w:r>
              <w:t xml:space="preserve">geen gegevens bij mensen; theoretisch kankerrisico</w:t>
            </w:r>
          </w:p>
        </w:tc>
      </w:tr>
      <w:tr>
        <w:tc>
          <w:tcPr/>
          <w:p>
            <w:pPr>
              <w:pStyle w:val="Compact"/>
              <w:jc w:val="left"/>
            </w:pPr>
            <w:r>
              <w:t xml:space="preserve">DSIP</w:t>
            </w:r>
          </w:p>
        </w:tc>
        <w:tc>
          <w:tcPr/>
          <w:p>
            <w:pPr>
              <w:pStyle w:val="Compact"/>
              <w:jc w:val="left"/>
            </w:pPr>
            <w:r>
              <w:t xml:space="preserve">16 personen met slapeloosheid: slechts zwakke effecten (PMID 1299794)</w:t>
            </w:r>
          </w:p>
        </w:tc>
        <w:tc>
          <w:tcPr/>
          <w:p>
            <w:pPr>
              <w:pStyle w:val="Compact"/>
              <w:jc w:val="left"/>
            </w:pPr>
            <w:r>
              <w:t xml:space="preserve">geen systematische veiligheidsgegevens</w:t>
            </w:r>
          </w:p>
        </w:tc>
      </w:tr>
      <w:tr>
        <w:tc>
          <w:tcPr/>
          <w:p>
            <w:pPr>
              <w:pStyle w:val="Compact"/>
              <w:jc w:val="left"/>
            </w:pPr>
            <w:r>
              <w:t xml:space="preserve">Epitalon</w:t>
            </w:r>
          </w:p>
        </w:tc>
        <w:tc>
          <w:tcPr/>
          <w:p>
            <w:pPr>
              <w:pStyle w:val="Compact"/>
              <w:jc w:val="left"/>
            </w:pPr>
            <w:r>
              <w:t xml:space="preserve">bij muizen geen langere gemiddelde levensduur (PMID 14501183)</w:t>
            </w:r>
          </w:p>
        </w:tc>
        <w:tc>
          <w:tcPr/>
          <w:p>
            <w:pPr>
              <w:pStyle w:val="Compact"/>
              <w:jc w:val="left"/>
            </w:pPr>
            <w:r>
              <w:t xml:space="preserve">geen gegevens bij mensen; telomerasekwestie</w:t>
            </w:r>
          </w:p>
        </w:tc>
      </w:tr>
      <w:tr>
        <w:tc>
          <w:tcPr/>
          <w:p>
            <w:pPr>
              <w:pStyle w:val="Compact"/>
              <w:jc w:val="left"/>
            </w:pPr>
            <w:r>
              <w:t xml:space="preserve">Pinealon</w:t>
            </w:r>
          </w:p>
        </w:tc>
        <w:tc>
          <w:tcPr/>
          <w:p>
            <w:pPr>
              <w:pStyle w:val="Compact"/>
              <w:jc w:val="left"/>
            </w:pPr>
            <w:r>
              <w:t xml:space="preserve">32 ouderen, ongecontroleerd; ook remming van de bloedaanmaak (PMID 26390612)</w:t>
            </w:r>
          </w:p>
        </w:tc>
        <w:tc>
          <w:tcPr/>
          <w:p>
            <w:pPr>
              <w:pStyle w:val="Compact"/>
              <w:jc w:val="left"/>
            </w:pPr>
            <w:r>
              <w:t xml:space="preserve">geen systematische veiligheidsgegevens</w:t>
            </w:r>
          </w:p>
        </w:tc>
      </w:tr>
      <w:tr>
        <w:tc>
          <w:tcPr/>
          <w:p>
            <w:pPr>
              <w:pStyle w:val="Compact"/>
              <w:jc w:val="left"/>
            </w:pPr>
            <w:r>
              <w:t xml:space="preserve">MOTS-c</w:t>
            </w:r>
          </w:p>
        </w:tc>
        <w:tc>
          <w:tcPr/>
          <w:p>
            <w:pPr>
              <w:pStyle w:val="Compact"/>
              <w:jc w:val="left"/>
            </w:pPr>
            <w:r>
              <w:t xml:space="preserve">alleen dierlijke gegevens over toediening: bij muizen minder overgewicht (PMID 25738459)</w:t>
            </w:r>
          </w:p>
        </w:tc>
        <w:tc>
          <w:tcPr/>
          <w:p>
            <w:pPr>
              <w:pStyle w:val="Compact"/>
              <w:jc w:val="left"/>
            </w:pPr>
            <w:r>
              <w:t xml:space="preserve">geen gegevens over toediening bij mensen</w:t>
            </w:r>
          </w:p>
        </w:tc>
      </w:tr>
      <w:tr>
        <w:tc>
          <w:tcPr/>
          <w:p>
            <w:pPr>
              <w:pStyle w:val="Compact"/>
              <w:jc w:val="left"/>
            </w:pPr>
            <w:r>
              <w:t xml:space="preserve">Humanine</w:t>
            </w:r>
          </w:p>
        </w:tc>
        <w:tc>
          <w:tcPr/>
          <w:p>
            <w:pPr>
              <w:pStyle w:val="Compact"/>
              <w:jc w:val="left"/>
            </w:pPr>
            <w:r>
              <w:t xml:space="preserve">alleen spiegelmetingen bij mensen (PMID 32575074)</w:t>
            </w:r>
          </w:p>
        </w:tc>
        <w:tc>
          <w:tcPr/>
          <w:p>
            <w:pPr>
              <w:pStyle w:val="Compact"/>
              <w:jc w:val="left"/>
            </w:pPr>
            <w:r>
              <w:t xml:space="preserve">bij muizen meer groei van borstkanker (PMID 32444831)</w:t>
            </w:r>
          </w:p>
        </w:tc>
      </w:tr>
      <w:tr>
        <w:tc>
          <w:tcPr/>
          <w:p>
            <w:pPr>
              <w:pStyle w:val="Compact"/>
              <w:jc w:val="left"/>
            </w:pPr>
            <w:r>
              <w:t xml:space="preserve">SS-31 (elamipretide)</w:t>
            </w:r>
          </w:p>
        </w:tc>
        <w:tc>
          <w:tcPr/>
          <w:p>
            <w:pPr>
              <w:pStyle w:val="Compact"/>
              <w:jc w:val="left"/>
            </w:pPr>
            <w:r>
              <w:t xml:space="preserve">MMPOWER-3 met 218 personen: geen nut bij myopathie (PMID 37268435)</w:t>
            </w:r>
          </w:p>
        </w:tc>
        <w:tc>
          <w:tcPr/>
          <w:p>
            <w:pPr>
              <w:pStyle w:val="Compact"/>
              <w:jc w:val="left"/>
            </w:pPr>
            <w:r>
              <w:t xml:space="preserve">injectieplaatsen; waar van de grijze markt niet identiek</w:t>
            </w:r>
          </w:p>
        </w:tc>
      </w:tr>
      <w:tr>
        <w:tc>
          <w:tcPr/>
          <w:p>
            <w:pPr>
              <w:pStyle w:val="Compact"/>
              <w:jc w:val="left"/>
            </w:pPr>
            <w:r>
              <w:t xml:space="preserve">FOXO4-DRI</w:t>
            </w:r>
          </w:p>
        </w:tc>
        <w:tc>
          <w:tcPr/>
          <w:p>
            <w:pPr>
              <w:pStyle w:val="Compact"/>
              <w:jc w:val="left"/>
            </w:pPr>
            <w:r>
              <w:t xml:space="preserve">alleen dierlijke gegevens: bij verouderde muizen betere fitheid (PMID 28340339)</w:t>
            </w:r>
          </w:p>
        </w:tc>
        <w:tc>
          <w:tcPr/>
          <w:p>
            <w:pPr>
              <w:pStyle w:val="Compact"/>
              <w:jc w:val="left"/>
            </w:pPr>
            <w:r>
              <w:t xml:space="preserve">geen gegevens bij mensen; ingreep in p53</w:t>
            </w:r>
          </w:p>
        </w:tc>
      </w:tr>
      <w:tr>
        <w:tc>
          <w:tcPr/>
          <w:p>
            <w:pPr>
              <w:pStyle w:val="Compact"/>
              <w:jc w:val="left"/>
            </w:pPr>
            <w:r>
              <w:t xml:space="preserve">Glutathion</w:t>
            </w:r>
          </w:p>
        </w:tc>
        <w:tc>
          <w:tcPr/>
          <w:p>
            <w:pPr>
              <w:pStyle w:val="Compact"/>
              <w:jc w:val="left"/>
            </w:pPr>
            <w:r>
              <w:t xml:space="preserve">fase 3 met 185 personen: geen bescherming tegen zenuwschade door chemotherapie (PMID 24619793)</w:t>
            </w:r>
          </w:p>
        </w:tc>
        <w:tc>
          <w:tcPr/>
          <w:p>
            <w:pPr>
              <w:pStyle w:val="Compact"/>
              <w:jc w:val="left"/>
            </w:pPr>
            <w:r>
              <w:t xml:space="preserve">infusies om de huid lichter te maken: waarschuwingen van autoriteiten</w:t>
            </w:r>
          </w:p>
        </w:tc>
      </w:tr>
    </w:tbl>
    <w:bookmarkEnd w:id="2529"/>
    <w:bookmarkStart w:id="2530" w:name="e.-hormonen-seksualiteit-en-pigmentatie"/>
    <w:p>
      <w:pPr>
        <w:pStyle w:val="Heading3"/>
      </w:pPr>
      <w:r>
        <w:t xml:space="preserve">E. Hormonen, seksualiteit en pigmentatie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nee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8 / 0 (opm.)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ja / ja (Scenesse, alleen EPP)</w:t>
            </w:r>
          </w:p>
        </w:tc>
        <w:tc>
          <w:tcPr/>
          <w:p>
            <w:pPr>
              <w:pStyle w:val="Compact"/>
              <w:jc w:val="left"/>
            </w:pPr>
            <w:r>
              <w:t xml:space="preserve">10 / 23 (opm.)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37 / 36</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verloskunde / alleen verloskunde</w:t>
            </w:r>
          </w:p>
        </w:tc>
        <w:tc>
          <w:tcPr/>
          <w:p>
            <w:pPr>
              <w:pStyle w:val="Compact"/>
              <w:jc w:val="left"/>
            </w:pPr>
            <w:r>
              <w:t xml:space="preserve">349 / 263</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in afzonderlijke staten / nee</w:t>
            </w:r>
          </w:p>
        </w:tc>
        <w:tc>
          <w:tcPr/>
          <w:p>
            <w:pPr>
              <w:pStyle w:val="Compact"/>
              <w:jc w:val="left"/>
            </w:pPr>
            <w:r>
              <w:t xml:space="preserve">9 / 1.000 (opm.)</w:t>
            </w:r>
          </w:p>
        </w:tc>
      </w:tr>
    </w:tbl>
    <w:p>
      <w:pPr>
        <w:pStyle w:val="BodyText"/>
      </w:pPr>
      <w:r>
        <w:t xml:space="preserve">Opmerkingen bij de tabel: bij</w:t>
      </w:r>
      <w:r>
        <w:t xml:space="preserve"> </w:t>
      </w:r>
      <w:r>
        <w:rPr>
          <w:bCs/>
          <w:b/>
        </w:rPr>
        <w:t xml:space="preserve">melanotan II</w:t>
      </w:r>
      <w:r>
        <w:t xml:space="preserve"> </w:t>
      </w:r>
      <w:r>
        <w:t xml:space="preserve">betreffen vier van de acht PubMed-treffers melanotan I (het latere afamelanotide); de enige registratie bleek niet betrouwbaar. Bij</w:t>
      </w:r>
      <w:r>
        <w:t xml:space="preserve"> </w:t>
      </w:r>
      <w:r>
        <w:rPr>
          <w:bCs/>
          <w:b/>
        </w:rPr>
        <w:t xml:space="preserve">afamelanotide</w:t>
      </w:r>
      <w:r>
        <w:t xml:space="preserve"> </w:t>
      </w:r>
      <w:r>
        <w:t xml:space="preserve">ontbreken in de telling oudere studies onder de namen melanotan I of NDP-MSH. Bij</w:t>
      </w:r>
      <w:r>
        <w:t xml:space="preserve"> </w:t>
      </w:r>
      <w:r>
        <w:rPr>
          <w:bCs/>
          <w:b/>
        </w:rPr>
        <w:t xml:space="preserve">oxytocine</w:t>
      </w:r>
      <w:r>
        <w:t xml:space="preserve"> </w:t>
      </w:r>
      <w:r>
        <w:t xml:space="preserve">is alleen het gebruik als infuus of injectie in de verloskunde geregistreerd, niet de neusspray. De getallen voor</w:t>
      </w:r>
      <w:r>
        <w:t xml:space="preserve"> </w:t>
      </w:r>
      <w:r>
        <w:rPr>
          <w:bCs/>
          <w:b/>
        </w:rPr>
        <w:t xml:space="preserve">gonadoreline</w:t>
      </w:r>
      <w:r>
        <w:t xml:space="preserve"> </w:t>
      </w:r>
      <w:r>
        <w:t xml:space="preserve">zijn onbruikbaar: de zoekopdracht in het register stuitte op de bovengrens van 1.000 treffers, omdat het register de overkoepelende term „Gonadotropin-Releasing Hormone” meeneemt; bijna alle treffers betreffen GnRH-analogen, bijvoorbeeld bij prostaatkanker, en slechts ongeveer tien het lichaamsidentieke hormoon. Het PubMed-aantal is te laag, omdat de meeste studies „GnRH” of „LHRH” schrijven.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Bremelanotide (PT-141)</w:t>
            </w:r>
          </w:p>
        </w:tc>
        <w:tc>
          <w:tcPr/>
          <w:p>
            <w:pPr>
              <w:pStyle w:val="Compact"/>
              <w:jc w:val="left"/>
            </w:pPr>
            <w:r>
              <w:t xml:space="preserve">RECONNECT, 1.267 vrouwen: slechts gering voordeel ten opzichte van placebo (PMID 31599840)</w:t>
            </w:r>
          </w:p>
        </w:tc>
        <w:tc>
          <w:tcPr/>
          <w:p>
            <w:pPr>
              <w:pStyle w:val="Compact"/>
              <w:jc w:val="left"/>
            </w:pPr>
            <w:r>
              <w:t xml:space="preserve">misselijkheid bij ongeveer 40%, korte bloeddrukstijging</w:t>
            </w:r>
          </w:p>
        </w:tc>
      </w:tr>
      <w:tr>
        <w:tc>
          <w:tcPr/>
          <w:p>
            <w:pPr>
              <w:pStyle w:val="Compact"/>
              <w:jc w:val="left"/>
            </w:pPr>
            <w:r>
              <w:t xml:space="preserve">Melanotan II</w:t>
            </w:r>
          </w:p>
        </w:tc>
        <w:tc>
          <w:tcPr/>
          <w:p>
            <w:pPr>
              <w:pStyle w:val="Compact"/>
              <w:jc w:val="left"/>
            </w:pPr>
            <w:r>
              <w:t xml:space="preserve">kleine cross-overstudies: erecties bij 17 van 20 mannen, vaak misselijkheid (PMID 11035391)</w:t>
            </w:r>
          </w:p>
        </w:tc>
        <w:tc>
          <w:tcPr/>
          <w:p>
            <w:pPr>
              <w:pStyle w:val="Compact"/>
              <w:jc w:val="left"/>
            </w:pPr>
            <w:r>
              <w:t xml:space="preserve">veranderingen van moedervlekken, casusbeschrijvingen van melanoom, priapisme</w:t>
            </w:r>
          </w:p>
        </w:tc>
      </w:tr>
      <w:tr>
        <w:tc>
          <w:tcPr/>
          <w:p>
            <w:pPr>
              <w:pStyle w:val="Compact"/>
              <w:jc w:val="left"/>
            </w:pPr>
            <w:r>
              <w:t xml:space="preserve">Afamelanotide</w:t>
            </w:r>
          </w:p>
        </w:tc>
        <w:tc>
          <w:tcPr/>
          <w:p>
            <w:pPr>
              <w:pStyle w:val="Compact"/>
              <w:jc w:val="left"/>
            </w:pPr>
            <w:r>
              <w:t xml:space="preserve">twee RCT’s: langere pijnvrije tijd in het zonlicht bij EPP (PMID 26132941)</w:t>
            </w:r>
          </w:p>
        </w:tc>
        <w:tc>
          <w:tcPr/>
          <w:p>
            <w:pPr>
              <w:pStyle w:val="Compact"/>
              <w:jc w:val="left"/>
            </w:pPr>
            <w:r>
              <w:t xml:space="preserve">misselijkheid, hoofdpijn; huidcontroles nodig</w:t>
            </w:r>
          </w:p>
        </w:tc>
      </w:tr>
      <w:tr>
        <w:tc>
          <w:tcPr/>
          <w:p>
            <w:pPr>
              <w:pStyle w:val="Compact"/>
              <w:jc w:val="left"/>
            </w:pPr>
            <w:r>
              <w:t xml:space="preserve">Kisspeptine</w:t>
            </w:r>
          </w:p>
        </w:tc>
        <w:tc>
          <w:tcPr/>
          <w:p>
            <w:pPr>
              <w:pStyle w:val="Compact"/>
              <w:jc w:val="left"/>
            </w:pPr>
            <w:r>
              <w:t xml:space="preserve">60 vrouwen met OHSS-risico: eicelrijping bij 95%, geen ernstig OHSS (PMID 26192876)</w:t>
            </w:r>
          </w:p>
        </w:tc>
        <w:tc>
          <w:tcPr/>
          <w:p>
            <w:pPr>
              <w:pStyle w:val="Compact"/>
              <w:jc w:val="left"/>
            </w:pPr>
            <w:r>
              <w:t xml:space="preserve">gewenning tot aan onderdrukking van de hormonale as</w:t>
            </w:r>
          </w:p>
        </w:tc>
      </w:tr>
      <w:tr>
        <w:tc>
          <w:tcPr/>
          <w:p>
            <w:pPr>
              <w:pStyle w:val="Compact"/>
              <w:jc w:val="left"/>
            </w:pPr>
            <w:r>
              <w:t xml:space="preserve">Oxytocine (neusspray)</w:t>
            </w:r>
          </w:p>
        </w:tc>
        <w:tc>
          <w:tcPr/>
          <w:p>
            <w:pPr>
              <w:pStyle w:val="Compact"/>
              <w:jc w:val="left"/>
            </w:pPr>
            <w:r>
              <w:t xml:space="preserve">SOARS-B, 290 kinderen met autisme: geen verschil met placebo (PMID 34644471)</w:t>
            </w:r>
          </w:p>
        </w:tc>
        <w:tc>
          <w:tcPr/>
          <w:p>
            <w:pPr>
              <w:pStyle w:val="Compact"/>
              <w:jc w:val="left"/>
            </w:pPr>
            <w:r>
              <w:t xml:space="preserve">vochtretentie bij hoge doses, opwekken van weeën</w:t>
            </w:r>
          </w:p>
        </w:tc>
      </w:tr>
      <w:tr>
        <w:tc>
          <w:tcPr/>
          <w:p>
            <w:pPr>
              <w:pStyle w:val="Compact"/>
              <w:jc w:val="left"/>
            </w:pPr>
            <w:r>
              <w:t xml:space="preserve">Gonadoreline</w:t>
            </w:r>
          </w:p>
        </w:tc>
        <w:tc>
          <w:tcPr/>
          <w:p>
            <w:pPr>
              <w:pStyle w:val="Compact"/>
              <w:jc w:val="left"/>
            </w:pPr>
            <w:r>
              <w:t xml:space="preserve">pulsatiele toediening: eisprong bij 91% resp. 96% van 109 vrouwen (PMID 2122733)</w:t>
            </w:r>
          </w:p>
        </w:tc>
        <w:tc>
          <w:tcPr/>
          <w:p>
            <w:pPr>
              <w:pStyle w:val="Compact"/>
              <w:jc w:val="left"/>
            </w:pPr>
            <w:r>
              <w:t xml:space="preserve">bij verkeerd ritme onderdrukking van de hormonale as</w:t>
            </w:r>
          </w:p>
        </w:tc>
      </w:tr>
    </w:tbl>
    <w:bookmarkEnd w:id="2530"/>
    <w:bookmarkStart w:id="2531" w:name="f.-collageen-voeding-en-cosmetica"/>
    <w:p>
      <w:pPr>
        <w:pStyle w:val="Heading3"/>
      </w:pPr>
      <w:r>
        <w:t xml:space="preserve">F. Collageen, voeding en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101 / 237 (opm.)</w:t>
            </w:r>
          </w:p>
        </w:tc>
      </w:tr>
      <w:tr>
        <w:tc>
          <w:tcPr/>
          <w:p>
            <w:pPr>
              <w:pStyle w:val="Compact"/>
              <w:jc w:val="left"/>
            </w:pPr>
            <w:r>
              <w:t xml:space="preserve">Lactotripeptiden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 cosmetica</w:t>
            </w:r>
          </w:p>
        </w:tc>
        <w:tc>
          <w:tcPr/>
          <w:p>
            <w:pPr>
              <w:pStyle w:val="Compact"/>
              <w:jc w:val="left"/>
            </w:pPr>
            <w:r>
              <w:t xml:space="preserve">1 / 24 (opm.)</w:t>
            </w:r>
          </w:p>
        </w:tc>
      </w:tr>
      <w:tr>
        <w:tc>
          <w:tcPr/>
          <w:p>
            <w:pPr>
              <w:pStyle w:val="Compact"/>
              <w:jc w:val="left"/>
            </w:pPr>
            <w:r>
              <w:t xml:space="preserve">Palmitoyl-pentapeptide-4</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1 / 0</w:t>
            </w:r>
          </w:p>
        </w:tc>
      </w:tr>
      <w:tr>
        <w:tc>
          <w:tcPr/>
          <w:p>
            <w:pPr>
              <w:pStyle w:val="Compact"/>
              <w:jc w:val="left"/>
            </w:pPr>
            <w:r>
              <w:t xml:space="preserve">Acetyl-hexapeptide-8</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3 / 7</w:t>
            </w:r>
          </w:p>
        </w:tc>
      </w:tr>
    </w:tbl>
    <w:p>
      <w:pPr>
        <w:pStyle w:val="BodyText"/>
      </w:pPr>
      <w:r>
        <w:t xml:space="preserve">Opmerkingen bij de tabel: bij</w:t>
      </w:r>
      <w:r>
        <w:t xml:space="preserve"> </w:t>
      </w:r>
      <w:r>
        <w:rPr>
          <w:bCs/>
          <w:b/>
        </w:rPr>
        <w:t xml:space="preserve">collageenpeptiden</w:t>
      </w:r>
      <w:r>
        <w:t xml:space="preserve"> </w:t>
      </w:r>
      <w:r>
        <w:t xml:space="preserve">betreft een aanzienlijk deel van de registertreffers andere onderwerpen, bijvoorbeeld collageenimplantaten in de tandheelkunde of het kankermiddel endostatine. Bij</w:t>
      </w:r>
      <w:r>
        <w:t xml:space="preserve"> </w:t>
      </w:r>
      <w:r>
        <w:rPr>
          <w:bCs/>
          <w:b/>
        </w:rPr>
        <w:t xml:space="preserve">GHK-Cu</w:t>
      </w:r>
      <w:r>
        <w:t xml:space="preserve"> </w:t>
      </w:r>
      <w:r>
        <w:t xml:space="preserve">betreffen bijna alle registertreffers andere koperverbindingen, bijvoorbeeld radioactief koper-64 voor beeldvorming; slechts één geloofwaardige registratie onderzoekt daadwerkelijk GHK. Voor geen enkele stof in deze groep is in de EU een gezondheidsgerelateerde reclameslogan toegelaten; voor lactotripeptiden heeft de Europese Autoriteit voor voedselveiligheid (EFSA) de aangevraagde bloeddrukclaim afgewezen.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Collageenpeptiden</w:t>
            </w:r>
          </w:p>
        </w:tc>
        <w:tc>
          <w:tcPr/>
          <w:p>
            <w:pPr>
              <w:pStyle w:val="Compact"/>
              <w:jc w:val="left"/>
            </w:pPr>
            <w:r>
              <w:t xml:space="preserve">artrose: kleine tot matige effecten (PMID 38218227); nut voor de huid niet in onafhankelijke studies (PMID 40324552)</w:t>
            </w:r>
          </w:p>
        </w:tc>
        <w:tc>
          <w:tcPr/>
          <w:p>
            <w:pPr>
              <w:pStyle w:val="Compact"/>
              <w:jc w:val="left"/>
            </w:pPr>
            <w:r>
              <w:t xml:space="preserve">vervanging van werkzame maatregelen; oxalaat bij neiging tot nierstenen</w:t>
            </w:r>
          </w:p>
        </w:tc>
      </w:tr>
      <w:tr>
        <w:tc>
          <w:tcPr/>
          <w:p>
            <w:pPr>
              <w:pStyle w:val="Compact"/>
              <w:jc w:val="left"/>
            </w:pPr>
            <w:r>
              <w:t xml:space="preserve">Lactotripeptiden</w:t>
            </w:r>
          </w:p>
        </w:tc>
        <w:tc>
          <w:tcPr/>
          <w:p>
            <w:pPr>
              <w:pStyle w:val="Compact"/>
              <w:jc w:val="left"/>
            </w:pPr>
            <w:r>
              <w:t xml:space="preserve">meta-analyse, 30 RCT’s: systolisch −2,95 mmHg, met publicatiebias (PMID 25608938)</w:t>
            </w:r>
          </w:p>
        </w:tc>
        <w:tc>
          <w:tcPr/>
          <w:p>
            <w:pPr>
              <w:pStyle w:val="Compact"/>
              <w:jc w:val="left"/>
            </w:pPr>
            <w:r>
              <w:t xml:space="preserve">vervanging van een werkzame bloeddrukbehandeling</w:t>
            </w:r>
          </w:p>
        </w:tc>
      </w:tr>
      <w:tr>
        <w:tc>
          <w:tcPr/>
          <w:p>
            <w:pPr>
              <w:pStyle w:val="Compact"/>
              <w:jc w:val="left"/>
            </w:pPr>
            <w:r>
              <w:t xml:space="preserve">Carnosine</w:t>
            </w:r>
          </w:p>
        </w:tc>
        <w:tc>
          <w:tcPr/>
          <w:p>
            <w:pPr>
              <w:pStyle w:val="Compact"/>
              <w:jc w:val="left"/>
            </w:pPr>
            <w:r>
              <w:t xml:space="preserve">meta-analyse, 8 RCT’s: iets lagere glucose- en HbA1c-waarden (PMID 40999397)</w:t>
            </w:r>
          </w:p>
        </w:tc>
        <w:tc>
          <w:tcPr/>
          <w:p>
            <w:pPr>
              <w:pStyle w:val="Compact"/>
              <w:jc w:val="left"/>
            </w:pPr>
            <w:r>
              <w:t xml:space="preserve">geen relevante; langetermijngegevens ontbreken</w:t>
            </w:r>
          </w:p>
        </w:tc>
      </w:tr>
      <w:tr>
        <w:tc>
          <w:tcPr/>
          <w:p>
            <w:pPr>
              <w:pStyle w:val="Compact"/>
              <w:jc w:val="left"/>
            </w:pPr>
            <w:r>
              <w:t xml:space="preserve">GHK-Cu</w:t>
            </w:r>
          </w:p>
        </w:tc>
        <w:tc>
          <w:tcPr/>
          <w:p>
            <w:pPr>
              <w:pStyle w:val="Compact"/>
              <w:jc w:val="left"/>
            </w:pPr>
            <w:r>
              <w:t xml:space="preserve">voetzweren: wondoppervlak mediaan −98,5% vs. −60,8% (PMID 17147644)</w:t>
            </w:r>
          </w:p>
        </w:tc>
        <w:tc>
          <w:tcPr/>
          <w:p>
            <w:pPr>
              <w:pStyle w:val="Compact"/>
              <w:jc w:val="left"/>
            </w:pPr>
            <w:r>
              <w:t xml:space="preserve">injecties met waar van de grijze markt niet getest</w:t>
            </w:r>
          </w:p>
        </w:tc>
      </w:tr>
      <w:tr>
        <w:tc>
          <w:tcPr/>
          <w:p>
            <w:pPr>
              <w:pStyle w:val="Compact"/>
              <w:jc w:val="left"/>
            </w:pPr>
            <w:r>
              <w:t xml:space="preserve">Palmitoyl-pentapeptide-4</w:t>
            </w:r>
          </w:p>
        </w:tc>
        <w:tc>
          <w:tcPr/>
          <w:p>
            <w:pPr>
              <w:pStyle w:val="Compact"/>
              <w:jc w:val="left"/>
            </w:pPr>
            <w:r>
              <w:t xml:space="preserve">93 vrouwen, halfzijdige studie: minder rimpels na 12 weken (PMID 18492182)</w:t>
            </w:r>
          </w:p>
        </w:tc>
        <w:tc>
          <w:tcPr/>
          <w:p>
            <w:pPr>
              <w:pStyle w:val="Compact"/>
              <w:jc w:val="left"/>
            </w:pPr>
            <w:r>
              <w:t xml:space="preserve">zelden huidirritatie</w:t>
            </w:r>
          </w:p>
        </w:tc>
      </w:tr>
      <w:tr>
        <w:tc>
          <w:tcPr/>
          <w:p>
            <w:pPr>
              <w:pStyle w:val="Compact"/>
              <w:jc w:val="left"/>
            </w:pPr>
            <w:r>
              <w:t xml:space="preserve">Acetyl-hexapeptide-8</w:t>
            </w:r>
          </w:p>
        </w:tc>
        <w:tc>
          <w:tcPr/>
          <w:p>
            <w:pPr>
              <w:pStyle w:val="Compact"/>
              <w:jc w:val="left"/>
            </w:pPr>
            <w:r>
              <w:t xml:space="preserve">19 vrouwen, halfzijdige studie: geen verschil na 4 weken (PMID 38024099)</w:t>
            </w:r>
          </w:p>
        </w:tc>
        <w:tc>
          <w:tcPr/>
          <w:p>
            <w:pPr>
              <w:pStyle w:val="Compact"/>
              <w:jc w:val="left"/>
            </w:pPr>
            <w:r>
              <w:t xml:space="preserve">injecties niet toegelaten, casusbeschrijving van infectie</w:t>
            </w:r>
          </w:p>
        </w:tc>
      </w:tr>
    </w:tbl>
    <w:bookmarkEnd w:id="2531"/>
    <w:bookmarkStart w:id="2535" w:name="X742f7ec3d70ad89a63b9c3f08a062381335079a"/>
    <w:p>
      <w:pPr>
        <w:pStyle w:val="Heading3"/>
      </w:pPr>
      <w:r>
        <w:t xml:space="preserve">Analyse: hoe goed zijn peptiden in het algemeen onderzocht?</w:t>
      </w:r>
    </w:p>
    <w:bookmarkStart w:id="2532" w:name="verdeling-van-de-bewijsniveaus"/>
    <w:p>
      <w:pPr>
        <w:pStyle w:val="Heading4"/>
      </w:pPr>
      <w:r>
        <w:t xml:space="preserve">Verdeling van de bewijsniveaus</w:t>
      </w:r>
    </w:p>
    <w:p>
      <w:pPr>
        <w:pStyle w:val="FirstParagraph"/>
      </w:pPr>
      <w:r>
        <w:t xml:space="preserve">De 58 vermeldingen in dit boek – 56 peptiden en twee vergelijkingsstoffen die geen peptiden zijn (orforglipron en ibutamoren) – zijn als volgt verdeeld: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Bewijsniveau</w:t>
            </w:r>
          </w:p>
        </w:tc>
        <w:tc>
          <w:tcPr/>
          <w:p>
            <w:pPr>
              <w:pStyle w:val="Compact"/>
              <w:jc w:val="left"/>
            </w:pPr>
            <w:r>
              <w:t xml:space="preserve">Aantal</w:t>
            </w:r>
          </w:p>
        </w:tc>
        <w:tc>
          <w:tcPr/>
          <w:p>
            <w:pPr>
              <w:pStyle w:val="Compact"/>
              <w:jc w:val="left"/>
            </w:pPr>
            <w:r>
              <w:t xml:space="preserve">Aandeel</w:t>
            </w:r>
          </w:p>
        </w:tc>
        <w:tc>
          <w:tcPr/>
          <w:p>
            <w:pPr>
              <w:pStyle w:val="Compact"/>
              <w:jc w:val="left"/>
            </w:pPr>
            <w:r>
              <w:t xml:space="preserve">Voorbeelden</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tesamoreline,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thymosine alfa-1, glutathion, collageenpeptiden</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Opmerking: TB-500 is in de telling opgenomen met niveau B voor thymosine bèta-4; voor het fragment TB-500 alleen geldt niveau D.</w:t>
      </w:r>
    </w:p>
    <w:p>
      <w:pPr>
        <w:pStyle w:val="BodyText"/>
      </w:pPr>
      <w:r>
        <w:t xml:space="preserve">Drie patronen:</w:t>
      </w:r>
    </w:p>
    <w:p>
      <w:pPr>
        <w:numPr>
          <w:ilvl w:val="0"/>
          <w:numId w:val="1321"/>
        </w:numPr>
        <w:pStyle w:val="Compact"/>
      </w:pPr>
      <w:r>
        <w:rPr>
          <w:bCs/>
          <w:b/>
        </w:rPr>
        <w:t xml:space="preserve">Niveau A wordt bijna alleen bereikt door werkzame stoffen die een regulier registratieprogramma van een geneesmiddelenfabrikant hebben doorlopen.</w:t>
      </w:r>
      <w:r>
        <w:t xml:space="preserve"> </w:t>
      </w:r>
      <w:r>
        <w:t xml:space="preserve">Negen van de 14 vermeldingen met niveau A komen uit groep A (stofwisseling en gewicht). De overige zijn tesamoreline, macimoreline en mecasermine uit de groeihormoonas, en bremelanotide en afamelanotide. Geen van de in groep B (genezing) en groep D (hersenen en levensduur) beschreven stoffen bereikt niveau A.</w:t>
      </w:r>
    </w:p>
    <w:p>
      <w:pPr>
        <w:numPr>
          <w:ilvl w:val="0"/>
          <w:numId w:val="1321"/>
        </w:numPr>
        <w:pStyle w:val="Compact"/>
      </w:pPr>
      <w:r>
        <w:rPr>
          <w:bCs/>
          <w:b/>
        </w:rPr>
        <w:t xml:space="preserve">Niveau B betekent vaak „getest en niet bevestigd”.</w:t>
      </w:r>
      <w:r>
        <w:t xml:space="preserve"> </w:t>
      </w:r>
      <w:r>
        <w:t xml:space="preserve">Bij veel van de 25 vermeldingen haalde de grootste gerandomiseerde studie haar primaire doel niet: thymosine alfa-1 bij sepsis, LL-37 bij beenzweren, ipamoreline na darmoperaties, elamipretide bij myopathie, oxytocine bij autisme, glutathion tegen zenuwschade door chemotherapie.</w:t>
      </w:r>
    </w:p>
    <w:p>
      <w:pPr>
        <w:numPr>
          <w:ilvl w:val="0"/>
          <w:numId w:val="1321"/>
        </w:numPr>
        <w:pStyle w:val="Compact"/>
      </w:pPr>
      <w:r>
        <w:rPr>
          <w:bCs/>
          <w:b/>
        </w:rPr>
        <w:t xml:space="preserve">Een derde heeft niveau C of D.</w:t>
      </w:r>
      <w:r>
        <w:t xml:space="preserve"> </w:t>
      </w:r>
      <w:r>
        <w:t xml:space="preserve">19 van de 58 vermeldingen berusten op kleine, ongecontroleerde studies bij mensen of alleen op dier- en laboratoriumproeven – waaronder veel van de stoffen die op internet het sterkst worden aangeprezen.</w:t>
      </w:r>
    </w:p>
    <w:p>
      <w:pPr>
        <w:pStyle w:val="FirstParagraph"/>
      </w:pPr>
      <w:r>
        <w:t xml:space="preserve">Per groep bekeken:</w:t>
      </w:r>
    </w:p>
    <w:p>
      <w:pPr>
        <w:numPr>
          <w:ilvl w:val="0"/>
          <w:numId w:val="1322"/>
        </w:numPr>
        <w:pStyle w:val="Compact"/>
      </w:pPr>
      <w:r>
        <w:t xml:space="preserve">A. Stofwisseling en gewicht (15 vermeldingen): 9 × A, 5 × B, 1 × D</w:t>
      </w:r>
    </w:p>
    <w:p>
      <w:pPr>
        <w:numPr>
          <w:ilvl w:val="0"/>
          <w:numId w:val="1322"/>
        </w:numPr>
        <w:pStyle w:val="Compact"/>
      </w:pPr>
      <w:r>
        <w:t xml:space="preserve">B. Genezing en immuunsysteem (8): 5 × B, 2 × C, 1 × D</w:t>
      </w:r>
    </w:p>
    <w:p>
      <w:pPr>
        <w:numPr>
          <w:ilvl w:val="0"/>
          <w:numId w:val="1322"/>
        </w:numPr>
        <w:pStyle w:val="Compact"/>
      </w:pPr>
      <w:r>
        <w:t xml:space="preserve">C. Groeihormoonas (11): 3 × A, 4 × B, 3 × C, 1 × D</w:t>
      </w:r>
    </w:p>
    <w:p>
      <w:pPr>
        <w:numPr>
          <w:ilvl w:val="0"/>
          <w:numId w:val="1322"/>
        </w:numPr>
        <w:pStyle w:val="Compact"/>
      </w:pPr>
      <w:r>
        <w:t xml:space="preserve">D. Hersenen en levensduur (12): 3 × B, 5 × C, 4 × D</w:t>
      </w:r>
    </w:p>
    <w:p>
      <w:pPr>
        <w:numPr>
          <w:ilvl w:val="0"/>
          <w:numId w:val="1322"/>
        </w:numPr>
        <w:pStyle w:val="Compact"/>
      </w:pPr>
      <w:r>
        <w:t xml:space="preserve">E. Hormonen en pigmentatie (6): 2 × A, 3 × B, 1 × C</w:t>
      </w:r>
    </w:p>
    <w:p>
      <w:pPr>
        <w:numPr>
          <w:ilvl w:val="0"/>
          <w:numId w:val="1322"/>
        </w:numPr>
        <w:pStyle w:val="Compact"/>
      </w:pPr>
      <w:r>
        <w:t xml:space="preserve">F. Collageen en cosmetica (6): 5 × B, 1 × C</w:t>
      </w:r>
    </w:p>
    <w:p>
      <w:pPr>
        <w:pStyle w:val="FirstParagraph"/>
      </w:pPr>
      <w:r>
        <w:t xml:space="preserve">Groep D heeft de zwakste gegevens: vier van haar twaalf peptiden werden nooit in een gepubliceerde studie bij mensen toegediend, vijf andere alleen in kleine, meestal niet-gerandomiseerde studies.</w:t>
      </w:r>
    </w:p>
    <w:bookmarkEnd w:id="2532"/>
    <w:bookmarkStart w:id="2533" w:name="geregistreerd-of-niet"/>
    <w:p>
      <w:pPr>
        <w:pStyle w:val="Heading4"/>
      </w:pPr>
      <w:r>
        <w:t xml:space="preserve">Geregistreerd of niet?</w:t>
      </w:r>
    </w:p>
    <w:p>
      <w:pPr>
        <w:pStyle w:val="FirstParagraph"/>
      </w:pPr>
      <w:r>
        <w:t xml:space="preserve">„Geregistreerd” betekent in dit boek: een geneesmiddelenautoriteit heeft werkzaamheid, veiligheid en productiekwaliteit voor een bepaalde toepassing beoordeeld. De 58 vermeldingen kunnen op basis daarvan in vijf groepen worden ingedeeld (stand oktober 2026, actuele situatie controleren):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Aantal</w:t>
            </w:r>
          </w:p>
        </w:tc>
        <w:tc>
          <w:tcPr/>
          <w:p>
            <w:pPr>
              <w:pStyle w:val="Compact"/>
              <w:jc w:val="left"/>
            </w:pPr>
            <w:r>
              <w:t xml:space="preserve">Peptiden</w:t>
            </w:r>
          </w:p>
        </w:tc>
      </w:tr>
      <w:tr>
        <w:tc>
          <w:tcPr/>
          <w:p>
            <w:pPr>
              <w:pStyle w:val="Compact"/>
              <w:jc w:val="left"/>
            </w:pPr>
            <w:r>
              <w:t xml:space="preserve">Als geneesmiddel geregistreerd in de EU en/of de VS</w:t>
            </w:r>
          </w:p>
        </w:tc>
        <w:tc>
          <w:tcPr/>
          <w:p>
            <w:pPr>
              <w:pStyle w:val="Compact"/>
              <w:jc w:val="left"/>
            </w:pPr>
            <w:r>
              <w:t xml:space="preserve">14</w:t>
            </w:r>
          </w:p>
        </w:tc>
        <w:tc>
          <w:tcPr/>
          <w:p>
            <w:pPr>
              <w:pStyle w:val="Compact"/>
              <w:jc w:val="left"/>
            </w:pPr>
            <w:r>
              <w:t xml:space="preserve">exenatide, liraglutide, dulaglutide, semaglutide, tirzepatide, setmelanotide, pramlintide, tesamoreline, macimoreline, mecasermine, afamelanotide, bremelanotide, SS-31, oxytocine (alleen verloskunde)</w:t>
            </w:r>
          </w:p>
        </w:tc>
      </w:tr>
      <w:tr>
        <w:tc>
          <w:tcPr/>
          <w:p>
            <w:pPr>
              <w:pStyle w:val="Compact"/>
              <w:jc w:val="left"/>
            </w:pPr>
            <w:r>
              <w:t xml:space="preserve">Alleen nationaal in afzonderlijke EU-staten of alleen buiten de EU en de VS geregistreerd</w:t>
            </w:r>
          </w:p>
        </w:tc>
        <w:tc>
          <w:tcPr/>
          <w:p>
            <w:pPr>
              <w:pStyle w:val="Compact"/>
              <w:jc w:val="left"/>
            </w:pPr>
            <w:r>
              <w:t xml:space="preserve">8</w:t>
            </w:r>
          </w:p>
        </w:tc>
        <w:tc>
          <w:tcPr/>
          <w:p>
            <w:pPr>
              <w:pStyle w:val="Compact"/>
              <w:jc w:val="left"/>
            </w:pPr>
            <w:r>
              <w:t xml:space="preserve">cerebrolysine, gonadoreline, mazdutide (China), thymosine alfa-1 (o.a. China), thymaline, Semax, Selank (Rusland), GHRP-2 (Japan, diagnosticum)</w:t>
            </w:r>
          </w:p>
        </w:tc>
      </w:tr>
      <w:tr>
        <w:tc>
          <w:tcPr/>
          <w:p>
            <w:pPr>
              <w:pStyle w:val="Compact"/>
              <w:jc w:val="left"/>
            </w:pPr>
            <w:r>
              <w:t xml:space="preserve">Vroeger in de VS geregistreerd, nu niet meer in de handel</w:t>
            </w:r>
          </w:p>
        </w:tc>
        <w:tc>
          <w:tcPr/>
          <w:p>
            <w:pPr>
              <w:pStyle w:val="Compact"/>
              <w:jc w:val="left"/>
            </w:pPr>
            <w:r>
              <w:t xml:space="preserve">1</w:t>
            </w:r>
          </w:p>
        </w:tc>
        <w:tc>
          <w:tcPr/>
          <w:p>
            <w:pPr>
              <w:pStyle w:val="Compact"/>
              <w:jc w:val="left"/>
            </w:pPr>
            <w:r>
              <w:t xml:space="preserve">sermoreline</w:t>
            </w:r>
          </w:p>
        </w:tc>
      </w:tr>
      <w:tr>
        <w:tc>
          <w:tcPr/>
          <w:p>
            <w:pPr>
              <w:pStyle w:val="Compact"/>
              <w:jc w:val="left"/>
            </w:pPr>
            <w:r>
              <w:t xml:space="preserve">Toegestaan als levensmiddel, voedingssupplement of cosmetica, zonder registratie als geneesmiddel</w:t>
            </w:r>
          </w:p>
        </w:tc>
        <w:tc>
          <w:tcPr/>
          <w:p>
            <w:pPr>
              <w:pStyle w:val="Compact"/>
              <w:jc w:val="left"/>
            </w:pPr>
            <w:r>
              <w:t xml:space="preserve">7</w:t>
            </w:r>
          </w:p>
        </w:tc>
        <w:tc>
          <w:tcPr/>
          <w:p>
            <w:pPr>
              <w:pStyle w:val="Compact"/>
              <w:jc w:val="left"/>
            </w:pPr>
            <w:r>
              <w:t xml:space="preserve">collageenpeptiden, lactotripeptiden, carnosine, glutathion, GHK-Cu, palmitoyl-pentapeptide-4, acetyl-hexapeptide-8</w:t>
            </w:r>
          </w:p>
        </w:tc>
      </w:tr>
      <w:tr>
        <w:tc>
          <w:tcPr/>
          <w:p>
            <w:pPr>
              <w:pStyle w:val="Compact"/>
              <w:jc w:val="left"/>
            </w:pPr>
            <w:r>
              <w:t xml:space="preserve">Nergens geregistreerd</w:t>
            </w:r>
          </w:p>
        </w:tc>
        <w:tc>
          <w:tcPr/>
          <w:p>
            <w:pPr>
              <w:pStyle w:val="Compact"/>
              <w:jc w:val="left"/>
            </w:pPr>
            <w:r>
              <w:t xml:space="preserve">28</w:t>
            </w:r>
          </w:p>
        </w:tc>
        <w:tc>
          <w:tcPr/>
          <w:p>
            <w:pPr>
              <w:pStyle w:val="Compact"/>
              <w:jc w:val="left"/>
            </w:pPr>
            <w:r>
              <w:t xml:space="preserve">waaronder retatrutide, CagriSema, BPC-157, TB-500, CJC-1295, ipamoreline, epitalon, MOTS-c, melanotan II, IGF-1 LR3, orforglipron (aanvraag ingediend) en ibutamoren</w:t>
            </w:r>
          </w:p>
        </w:tc>
      </w:tr>
    </w:tbl>
    <w:p>
      <w:pPr>
        <w:pStyle w:val="BodyText"/>
      </w:pPr>
      <w:r>
        <w:t xml:space="preserve">Slechts ongeveer een kwart van de vermeldingen is in de EU of de VS als geneesmiddel geregistreerd – meestal voor nauw omschreven toepassingen: afamelanotide voor een zeldzame lichtovergevoeligheid (erytropoëtische protoporfyrie, EPP), niet om bruin te worden; elamipretide alleen voor het barthsyndroom; oxytocine alleen voor de verloskunde, niet als neusspray; tesamoreline alleen voor een vetverdelingsstoornis bij hiv. Bij de uitspraak „geregistreerd” loont daarom altijd de vraag: waar, waarvoor en in welke vorm?</w:t>
      </w:r>
    </w:p>
    <w:p>
      <w:pPr>
        <w:pStyle w:val="BodyText"/>
      </w:pPr>
      <w:r>
        <w:t xml:space="preserve">De 28 nergens geregistreerde vermeldingen vallen uiteen in twee groepen. Retatrutide, survodutide, CagriSema, amycretine, maridebart cafraglutide en orforglipron zitten in de reguliere ontwikkeling met fase 3-studies; een registratie is voor hen waarschijnlijk, maar niet zeker (inschatting). Stoffen als BPC-157, TB-500, CJC-1295, AOD-9604, epitalon, MOTS-c, dihexa of IGF-1 LR3 hebben daarentegen geen herkenbare weg naar registratie en worden overwegend verkocht als „research peptides”. Aanbiedingen van de grijze markt uit de eerste groep zijn niet gelijk te stellen aan de geteste geneesmiddelen.</w:t>
      </w:r>
    </w:p>
    <w:bookmarkEnd w:id="2533"/>
    <w:bookmarkStart w:id="2534" w:name="dopingstatus-volgens-de-wada"/>
    <w:p>
      <w:pPr>
        <w:pStyle w:val="Heading4"/>
      </w:pPr>
      <w:r>
        <w:t xml:space="preserve">Dopingstatus volgens de WADA</w:t>
      </w:r>
    </w:p>
    <w:p>
      <w:pPr>
        <w:pStyle w:val="FirstParagraph"/>
      </w:pPr>
      <w:r>
        <w:t xml:space="preserve">Voor de wedstrijdsport telt de verboden lijst van het Wereldantidopingagentschap (WADA). De belangrijkste klassen:</w:t>
      </w:r>
    </w:p>
    <w:p>
      <w:pPr>
        <w:numPr>
          <w:ilvl w:val="0"/>
          <w:numId w:val="1323"/>
        </w:numPr>
        <w:pStyle w:val="Compact"/>
      </w:pPr>
      <w:r>
        <w:rPr>
          <w:bCs/>
          <w:b/>
        </w:rPr>
        <w:t xml:space="preserve">S0</w:t>
      </w:r>
      <w:r>
        <w:t xml:space="preserve"> </w:t>
      </w:r>
      <w:r>
        <w:t xml:space="preserve">– niet-goedgekeurde substanties: alle stoffen zonder registratie als geneesmiddel voor mensen, ook zonder vermelding bij naam.</w:t>
      </w:r>
    </w:p>
    <w:p>
      <w:pPr>
        <w:numPr>
          <w:ilvl w:val="0"/>
          <w:numId w:val="1323"/>
        </w:numPr>
        <w:pStyle w:val="Compact"/>
      </w:pPr>
      <w:r>
        <w:rPr>
          <w:bCs/>
          <w:b/>
        </w:rPr>
        <w:t xml:space="preserve">S2</w:t>
      </w:r>
      <w:r>
        <w:t xml:space="preserve"> </w:t>
      </w:r>
      <w:r>
        <w:t xml:space="preserve">– peptidehormonen, groeifactoren en verwante substanties, waaronder groeihormoon, de vrijmakende factoren en fragmenten daarvan, IGF-1, thymosine bèta-4 en bij mannen vrijmakende factoren voor het luteïniserend hormoon (LH).</w:t>
      </w:r>
    </w:p>
    <w:p>
      <w:pPr>
        <w:numPr>
          <w:ilvl w:val="0"/>
          <w:numId w:val="1323"/>
        </w:numPr>
        <w:pStyle w:val="Compact"/>
      </w:pPr>
      <w:r>
        <w:rPr>
          <w:bCs/>
          <w:b/>
        </w:rPr>
        <w:t xml:space="preserve">S4</w:t>
      </w:r>
      <w:r>
        <w:t xml:space="preserve"> </w:t>
      </w:r>
      <w:r>
        <w:t xml:space="preserve">– hormoon- en metabole modulatoren, waaronder activatoren van het enzym AMPK.</w:t>
      </w:r>
    </w:p>
    <w:p>
      <w:pPr>
        <w:numPr>
          <w:ilvl w:val="0"/>
          <w:numId w:val="1323"/>
        </w:numPr>
        <w:pStyle w:val="Compact"/>
      </w:pPr>
      <w:r>
        <w:rPr>
          <w:bCs/>
          <w:b/>
        </w:rPr>
        <w:t xml:space="preserve">M2</w:t>
      </w:r>
      <w:r>
        <w:t xml:space="preserve"> </w:t>
      </w:r>
      <w:r>
        <w:t xml:space="preserve">– verboden methoden, waaronder infusies van meer dan 100 ml binnen twaalf uur.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Peptiden</w:t>
            </w:r>
          </w:p>
        </w:tc>
        <w:tc>
          <w:tcPr/>
          <w:p>
            <w:pPr>
              <w:pStyle w:val="Compact"/>
              <w:jc w:val="left"/>
            </w:pPr>
            <w:r>
              <w:t xml:space="preserve">WADA-status</w:t>
            </w:r>
          </w:p>
        </w:tc>
      </w:tr>
      <w:tr>
        <w:tc>
          <w:tcPr/>
          <w:p>
            <w:pPr>
              <w:pStyle w:val="Compact"/>
              <w:jc w:val="left"/>
            </w:pPr>
            <w:r>
              <w:t xml:space="preserve">AOD-9604, TB-500 / thymosine bèta-4, ARA-290, sermoreline, tesamoreline, CJC-1295, ipamoreline, GHRP-2, GHRP-6, hexareline, macimoreline, mecasermine, IGF-1 LR3, ibutamoren</w:t>
            </w:r>
          </w:p>
        </w:tc>
        <w:tc>
          <w:tcPr/>
          <w:p>
            <w:pPr>
              <w:pStyle w:val="Compact"/>
              <w:jc w:val="left"/>
            </w:pPr>
            <w:r>
              <w:t xml:space="preserve">verboden, S2</w:t>
            </w:r>
          </w:p>
        </w:tc>
      </w:tr>
      <w:tr>
        <w:tc>
          <w:tcPr/>
          <w:p>
            <w:pPr>
              <w:pStyle w:val="Compact"/>
              <w:jc w:val="left"/>
            </w:pPr>
            <w:r>
              <w:t xml:space="preserve">Gonadoreline; kisspeptine</w:t>
            </w:r>
          </w:p>
        </w:tc>
        <w:tc>
          <w:tcPr/>
          <w:p>
            <w:pPr>
              <w:pStyle w:val="Compact"/>
              <w:jc w:val="left"/>
            </w:pPr>
            <w:r>
              <w:t xml:space="preserve">voor mannen verboden, S2; kisspeptine als niet-goedgekeurde werkzame stof daarnaast S0</w:t>
            </w:r>
          </w:p>
        </w:tc>
      </w:tr>
      <w:tr>
        <w:tc>
          <w:tcPr/>
          <w:p>
            <w:pPr>
              <w:pStyle w:val="Compact"/>
              <w:jc w:val="left"/>
            </w:pPr>
            <w:r>
              <w:t xml:space="preserve">MOTS-c</w:t>
            </w:r>
          </w:p>
        </w:tc>
        <w:tc>
          <w:tcPr/>
          <w:p>
            <w:pPr>
              <w:pStyle w:val="Compact"/>
              <w:jc w:val="left"/>
            </w:pPr>
            <w:r>
              <w:t xml:space="preserve">verboden, S4 (AMPK-activator)</w:t>
            </w:r>
          </w:p>
        </w:tc>
      </w:tr>
      <w:tr>
        <w:tc>
          <w:tcPr/>
          <w:p>
            <w:pPr>
              <w:pStyle w:val="Compact"/>
              <w:jc w:val="left"/>
            </w:pPr>
            <w:r>
              <w:t xml:space="preserve">Retatrutide, survodutide, CagriSema, amycretine, maridebart cafraglutide, BPC-157, melanotan II</w:t>
            </w:r>
          </w:p>
        </w:tc>
        <w:tc>
          <w:tcPr/>
          <w:p>
            <w:pPr>
              <w:pStyle w:val="Compact"/>
              <w:jc w:val="left"/>
            </w:pPr>
            <w:r>
              <w:t xml:space="preserve">verboden, S0</w:t>
            </w:r>
          </w:p>
        </w:tc>
      </w:tr>
      <w:tr>
        <w:tc>
          <w:tcPr/>
          <w:p>
            <w:pPr>
              <w:pStyle w:val="Compact"/>
              <w:jc w:val="left"/>
            </w:pPr>
            <w:r>
              <w:t xml:space="preserve">KPV, LL-37, dihexa, epitalon, pinealon, humanine, FOXO4-DRI, orforglipron (tot de registratie)</w:t>
            </w:r>
          </w:p>
        </w:tc>
        <w:tc>
          <w:tcPr/>
          <w:p>
            <w:pPr>
              <w:pStyle w:val="Compact"/>
              <w:jc w:val="left"/>
            </w:pPr>
            <w:r>
              <w:t xml:space="preserve">niet bij naam genoemd, als niet-goedgekeurde substantie vermoedelijk S0</w:t>
            </w:r>
          </w:p>
        </w:tc>
      </w:tr>
      <w:tr>
        <w:tc>
          <w:tcPr/>
          <w:p>
            <w:pPr>
              <w:pStyle w:val="Compact"/>
              <w:jc w:val="left"/>
            </w:pPr>
            <w:r>
              <w:t xml:space="preserve">Mazdutide</w:t>
            </w:r>
          </w:p>
        </w:tc>
        <w:tc>
          <w:tcPr/>
          <w:p>
            <w:pPr>
              <w:pStyle w:val="Compact"/>
              <w:jc w:val="left"/>
            </w:pPr>
            <w:r>
              <w:t xml:space="preserve">niet bij naam genoemd; S0-status door de registratie in China onduidelijk</w:t>
            </w:r>
          </w:p>
        </w:tc>
      </w:tr>
      <w:tr>
        <w:tc>
          <w:tcPr/>
          <w:p>
            <w:pPr>
              <w:pStyle w:val="Compact"/>
              <w:jc w:val="left"/>
            </w:pPr>
            <w:r>
              <w:t xml:space="preserve">GHK-Cu</w:t>
            </w:r>
          </w:p>
        </w:tc>
        <w:tc>
          <w:tcPr/>
          <w:p>
            <w:pPr>
              <w:pStyle w:val="Compact"/>
              <w:jc w:val="left"/>
            </w:pPr>
            <w:r>
              <w:t xml:space="preserve">als cosmetica niet verboden; injectie mogelijk S0</w:t>
            </w:r>
          </w:p>
        </w:tc>
      </w:tr>
      <w:tr>
        <w:tc>
          <w:tcPr/>
          <w:p>
            <w:pPr>
              <w:pStyle w:val="Compact"/>
              <w:jc w:val="left"/>
            </w:pPr>
            <w:r>
              <w:t xml:space="preserve">Glutathion</w:t>
            </w:r>
          </w:p>
        </w:tc>
        <w:tc>
          <w:tcPr/>
          <w:p>
            <w:pPr>
              <w:pStyle w:val="Compact"/>
              <w:jc w:val="left"/>
            </w:pPr>
            <w:r>
              <w:t xml:space="preserve">substantie niet verboden; infusies van meer dan 100 ml binnen twaalf uur verboden (M2)</w:t>
            </w:r>
          </w:p>
        </w:tc>
      </w:tr>
      <w:tr>
        <w:tc>
          <w:tcPr/>
          <w:p>
            <w:pPr>
              <w:pStyle w:val="Compact"/>
              <w:jc w:val="left"/>
            </w:pPr>
            <w:r>
              <w:t xml:space="preserve">Semax, Selank, DSIP, SS-31, bremelanotide</w:t>
            </w:r>
          </w:p>
        </w:tc>
        <w:tc>
          <w:tcPr/>
          <w:p>
            <w:pPr>
              <w:pStyle w:val="Compact"/>
              <w:jc w:val="left"/>
            </w:pPr>
            <w:r>
              <w:t xml:space="preserve">niet bij naam genoemd; indeling niet eenduidig</w:t>
            </w:r>
          </w:p>
        </w:tc>
      </w:tr>
      <w:tr>
        <w:tc>
          <w:tcPr/>
          <w:p>
            <w:pPr>
              <w:pStyle w:val="Compact"/>
              <w:jc w:val="left"/>
            </w:pPr>
            <w:r>
              <w:t xml:space="preserve">Exenatide, liraglutide, dulaglutide, semaglutide, tirzepatide, pramlintide, setmelanotide, thymosine alfa-1, larazotide, thymaline, cerebrolysine, afamelanotide, oxytocine, collageenpeptiden, lactotripeptiden, carnosine, palmitoyl-pentapeptide-4, acetyl-hexapeptide-8</w:t>
            </w:r>
          </w:p>
        </w:tc>
        <w:tc>
          <w:tcPr/>
          <w:p>
            <w:pPr>
              <w:pStyle w:val="Compact"/>
              <w:jc w:val="left"/>
            </w:pPr>
            <w:r>
              <w:t xml:space="preserve">niet vermeld</w:t>
            </w:r>
          </w:p>
        </w:tc>
      </w:tr>
    </w:tbl>
    <w:p>
      <w:pPr>
        <w:pStyle w:val="BodyText"/>
      </w:pPr>
      <w:r>
        <w:t xml:space="preserve">De lijst is niet uitputtend: S0 omvat elke stof zonder registratie, S2 ook „verwante substanties” met een vergelijkbaar effect. Niet bij naam genoemd betekent dus niet toegestaan. Juist de in de krachtsport populaire stoffen van de groeihormoonas en BPC-157 en TB-500 zijn uitdrukkelijk verboden. Bij twijfel geven de nationale antidopingorganisaties informatie.</w:t>
      </w:r>
    </w:p>
    <w:bookmarkEnd w:id="2534"/>
    <w:bookmarkEnd w:id="2535"/>
    <w:bookmarkStart w:id="2536" w:name="wat-het-overzicht-laat-zien"/>
    <w:p>
      <w:pPr>
        <w:pStyle w:val="Heading3"/>
      </w:pPr>
      <w:r>
        <w:t xml:space="preserve">Wat het overzicht laat zien</w:t>
      </w:r>
    </w:p>
    <w:p>
      <w:pPr>
        <w:pStyle w:val="FirstParagraph"/>
      </w:pPr>
      <w:r>
        <w:t xml:space="preserve">De goed onderzochte peptiden zijn bijna uitsluitend geregistreerde geneesmiddelen uit grote, vooraf geregistreerde studies. De meeste op internet populaire peptiden hebben bewijsniveau C of D, zijn nergens geregistreerd en in de sport vaak verboden. Daartussen liggen stoffen die serieus bij mensen zijn onderzocht, maar waarvan de studies het gehoopte nut niet hebben bevestigd. De twee volgende hoofdstukken gaan daar dieper op in voor de GLP-1-middelen en voor de populairste internetpeptiden.</w:t>
      </w:r>
    </w:p>
    <w:bookmarkEnd w:id="2536"/>
    <w:bookmarkEnd w:id="2537"/>
    <w:bookmarkStart w:id="2579" w:name="glp-1-co.-direct-vergeleken"/>
    <w:p>
      <w:pPr>
        <w:pStyle w:val="Heading2"/>
      </w:pPr>
      <w:r>
        <w:t xml:space="preserve">GLP-1 &amp; co. direct vergeleken</w:t>
      </w:r>
    </w:p>
    <w:p>
      <w:pPr>
        <w:pStyle w:val="FirstParagraph"/>
      </w:pPr>
      <w:r>
        <w:t xml:space="preserve">Geen andere groep in dit boek is zo goed onderzocht als de incretinegeneesmiddelen: GLP-1-receptoragonisten zoals liraglutide en semaglutide, de duale agonist tirzepatide en een reeks opvolgers die daarnaast op de glucagon- of amylinereceptor aangrijpen. Voor deze middelen zijn er registratieprogramma’s met tienduizenden deelnemers, grote cardiovasculaire studies en in toenemende mate ook directe vergelijkende studies. Dit hoofdstuk zet de belangrijkste resultaten naast elkaar. Alle cijfers komen uit de hoofdstukken van Deel II, groep A, en de daar geciteerde studies; daar vind je ook de beperkingen van elke afzonderlijke studie.</w:t>
      </w:r>
    </w:p>
    <w:p>
      <w:pPr>
        <w:pStyle w:val="BodyText"/>
      </w:pPr>
      <w:r>
        <w:t xml:space="preserve">Dit hoofdstuk is geen keuzehulp voor een behandeling. Welk geneesmiddel in een individueel geval in aanmerking komt, hangt af van bijkomende aandoeningen, verdraagbaarheid, registratie, vergoeding en beschikbaarheid, en hoort in handen van een arts. Bepalend zijn de betreffende productinformatie (SmPC) en de medische begeleiding.</w:t>
      </w:r>
    </w:p>
    <w:bookmarkStart w:id="2538" w:name="X8bd433e81aa13e4fe43c86b848e6b2d9c0c5455"/>
    <w:p>
      <w:pPr>
        <w:pStyle w:val="Heading3"/>
      </w:pPr>
      <w:r>
        <w:t xml:space="preserve">Vooraf: waarom je studies niet zomaar naast elkaar mag leggen</w:t>
      </w:r>
    </w:p>
    <w:p>
      <w:pPr>
        <w:pStyle w:val="FirstParagraph"/>
      </w:pPr>
      <w:r>
        <w:t xml:space="preserve">De tabellen in dit hoofdstuk nodigen uit om cijfers uit verschillende studies te vergelijken – bijvoorbeeld 20,9% gewichtsverlies met tirzepatide tegenover 14,9% met semaglutide. Zulke kruisvergelijkingen („cross-trial comparisons”) zijn maar beperkt toelaatbaar. De redenen:</w:t>
      </w:r>
    </w:p>
    <w:p>
      <w:pPr>
        <w:numPr>
          <w:ilvl w:val="0"/>
          <w:numId w:val="1324"/>
        </w:numPr>
        <w:pStyle w:val="Compact"/>
      </w:pPr>
      <w:r>
        <w:rPr>
          <w:bCs/>
          <w:b/>
        </w:rPr>
        <w:t xml:space="preserve">Verschillende deelnemers:</w:t>
      </w:r>
      <w:r>
        <w:t xml:space="preserve"> </w:t>
      </w:r>
      <w:r>
        <w:t xml:space="preserve">mensen met diabetes type 2 verliezen met alle incretinegeneesmiddelen duidelijk minder gewicht dan mensen zonder diabetes. Studies in China of Japan nemen mensen met een lager uitgangsgewicht op dan studies in Noord-Amerika en Europa.</w:t>
      </w:r>
    </w:p>
    <w:p>
      <w:pPr>
        <w:numPr>
          <w:ilvl w:val="0"/>
          <w:numId w:val="1324"/>
        </w:numPr>
        <w:pStyle w:val="Compact"/>
      </w:pPr>
      <w:r>
        <w:rPr>
          <w:bCs/>
          <w:b/>
        </w:rPr>
        <w:t xml:space="preserve">Verschillende duur:</w:t>
      </w:r>
      <w:r>
        <w:t xml:space="preserve"> </w:t>
      </w:r>
      <w:r>
        <w:t xml:space="preserve">gewichtsverlies na 48 weken is niet hetzelfde als na 80 weken; veel curven vlakken pas laat af.</w:t>
      </w:r>
    </w:p>
    <w:p>
      <w:pPr>
        <w:numPr>
          <w:ilvl w:val="0"/>
          <w:numId w:val="1324"/>
        </w:numPr>
        <w:pStyle w:val="Compact"/>
      </w:pPr>
      <w:r>
        <w:rPr>
          <w:bCs/>
          <w:b/>
        </w:rPr>
        <w:t xml:space="preserve">Verschillende analyse:</w:t>
      </w:r>
      <w:r>
        <w:t xml:space="preserve"> </w:t>
      </w:r>
      <w:r>
        <w:t xml:space="preserve">sommige studies analyseren alle deelnemers, ook als zij met de behandeling zijn gestopt (de zogenoemde behandelstrategie- of „treatment policy”-schatter). Andere rekenen alsof iedereen het geneesmiddel volgens plan heeft genomen. De tweede variant levert gunstigere cijfers op.</w:t>
      </w:r>
    </w:p>
    <w:p>
      <w:pPr>
        <w:numPr>
          <w:ilvl w:val="0"/>
          <w:numId w:val="1324"/>
        </w:numPr>
        <w:pStyle w:val="Compact"/>
      </w:pPr>
      <w:r>
        <w:rPr>
          <w:bCs/>
          <w:b/>
        </w:rPr>
        <w:t xml:space="preserve">Verschillende placebogroepen:</w:t>
      </w:r>
      <w:r>
        <w:t xml:space="preserve"> </w:t>
      </w:r>
      <w:r>
        <w:t xml:space="preserve">met placebo verloren de deelnemers, afhankelijk van de studie, tussen niets en meer dan 5% van hun gewicht, afhankelijk van hoe intensief de begeleidende voedings- en beweegadvisering was.</w:t>
      </w:r>
    </w:p>
    <w:p>
      <w:pPr>
        <w:numPr>
          <w:ilvl w:val="0"/>
          <w:numId w:val="1324"/>
        </w:numPr>
        <w:pStyle w:val="Compact"/>
      </w:pPr>
      <w:r>
        <w:rPr>
          <w:bCs/>
          <w:b/>
        </w:rPr>
        <w:t xml:space="preserve">Verschillende fasen:</w:t>
      </w:r>
      <w:r>
        <w:t xml:space="preserve"> </w:t>
      </w:r>
      <w:r>
        <w:t xml:space="preserve">resultaten uit kleine fase 2-studies vallen vaak gunstiger uit dan de latere grote fase 3-studies.</w:t>
      </w:r>
    </w:p>
    <w:p>
      <w:pPr>
        <w:pStyle w:val="FirstParagraph"/>
      </w:pPr>
      <w:r>
        <w:t xml:space="preserve">Een vergelijking is alleen betrouwbaar als twee werkzame stoffen in</w:t>
      </w:r>
      <w:r>
        <w:t xml:space="preserve"> </w:t>
      </w:r>
      <w:r>
        <w:rPr>
          <w:iCs/>
          <w:i/>
        </w:rPr>
        <w:t xml:space="preserve">dezelfde</w:t>
      </w:r>
      <w:r>
        <w:t xml:space="preserve"> </w:t>
      </w:r>
      <w:r>
        <w:t xml:space="preserve">studie willekeurig werden toegewezen. Zulke directe vergelijkingen zijn aan het einde van dit hoofdstuk samengebracht. De overige tabellen tonen ordes van grootte, geen rangorde.</w:t>
      </w:r>
    </w:p>
    <w:bookmarkEnd w:id="2538"/>
    <w:bookmarkStart w:id="2545" w:name="gewichtsverlies-in-de-registratiestudies"/>
    <w:p>
      <w:pPr>
        <w:pStyle w:val="Heading3"/>
      </w:pPr>
      <w:r>
        <w:t xml:space="preserve">Gewichtsverlies in de registratiestudies</w:t>
      </w:r>
    </w:p>
    <w:p>
      <w:pPr>
        <w:pStyle w:val="FirstParagraph"/>
      </w:pPr>
      <w:r>
        <w:t xml:space="preserve">De volgende tabel toont telkens de belangrijkste placebogecontroleerde studie bij volwassenen met overgewicht of obesitas</w:t>
      </w:r>
      <w:r>
        <w:t xml:space="preserve"> </w:t>
      </w:r>
      <w:r>
        <w:rPr>
          <w:iCs/>
          <w:i/>
        </w:rPr>
        <w:t xml:space="preserve">zonder</w:t>
      </w:r>
      <w:r>
        <w:t xml:space="preserve"> </w:t>
      </w:r>
      <w:r>
        <w:t xml:space="preserve">diabetes. Weergegeven is de gemiddelde verandering van het lichaamsgewicht bij de hoogste onderzochte dosis ten opzichte van placebo. Exenatide, dulaglutide en pramlintide zijn niet geregistreerd voor gewichtsvermindering en ontbreken daarom.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weken</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weken</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weken</w:t>
            </w:r>
          </w:p>
        </w:tc>
        <w:tc>
          <w:tcPr/>
          <w:p>
            <w:pPr>
              <w:pStyle w:val="Compact"/>
              <w:jc w:val="left"/>
            </w:pPr>
            <w:r>
              <w:t xml:space="preserve">−18,7% vs. −3,9%</w:t>
            </w:r>
          </w:p>
        </w:tc>
      </w:tr>
      <w:tr>
        <w:tc>
          <w:tcPr/>
          <w:p>
            <w:pPr>
              <w:pStyle w:val="Compact"/>
              <w:jc w:val="left"/>
            </w:pPr>
            <w:r>
              <w:t xml:space="preserve">Semaglutide-tablet 50 mg</w:t>
            </w:r>
          </w:p>
        </w:tc>
        <w:tc>
          <w:tcPr/>
          <w:p>
            <w:pPr>
              <w:pStyle w:val="Compact"/>
              <w:jc w:val="left"/>
            </w:pPr>
            <w:r>
              <w:t xml:space="preserve">OASIS 1 (Knop 2023), PMID 37385278</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weken</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weken</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weken</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weken</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weken</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−12,3 tot −16,2% vs. −2,5%</w:t>
            </w:r>
          </w:p>
        </w:tc>
      </w:tr>
      <w:tr>
        <w:tc>
          <w:tcPr/>
          <w:p>
            <w:pPr>
              <w:pStyle w:val="Compact"/>
              <w:jc w:val="left"/>
            </w:pPr>
            <w:r>
              <w:t xml:space="preserve">Amycretine (injectie)</w:t>
            </w:r>
          </w:p>
        </w:tc>
        <w:tc>
          <w:tcPr/>
          <w:p>
            <w:pPr>
              <w:pStyle w:val="Compact"/>
              <w:jc w:val="left"/>
            </w:pPr>
            <w:r>
              <w:t xml:space="preserve">Fase 1b/2a (Dahl 2025), PMID 40550231</w:t>
            </w:r>
          </w:p>
        </w:tc>
        <w:tc>
          <w:tcPr/>
          <w:p>
            <w:pPr>
              <w:pStyle w:val="Compact"/>
              <w:jc w:val="left"/>
            </w:pPr>
            <w:r>
              <w:t xml:space="preserve">36 weken</w:t>
            </w:r>
          </w:p>
        </w:tc>
        <w:tc>
          <w:tcPr/>
          <w:p>
            <w:pPr>
              <w:pStyle w:val="Compact"/>
              <w:jc w:val="left"/>
            </w:pPr>
            <w:r>
              <w:t xml:space="preserve">tot −24,3% vs. −1,1%</w:t>
            </w:r>
          </w:p>
        </w:tc>
      </w:tr>
      <w:tr>
        <w:tc>
          <w:tcPr/>
          <w:p>
            <w:pPr>
              <w:pStyle w:val="Compact"/>
              <w:jc w:val="left"/>
            </w:pPr>
            <w:r>
              <w:t xml:space="preserve">Orforglipron 36 mg (tablet, geen peptide)</w:t>
            </w:r>
          </w:p>
        </w:tc>
        <w:tc>
          <w:tcPr/>
          <w:p>
            <w:pPr>
              <w:pStyle w:val="Compact"/>
              <w:jc w:val="left"/>
            </w:pPr>
            <w:r>
              <w:t xml:space="preserve">ATTAIN-1 (Wharton 2025), PMID 40960239</w:t>
            </w:r>
          </w:p>
        </w:tc>
        <w:tc>
          <w:tcPr/>
          <w:p>
            <w:pPr>
              <w:pStyle w:val="Compact"/>
              <w:jc w:val="left"/>
            </w:pPr>
            <w:r>
              <w:t xml:space="preserve">72 weken</w:t>
            </w:r>
          </w:p>
        </w:tc>
        <w:tc>
          <w:tcPr/>
          <w:p>
            <w:pPr>
              <w:pStyle w:val="Compact"/>
              <w:jc w:val="left"/>
            </w:pPr>
            <w:r>
              <w:t xml:space="preserve">−11,2% vs. −2,1%</w:t>
            </w:r>
          </w:p>
        </w:tc>
      </w:tr>
    </w:tbl>
    <w:p>
      <w:pPr>
        <w:pStyle w:val="BodyText"/>
      </w:pPr>
      <w:r>
        <w:t xml:space="preserve">Ter duiding van de afzonderlijke rijen:</w:t>
      </w:r>
    </w:p>
    <w:p>
      <w:pPr>
        <w:numPr>
          <w:ilvl w:val="0"/>
          <w:numId w:val="1325"/>
        </w:numPr>
        <w:pStyle w:val="Compact"/>
      </w:pPr>
      <w:r>
        <w:rPr>
          <w:bCs/>
          <w:b/>
        </w:rPr>
        <w:t xml:space="preserve">Liraglutide</w:t>
      </w:r>
      <w:r>
        <w:t xml:space="preserve"> </w:t>
      </w:r>
      <w:r>
        <w:t xml:space="preserve">is de enige werkzame stof waarvoor de registratiestudie het verlies in kilogram als hoofdresultaat vermeldt; bij een uitgangsgewicht van 106,2 kg komt dat grofweg overeen met 8%. In de directe vergelijkende studie STEP 8 was het −6,4% (zie hieronder).</w:t>
      </w:r>
    </w:p>
    <w:p>
      <w:pPr>
        <w:numPr>
          <w:ilvl w:val="0"/>
          <w:numId w:val="1325"/>
        </w:numPr>
        <w:pStyle w:val="Compact"/>
      </w:pPr>
      <w:r>
        <w:rPr>
          <w:bCs/>
          <w:b/>
        </w:rPr>
        <w:t xml:space="preserve">Retatrutide, CagriSema, survodutide, maridebart cafraglutide en amycretine</w:t>
      </w:r>
      <w:r>
        <w:t xml:space="preserve"> </w:t>
      </w:r>
      <w:r>
        <w:t xml:space="preserve">zijn niet geregistreerd (stand oktober 2026). Voor maridebart cafraglutide en amycretine zijn alleen fase 2-gegevens beschikbaar; de amycretinestudie omvatte 125 personen, en de waarde geldt voor de hoogste dosis van een dosisbepalingsstudie.</w:t>
      </w:r>
    </w:p>
    <w:p>
      <w:pPr>
        <w:numPr>
          <w:ilvl w:val="0"/>
          <w:numId w:val="1325"/>
        </w:numPr>
        <w:pStyle w:val="Compact"/>
      </w:pPr>
      <w:r>
        <w:rPr>
          <w:bCs/>
          <w:b/>
        </w:rPr>
        <w:t xml:space="preserve">Mazdutide</w:t>
      </w:r>
      <w:r>
        <w:t xml:space="preserve"> </w:t>
      </w:r>
      <w:r>
        <w:t xml:space="preserve">is alleen in China geregistreerd. GLORY-1 nam volgens Chinese criteria mensen op vanaf een BMI van 28 (of 24 met bijkomende aandoening); het gemiddelde uitgangsgewicht was 87,2 kg. In GLORY-2 met een hogere dosis was het na 60 weken −16,65% tegenover −1,50%</w:t>
      </w:r>
      <w:r>
        <w:rPr>
          <w:rStyle w:val="FootnoteReference"/>
        </w:rPr>
        <w:footnoteReference w:id="2539"/>
      </w:r>
      <w:r>
        <w:t xml:space="preserve">.</w:t>
      </w:r>
    </w:p>
    <w:p>
      <w:pPr>
        <w:numPr>
          <w:ilvl w:val="0"/>
          <w:numId w:val="1325"/>
        </w:numPr>
        <w:pStyle w:val="Compact"/>
      </w:pPr>
      <w:r>
        <w:rPr>
          <w:bCs/>
          <w:b/>
        </w:rPr>
        <w:t xml:space="preserve">Survodutide</w:t>
      </w:r>
      <w:r>
        <w:t xml:space="preserve"> </w:t>
      </w:r>
      <w:r>
        <w:t xml:space="preserve">valt op door de hoge afname in de placebogroep van 5,4%; de hoofdanalyse hield uitdrukkelijk ook rekening met stoppers en verlengde opbouw van de dosis.</w:t>
      </w:r>
    </w:p>
    <w:p>
      <w:pPr>
        <w:pStyle w:val="FirstParagraph"/>
      </w:pPr>
      <w:r>
        <w:t xml:space="preserve">Opvallend is een trapsgewijze volgorde: zuivere GLP-1-agonisten bereiken gemiddeld ongeveer 8 tot 15%, de hogere semaglutidedosis bijna 19%, combinaties met GIP of amyline rond 20%, de drievoudige agonist retatrutide 25%. Deze volgorde wordt ondersteund door de directe vergelijkingen SURMOUNT-5, STEP 8 en REDEFINE 5; voor retatrutide moet de directe vergelijking met tirzepatide nog volgen</w:t>
      </w:r>
      <w:r>
        <w:rPr>
          <w:rStyle w:val="FootnoteReference"/>
        </w:rPr>
        <w:footnoteReference w:id="2540"/>
      </w:r>
      <w:r>
        <w:t xml:space="preserve">.</w:t>
      </w:r>
    </w:p>
    <w:bookmarkStart w:id="2541" w:name="X4cd36a84efe674daf9387f6c5dd1f0b8bbeced0"/>
    <w:p>
      <w:pPr>
        <w:pStyle w:val="Heading4"/>
      </w:pPr>
      <w:r>
        <w:t xml:space="preserve">Met diabetes type 2 valt het gewichtsverlies lager uit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weken</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weken</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weken</w:t>
            </w:r>
          </w:p>
        </w:tc>
        <w:tc>
          <w:tcPr/>
          <w:p>
            <w:pPr>
              <w:pStyle w:val="Compact"/>
              <w:jc w:val="left"/>
            </w:pPr>
            <w:r>
              <w:t xml:space="preserve">−5,1 tot −9,6% vs. −2,5%</w:t>
            </w:r>
          </w:p>
        </w:tc>
      </w:tr>
    </w:tbl>
    <w:p>
      <w:pPr>
        <w:pStyle w:val="BodyText"/>
      </w:pPr>
      <w:r>
        <w:t xml:space="preserve">Bij elke werkzame stof ligt de waarde met diabetes duidelijk lager dan zonder, meestal met een kwart tot een derde. Dit patroon is zo constant dat een vergelijking van een diabetesstudie met een obesitasstudie zonder diabetes altijd misleidend is.</w:t>
      </w:r>
    </w:p>
    <w:bookmarkEnd w:id="2541"/>
    <w:bookmarkStart w:id="2544" w:name="na-het-stoppen"/>
    <w:p>
      <w:pPr>
        <w:pStyle w:val="Heading4"/>
      </w:pPr>
      <w:r>
        <w:t xml:space="preserve">Na het stoppen</w:t>
      </w:r>
    </w:p>
    <w:p>
      <w:pPr>
        <w:pStyle w:val="FirstParagraph"/>
      </w:pPr>
      <w:r>
        <w:t xml:space="preserve">Twee studies hebben gericht onderzocht wat er na het stoppen gebeurt. In STEP 4 kregen alle deelnemers eerst 20 weken semaglutide; daarna kwam de groep die overstapte op placebo in 48 weken 6,9% aan, terwijl de groep met semaglutide nog eens 7,9% verloor</w:t>
      </w:r>
      <w:r>
        <w:rPr>
          <w:rStyle w:val="FootnoteReference"/>
        </w:rPr>
        <w:footnoteReference w:id="2542"/>
      </w:r>
      <w:r>
        <w:t xml:space="preserve">. In SURMOUNT-4 kwam de placebogroep na 36 weken tirzepatide in de daaropvolgende 52 weken 14,0% aan</w:t>
      </w:r>
      <w:r>
        <w:rPr>
          <w:rStyle w:val="FootnoteReference"/>
        </w:rPr>
        <w:footnoteReference w:id="2543"/>
      </w:r>
      <w:r>
        <w:t xml:space="preserve">. Voor beide werkzame stoffen geldt: het effect houdt alleen aan zolang er behandeld wordt. Voor de nieuwere werkzame stoffen zijn hierover nog geen gepubliceerde gegevens.</w:t>
      </w:r>
    </w:p>
    <w:bookmarkEnd w:id="2544"/>
    <w:bookmarkEnd w:id="2545"/>
    <w:bookmarkStart w:id="2547" w:name="bloedsuiker-hba1c"/>
    <w:p>
      <w:pPr>
        <w:pStyle w:val="Heading3"/>
      </w:pPr>
      <w:r>
        <w:t xml:space="preserve">Bloedsuiker: HbA1c</w:t>
      </w:r>
    </w:p>
    <w:p>
      <w:pPr>
        <w:pStyle w:val="FirstParagraph"/>
      </w:pPr>
      <w:r>
        <w:t xml:space="preserve">De HbA1c-waarde („lange-termijnsuiker”) geeft aan welk deel van de rode bloedkleurstof met suiker beladen is, en weerspiegelt de gemiddelde bloedsuiker van de afgelopen twee tot drie maanden. Een daling met één procentpunt geldt als klinisch betekenisvol. Hoe sterk de waarde daalt, hangt sterk af van de uitgangswaarde: wie met 9% begint, kan meer verliezen dan iemand met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HbA1c-verandering (procentpunten)</w:t>
            </w:r>
          </w:p>
        </w:tc>
      </w:tr>
      <w:tr>
        <w:tc>
          <w:tcPr/>
          <w:p>
            <w:pPr>
              <w:pStyle w:val="Compact"/>
              <w:jc w:val="left"/>
            </w:pPr>
            <w:r>
              <w:t xml:space="preserve">Exenatide tweemaal daags</w:t>
            </w:r>
          </w:p>
        </w:tc>
        <w:tc>
          <w:tcPr/>
          <w:p>
            <w:pPr>
              <w:pStyle w:val="Compact"/>
              <w:jc w:val="left"/>
            </w:pPr>
            <w:r>
              <w:t xml:space="preserve">DeFronzo 2005, PMID 15855572</w:t>
            </w:r>
          </w:p>
        </w:tc>
        <w:tc>
          <w:tcPr/>
          <w:p>
            <w:pPr>
              <w:pStyle w:val="Compact"/>
              <w:jc w:val="left"/>
            </w:pPr>
            <w:r>
              <w:t xml:space="preserve">30 weken</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weken</w:t>
            </w:r>
          </w:p>
        </w:tc>
        <w:tc>
          <w:tcPr/>
          <w:p>
            <w:pPr>
              <w:pStyle w:val="Compact"/>
              <w:jc w:val="left"/>
            </w:pPr>
            <w:r>
              <w:t xml:space="preserve">−0,62 (bovenop 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weken</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weken</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weken</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weken</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weken</w:t>
            </w:r>
          </w:p>
        </w:tc>
        <w:tc>
          <w:tcPr/>
          <w:p>
            <w:pPr>
              <w:pStyle w:val="Compact"/>
              <w:jc w:val="left"/>
            </w:pPr>
            <w:r>
              <w:t xml:space="preserve">−1,87 tot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weken</w:t>
            </w:r>
          </w:p>
        </w:tc>
        <w:tc>
          <w:tcPr/>
          <w:p>
            <w:pPr>
              <w:pStyle w:val="Compact"/>
              <w:jc w:val="left"/>
            </w:pPr>
            <w:r>
              <w:t xml:space="preserve">−1,69 tot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weken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weken</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 tot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weken</w:t>
            </w:r>
          </w:p>
        </w:tc>
        <w:tc>
          <w:tcPr/>
          <w:p>
            <w:pPr>
              <w:pStyle w:val="Compact"/>
              <w:jc w:val="left"/>
            </w:pPr>
            <w:r>
              <w:t xml:space="preserve">−1,24 tot −1,48 vs. −0,41 (placebo)</w:t>
            </w:r>
          </w:p>
        </w:tc>
      </w:tr>
    </w:tbl>
    <w:p>
      <w:pPr>
        <w:pStyle w:val="BodyText"/>
      </w:pPr>
      <w:r>
        <w:t xml:space="preserve">De oudere werkzame stoffen exenatide en pramlintide verlagen de HbA1c-waarde met minder dan één procentpunt, de wekelijkse GLP-1-agonisten met ongeveer 1,5 punt, tirzepatide en de nieuwere meervoudige agonisten met rond 2 punten. Bij de bloedsuiker zijn de verschillen tussen de nieuwere werkzame stoffen kleiner dan bij het gewicht. Bijzonder duidelijk blijkt dat uit REIMAGINE 2: daar verlaagde CagriSema de HbA1c-waarde slechts 0,16 procentpunt sterker dan semaglutide 2,4 mg alleen (−1,91 vs. −1,75; Buse 2026, PMID 42251859). De toevoeging van amyline werkt dus vooral op het gewicht.</w:t>
      </w:r>
    </w:p>
    <w:p>
      <w:pPr>
        <w:pStyle w:val="BodyText"/>
      </w:pPr>
      <w:r>
        <w:t xml:space="preserve">Een belangrijk verschil betreft hypoglykemie (te lage bloedsuiker). Omdat GLP-1 de insulineafgifte alleen bij verhoogde bloedsuiker versterkt, is hypoglykemie met deze geneesmiddelen alleen zeldzaam. Ze komt vaker voor als tegelijk insuline of sulfonylureumderivaten worden gebruikt. Bij pramlintide, dat alleen als aanvulling op maaltijdinsuline wordt gebruikt, is ernstige hypoglykemie het belangrijkste risico</w:t>
      </w:r>
      <w:r>
        <w:rPr>
          <w:rStyle w:val="FootnoteReference"/>
        </w:rPr>
        <w:footnoteReference w:id="2546"/>
      </w:r>
      <w:r>
        <w:t xml:space="preserve">.</w:t>
      </w:r>
    </w:p>
    <w:bookmarkEnd w:id="2547"/>
    <w:bookmarkStart w:id="2555" w:name="cardiovasculaire-eindpuntstudies"/>
    <w:p>
      <w:pPr>
        <w:pStyle w:val="Heading3"/>
      </w:pPr>
      <w:r>
        <w:t xml:space="preserve">Cardiovasculaire eindpuntstudies</w:t>
      </w:r>
    </w:p>
    <w:p>
      <w:pPr>
        <w:pStyle w:val="FirstParagraph"/>
      </w:pPr>
      <w:r>
        <w:t xml:space="preserve">Eindpuntstudies meten geen laboratoriumwaarden, maar gebeurtenissen die voor patiënten tellen: cardiovasculaire sterfte, hartinfarct en beroerte, samengevat als „MACE” (major adverse cardiovascular events). De hazard ratio (HR) geeft aan hoe hoog het risico was in vergelijking met de controlegroep; 0,80 betekent een 20% lager relatief risico.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(werkzame stof)</w:t>
            </w:r>
          </w:p>
        </w:tc>
        <w:tc>
          <w:tcPr/>
          <w:p>
            <w:pPr>
              <w:pStyle w:val="Compact"/>
              <w:jc w:val="left"/>
            </w:pPr>
            <w:r>
              <w:t xml:space="preserve">Deelnemers</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(liraglutide; Marso 2016), PMID 27295427</w:t>
            </w:r>
          </w:p>
        </w:tc>
        <w:tc>
          <w:tcPr/>
          <w:p>
            <w:pPr>
              <w:pStyle w:val="Compact"/>
              <w:jc w:val="left"/>
            </w:pPr>
            <w:r>
              <w:t xml:space="preserve">9.340 met diabetes type 2 en hoog risico</w:t>
            </w:r>
          </w:p>
        </w:tc>
        <w:tc>
          <w:tcPr/>
          <w:p>
            <w:pPr>
              <w:pStyle w:val="Compact"/>
              <w:jc w:val="left"/>
            </w:pPr>
            <w:r>
              <w:t xml:space="preserve">mediaan 3,8 jaar</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met diabetes type 2 en hoog risico</w:t>
            </w:r>
          </w:p>
        </w:tc>
        <w:tc>
          <w:tcPr/>
          <w:p>
            <w:pPr>
              <w:pStyle w:val="Compact"/>
              <w:jc w:val="left"/>
            </w:pPr>
            <w:r>
              <w:t xml:space="preserve">104 weken</w:t>
            </w:r>
          </w:p>
        </w:tc>
        <w:tc>
          <w:tcPr/>
          <w:p>
            <w:pPr>
              <w:pStyle w:val="Compact"/>
              <w:jc w:val="left"/>
            </w:pPr>
            <w:r>
              <w:t xml:space="preserve">6,6% vs. 8,9%; HR 0,74</w:t>
            </w:r>
          </w:p>
        </w:tc>
      </w:tr>
      <w:tr>
        <w:tc>
          <w:tcPr/>
          <w:p>
            <w:pPr>
              <w:pStyle w:val="Compact"/>
              <w:jc w:val="left"/>
            </w:pPr>
            <w:r>
              <w:t xml:space="preserve">PIONEER 6 (semaglutide-tablet; Husain 2019), PMID 31185157</w:t>
            </w:r>
          </w:p>
        </w:tc>
        <w:tc>
          <w:tcPr/>
          <w:p>
            <w:pPr>
              <w:pStyle w:val="Compact"/>
              <w:jc w:val="left"/>
            </w:pPr>
            <w:r>
              <w:t xml:space="preserve">3.183 met diabetes type 2 en hoog risico</w:t>
            </w:r>
          </w:p>
        </w:tc>
        <w:tc>
          <w:tcPr/>
          <w:p>
            <w:pPr>
              <w:pStyle w:val="Compact"/>
              <w:jc w:val="left"/>
            </w:pPr>
            <w:r>
              <w:t xml:space="preserve">mediaan 15,9 maanden</w:t>
            </w:r>
          </w:p>
        </w:tc>
        <w:tc>
          <w:tcPr/>
          <w:p>
            <w:pPr>
              <w:pStyle w:val="Compact"/>
              <w:jc w:val="left"/>
            </w:pPr>
            <w:r>
              <w:t xml:space="preserve">3,8% vs. 4,8%; HR 0,79, alleen non-inferioriteit aangetoond</w:t>
            </w:r>
          </w:p>
        </w:tc>
      </w:tr>
      <w:tr>
        <w:tc>
          <w:tcPr/>
          <w:p>
            <w:pPr>
              <w:pStyle w:val="Compact"/>
              <w:jc w:val="left"/>
            </w:pPr>
            <w:r>
              <w:t xml:space="preserve">SOUL (semaglutide-tablet; McGuire 2025), PMID 40162642</w:t>
            </w:r>
          </w:p>
        </w:tc>
        <w:tc>
          <w:tcPr/>
          <w:p>
            <w:pPr>
              <w:pStyle w:val="Compact"/>
              <w:jc w:val="left"/>
            </w:pPr>
            <w:r>
              <w:t xml:space="preserve">9.650 met diabetes type 2 en vaat- of nierziekte</w:t>
            </w:r>
          </w:p>
        </w:tc>
        <w:tc>
          <w:tcPr/>
          <w:p>
            <w:pPr>
              <w:pStyle w:val="Compact"/>
              <w:jc w:val="left"/>
            </w:pPr>
            <w:r>
              <w:t xml:space="preserve">mediaan 49,5 maanden</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met overgewicht en hart- en vaatziekte, zonder diabetes</w:t>
            </w:r>
          </w:p>
        </w:tc>
        <w:tc>
          <w:tcPr/>
          <w:p>
            <w:pPr>
              <w:pStyle w:val="Compact"/>
              <w:jc w:val="left"/>
            </w:pPr>
            <w:r>
              <w:t xml:space="preserve">gemiddeld 39,8 maanden</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met diabetes type 2, met of zonder eerdere hart- en vaatziekte</w:t>
            </w:r>
          </w:p>
        </w:tc>
        <w:tc>
          <w:tcPr/>
          <w:p>
            <w:pPr>
              <w:pStyle w:val="Compact"/>
              <w:jc w:val="left"/>
            </w:pPr>
            <w:r>
              <w:t xml:space="preserve">mediaan 5,4 jaar</w:t>
            </w:r>
          </w:p>
        </w:tc>
        <w:tc>
          <w:tcPr/>
          <w:p>
            <w:pPr>
              <w:pStyle w:val="Compact"/>
              <w:jc w:val="left"/>
            </w:pPr>
            <w:r>
              <w:t xml:space="preserve">12,0% vs. 13,4%; HR 0,88</w:t>
            </w:r>
          </w:p>
        </w:tc>
      </w:tr>
      <w:tr>
        <w:tc>
          <w:tcPr/>
          <w:p>
            <w:pPr>
              <w:pStyle w:val="Compact"/>
              <w:jc w:val="left"/>
            </w:pPr>
            <w:r>
              <w:t xml:space="preserve">EXSCEL (exenatide wekelijks; Holman 2017), PMID 28910237</w:t>
            </w:r>
          </w:p>
        </w:tc>
        <w:tc>
          <w:tcPr/>
          <w:p>
            <w:pPr>
              <w:pStyle w:val="Compact"/>
              <w:jc w:val="left"/>
            </w:pPr>
            <w:r>
              <w:t xml:space="preserve">14.752 met diabetes type 2</w:t>
            </w:r>
          </w:p>
        </w:tc>
        <w:tc>
          <w:tcPr/>
          <w:p>
            <w:pPr>
              <w:pStyle w:val="Compact"/>
              <w:jc w:val="left"/>
            </w:pPr>
            <w:r>
              <w:t xml:space="preserve">mediaan 3,2 jaar</w:t>
            </w:r>
          </w:p>
        </w:tc>
        <w:tc>
          <w:tcPr/>
          <w:p>
            <w:pPr>
              <w:pStyle w:val="Compact"/>
              <w:jc w:val="left"/>
            </w:pPr>
            <w:r>
              <w:t xml:space="preserve">11,4% vs. 12,2%; HR 0,91, superioriteit nipt niet bereikt</w:t>
            </w:r>
          </w:p>
        </w:tc>
      </w:tr>
      <w:tr>
        <w:tc>
          <w:tcPr/>
          <w:p>
            <w:pPr>
              <w:pStyle w:val="Compact"/>
              <w:jc w:val="left"/>
            </w:pPr>
            <w:r>
              <w:t xml:space="preserve">SURPASS-CVOT (tirzepatide tegen dulaglutide; Nicholls 2025), PMID 41406444</w:t>
            </w:r>
          </w:p>
        </w:tc>
        <w:tc>
          <w:tcPr/>
          <w:p>
            <w:pPr>
              <w:pStyle w:val="Compact"/>
              <w:jc w:val="left"/>
            </w:pPr>
            <w:r>
              <w:t xml:space="preserve">13.165 met diabetes type 2 en vaatziekte</w:t>
            </w:r>
          </w:p>
        </w:tc>
        <w:tc>
          <w:tcPr/>
          <w:p>
            <w:pPr>
              <w:pStyle w:val="Compact"/>
              <w:jc w:val="left"/>
            </w:pPr>
            <w:r>
              <w:t xml:space="preserve">meerdere jaren</w:t>
            </w:r>
          </w:p>
        </w:tc>
        <w:tc>
          <w:tcPr/>
          <w:p>
            <w:pPr>
              <w:pStyle w:val="Compact"/>
              <w:jc w:val="left"/>
            </w:pPr>
            <w:r>
              <w:t xml:space="preserve">12,2% vs. 13,1%; HR 0,92, niet inferieur</w:t>
            </w:r>
          </w:p>
        </w:tc>
      </w:tr>
      <w:tr>
        <w:tc>
          <w:tcPr/>
          <w:p>
            <w:pPr>
              <w:pStyle w:val="Compact"/>
              <w:jc w:val="left"/>
            </w:pPr>
            <w:r>
              <w:t xml:space="preserve">ACHIEVE-4 (orforglipron tegen insuline glargine; Klein 2026), PMID 42815506</w:t>
            </w:r>
          </w:p>
        </w:tc>
        <w:tc>
          <w:tcPr/>
          <w:p>
            <w:pPr>
              <w:pStyle w:val="Compact"/>
              <w:jc w:val="left"/>
            </w:pPr>
            <w:r>
              <w:t xml:space="preserve">2.749 met diabetes type 2 en hoog risico</w:t>
            </w:r>
          </w:p>
        </w:tc>
        <w:tc>
          <w:tcPr/>
          <w:p>
            <w:pPr>
              <w:pStyle w:val="Compact"/>
              <w:jc w:val="left"/>
            </w:pPr>
            <w:r>
              <w:t xml:space="preserve">mediaan 2 jaar</w:t>
            </w:r>
          </w:p>
        </w:tc>
        <w:tc>
          <w:tcPr/>
          <w:p>
            <w:pPr>
              <w:pStyle w:val="Compact"/>
              <w:jc w:val="left"/>
            </w:pPr>
            <w:r>
              <w:t xml:space="preserve">4,2% vs. 5,0% (MACE-4), niet inferieur</w:t>
            </w:r>
          </w:p>
        </w:tc>
      </w:tr>
    </w:tbl>
    <w:p>
      <w:pPr>
        <w:pStyle w:val="BodyText"/>
      </w:pPr>
      <w:r>
        <w:t xml:space="preserve">Wat deze tabel laat zien:</w:t>
      </w:r>
    </w:p>
    <w:p>
      <w:pPr>
        <w:numPr>
          <w:ilvl w:val="0"/>
          <w:numId w:val="1326"/>
        </w:numPr>
        <w:pStyle w:val="Compact"/>
      </w:pPr>
      <w:r>
        <w:rPr>
          <w:bCs/>
          <w:b/>
        </w:rPr>
        <w:t xml:space="preserve">De klasse verlaagt het risico.</w:t>
      </w:r>
      <w:r>
        <w:t xml:space="preserve"> </w:t>
      </w:r>
      <w:r>
        <w:t xml:space="preserve">Een meta-analyse van zeven placebogecontroleerde eindpuntstudies met samen 56.004 deelnemers vond voor GLP-1-receptoragonisten bij diabetes type 2 12% minder ernstige cardiovasculaire gebeurtenissen (HR 0,88), 12% minder sterfgevallen door alle oorzaken en 9% minder ziekenhuisopnamen wegens hartfalen, zonder betekenisvolle verschillen tussen de subgroepen</w:t>
      </w:r>
      <w:r>
        <w:rPr>
          <w:rStyle w:val="FootnoteReference"/>
        </w:rPr>
        <w:footnoteReference w:id="2548"/>
      </w:r>
      <w:r>
        <w:t xml:space="preserve">. In deze meta-analyse waren ook twee werkzame stoffen opgenomen die in dit boek niet worden besproken.</w:t>
      </w:r>
    </w:p>
    <w:p>
      <w:pPr>
        <w:numPr>
          <w:ilvl w:val="0"/>
          <w:numId w:val="1326"/>
        </w:numPr>
        <w:pStyle w:val="Compact"/>
      </w:pPr>
      <w:r>
        <w:rPr>
          <w:bCs/>
          <w:b/>
        </w:rPr>
        <w:t xml:space="preserve">Verschillen tussen de werkzame stoffen zijn onzeker.</w:t>
      </w:r>
      <w:r>
        <w:t xml:space="preserve"> </w:t>
      </w:r>
      <w:r>
        <w:t xml:space="preserve">Exenatide lag in EXSCEL aan de zwakkere kant; als verklaringen worden het molecuul zelf, het hoge uitvalpercentage en de pragmatische studieopzet besproken. Een exenatide-pompimplantaat (FREEDOM-CVO) voldeed alleen aan het veiligheidscriterium (HR 1,21; Ruff 2022, PMID 34873344).</w:t>
      </w:r>
    </w:p>
    <w:p>
      <w:pPr>
        <w:numPr>
          <w:ilvl w:val="0"/>
          <w:numId w:val="1326"/>
        </w:numPr>
        <w:pStyle w:val="Compact"/>
      </w:pPr>
      <w:r>
        <w:rPr>
          <w:bCs/>
          <w:b/>
        </w:rPr>
        <w:t xml:space="preserve">SELECT is een bijzonder geval.</w:t>
      </w:r>
      <w:r>
        <w:t xml:space="preserve"> </w:t>
      </w:r>
      <w:r>
        <w:t xml:space="preserve">Het is in dit overzicht de enige grote eindpuntstudie uitsluitend bij mensen</w:t>
      </w:r>
      <w:r>
        <w:t xml:space="preserve"> </w:t>
      </w:r>
      <w:r>
        <w:rPr>
          <w:iCs/>
          <w:i/>
        </w:rPr>
        <w:t xml:space="preserve">zonder</w:t>
      </w:r>
      <w:r>
        <w:t xml:space="preserve"> </w:t>
      </w:r>
      <w:r>
        <w:t xml:space="preserve">diabetes. In absolute getallen hadden over ruim drie jaar ongeveer 1,5 op de honderd behandelden een ernstige gebeurtenis minder.</w:t>
      </w:r>
    </w:p>
    <w:p>
      <w:pPr>
        <w:numPr>
          <w:ilvl w:val="0"/>
          <w:numId w:val="1326"/>
        </w:numPr>
        <w:pStyle w:val="Compact"/>
      </w:pPr>
      <w:r>
        <w:rPr>
          <w:bCs/>
          <w:b/>
        </w:rPr>
        <w:t xml:space="preserve">Tirzepatide werd getest tegen een werkzaam geneesmiddel.</w:t>
      </w:r>
      <w:r>
        <w:t xml:space="preserve"> </w:t>
      </w:r>
      <w:r>
        <w:t xml:space="preserve">SURPASS-CVOT vergeleek tirzepatide niet met placebo, maar met dulaglutide, dat in REWIND zelf het risico had verlaagd. Tirzepatide was niet inferieur; de formele superioriteit werd nipt niet bereikt. Hoe groot het voordeel ten opzichte van geen behandeling zou zijn, valt daaruit alleen via modelberekeningen te schatten.</w:t>
      </w:r>
    </w:p>
    <w:p>
      <w:pPr>
        <w:numPr>
          <w:ilvl w:val="0"/>
          <w:numId w:val="1326"/>
        </w:numPr>
        <w:pStyle w:val="Compact"/>
      </w:pPr>
      <w:r>
        <w:rPr>
          <w:bCs/>
          <w:b/>
        </w:rPr>
        <w:t xml:space="preserve">Hartfalen:</w:t>
      </w:r>
      <w:r>
        <w:t xml:space="preserve"> </w:t>
      </w:r>
      <w:r>
        <w:t xml:space="preserve">bij hartfalen met behouden pompfunctie en obesitas verminderde tirzepatide in SUMMIT met 731 personen het samengestelde eindpunt van cardiovasculaire sterfte of verergering van het hartfalen (9,9% vs. 15,3%; HR 0,62; Packer 2025, PMID 39555826). Het verschil berustte op minder verergeringen; sterfgevallen waren zeldzaam. In STEP-HFpEF verbeterde semaglutide klachten en loopafstand</w:t>
      </w:r>
      <w:r>
        <w:rPr>
          <w:rStyle w:val="FootnoteReference"/>
        </w:rPr>
        <w:footnoteReference w:id="2549"/>
      </w:r>
      <w:r>
        <w:t xml:space="preserve">, maar die studie was niet opgezet voor harde eindpunten.</w:t>
      </w:r>
    </w:p>
    <w:p>
      <w:pPr>
        <w:pStyle w:val="FirstParagraph"/>
      </w:pPr>
      <w:r>
        <w:rPr>
          <w:bCs/>
          <w:b/>
        </w:rPr>
        <w:t xml:space="preserve">Nog lopend (geregistreerde studies):</w:t>
      </w:r>
      <w:r>
        <w:t xml:space="preserve"> </w:t>
      </w:r>
      <w:r>
        <w:t xml:space="preserve">voor de nieuwere werkzame stoffen ontbreken eindpuntgegevens. Lopende studies zijn SURMOUNT-MMO naar tirzepatide bij obesitas zonder diabetes</w:t>
      </w:r>
      <w:r>
        <w:rPr>
          <w:rStyle w:val="FootnoteReference"/>
        </w:rPr>
        <w:footnoteReference w:id="2550"/>
      </w:r>
      <w:r>
        <w:t xml:space="preserve">, TRIUMPH-Outcomes naar retatrutide</w:t>
      </w:r>
      <w:r>
        <w:rPr>
          <w:rStyle w:val="FootnoteReference"/>
        </w:rPr>
        <w:footnoteReference w:id="2551"/>
      </w:r>
      <w:r>
        <w:t xml:space="preserve">, REDEFINE 3 naar CagriSema</w:t>
      </w:r>
      <w:r>
        <w:rPr>
          <w:rStyle w:val="FootnoteReference"/>
        </w:rPr>
        <w:footnoteReference w:id="2552"/>
      </w:r>
      <w:r>
        <w:t xml:space="preserve">, een studie naar maridebart cafraglutide</w:t>
      </w:r>
      <w:r>
        <w:rPr>
          <w:rStyle w:val="FootnoteReference"/>
        </w:rPr>
        <w:footnoteReference w:id="2553"/>
      </w:r>
      <w:r>
        <w:t xml:space="preserve"> </w:t>
      </w:r>
      <w:r>
        <w:t xml:space="preserve">en een naar orforglipron</w:t>
      </w:r>
      <w:r>
        <w:rPr>
          <w:rStyle w:val="FootnoteReference"/>
        </w:rPr>
        <w:footnoteReference w:id="2554"/>
      </w:r>
      <w:r>
        <w:t xml:space="preserve">. Tot deze resultaten beschikbaar zijn, is het open of een sterker gewichtsverlies ook tot minder hartinfarcten en beroertes leidt. Dat is een plausibele verwachting, maar geen resultaat.</w:t>
      </w:r>
    </w:p>
    <w:bookmarkEnd w:id="2555"/>
    <w:bookmarkStart w:id="2563" w:name="nieren-en-lever"/>
    <w:p>
      <w:pPr>
        <w:pStyle w:val="Heading3"/>
      </w:pPr>
      <w:r>
        <w:t xml:space="preserve">Nieren en lever</w:t>
      </w:r>
    </w:p>
    <w:p>
      <w:pPr>
        <w:pStyle w:val="FirstParagraph"/>
      </w:pPr>
      <w:r>
        <w:rPr>
          <w:bCs/>
          <w:b/>
        </w:rPr>
        <w:t xml:space="preserve">Nieren:</w:t>
      </w:r>
      <w:r>
        <w:t xml:space="preserve"> </w:t>
      </w:r>
      <w:r>
        <w:t xml:space="preserve">van de in dit boek besproken studies heeft alleen FLOW een niergebeurtenis als primair eindpunt. Bij 3.533 mensen met diabetes type 2 en chronische nierziekte verminderde semaglutide 1,0 mg ernstige niergebeurtenissen en overlijden door een renale of cardiovasculaire oorzaak met 24% (331 vs. 410 gebeurtenissen; HR 0,76). De studie werd wegens werkzaamheid voortijdig beëindigd; de totale sterfte was 20% lager</w:t>
      </w:r>
      <w:r>
        <w:rPr>
          <w:rStyle w:val="FootnoteReference"/>
        </w:rPr>
        <w:footnoteReference w:id="2556"/>
      </w:r>
      <w:r>
        <w:t xml:space="preserve">. In de oudere eindpuntstudies berustte het nierbeschermende effect daarentegen vooral op minder eiwit in de urine: in LEADER HR 0,78</w:t>
      </w:r>
      <w:r>
        <w:rPr>
          <w:rStyle w:val="FootnoteReference"/>
        </w:rPr>
        <w:footnoteReference w:id="2557"/>
      </w:r>
      <w:r>
        <w:t xml:space="preserve">, in REWIND HR 0,85</w:t>
      </w:r>
      <w:r>
        <w:rPr>
          <w:rStyle w:val="FootnoteReference"/>
        </w:rPr>
        <w:footnoteReference w:id="2558"/>
      </w:r>
      <w:r>
        <w:t xml:space="preserve">, over alle zeven studies HR 0,83</w:t>
      </w:r>
      <w:r>
        <w:rPr>
          <w:rStyle w:val="FootnoteReference"/>
        </w:rPr>
        <w:footnoteReference w:id="2559"/>
      </w:r>
      <w:r>
        <w:t xml:space="preserve">. In SOUL verschilden de bevestigende secundaire eindpunten, waaronder niergebeurtenissen, niet significant</w:t>
      </w:r>
      <w:r>
        <w:rPr>
          <w:rStyle w:val="FootnoteReference"/>
        </w:rPr>
        <w:footnoteReference w:id="2560"/>
      </w:r>
      <w:r>
        <w:t xml:space="preserve">. Bij matige tot ernstige nierziekte bleef de nierfunctie met dulaglutide beter behouden dan met insuline glargine (AWARD-7, Tuttle 2018, PMID 29910024). Voor tirzepatide en de nieuwere werkzame stoffen zijn er nog geen studies met niergebeurtenissen als primair eindpunt.</w:t>
      </w:r>
    </w:p>
    <w:p>
      <w:pPr>
        <w:pStyle w:val="BodyText"/>
      </w:pPr>
      <w:r>
        <w:rPr>
          <w:bCs/>
          <w:b/>
        </w:rPr>
        <w:t xml:space="preserve">Lever:</w:t>
      </w:r>
      <w:r>
        <w:t xml:space="preserve"> </w:t>
      </w:r>
      <w:r>
        <w:t xml:space="preserve">bij de ontstoken leververvetting MASH (vroeger NASH) zijn er weefselbiopsiestudies voor drie werkzame stoffen: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Verdwijnen van MASH zonder verergering van fibrose</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weken (tussentijdse analyse, 800 personen)</w:t>
            </w:r>
          </w:p>
        </w:tc>
        <w:tc>
          <w:tcPr/>
          <w:p>
            <w:pPr>
              <w:pStyle w:val="Compact"/>
              <w:jc w:val="left"/>
            </w:pPr>
            <w:r>
              <w:t xml:space="preserve">62,9% vs. 34,3%; minder fibrose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weken, 190 personen</w:t>
            </w:r>
          </w:p>
        </w:tc>
        <w:tc>
          <w:tcPr/>
          <w:p>
            <w:pPr>
              <w:pStyle w:val="Compact"/>
              <w:jc w:val="left"/>
            </w:pPr>
            <w:r>
              <w:t xml:space="preserve">44–62% vs. 10%; minder fibrose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weken, 293 personen</w:t>
            </w:r>
          </w:p>
        </w:tc>
        <w:tc>
          <w:tcPr/>
          <w:p>
            <w:pPr>
              <w:pStyle w:val="Compact"/>
              <w:jc w:val="left"/>
            </w:pPr>
            <w:r>
              <w:t xml:space="preserve">verbetering van MASH 43–62% vs. 14%</w:t>
            </w:r>
          </w:p>
        </w:tc>
      </w:tr>
    </w:tbl>
    <w:p>
      <w:pPr>
        <w:pStyle w:val="BodyText"/>
      </w:pPr>
      <w:r>
        <w:t xml:space="preserve">Alleen ESSENCE is een fase 3-studie; of de behandeling ook cirrose, leverfalen en sterfgevallen voorkomt, moet het tweede deel ervan over 240 weken laten zien. Voor survodutide lopen de fase 3-studies LIVERAGE</w:t>
      </w:r>
      <w:r>
        <w:rPr>
          <w:rStyle w:val="FootnoteReference"/>
        </w:rPr>
        <w:footnoteReference w:id="2561"/>
      </w:r>
      <w:r>
        <w:t xml:space="preserve"> </w:t>
      </w:r>
      <w:r>
        <w:t xml:space="preserve">en LIVERAGE-Cirrhosis</w:t>
      </w:r>
      <w:r>
        <w:rPr>
          <w:rStyle w:val="FootnoteReference"/>
        </w:rPr>
        <w:footnoteReference w:id="2562"/>
      </w:r>
      <w:r>
        <w:t xml:space="preserve">. De hogere percentages uit de fase 2-studies zijn vanwege de kleine groepen en de kortere duur niet direct vergelijkbaar met ESSENCE.</w:t>
      </w:r>
    </w:p>
    <w:bookmarkEnd w:id="2563"/>
    <w:bookmarkStart w:id="2574" w:name="bijwerkingen-en-uitvalpercentages"/>
    <w:p>
      <w:pPr>
        <w:pStyle w:val="Heading3"/>
      </w:pPr>
      <w:r>
        <w:t xml:space="preserve">Bijwerkingen en uitvalpercentages</w:t>
      </w:r>
    </w:p>
    <w:p>
      <w:pPr>
        <w:pStyle w:val="FirstParagraph"/>
      </w:pPr>
      <w:r>
        <w:t xml:space="preserve">Het bijwerkingenprofiel is in de hele klasse vergelijkbaar: misselijkheid, diarree, braken en obstipatie, vooral tijdens de stapsgewijze dosisverhoging, meestal licht tot matig en voorbijgaand. Ze zijn de meest voorkomende reden om met de behandeling te stoppen. De percentages hangen sterk af van de dosis en het tempo van de dosisopbouw en zijn tussen studies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Maag-darmklachten</w:t>
            </w:r>
          </w:p>
        </w:tc>
        <w:tc>
          <w:tcPr/>
          <w:p>
            <w:pPr>
              <w:pStyle w:val="Compact"/>
              <w:jc w:val="left"/>
            </w:pPr>
            <w:r>
              <w:t xml:space="preserve">Stoppen wegens bijwerkingen</w:t>
            </w:r>
          </w:p>
        </w:tc>
      </w:tr>
      <w:tr>
        <w:tc>
          <w:tcPr/>
          <w:p>
            <w:pPr>
              <w:pStyle w:val="Compact"/>
              <w:jc w:val="left"/>
            </w:pPr>
            <w:r>
              <w:t xml:space="preserve">Exenatide tweemaal daags</w:t>
            </w:r>
          </w:p>
        </w:tc>
        <w:tc>
          <w:tcPr/>
          <w:p>
            <w:pPr>
              <w:pStyle w:val="Compact"/>
              <w:jc w:val="left"/>
            </w:pPr>
            <w:r>
              <w:t xml:space="preserve">Heine 2005, PMID 16230722</w:t>
            </w:r>
          </w:p>
        </w:tc>
        <w:tc>
          <w:tcPr/>
          <w:p>
            <w:pPr>
              <w:pStyle w:val="Compact"/>
              <w:jc w:val="left"/>
            </w:pPr>
            <w:r>
              <w:t xml:space="preserve">misselijkheid 57,1%</w:t>
            </w:r>
          </w:p>
        </w:tc>
        <w:tc>
          <w:tcPr/>
          <w:p>
            <w:pPr>
              <w:pStyle w:val="Compact"/>
              <w:jc w:val="left"/>
            </w:pPr>
            <w:r>
              <w:t xml:space="preserve">niet vermeld in de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niet vermeld in de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het vaakst misselijkheid en diarree</w:t>
            </w:r>
          </w:p>
        </w:tc>
        <w:tc>
          <w:tcPr/>
          <w:p>
            <w:pPr>
              <w:pStyle w:val="Compact"/>
              <w:jc w:val="left"/>
            </w:pPr>
            <w:r>
              <w:t xml:space="preserve">wegens maag-darmklachten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ruim drie jaar)</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het vaakst, meestal tijdens de dosisopbouw</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niet vermeld in de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diarree 27–34%, misselijkheid 14–28% (placebo 13% resp. 8%)</w:t>
            </w:r>
          </w:p>
        </w:tc>
        <w:tc>
          <w:tcPr/>
          <w:p>
            <w:pPr>
              <w:pStyle w:val="Compact"/>
              <w:jc w:val="left"/>
            </w:pPr>
            <w:r>
              <w:t xml:space="preserve">4–12% vs. 5% (incl. sterfgevallen)</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niet vermeld in de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meest voorkomende bijwerking</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meest voorkomende bijwerking</w:t>
            </w:r>
          </w:p>
        </w:tc>
        <w:tc>
          <w:tcPr/>
          <w:p>
            <w:pPr>
              <w:pStyle w:val="Compact"/>
              <w:jc w:val="left"/>
            </w:pPr>
            <w:r>
              <w:t xml:space="preserve">5,3–10,3% vs. 2,7%</w:t>
            </w:r>
          </w:p>
        </w:tc>
      </w:tr>
    </w:tbl>
    <w:p>
      <w:pPr>
        <w:pStyle w:val="BodyText"/>
      </w:pPr>
      <w:r>
        <w:t xml:space="preserve">Enkele observaties:</w:t>
      </w:r>
    </w:p>
    <w:p>
      <w:pPr>
        <w:numPr>
          <w:ilvl w:val="0"/>
          <w:numId w:val="1327"/>
        </w:numPr>
        <w:pStyle w:val="Compact"/>
      </w:pPr>
      <w:r>
        <w:rPr>
          <w:bCs/>
          <w:b/>
        </w:rPr>
        <w:t xml:space="preserve">Weekpreparaten worden meestal beter verdragen dan oudere vormen.</w:t>
      </w:r>
      <w:r>
        <w:t xml:space="preserve"> </w:t>
      </w:r>
      <w:r>
        <w:t xml:space="preserve">In DURATION-6 had 9% met wekelijks exenatide last van misselijkheid, tegenover 21% met dagelijks liraglutide</w:t>
      </w:r>
      <w:r>
        <w:rPr>
          <w:rStyle w:val="FootnoteReference"/>
        </w:rPr>
        <w:footnoteReference w:id="2564"/>
      </w:r>
      <w:r>
        <w:t xml:space="preserve">. In STEP 8 stopte 27,6% voortijdig met liraglutide, om welke reden dan ook, tegenover 13,5% met semaglutide; maag-darmklachten kwamen in beide groepen ongeveer even vaak voor (82,7% vs. 84,1%)</w:t>
      </w:r>
      <w:r>
        <w:rPr>
          <w:rStyle w:val="FootnoteReference"/>
        </w:rPr>
        <w:footnoteReference w:id="2565"/>
      </w:r>
      <w:r>
        <w:t xml:space="preserve">.</w:t>
      </w:r>
    </w:p>
    <w:p>
      <w:pPr>
        <w:numPr>
          <w:ilvl w:val="0"/>
          <w:numId w:val="1327"/>
        </w:numPr>
        <w:pStyle w:val="Compact"/>
      </w:pPr>
      <w:r>
        <w:rPr>
          <w:bCs/>
          <w:b/>
        </w:rPr>
        <w:t xml:space="preserve">Hogere werkzaamheid gaat niet noodzakelijk gepaard met meer klachten.</w:t>
      </w:r>
      <w:r>
        <w:t xml:space="preserve"> </w:t>
      </w:r>
      <w:r>
        <w:t xml:space="preserve">In SURPASS-2 kwamen misselijkheid (17–22% vs. 18%) en braken (6–10% vs. 8%) met tirzepatide en semaglutide ongeveer even vaak voor; ernstige ongewenste voorvallen traden met tirzepatide op bij 5–7% tegenover 3%</w:t>
      </w:r>
      <w:r>
        <w:rPr>
          <w:rStyle w:val="FootnoteReference"/>
        </w:rPr>
        <w:footnoteReference w:id="2566"/>
      </w:r>
      <w:r>
        <w:t xml:space="preserve">. In REDEFINE 5 had 53% met CagriSema en 51% met semaglutide maag-darmklachten</w:t>
      </w:r>
      <w:r>
        <w:rPr>
          <w:rStyle w:val="FootnoteReference"/>
        </w:rPr>
        <w:footnoteReference w:id="2567"/>
      </w:r>
      <w:r>
        <w:t xml:space="preserve">.</w:t>
      </w:r>
    </w:p>
    <w:p>
      <w:pPr>
        <w:numPr>
          <w:ilvl w:val="0"/>
          <w:numId w:val="1327"/>
        </w:numPr>
        <w:pStyle w:val="Compact"/>
      </w:pPr>
      <w:r>
        <w:rPr>
          <w:bCs/>
          <w:b/>
        </w:rPr>
        <w:t xml:space="preserve">Bij de meervoudige agonisten neemt het stoppen bij hoge doses toe.</w:t>
      </w:r>
      <w:r>
        <w:t xml:space="preserve"> </w:t>
      </w:r>
      <w:r>
        <w:t xml:space="preserve">Met retatrutide traden bovendien abnormale huidgewaarwordingen (dysesthesie) op bij 4–7% tegenover 1% met placebo – een nieuw signaal voor deze klasse. In een Amerikaanse fase 2-studie met mazdutide stopte bij de hoogste dosis 20% wegens bijwerkingen</w:t>
      </w:r>
      <w:r>
        <w:rPr>
          <w:rStyle w:val="FootnoteReference"/>
        </w:rPr>
        <w:footnoteReference w:id="2568"/>
      </w:r>
      <w:r>
        <w:t xml:space="preserve">.</w:t>
      </w:r>
    </w:p>
    <w:p>
      <w:pPr>
        <w:numPr>
          <w:ilvl w:val="0"/>
          <w:numId w:val="1327"/>
        </w:numPr>
        <w:pStyle w:val="Compact"/>
      </w:pPr>
      <w:r>
        <w:rPr>
          <w:bCs/>
          <w:b/>
        </w:rPr>
        <w:t xml:space="preserve">Langetermijnstudies laten hogere uitvalpercentages zien dan korte studies.</w:t>
      </w:r>
      <w:r>
        <w:t xml:space="preserve"> </w:t>
      </w:r>
      <w:r>
        <w:t xml:space="preserve">De 16,6% in SELECT over meer dan drie jaar is een realistischer aanknopingspunt voor langdurige behandeling dan de waarden uit registratiestudies van 68 of 72 weken.</w:t>
      </w:r>
    </w:p>
    <w:p>
      <w:pPr>
        <w:pStyle w:val="FirstParagraph"/>
      </w:pPr>
      <w:r>
        <w:rPr>
          <w:bCs/>
          <w:b/>
        </w:rPr>
        <w:t xml:space="preserve">Klasserisico’s die alle werkzame stoffen betreffen:</w:t>
      </w:r>
    </w:p>
    <w:p>
      <w:pPr>
        <w:numPr>
          <w:ilvl w:val="0"/>
          <w:numId w:val="1328"/>
        </w:numPr>
        <w:pStyle w:val="Compact"/>
      </w:pPr>
      <w:r>
        <w:rPr>
          <w:bCs/>
          <w:b/>
        </w:rPr>
        <w:t xml:space="preserve">Galblaas:</w:t>
      </w:r>
      <w:r>
        <w:t xml:space="preserve"> </w:t>
      </w:r>
      <w:r>
        <w:t xml:space="preserve">een meta-analyse van 76 gerandomiseerde studies met 103.371 deelnemers vond een 37% verhoogd risico op aandoeningen van de galblaas en galwegen, in studies naar gewichtsverlies een meer dan twee keer zo hoog risico (relatief risico 2,29; He 2022, PMID 35344001).</w:t>
      </w:r>
    </w:p>
    <w:p>
      <w:pPr>
        <w:numPr>
          <w:ilvl w:val="0"/>
          <w:numId w:val="1328"/>
        </w:numPr>
        <w:pStyle w:val="Compact"/>
      </w:pPr>
      <w:r>
        <w:rPr>
          <w:bCs/>
          <w:b/>
        </w:rPr>
        <w:t xml:space="preserve">Alvleesklier:</w:t>
      </w:r>
      <w:r>
        <w:t xml:space="preserve"> </w:t>
      </w:r>
      <w:r>
        <w:t xml:space="preserve">in de meta-analyse van de eindpuntstudies geen verhoogd risico op pancreatitis of alvleesklierkanker</w:t>
      </w:r>
      <w:r>
        <w:rPr>
          <w:rStyle w:val="FootnoteReference"/>
        </w:rPr>
        <w:footnoteReference w:id="2569"/>
      </w:r>
      <w:r>
        <w:t xml:space="preserve">; in verzekeringsgegevens een signaal bij gebruik voor gewichtsverlies</w:t>
      </w:r>
      <w:r>
        <w:rPr>
          <w:rStyle w:val="FootnoteReference"/>
        </w:rPr>
        <w:footnoteReference w:id="2570"/>
      </w:r>
      <w:r>
        <w:t xml:space="preserve">.</w:t>
      </w:r>
    </w:p>
    <w:p>
      <w:pPr>
        <w:numPr>
          <w:ilvl w:val="0"/>
          <w:numId w:val="1328"/>
        </w:numPr>
        <w:pStyle w:val="Compact"/>
      </w:pPr>
      <w:r>
        <w:rPr>
          <w:bCs/>
          <w:b/>
        </w:rPr>
        <w:t xml:space="preserve">Schildklier:</w:t>
      </w:r>
      <w:r>
        <w:t xml:space="preserve"> </w:t>
      </w:r>
      <w:r>
        <w:t xml:space="preserve">C-celtumoren bij knaagdieren; bij de mens een signaal in meta-analyses en observationele studies</w:t>
      </w:r>
      <w:r>
        <w:rPr>
          <w:rStyle w:val="FootnoteReference"/>
        </w:rPr>
        <w:footnoteReference w:id="2571"/>
      </w:r>
      <w:r>
        <w:t xml:space="preserve">, waarvan de betekenis omstreden is.</w:t>
      </w:r>
    </w:p>
    <w:p>
      <w:pPr>
        <w:numPr>
          <w:ilvl w:val="0"/>
          <w:numId w:val="1328"/>
        </w:numPr>
        <w:pStyle w:val="Compact"/>
      </w:pPr>
      <w:r>
        <w:rPr>
          <w:bCs/>
          <w:b/>
        </w:rPr>
        <w:t xml:space="preserve">Ogen:</w:t>
      </w:r>
      <w:r>
        <w:t xml:space="preserve"> </w:t>
      </w:r>
      <w:r>
        <w:t xml:space="preserve">verergering van een bestaande diabetische netvliesaandoening in SUSTAIN 6 (HR 1,76; Marso 2016, PMID 27633186); zeldzaam signaal voor een doorbloedingsstoornis van de oogzenuw (NAION) in observationele studies</w:t>
      </w:r>
      <w:r>
        <w:rPr>
          <w:rStyle w:val="FootnoteReference"/>
        </w:rPr>
        <w:footnoteReference w:id="2572"/>
      </w:r>
      <w:r>
        <w:t xml:space="preserve">.</w:t>
      </w:r>
    </w:p>
    <w:p>
      <w:pPr>
        <w:numPr>
          <w:ilvl w:val="0"/>
          <w:numId w:val="1328"/>
        </w:numPr>
        <w:pStyle w:val="Compact"/>
      </w:pPr>
      <w:r>
        <w:rPr>
          <w:bCs/>
          <w:b/>
        </w:rPr>
        <w:t xml:space="preserve">Spiermassa:</w:t>
      </w:r>
      <w:r>
        <w:t xml:space="preserve"> </w:t>
      </w:r>
      <w:r>
        <w:t xml:space="preserve">ongeveer een kwart van het verloren gewicht is vetvrije massa, in dezelfde verhouding als bij ander gewichtsverlies</w:t>
      </w:r>
      <w:r>
        <w:rPr>
          <w:rStyle w:val="FootnoteReference"/>
        </w:rPr>
        <w:footnoteReference w:id="2573"/>
      </w:r>
      <w:r>
        <w:t xml:space="preserve">.</w:t>
      </w:r>
    </w:p>
    <w:bookmarkEnd w:id="2574"/>
    <w:bookmarkStart w:id="2577" w:name="directe-vergelijkende-studies"/>
    <w:p>
      <w:pPr>
        <w:pStyle w:val="Heading3"/>
      </w:pPr>
      <w:r>
        <w:t xml:space="preserve">Directe vergelijkende studies</w:t>
      </w:r>
    </w:p>
    <w:p>
      <w:pPr>
        <w:pStyle w:val="FirstParagraph"/>
      </w:pPr>
      <w:r>
        <w:t xml:space="preserve">De volgende tabel bevat gerandomiseerde studies waarin twee werkzame stoffen uit de klasse rechtstreeks tegen elkaar werden getest. Alleen hier zijn verschillen tussen de werkzame stoffen methodologisch zuiver aangetoond. Veel van deze studies waren open (niet geblindeerd) en gefinancierd door de fabrikant van de nieuwere werkzame stof, en niet altijd werd de hoogste geregistreerde dosis van het vergelijkingspreparaat gebruikt.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Vergelijking</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SURMOUNT-5 (Aronne 2025), PMID 40353578</w:t>
            </w:r>
          </w:p>
        </w:tc>
        <w:tc>
          <w:tcPr/>
          <w:p>
            <w:pPr>
              <w:pStyle w:val="Compact"/>
              <w:jc w:val="left"/>
            </w:pPr>
            <w:r>
              <w:t xml:space="preserve">Tirzepatide vs. semaglutide 2,4 mg, obesitas, open</w:t>
            </w:r>
          </w:p>
        </w:tc>
        <w:tc>
          <w:tcPr/>
          <w:p>
            <w:pPr>
              <w:pStyle w:val="Compact"/>
              <w:jc w:val="left"/>
            </w:pPr>
            <w:r>
              <w:t xml:space="preserve">72 weken</w:t>
            </w:r>
          </w:p>
        </w:tc>
        <w:tc>
          <w:tcPr/>
          <w:p>
            <w:pPr>
              <w:pStyle w:val="Compact"/>
              <w:jc w:val="left"/>
            </w:pPr>
            <w:r>
              <w:t xml:space="preserve">gewicht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obesitas</w:t>
            </w:r>
          </w:p>
        </w:tc>
        <w:tc>
          <w:tcPr/>
          <w:p>
            <w:pPr>
              <w:pStyle w:val="Compact"/>
              <w:jc w:val="left"/>
            </w:pPr>
            <w:r>
              <w:t xml:space="preserve">68 weken</w:t>
            </w:r>
          </w:p>
        </w:tc>
        <w:tc>
          <w:tcPr/>
          <w:p>
            <w:pPr>
              <w:pStyle w:val="Compact"/>
              <w:jc w:val="left"/>
            </w:pPr>
            <w:r>
              <w:t xml:space="preserve">gewicht −15,8% vs. −6,4%</w:t>
            </w:r>
          </w:p>
        </w:tc>
      </w:tr>
      <w:tr>
        <w:tc>
          <w:tcPr/>
          <w:p>
            <w:pPr>
              <w:pStyle w:val="Compact"/>
              <w:jc w:val="left"/>
            </w:pPr>
            <w:r>
              <w:t xml:space="preserve">REDEFINE 5 (Yamauchi 2026), PMID 42009015</w:t>
            </w:r>
          </w:p>
        </w:tc>
        <w:tc>
          <w:tcPr/>
          <w:p>
            <w:pPr>
              <w:pStyle w:val="Compact"/>
              <w:jc w:val="left"/>
            </w:pPr>
            <w:r>
              <w:t xml:space="preserve">CagriSema vs. semaglutide 2,4 mg, Japan en Taiwan, geblindeerd</w:t>
            </w:r>
          </w:p>
        </w:tc>
        <w:tc>
          <w:tcPr/>
          <w:p>
            <w:pPr>
              <w:pStyle w:val="Compact"/>
              <w:jc w:val="left"/>
            </w:pPr>
            <w:r>
              <w:t xml:space="preserve">68 weken</w:t>
            </w:r>
          </w:p>
        </w:tc>
        <w:tc>
          <w:tcPr/>
          <w:p>
            <w:pPr>
              <w:pStyle w:val="Compact"/>
              <w:jc w:val="left"/>
            </w:pPr>
            <w:r>
              <w:t xml:space="preserve">gewicht −18,4% vs. −11,9%</w:t>
            </w:r>
          </w:p>
        </w:tc>
      </w:tr>
      <w:tr>
        <w:tc>
          <w:tcPr/>
          <w:p>
            <w:pPr>
              <w:pStyle w:val="Compact"/>
              <w:jc w:val="left"/>
            </w:pPr>
            <w:r>
              <w:t xml:space="preserve">SURPASS-2 (Frías 2021), PMID 34170647</w:t>
            </w:r>
          </w:p>
        </w:tc>
        <w:tc>
          <w:tcPr/>
          <w:p>
            <w:pPr>
              <w:pStyle w:val="Compact"/>
              <w:jc w:val="left"/>
            </w:pPr>
            <w:r>
              <w:t xml:space="preserve">Tirzepatide vs. semaglutide 1 mg, diabetes type 2, open</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REIMAGINE 2 (Buse 2026), PMID 42251859</w:t>
            </w:r>
          </w:p>
        </w:tc>
        <w:tc>
          <w:tcPr/>
          <w:p>
            <w:pPr>
              <w:pStyle w:val="Compact"/>
              <w:jc w:val="left"/>
            </w:pPr>
            <w:r>
              <w:t xml:space="preserve">CagriSema vs. semaglutide 2,4 mg, diabetes type 2</w:t>
            </w:r>
          </w:p>
        </w:tc>
        <w:tc>
          <w:tcPr/>
          <w:p>
            <w:pPr>
              <w:pStyle w:val="Compact"/>
              <w:jc w:val="left"/>
            </w:pPr>
            <w:r>
              <w:t xml:space="preserve">68 weken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semaglutide-tablet, open</w:t>
            </w:r>
          </w:p>
        </w:tc>
        <w:tc>
          <w:tcPr/>
          <w:p>
            <w:pPr>
              <w:pStyle w:val="Compact"/>
              <w:jc w:val="left"/>
            </w:pPr>
            <w:r>
              <w:t xml:space="preserve">52 weken</w:t>
            </w:r>
          </w:p>
        </w:tc>
        <w:tc>
          <w:tcPr/>
          <w:p>
            <w:pPr>
              <w:pStyle w:val="Compact"/>
              <w:jc w:val="left"/>
            </w:pPr>
            <w:r>
              <w:t xml:space="preserve">HbA1c −1,91 vs. −1,47 (telkens hogere dosis)</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weken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Semaglutide 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Semaglutide-tablet vs. liraglutide-injectie</w:t>
            </w:r>
          </w:p>
        </w:tc>
        <w:tc>
          <w:tcPr/>
          <w:p>
            <w:pPr>
              <w:pStyle w:val="Compact"/>
              <w:jc w:val="left"/>
            </w:pPr>
            <w:r>
              <w:t xml:space="preserve">26 weken (studie 52)</w:t>
            </w:r>
          </w:p>
        </w:tc>
        <w:tc>
          <w:tcPr/>
          <w:p>
            <w:pPr>
              <w:pStyle w:val="Compact"/>
              <w:jc w:val="left"/>
            </w:pPr>
            <w:r>
              <w:t xml:space="preserve">HbA1c −1,2 vs. −1,1 (niet inferieur)</w:t>
            </w:r>
          </w:p>
        </w:tc>
      </w:tr>
      <w:tr>
        <w:tc>
          <w:tcPr/>
          <w:p>
            <w:pPr>
              <w:pStyle w:val="Compact"/>
              <w:jc w:val="left"/>
            </w:pPr>
            <w:r>
              <w:t xml:space="preserve">AWARD-6 (Dungan 2014), PMID 25018121</w:t>
            </w:r>
          </w:p>
        </w:tc>
        <w:tc>
          <w:tcPr/>
          <w:p>
            <w:pPr>
              <w:pStyle w:val="Compact"/>
              <w:jc w:val="left"/>
            </w:pPr>
            <w:r>
              <w:t xml:space="preserve">Dulaglutide vs. liraglutide 1,8 mg, open</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DURATION-6 (Buse 2013), PMID 23141817</w:t>
            </w:r>
          </w:p>
        </w:tc>
        <w:tc>
          <w:tcPr/>
          <w:p>
            <w:pPr>
              <w:pStyle w:val="Compact"/>
              <w:jc w:val="left"/>
            </w:pPr>
            <w:r>
              <w:t xml:space="preserve">Exenatide wekelijks vs. liraglutide, open</w:t>
            </w:r>
          </w:p>
        </w:tc>
        <w:tc>
          <w:tcPr/>
          <w:p>
            <w:pPr>
              <w:pStyle w:val="Compact"/>
              <w:jc w:val="left"/>
            </w:pPr>
            <w:r>
              <w:t xml:space="preserve">26 weken</w:t>
            </w:r>
          </w:p>
        </w:tc>
        <w:tc>
          <w:tcPr/>
          <w:p>
            <w:pPr>
              <w:pStyle w:val="Compact"/>
              <w:jc w:val="left"/>
            </w:pPr>
            <w:r>
              <w:t xml:space="preserve">HbA1c −1,28 vs. −1,48; non-inferioriteit niet bereikt</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weken</w:t>
            </w:r>
          </w:p>
        </w:tc>
        <w:tc>
          <w:tcPr/>
          <w:p>
            <w:pPr>
              <w:pStyle w:val="Compact"/>
              <w:jc w:val="left"/>
            </w:pPr>
            <w:r>
              <w:t xml:space="preserve">HbA1c extra −0,24 / −0,30</w:t>
            </w:r>
          </w:p>
        </w:tc>
      </w:tr>
      <w:tr>
        <w:tc>
          <w:tcPr/>
          <w:p>
            <w:pPr>
              <w:pStyle w:val="Compact"/>
              <w:jc w:val="left"/>
            </w:pPr>
            <w:r>
              <w:t xml:space="preserve">SURPASS-CVOT (Nicholls 2025), PMID 41406444</w:t>
            </w:r>
          </w:p>
        </w:tc>
        <w:tc>
          <w:tcPr/>
          <w:p>
            <w:pPr>
              <w:pStyle w:val="Compact"/>
              <w:jc w:val="left"/>
            </w:pPr>
            <w:r>
              <w:t xml:space="preserve">Tirzepatide vs. dulaglutide, cardiovasculaire gebeurtenissen</w:t>
            </w:r>
          </w:p>
        </w:tc>
        <w:tc>
          <w:tcPr/>
          <w:p>
            <w:pPr>
              <w:pStyle w:val="Compact"/>
              <w:jc w:val="left"/>
            </w:pPr>
            <w:r>
              <w:t xml:space="preserve">meerdere jaren</w:t>
            </w:r>
          </w:p>
        </w:tc>
        <w:tc>
          <w:tcPr/>
          <w:p>
            <w:pPr>
              <w:pStyle w:val="Compact"/>
              <w:jc w:val="left"/>
            </w:pPr>
            <w:r>
              <w:t xml:space="preserve">HR 0,92, niet inferieur</w:t>
            </w:r>
          </w:p>
        </w:tc>
      </w:tr>
    </w:tbl>
    <w:p>
      <w:pPr>
        <w:pStyle w:val="BodyText"/>
      </w:pPr>
      <w:r>
        <w:rPr>
          <w:bCs/>
          <w:b/>
        </w:rPr>
        <w:t xml:space="preserve">Wat de directe vergelijkingen laten zien:</w:t>
      </w:r>
    </w:p>
    <w:p>
      <w:pPr>
        <w:numPr>
          <w:ilvl w:val="0"/>
          <w:numId w:val="1329"/>
        </w:numPr>
        <w:pStyle w:val="Compact"/>
      </w:pPr>
      <w:r>
        <w:rPr>
          <w:bCs/>
          <w:b/>
        </w:rPr>
        <w:t xml:space="preserve">Bij het gewicht is de rangorde duidelijk.</w:t>
      </w:r>
      <w:r>
        <w:t xml:space="preserve"> </w:t>
      </w:r>
      <w:r>
        <w:t xml:space="preserve">Semaglutide 2,4 mg overtrof liraglutide 3,0 mg met 9,4 procentpunten (STEP 8), tirzepatide overtrof semaglutide 2,4 mg met 6,5 procentpunten (SURMOUNT-5), CagriSema overtrof semaglutide 2,4 mg in Oost-Azië eveneens met 6,5 procentpunten (REDEFINE 5). In SURMOUNT-5 bereikten met tirzepatide meer deelnemers elk van de drempels van 10, 15, 20 en 25%, en de middelomtrek daalde met 18,4 cm tegenover 13,0 cm.</w:t>
      </w:r>
    </w:p>
    <w:p>
      <w:pPr>
        <w:numPr>
          <w:ilvl w:val="0"/>
          <w:numId w:val="1329"/>
        </w:numPr>
        <w:pStyle w:val="Compact"/>
      </w:pPr>
      <w:r>
        <w:rPr>
          <w:bCs/>
          <w:b/>
        </w:rPr>
        <w:t xml:space="preserve">Bij de bloedsuiker zijn de verschillen kleiner.</w:t>
      </w:r>
      <w:r>
        <w:t xml:space="preserve"> </w:t>
      </w:r>
      <w:r>
        <w:t xml:space="preserve">Tussen de wekelijkse GLP-1-agonisten liggen meestal maar tienden van een punt; tirzepatide verlaagde de HbA1c-waarde in SURPASS-2 met 0,15 tot 0,45 procentpunt sterker dan semaglutide 1 mg.</w:t>
      </w:r>
    </w:p>
    <w:p>
      <w:pPr>
        <w:numPr>
          <w:ilvl w:val="0"/>
          <w:numId w:val="1329"/>
        </w:numPr>
        <w:pStyle w:val="Compact"/>
      </w:pPr>
      <w:r>
        <w:rPr>
          <w:bCs/>
          <w:b/>
        </w:rPr>
        <w:t xml:space="preserve">Voor harde eindpunten is er tot nu toe maar één directe vergelijking.</w:t>
      </w:r>
      <w:r>
        <w:t xml:space="preserve"> </w:t>
      </w:r>
      <w:r>
        <w:t xml:space="preserve">SURPASS-CVOT liet zien dat tirzepatide niet inferieur is aan dulaglutide; superioriteit werd niet aangetoond.</w:t>
      </w:r>
    </w:p>
    <w:p>
      <w:pPr>
        <w:numPr>
          <w:ilvl w:val="0"/>
          <w:numId w:val="1329"/>
        </w:numPr>
        <w:pStyle w:val="Compact"/>
      </w:pPr>
      <w:r>
        <w:rPr>
          <w:bCs/>
          <w:b/>
        </w:rPr>
        <w:t xml:space="preserve">De beperkingen zijn aanzienlijk.</w:t>
      </w:r>
      <w:r>
        <w:t xml:space="preserve"> </w:t>
      </w:r>
      <w:r>
        <w:t xml:space="preserve">SURMOUNT-5 en SURPASS-2 waren open en gefinancierd door de fabrikant van tirzepatide; SURPASS-2 gebruikte semaglutide alleen in de dosis van 1 mg. REDEFINE 5 werd uitsluitend in Japan en Taiwan uitgevoerd. De verschillen in SURMOUNT-5 zijn echter zo groot dat ze nauwelijks alleen door deze zwakke punten te verklaren zijn.</w:t>
      </w:r>
    </w:p>
    <w:p>
      <w:pPr>
        <w:pStyle w:val="FirstParagraph"/>
      </w:pPr>
      <w:r>
        <w:rPr>
          <w:bCs/>
          <w:b/>
        </w:rPr>
        <w:t xml:space="preserve">Nog lopend (geregistreerde studies):</w:t>
      </w:r>
      <w:r>
        <w:t xml:space="preserve"> </w:t>
      </w:r>
      <w:r>
        <w:t xml:space="preserve">de directe vergelijking van retatrutide met tirzepatide bij 800 volwassenen met obesitas</w:t>
      </w:r>
      <w:r>
        <w:rPr>
          <w:rStyle w:val="FootnoteReference"/>
        </w:rPr>
        <w:footnoteReference w:id="2575"/>
      </w:r>
      <w:r>
        <w:t xml:space="preserve"> </w:t>
      </w:r>
      <w:r>
        <w:t xml:space="preserve">moet eind 2026 zijn afgerond. De vergelijkende studie van CagriSema tegen tirzepatide bij obesitas (REDEFINE 4, NCT06131437) is volgens het register afgerond; een peer-reviewed publicatie was bij het afsluiten van de redactie niet beschikbaar. Mazdutide wordt in China getest tegen semaglutide</w:t>
      </w:r>
      <w:r>
        <w:rPr>
          <w:rStyle w:val="FootnoteReference"/>
        </w:rPr>
        <w:footnoteReference w:id="2576"/>
      </w:r>
      <w:r>
        <w:t xml:space="preserve">.</w:t>
      </w:r>
    </w:p>
    <w:bookmarkEnd w:id="2577"/>
    <w:bookmarkStart w:id="2578" w:name="conclusie-58"/>
    <w:p>
      <w:pPr>
        <w:pStyle w:val="Heading3"/>
      </w:pPr>
      <w:r>
        <w:t xml:space="preserve">Conclusie</w:t>
      </w:r>
    </w:p>
    <w:p>
      <w:pPr>
        <w:pStyle w:val="FirstParagraph"/>
      </w:pPr>
      <w:r>
        <w:t xml:space="preserve">De incretinegeneesmiddelen vormen een duidelijke trapsgewijze volgorde: bij het gewichtsverlies lopen de gemiddelden van de registratiestudies van rond 8% (liraglutide) via bijna 15% (semaglutide 2,4 mg) en rond 20% (tirzepatide, CagriSema) tot 25% (retatrutide), waarbij de directe vergelijkingen deze volgorde bevestigen voor de tot nu toe vergeleken paren. Voor hart en nieren is het voordeel tot nu toe alleen voor de oudere GLP-1-agonisten en semaglutide in placebogecontroleerde studies aangetoond; of de sterkere opvolgers hier meer bereiken, is open. De bijwerkingen zijn in de hele klasse vergelijkbaar en betreffen vooral het maag-darmkanaal; de uitvalpercentages stijgen met dosis en behandelduur. Kruisvergelijkingen tussen afzonderlijke studies blijven een grove oriëntatie – voor de keuze van een geneesmiddel in een individueel geval zijn de productinformatie en medisch advies bepalend.</w:t>
      </w:r>
    </w:p>
    <w:bookmarkEnd w:id="2578"/>
    <w:bookmarkEnd w:id="2579"/>
    <w:bookmarkStart w:id="2602" w:name="beloften-tegenover-bewijs"/>
    <w:p>
      <w:pPr>
        <w:pStyle w:val="Heading2"/>
      </w:pPr>
      <w:r>
        <w:t xml:space="preserve">Beloften tegenover bewijs</w:t>
      </w:r>
    </w:p>
    <w:p>
      <w:pPr>
        <w:pStyle w:val="FirstParagraph"/>
      </w:pPr>
      <w:r>
        <w:t xml:space="preserve">Wie op internet naar peptiden zoekt, komt al snel terecht bij webwinkels, video’s en fora waarin bepaalde stoffen in grote woorden worden beschreven: ze zouden pezen herstellen, het ouder worden afremmen, vet laten smelten of het geheugen aanscherpen. Dit hoofdstuk zet tegenover zulke typische reclamebeloften wat studies bij mensen werkelijk hebben aangetoond.</w:t>
      </w:r>
    </w:p>
    <w:p>
      <w:pPr>
        <w:pStyle w:val="BodyText"/>
      </w:pPr>
      <w:r>
        <w:t xml:space="preserve">Gekozen zijn de peptiden die in 2026 op het Duits- en Engelstalige internet het vaakst worden aangeprezen. De beloften zijn algemeen geformuleerd en vatten terugkerende beweringen samen; ze zijn niet afkomstig van een bepaalde aanbieder. De kolom „Wat de studies bij mensen laten zien” berust op de hoofdstukken in Deel II, waarin de bronnen uitvoerig worden besproken. Dierproeven en laboratoriumresultaten zijn uitdrukkelijk als zodanig aangeduid.</w:t>
      </w:r>
    </w:p>
    <w:p>
      <w:pPr>
        <w:pStyle w:val="BodyText"/>
      </w:pPr>
      <w:r>
        <w:t xml:space="preserve">Een opmerking vooraf: dat een voordeel niet is aangetoond, betekent niet automatisch dat een stof niet werkt. Het betekent dat niemand het weet – ook de aanbieders niet die haar verkopen. Evenzo geldt: dat er geen bijwerkingen zijn gepubliceerd, betekent bij nauwelijks onderzochte stoffen niet dat ze veilig zijn, maar alleen dat niemand er systematisch naar heeft gezocht.</w:t>
      </w:r>
    </w:p>
    <w:bookmarkStart w:id="2580" w:name="de-populairste-peptiden-onder-de-loep"/>
    <w:p>
      <w:pPr>
        <w:pStyle w:val="Heading3"/>
      </w:pPr>
      <w:r>
        <w:t xml:space="preserve">De populairste peptiden onder de loep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Typische reclamebelofte</w:t>
            </w:r>
          </w:p>
        </w:tc>
        <w:tc>
          <w:tcPr/>
          <w:p>
            <w:pPr>
              <w:pStyle w:val="Compact"/>
              <w:jc w:val="left"/>
            </w:pPr>
            <w:r>
              <w:t xml:space="preserve">Wat de studies bij mensen laten zien</w:t>
            </w:r>
          </w:p>
        </w:tc>
        <w:tc>
          <w:tcPr/>
          <w:p>
            <w:pPr>
              <w:pStyle w:val="Compact"/>
              <w:jc w:val="left"/>
            </w:pPr>
            <w:r>
              <w:t xml:space="preserve">Bewijs</w:t>
            </w:r>
          </w:p>
        </w:tc>
      </w:tr>
      <w:tr>
        <w:tc>
          <w:tcPr/>
          <w:p>
            <w:pPr>
              <w:pStyle w:val="Compact"/>
              <w:jc w:val="left"/>
            </w:pPr>
            <w:r>
              <w:t xml:space="preserve">BPC-157</w:t>
            </w:r>
          </w:p>
        </w:tc>
        <w:tc>
          <w:tcPr/>
          <w:p>
            <w:pPr>
              <w:pStyle w:val="Compact"/>
              <w:jc w:val="left"/>
            </w:pPr>
            <w:r>
              <w:t xml:space="preserve">Versnelt het herstel van pezen, banden, spieren en darm</w:t>
            </w:r>
          </w:p>
        </w:tc>
        <w:tc>
          <w:tcPr/>
          <w:p>
            <w:pPr>
              <w:pStyle w:val="Compact"/>
              <w:jc w:val="left"/>
            </w:pPr>
            <w:r>
              <w:t xml:space="preserve">Drie ongecontroleerde onderzoeken met samen 30 personen (knie, urineblaas, verdraagbaarheid); bewijskracht volgens een systematisch overzicht zeer laag (Poolton 2026, PMID 42885452). De vele positieve resultaten komen uit dierproeven, overwegend van één enkele onderzoeksgroep.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Herstelt weefsel, pezen en spieren, maakt soepeler</w:t>
            </w:r>
          </w:p>
        </w:tc>
        <w:tc>
          <w:tcPr/>
          <w:p>
            <w:pPr>
              <w:pStyle w:val="Compact"/>
              <w:jc w:val="left"/>
            </w:pPr>
            <w:r>
              <w:t xml:space="preserve">TB-500 is nooit in een gepubliceerde studie bij mensen getest. Het volledige eiwit thymosine bèta-4 verkleinde na een hartinfarct de infarctgrootte in totaal niet significant (Zhang 2025, PMID 41229390). Grijze-marktproducten bevatten niet steeds wat werd opgegeven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Verhoogt het groeihormoon voor spieropbouw, vetverlies en slaap</w:t>
            </w:r>
          </w:p>
        </w:tc>
        <w:tc>
          <w:tcPr/>
          <w:p>
            <w:pPr>
              <w:pStyle w:val="Compact"/>
              <w:jc w:val="left"/>
            </w:pPr>
            <w:r>
              <w:t xml:space="preserve">Bij gezonde mensen stegen groeihormoon en IGF-1 na een enkele injectie gedurende ongeveer zes tot elf dagen (Teichman 2006, PMID 16352683). Of daar een voordeel uit volgt, is nooit onderzocht. Voor de meest verkochte variant zonder „DAC” bestaat geen studie bij mensen.</w:t>
            </w:r>
          </w:p>
        </w:tc>
        <w:tc>
          <w:tcPr/>
          <w:p>
            <w:pPr>
              <w:pStyle w:val="Compact"/>
              <w:jc w:val="left"/>
            </w:pPr>
            <w:r>
              <w:t xml:space="preserve">C</w:t>
            </w:r>
          </w:p>
        </w:tc>
      </w:tr>
      <w:tr>
        <w:tc>
          <w:tcPr/>
          <w:p>
            <w:pPr>
              <w:pStyle w:val="Compact"/>
              <w:jc w:val="left"/>
            </w:pPr>
            <w:r>
              <w:t xml:space="preserve">Ipamoreline</w:t>
            </w:r>
          </w:p>
        </w:tc>
        <w:tc>
          <w:tcPr/>
          <w:p>
            <w:pPr>
              <w:pStyle w:val="Compact"/>
              <w:jc w:val="left"/>
            </w:pPr>
            <w:r>
              <w:t xml:space="preserve">Milde groeihormoonbooster zonder bijwerkingen</w:t>
            </w:r>
          </w:p>
        </w:tc>
        <w:tc>
          <w:tcPr/>
          <w:p>
            <w:pPr>
              <w:pStyle w:val="Compact"/>
              <w:jc w:val="left"/>
            </w:pPr>
            <w:r>
              <w:t xml:space="preserve">Enige gepubliceerde werkzaamheidsstudie: 117 personen na een darmoperatie, geen significant voordeel (Beck 2014, PMID 25331030). Over spieren, vet, slaap of veroudering geen studie bij mensen.</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Verlengt de telomeren en zet de biologische klok terug</w:t>
            </w:r>
          </w:p>
        </w:tc>
        <w:tc>
          <w:tcPr/>
          <w:p>
            <w:pPr>
              <w:pStyle w:val="Compact"/>
              <w:jc w:val="left"/>
            </w:pPr>
            <w:r>
              <w:t xml:space="preserve">Telomeerverlenging alleen in celkweken (Khavinson 2003, PMID 12937682). Bij muizen geen langere gemiddelde levensduur (Anisimov 2003, PMID 14501183). Geen voldoende grote gerandomiseerde studie bij mensen.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uit de spuit”: meer uithoudingsvermogen, minder vet, betere insulinewerking</w:t>
            </w:r>
          </w:p>
        </w:tc>
        <w:tc>
          <w:tcPr/>
          <w:p>
            <w:pPr>
              <w:pStyle w:val="Compact"/>
              <w:jc w:val="left"/>
            </w:pPr>
            <w:r>
              <w:t xml:space="preserve">Deze effecten werden gezien bij muizen (Lee 2015, PMID 25738459). Bij mensen zijn er alleen metingen van de lichaamseigen spiegels, geen gepubliceerde studie waarin MOTS-c werd toegediend.</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Verhoogt concentratie, geheugen en prestatievermogen</w:t>
            </w:r>
          </w:p>
        </w:tc>
        <w:tc>
          <w:tcPr/>
          <w:p>
            <w:pPr>
              <w:pStyle w:val="Compact"/>
              <w:jc w:val="left"/>
            </w:pPr>
            <w:r>
              <w:t xml:space="preserve">Kleine, overwegend niet-gerandomiseerde Russische studies bij beroerte, bijvoorbeeld een studie met 110 personen (Gusev 2018, PMID 29798983). Voor gezonde mensen geen zeggingskrachtige gegevens.</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Neemt angst weg zonder vermoeidheid en verslaving</w:t>
            </w:r>
          </w:p>
        </w:tc>
        <w:tc>
          <w:tcPr/>
          <w:p>
            <w:pPr>
              <w:pStyle w:val="Compact"/>
              <w:jc w:val="left"/>
            </w:pPr>
            <w:r>
              <w:t xml:space="preserve">Drie kleine Russische studies zonder placebogroep, waaronder 62 personen in vergelijking met een benzodiazepine (Zozulia 2008, PMID 18454096). Studies naar concentratie bij gezonde mensen zijn er niet.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Bruin worden zonder zonnebrand, meer zin in seks</w:t>
            </w:r>
          </w:p>
        </w:tc>
        <w:tc>
          <w:tcPr/>
          <w:p>
            <w:pPr>
              <w:pStyle w:val="Compact"/>
              <w:jc w:val="left"/>
            </w:pPr>
            <w:r>
              <w:t xml:space="preserve">Kleine pilotstudies uit de jaren negentig met zo’n twee dozijn personen, vaak misselijkheid (Wessells 2000, PMID 11035391). Casusbeschrijvingen van nieuwe moedervlekken, melanomen en priapisme. Flesjes uit webwinkels bevatten 4,32 tot 8,84 in plaats van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Verstevigt de huid, bouwt collageen op, bevordert haargroei</w:t>
            </w:r>
          </w:p>
        </w:tc>
        <w:tc>
          <w:tcPr/>
          <w:p>
            <w:pPr>
              <w:pStyle w:val="Compact"/>
              <w:jc w:val="left"/>
            </w:pPr>
            <w:r>
              <w:t xml:space="preserve">Een oudere gerandomiseerde studie bij diabetische voetulcera met een positief resultaat (Mulder 1994, PMID 17147644). Een kleine huidstudie na laserbehandeling vond geen meetbaar verschil (Miller 2006, PMID 16847171). Over injecties geen gegevens.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Vetverbrandend fragment van het groeihormoon</w:t>
            </w:r>
          </w:p>
        </w:tc>
        <w:tc>
          <w:tcPr/>
          <w:p>
            <w:pPr>
              <w:pStyle w:val="Compact"/>
              <w:jc w:val="left"/>
            </w:pPr>
            <w:r>
              <w:t xml:space="preserve">Bij muizen minder gewichtstoename (Heffernan 2001, PMID 11673763). Studies bij mensen zijn uitgevoerd, maar nooit in peer-reviewed vaktijdschriften gepubliceerd; de ontwikkeling werd stopgezet.</w:t>
            </w:r>
          </w:p>
        </w:tc>
        <w:tc>
          <w:tcPr/>
          <w:p>
            <w:pPr>
              <w:pStyle w:val="Compact"/>
              <w:jc w:val="left"/>
            </w:pPr>
            <w:r>
              <w:t xml:space="preserve">D</w:t>
            </w:r>
          </w:p>
        </w:tc>
      </w:tr>
      <w:tr>
        <w:tc>
          <w:tcPr/>
          <w:p>
            <w:pPr>
              <w:pStyle w:val="Compact"/>
              <w:jc w:val="left"/>
            </w:pPr>
            <w:r>
              <w:t xml:space="preserve">Collageenpeptiden</w:t>
            </w:r>
          </w:p>
        </w:tc>
        <w:tc>
          <w:tcPr/>
          <w:p>
            <w:pPr>
              <w:pStyle w:val="Compact"/>
              <w:jc w:val="left"/>
            </w:pPr>
            <w:r>
              <w:t xml:space="preserve">Stevigere huid, gezonde gewrichten, meer spieren</w:t>
            </w:r>
          </w:p>
        </w:tc>
        <w:tc>
          <w:tcPr/>
          <w:p>
            <w:pPr>
              <w:pStyle w:val="Compact"/>
              <w:jc w:val="left"/>
            </w:pPr>
            <w:r>
              <w:t xml:space="preserve">Artrose: in 35 gerandomiseerde studies kleine tot middelgrote effecten (PMID 38218227). Huid: zonder financiering door de industrie geen effect (Myung 2025, PMID 40324552). Spieren: wei-eiwit werkte beter dan collageen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Ontgift, maakt de huid lichter, versterkt het immuunsysteem</w:t>
            </w:r>
          </w:p>
        </w:tc>
        <w:tc>
          <w:tcPr/>
          <w:p>
            <w:pPr>
              <w:pStyle w:val="Compact"/>
              <w:jc w:val="left"/>
            </w:pPr>
            <w:r>
              <w:t xml:space="preserve">Als capsule verhoogde het na zes maanden de bloedspiegels (Richie 2015, PMID 24791752). Als infuus beschermde het 185 kankerpatiënten niet tegen zenuwschade (Leal 2014, PMID 24619793). Infusen om de huid lichter te maken: geen aangetoond voordeel, volgens een overzicht niet verantwoord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Vormt nieuwe synapsen, sterker dan lichaamseigen groeifactoren</w:t>
            </w:r>
          </w:p>
        </w:tc>
        <w:tc>
          <w:tcPr/>
          <w:p>
            <w:pPr>
              <w:pStyle w:val="Compact"/>
              <w:jc w:val="left"/>
            </w:pPr>
            <w:r>
              <w:t xml:space="preserve">Nooit bij mensen onderzocht; effecten alleen bij ratten en muizen, een centraal artikel daarover werd in 2025 ingetrokken (PMID 25187433). De verwante werkzame stof fosgonimeton haalde bij 287 mensen met alzheimer geen enkel primair of secundair doel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Sterker, langer werkend IGF-1 voor spiergroei</w:t>
            </w:r>
          </w:p>
        </w:tc>
        <w:tc>
          <w:tcPr/>
          <w:p>
            <w:pPr>
              <w:pStyle w:val="Compact"/>
              <w:jc w:val="left"/>
            </w:pPr>
            <w:r>
              <w:t xml:space="preserve">Geen enkele studie bij mensen. Een flesje van de zwarte markt bevatte een laboratoriumvariant die nooit voor injecties bedoeld was (PMID 20675162).</w:t>
            </w:r>
          </w:p>
        </w:tc>
        <w:tc>
          <w:tcPr/>
          <w:p>
            <w:pPr>
              <w:pStyle w:val="Compact"/>
              <w:jc w:val="left"/>
            </w:pPr>
            <w:r>
              <w:t xml:space="preserve">D</w:t>
            </w:r>
          </w:p>
        </w:tc>
      </w:tr>
      <w:tr>
        <w:tc>
          <w:tcPr/>
          <w:p>
            <w:pPr>
              <w:pStyle w:val="Compact"/>
              <w:jc w:val="left"/>
            </w:pPr>
            <w:r>
              <w:t xml:space="preserve">Retatrutide van de grijze markt</w:t>
            </w:r>
          </w:p>
        </w:tc>
        <w:tc>
          <w:tcPr/>
          <w:p>
            <w:pPr>
              <w:pStyle w:val="Compact"/>
              <w:jc w:val="left"/>
            </w:pPr>
            <w:r>
              <w:t xml:space="preserve">Het sterkste afslankmiddel, nu al verkrijgbaar</w:t>
            </w:r>
          </w:p>
        </w:tc>
        <w:tc>
          <w:tcPr/>
          <w:p>
            <w:pPr>
              <w:pStyle w:val="Compact"/>
              <w:jc w:val="left"/>
            </w:pPr>
            <w:r>
              <w:t xml:space="preserve">Het geneesmiddel is goed onderzocht: in TRIUMPH-1 −25,0% gewicht na 80 weken bij de hoogste dosis (Jastreboff 2026, PMID 42814954). Voor grijze-marktwaar geldt dat niet: niet geregistreerd, inhoud en zuiverheid ongecontroleerd (Rubin 2026, PMID 42853576).</w:t>
            </w:r>
          </w:p>
        </w:tc>
        <w:tc>
          <w:tcPr/>
          <w:p>
            <w:pPr>
              <w:pStyle w:val="Compact"/>
              <w:jc w:val="left"/>
            </w:pPr>
            <w:r>
              <w:t xml:space="preserve">B (geneesmiddel)</w:t>
            </w:r>
          </w:p>
        </w:tc>
      </w:tr>
    </w:tbl>
    <w:p>
      <w:pPr>
        <w:pStyle w:val="BodyText"/>
      </w:pPr>
      <w:r>
        <w:t xml:space="preserve">Opmerking bij de tabel: het bewijsniveau heeft betrekking op de aangeprezen toepassing of op de stof zoals die wordt verkocht. Voor TB-500 geldt niveau D, voor het volledige eiwit thymosine bèta-4 niveau B. Bij retatrutide heeft niveau B betrekking op het in studies geteste geneesmiddel; voor grijze-marktproducten waarvan niemand de inhoud kent, valt geen bewijsniveau te geven.</w:t>
      </w:r>
    </w:p>
    <w:p>
      <w:pPr>
        <w:pStyle w:val="BodyText"/>
      </w:pPr>
      <w:r>
        <w:t xml:space="preserve">Het totaalbeeld: van de 16 stoffen heeft geen enkele bewijsniveau A. Vijf hebben niveau D, zijn dus helemaal niet bij mensen onderzocht. Bij de stoffen met niveau B – ipamoreline, collageen, glutathion – hebben de beste studies de reclamebeloften niet bevestigd of slechts kleine effecten gevonden. De enige uitzondering is retatrutide, waarvan de sterke werking is aangetoond – maar niet voor het product dat op de grijze markt wordt verkocht.</w:t>
      </w:r>
    </w:p>
    <w:bookmarkEnd w:id="2580"/>
    <w:bookmarkStart w:id="2594" w:name="zes-patronen-achter-de-beloften"/>
    <w:p>
      <w:pPr>
        <w:pStyle w:val="Heading3"/>
      </w:pPr>
      <w:r>
        <w:t xml:space="preserve">Zes patronen achter de beloften</w:t>
      </w:r>
    </w:p>
    <w:p>
      <w:pPr>
        <w:pStyle w:val="FirstParagraph"/>
      </w:pPr>
      <w:r>
        <w:t xml:space="preserve">Wie de tabel rij voor rij leest, herkent terugkerende patronen. Ze helpen ook om beweringen te duiden over peptiden die in dit boek niet voorkomen.</w:t>
      </w:r>
    </w:p>
    <w:bookmarkStart w:id="2582" w:name="van-dier-naar-mens"/>
    <w:p>
      <w:pPr>
        <w:pStyle w:val="Heading4"/>
      </w:pPr>
      <w:r>
        <w:t xml:space="preserve">1. Van dier naar mens</w:t>
      </w:r>
    </w:p>
    <w:p>
      <w:pPr>
        <w:pStyle w:val="FirstParagraph"/>
      </w:pPr>
      <w:r>
        <w:t xml:space="preserve">Bijna alle beloften over BPC-157, TB-500, MOTS-c, Dihexa, AOD-9604 en Epitalon steunen op proeven met ratten, muizen of celkweken. Zulke studies zijn belangrijk om werkingsmechanismen te begrijpen. Of een stof bij de mens net zo werkt, voorspellen ze niet: een groot deel van de werkzame stoffen die in dierproeven succesvol zijn, faalt in studies bij mensen. Een actueel voorbeeld uit dit boek is het geheugenpeptide Dihexa. Bij ratten bevorderde het leren en synapsvorming; de verwante werkzame stof fosgonimeton, die via hetzelfde groeifactorsysteem zou moeten werken, haalde in een studie met 287 mensen met alzheimer geen enkel primair of secundair doel</w:t>
      </w:r>
      <w:r>
        <w:rPr>
          <w:rStyle w:val="FootnoteReference"/>
        </w:rPr>
        <w:footnoteReference w:id="2581"/>
      </w:r>
      <w:r>
        <w:t xml:space="preserve">.</w:t>
      </w:r>
    </w:p>
    <w:p>
      <w:pPr>
        <w:pStyle w:val="BodyText"/>
      </w:pPr>
      <w:r>
        <w:t xml:space="preserve">Daar komt bij BPC-157 een tweede probleem bij: de positieve dierstudies komen overwegend van één enkele onderzoeksgroep en zijn nauwelijks onafhankelijk herhaald.</w:t>
      </w:r>
    </w:p>
    <w:bookmarkEnd w:id="2582"/>
    <w:bookmarkStart w:id="2584" w:name="een-meetwaarde-is-nog-geen-voordeel"/>
    <w:p>
      <w:pPr>
        <w:pStyle w:val="Heading4"/>
      </w:pPr>
      <w:r>
        <w:t xml:space="preserve">2. Een meetwaarde is nog geen voordeel</w:t>
      </w:r>
    </w:p>
    <w:p>
      <w:pPr>
        <w:pStyle w:val="FirstParagraph"/>
      </w:pPr>
      <w:r>
        <w:t xml:space="preserve">CJC-1295 verhoogt het groeihormoon, Epitalon activeert in celkweken het telomerase, glutathioncapsules verhogen de glutathionspiegel in het bloed. Dat zijn vervangende meetwaarden („surrogaateindpunten”, zie Deel I). Of daar iets uit volgt dat voor mensen telt – meer spierkracht, een langer leven, minder ziekten –, is een aparte vraag die aparte studies vereist. Bij het groeihormoon laat het voorbeeld ibutamoren zien hoe groot de kloof kan zijn: bij 65 gezonde oudere mensen nam de vetvrije massa in een jaar met 1,1 kg toe, maar kracht en lichamelijk functioneren verbeterden niet</w:t>
      </w:r>
      <w:r>
        <w:rPr>
          <w:rStyle w:val="FootnoteReference"/>
        </w:rPr>
        <w:footnoteReference w:id="2583"/>
      </w:r>
      <w:r>
        <w:t xml:space="preserve">.</w:t>
      </w:r>
    </w:p>
    <w:bookmarkEnd w:id="2584"/>
    <w:bookmarkStart w:id="2586" w:name="verwisseling-van-stoffen"/>
    <w:p>
      <w:pPr>
        <w:pStyle w:val="Heading4"/>
      </w:pPr>
      <w:r>
        <w:t xml:space="preserve">3. Verwisseling van stoffen</w:t>
      </w:r>
    </w:p>
    <w:p>
      <w:pPr>
        <w:pStyle w:val="FirstParagraph"/>
      </w:pPr>
      <w:r>
        <w:t xml:space="preserve">Meerdere beloften berusten op studies met een andere stof dan die welke wordt verkocht:</w:t>
      </w:r>
    </w:p>
    <w:p>
      <w:pPr>
        <w:numPr>
          <w:ilvl w:val="0"/>
          <w:numId w:val="1330"/>
        </w:numPr>
        <w:pStyle w:val="Compact"/>
      </w:pPr>
      <w:r>
        <w:rPr>
          <w:bCs/>
          <w:b/>
        </w:rPr>
        <w:t xml:space="preserve">TB-500</w:t>
      </w:r>
      <w:r>
        <w:t xml:space="preserve"> </w:t>
      </w:r>
      <w:r>
        <w:t xml:space="preserve">is een gewijzigd fragment. De studies bij mensen betreffen het volledige eiwit thymosine bèta-4 – en ook die gaan nauwelijks over pezen, banden of spieren.</w:t>
      </w:r>
    </w:p>
    <w:p>
      <w:pPr>
        <w:numPr>
          <w:ilvl w:val="0"/>
          <w:numId w:val="1330"/>
        </w:numPr>
        <w:pStyle w:val="Compact"/>
      </w:pPr>
      <w:r>
        <w:rPr>
          <w:bCs/>
          <w:b/>
        </w:rPr>
        <w:t xml:space="preserve">Epitalon</w:t>
      </w:r>
      <w:r>
        <w:t xml:space="preserve"> </w:t>
      </w:r>
      <w:r>
        <w:t xml:space="preserve">is een synthetisch tetrapeptide. De vaak geciteerde studie over een langer leven betrof het runderextract epithalamine, was niet gerandomiseerd en werd nooit onafhankelijk herhaald.</w:t>
      </w:r>
    </w:p>
    <w:p>
      <w:pPr>
        <w:numPr>
          <w:ilvl w:val="0"/>
          <w:numId w:val="1330"/>
        </w:numPr>
        <w:pStyle w:val="Compact"/>
      </w:pPr>
      <w:r>
        <w:rPr>
          <w:bCs/>
          <w:b/>
        </w:rPr>
        <w:t xml:space="preserve">CJC-1295</w:t>
      </w:r>
      <w:r>
        <w:t xml:space="preserve"> </w:t>
      </w:r>
      <w:r>
        <w:t xml:space="preserve">wordt overwegend verkocht zonder de „DAC”-groep die in de studies bij mensen werd gebruikt.</w:t>
      </w:r>
    </w:p>
    <w:p>
      <w:pPr>
        <w:numPr>
          <w:ilvl w:val="0"/>
          <w:numId w:val="1330"/>
        </w:numPr>
        <w:pStyle w:val="Compact"/>
      </w:pPr>
      <w:r>
        <w:rPr>
          <w:bCs/>
          <w:b/>
        </w:rPr>
        <w:t xml:space="preserve">Retatrutide</w:t>
      </w:r>
      <w:r>
        <w:t xml:space="preserve"> </w:t>
      </w:r>
      <w:r>
        <w:t xml:space="preserve">van de grijze markt is niet het geneesmiddel uit de studies. Laboratoriumanalyses van andere grijze-marktpeptiden laten zien dat flesjes vaak minder, meer of een andere werkzame stof bevatten dan opgegeven; bij ipamoreline en CJC-1295 vonden laboratoria gewijzigde, niet-gedeclareerde moleculen</w:t>
      </w:r>
      <w:r>
        <w:rPr>
          <w:rStyle w:val="FootnoteReference"/>
        </w:rPr>
        <w:footnoteReference w:id="2585"/>
      </w:r>
      <w:r>
        <w:t xml:space="preserve">.</w:t>
      </w:r>
    </w:p>
    <w:bookmarkEnd w:id="2586"/>
    <w:bookmarkStart w:id="2590" w:name="negatieve-studies-worden-niet-genoemd"/>
    <w:p>
      <w:pPr>
        <w:pStyle w:val="Heading4"/>
      </w:pPr>
      <w:r>
        <w:t xml:space="preserve">4. Negatieve studies worden niet genoemd</w:t>
      </w:r>
    </w:p>
    <w:p>
      <w:pPr>
        <w:pStyle w:val="FirstParagraph"/>
      </w:pPr>
      <w:r>
        <w:t xml:space="preserve">Voor meerdere peptiden bestaan wel degelijk gerandomiseerde studies – alleen vonden die geen voordeel. Ipamoreline verkortte na darmoperaties de tijd tot de eerste maaltijd niet significant</w:t>
      </w:r>
      <w:r>
        <w:rPr>
          <w:rStyle w:val="FootnoteReference"/>
        </w:rPr>
        <w:footnoteReference w:id="2587"/>
      </w:r>
      <w:r>
        <w:t xml:space="preserve">. Glutathioninfusen beschermden niet tegen zenuwschade door chemotherapie</w:t>
      </w:r>
      <w:r>
        <w:rPr>
          <w:rStyle w:val="FootnoteReference"/>
        </w:rPr>
        <w:footnoteReference w:id="2588"/>
      </w:r>
      <w:r>
        <w:t xml:space="preserve">. Bij collageen verdween het voordeel voor de huid zodra alleen onafhankelijk gefinancierde studies werden bekeken</w:t>
      </w:r>
      <w:r>
        <w:rPr>
          <w:rStyle w:val="FootnoteReference"/>
        </w:rPr>
        <w:footnoteReference w:id="2589"/>
      </w:r>
      <w:r>
        <w:t xml:space="preserve">. Zulke resultaten duiken in reclameteksten praktisch nooit op. Een serieuze weergave noemt positieve</w:t>
      </w:r>
      <w:r>
        <w:t xml:space="preserve"> </w:t>
      </w:r>
      <w:r>
        <w:rPr>
          <w:iCs/>
          <w:i/>
        </w:rPr>
        <w:t xml:space="preserve">en</w:t>
      </w:r>
      <w:r>
        <w:t xml:space="preserve"> </w:t>
      </w:r>
      <w:r>
        <w:t xml:space="preserve">negatieve studies.</w:t>
      </w:r>
    </w:p>
    <w:bookmarkEnd w:id="2590"/>
    <w:bookmarkStart w:id="2591" w:name="kleine-studies-uit-een-kleine-kring"/>
    <w:p>
      <w:pPr>
        <w:pStyle w:val="Heading4"/>
      </w:pPr>
      <w:r>
        <w:t xml:space="preserve">5. Kleine studies uit een kleine kring</w:t>
      </w:r>
    </w:p>
    <w:p>
      <w:pPr>
        <w:pStyle w:val="FirstParagraph"/>
      </w:pPr>
      <w:r>
        <w:t xml:space="preserve">Semax, Selank, Epitalon en Pinealon werden bijna uitsluitend in Rusland onderzocht, meestal door de ontwikkelaars zelf, in kleine groepen en vaak zonder placebovergelijking. Dat maakt de resultaten niet automatisch onjuist. Het betekent wel dat ze nooit zijn getest onder de voorwaarden die tegenwoordig voor een registratie worden geëist: vooraf geregistreerd, geblindeerd, voldoende groot en door onafhankelijke groepen bevestigd.</w:t>
      </w:r>
    </w:p>
    <w:bookmarkEnd w:id="2591"/>
    <w:bookmarkStart w:id="2593" w:name="X25c30659159d364777f6c9a4c71dd9d9ce8f782"/>
    <w:p>
      <w:pPr>
        <w:pStyle w:val="Heading4"/>
      </w:pPr>
      <w:r>
        <w:t xml:space="preserve">6. „Geen bijwerkingen” betekent meestal „niet onderzocht”</w:t>
      </w:r>
    </w:p>
    <w:p>
      <w:pPr>
        <w:pStyle w:val="FirstParagraph"/>
      </w:pPr>
      <w:r>
        <w:t xml:space="preserve">De bewering dat een peptide „goed verdragen” wordt of „zonder bijwerkingen” is, steunt bij BPC-157 op samen 30 personen. Met zo weinig deelnemers zijn alleen veelvoorkomende, direct optredende problemen te herkennen; een bijwerking die één op de duizend personen treft, zou onzichtbaar blijven. Bij stoffen die groeisignalen versterken – groeihormoonvrijmakers, IGF-1 LR3, peptiden die de vorming van nieuwe bloedvaten bevorderen – bestaat bovendien een theoretische, maar niet onderzochte zorg over tumorgroei. Bij Melanotan II beschrijven casusbeschrijvingen nieuwe en veranderde moedervlekken en melanomen; een oorzakelijk verband is niet bewezen, maar ook niet uitgesloten. Daarbij komen de risico’s van de producten zelf: in grijze-marktflesjes met Melanotan II werden minder werkzame stof dan opgegeven en onbekende verontreinigingen gevonden</w:t>
      </w:r>
      <w:r>
        <w:rPr>
          <w:rStyle w:val="FootnoteReference"/>
        </w:rPr>
        <w:footnoteReference w:id="2592"/>
      </w:r>
      <w:r>
        <w:t xml:space="preserve">. Meer hierover in Deel IV.</w:t>
      </w:r>
    </w:p>
    <w:bookmarkEnd w:id="2593"/>
    <w:bookmarkEnd w:id="2594"/>
    <w:bookmarkStart w:id="2600" w:name="Xd00ce438ab493942fa179b30203f974dd5d71fa"/>
    <w:p>
      <w:pPr>
        <w:pStyle w:val="Heading3"/>
      </w:pPr>
      <w:r>
        <w:t xml:space="preserve">Hoe je serieuze van onbetrouwbare beweringen onderscheidt</w:t>
      </w:r>
    </w:p>
    <w:p>
      <w:pPr>
        <w:pStyle w:val="FirstParagraph"/>
      </w:pPr>
      <w:r>
        <w:t xml:space="preserve">De volgende checklist helpt om beweringen over peptiden – in webwinkels, video’s, fora of tijdschriften – te duiden. Ze vervangt geen deskundig advies, maar scherpt de blik voor hoeveel er achter een bewering zit.</w:t>
      </w:r>
    </w:p>
    <w:bookmarkStart w:id="2595" w:name="vragen-over-de-bron"/>
    <w:p>
      <w:pPr>
        <w:pStyle w:val="Heading4"/>
      </w:pPr>
      <w:r>
        <w:t xml:space="preserve">Vragen over de bron</w:t>
      </w:r>
    </w:p>
    <w:p>
      <w:pPr>
        <w:numPr>
          <w:ilvl w:val="0"/>
          <w:numId w:val="1331"/>
        </w:numPr>
        <w:pStyle w:val="Compact"/>
      </w:pPr>
      <w:r>
        <w:rPr>
          <w:bCs/>
          <w:b/>
        </w:rPr>
        <w:t xml:space="preserve">Wie spreekt er?</w:t>
      </w:r>
      <w:r>
        <w:t xml:space="preserve"> </w:t>
      </w:r>
      <w:r>
        <w:t xml:space="preserve">Verkoopt de persoon of website de stof zelf, biedt die cursussen, consulten of kortingscodes aan? Een financieel belang maakt een bewering niet onjuist, maar is wel een reden om beter te kijken.</w:t>
      </w:r>
    </w:p>
    <w:p>
      <w:pPr>
        <w:numPr>
          <w:ilvl w:val="0"/>
          <w:numId w:val="1331"/>
        </w:numPr>
        <w:pStyle w:val="Compact"/>
      </w:pPr>
      <w:r>
        <w:rPr>
          <w:bCs/>
          <w:b/>
        </w:rPr>
        <w:t xml:space="preserve">Worden studies genoemd – en zijn ze te vinden?</w:t>
      </w:r>
      <w:r>
        <w:t xml:space="preserve"> </w:t>
      </w:r>
      <w:r>
        <w:t xml:space="preserve">Serieuze beweringen noemen een controleerbare bron: een PMID, een DOI of een registratienummer (NCT). Je kunt elke PMID gratis in PubMed invoeren en de abstract zelf lezen. Formuleringen als „studies tonen aan” zonder concrete vermelding zijn een waarschuwingssignaal.</w:t>
      </w:r>
    </w:p>
    <w:p>
      <w:pPr>
        <w:numPr>
          <w:ilvl w:val="0"/>
          <w:numId w:val="1331"/>
        </w:numPr>
        <w:pStyle w:val="Compact"/>
      </w:pPr>
      <w:r>
        <w:rPr>
          <w:bCs/>
          <w:b/>
        </w:rPr>
        <w:t xml:space="preserve">Past de geciteerde studie bij de bewering?</w:t>
      </w:r>
      <w:r>
        <w:t xml:space="preserve"> </w:t>
      </w:r>
      <w:r>
        <w:t xml:space="preserve">Controleer of de studie werkelijk de verkochte stof, de aangeprezen toepassing en mensen heeft onderzocht – of dat het ging om een verwant molecuul, een andere aandoening of ratten.</w:t>
      </w:r>
    </w:p>
    <w:bookmarkEnd w:id="2595"/>
    <w:bookmarkStart w:id="2596" w:name="vragen-over-de-studie"/>
    <w:p>
      <w:pPr>
        <w:pStyle w:val="Heading4"/>
      </w:pPr>
      <w:r>
        <w:t xml:space="preserve">Vragen over de studie</w:t>
      </w:r>
    </w:p>
    <w:p>
      <w:pPr>
        <w:numPr>
          <w:ilvl w:val="0"/>
          <w:numId w:val="1332"/>
        </w:numPr>
        <w:pStyle w:val="Compact"/>
      </w:pPr>
      <w:r>
        <w:rPr>
          <w:bCs/>
          <w:b/>
        </w:rPr>
        <w:t xml:space="preserve">Mens, dier of celkweek?</w:t>
      </w:r>
      <w:r>
        <w:t xml:space="preserve"> </w:t>
      </w:r>
      <w:r>
        <w:t xml:space="preserve">Staat in de abstract „rats”, „mice”, „in vitro” of „cell culture”, dan zegt dat niets over de werking bij de mens.</w:t>
      </w:r>
    </w:p>
    <w:p>
      <w:pPr>
        <w:numPr>
          <w:ilvl w:val="0"/>
          <w:numId w:val="1332"/>
        </w:numPr>
        <w:pStyle w:val="Compact"/>
      </w:pPr>
      <w:r>
        <w:rPr>
          <w:bCs/>
          <w:b/>
        </w:rPr>
        <w:t xml:space="preserve">Was er een vergelijkingsgroep?</w:t>
      </w:r>
      <w:r>
        <w:t xml:space="preserve"> </w:t>
      </w:r>
      <w:r>
        <w:t xml:space="preserve">Zonder placebo- of controlegroep valt niet te onderscheiden of een verbetering komt door de stof, door de tijd, door andere behandelingen of door de verwachting. Juist bij pijn, stemming of slaap is het placebo-effect groot.</w:t>
      </w:r>
    </w:p>
    <w:p>
      <w:pPr>
        <w:numPr>
          <w:ilvl w:val="0"/>
          <w:numId w:val="1332"/>
        </w:numPr>
        <w:pStyle w:val="Compact"/>
      </w:pPr>
      <w:r>
        <w:rPr>
          <w:bCs/>
          <w:b/>
        </w:rPr>
        <w:t xml:space="preserve">Hoeveel deelnemers?</w:t>
      </w:r>
      <w:r>
        <w:t xml:space="preserve"> </w:t>
      </w:r>
      <w:r>
        <w:t xml:space="preserve">Studies met 10 of 20 personen kunnen aanwijzingen geven, maar geen voordeel aantonen en zeldzame bijwerkingen niet herkennen.</w:t>
      </w:r>
    </w:p>
    <w:p>
      <w:pPr>
        <w:numPr>
          <w:ilvl w:val="0"/>
          <w:numId w:val="1332"/>
        </w:numPr>
        <w:pStyle w:val="Compact"/>
      </w:pPr>
      <w:r>
        <w:rPr>
          <w:bCs/>
          <w:b/>
        </w:rPr>
        <w:t xml:space="preserve">Wat werd gemeten?</w:t>
      </w:r>
      <w:r>
        <w:t xml:space="preserve"> </w:t>
      </w:r>
      <w:r>
        <w:t xml:space="preserve">Een laboratoriumwaarde die stijgt, is geen merkbaar voordeel. Vraag je af: werd gemeten wat voor de betrokkenen telt – pijn, functie, ziektegebeurtenissen, kwaliteit van leven?</w:t>
      </w:r>
    </w:p>
    <w:p>
      <w:pPr>
        <w:numPr>
          <w:ilvl w:val="0"/>
          <w:numId w:val="1332"/>
        </w:numPr>
        <w:pStyle w:val="Compact"/>
      </w:pPr>
      <w:r>
        <w:rPr>
          <w:bCs/>
          <w:b/>
        </w:rPr>
        <w:t xml:space="preserve">Werd de studie vooraf geregistreerd?</w:t>
      </w:r>
      <w:r>
        <w:t xml:space="preserve"> </w:t>
      </w:r>
      <w:r>
        <w:t xml:space="preserve">Een registratie bij ClinicalTrials.gov of in het EU-register vóór de start van de studie voorkomt dat doelen achteraf passend worden gekozen.</w:t>
      </w:r>
    </w:p>
    <w:p>
      <w:pPr>
        <w:numPr>
          <w:ilvl w:val="0"/>
          <w:numId w:val="1332"/>
        </w:numPr>
        <w:pStyle w:val="Compact"/>
      </w:pPr>
      <w:r>
        <w:rPr>
          <w:bCs/>
          <w:b/>
        </w:rPr>
        <w:t xml:space="preserve">Werd het resultaat herhaald?</w:t>
      </w:r>
      <w:r>
        <w:t xml:space="preserve"> </w:t>
      </w:r>
      <w:r>
        <w:t xml:space="preserve">Eén positief resultaat van één onderzoeksgroep is een begin, geen bewijs.</w:t>
      </w:r>
    </w:p>
    <w:bookmarkEnd w:id="2596"/>
    <w:bookmarkStart w:id="2597" w:name="waarschuwingssignalen-in-de-taal"/>
    <w:p>
      <w:pPr>
        <w:pStyle w:val="Heading4"/>
      </w:pPr>
      <w:r>
        <w:t xml:space="preserve">Waarschuwingssignalen in de taal</w:t>
      </w:r>
    </w:p>
    <w:p>
      <w:pPr>
        <w:numPr>
          <w:ilvl w:val="0"/>
          <w:numId w:val="1333"/>
        </w:numPr>
        <w:pStyle w:val="Compact"/>
      </w:pPr>
      <w:r>
        <w:t xml:space="preserve">Beloften die heel veel verschillende klachten tegelijk betreffen („voor gewrichten, darm, huid, hersenen en immuunsysteem”).</w:t>
      </w:r>
    </w:p>
    <w:p>
      <w:pPr>
        <w:numPr>
          <w:ilvl w:val="0"/>
          <w:numId w:val="1333"/>
        </w:numPr>
        <w:pStyle w:val="Compact"/>
      </w:pPr>
      <w:r>
        <w:t xml:space="preserve">Termen als „wondermiddel”, „geheime tip”, „wat artsen je niet vertellen” of „door de farmaceutische industrie onderdrukt”.</w:t>
      </w:r>
    </w:p>
    <w:p>
      <w:pPr>
        <w:numPr>
          <w:ilvl w:val="0"/>
          <w:numId w:val="1333"/>
        </w:numPr>
        <w:pStyle w:val="Compact"/>
      </w:pPr>
      <w:r>
        <w:t xml:space="preserve">De bewering „geen bijwerkingen” bij een stof die nauwelijks bij mensen is onderzocht.</w:t>
      </w:r>
    </w:p>
    <w:p>
      <w:pPr>
        <w:numPr>
          <w:ilvl w:val="0"/>
          <w:numId w:val="1333"/>
        </w:numPr>
        <w:pStyle w:val="Compact"/>
      </w:pPr>
      <w:r>
        <w:t xml:space="preserve">Ervaringsverhalen en voor-en-nafoto’s in plaats van studiegegevens.</w:t>
      </w:r>
    </w:p>
    <w:p>
      <w:pPr>
        <w:numPr>
          <w:ilvl w:val="0"/>
          <w:numId w:val="1333"/>
        </w:numPr>
        <w:pStyle w:val="Compact"/>
      </w:pPr>
      <w:r>
        <w:t xml:space="preserve">De vermelding „alleen voor onderzoeksdoeleinden” of „niet voor menselijke consumptie” op een product dat tegelijk wordt aangeprezen met effecten bij de mens. Deze tegenstrijdigheid laat zien dat de aanbieder de geneesmiddelenregels wil omzeilen (zie Deel I).</w:t>
      </w:r>
    </w:p>
    <w:p>
      <w:pPr>
        <w:numPr>
          <w:ilvl w:val="0"/>
          <w:numId w:val="1333"/>
        </w:numPr>
        <w:pStyle w:val="Compact"/>
      </w:pPr>
      <w:r>
        <w:t xml:space="preserve">Voorstellen voor doseringen, kuren of combinatiepakketten van meerdere peptiden voor stoffen zonder registratie. Voor zulke schema’s bestaat geen basis in studies.</w:t>
      </w:r>
    </w:p>
    <w:bookmarkEnd w:id="2597"/>
    <w:bookmarkStart w:id="2598" w:name="kenmerken-van-een-serieuze-weergave"/>
    <w:p>
      <w:pPr>
        <w:pStyle w:val="Heading4"/>
      </w:pPr>
      <w:r>
        <w:t xml:space="preserve">Kenmerken van een serieuze weergave</w:t>
      </w:r>
    </w:p>
    <w:p>
      <w:pPr>
        <w:numPr>
          <w:ilvl w:val="0"/>
          <w:numId w:val="1334"/>
        </w:numPr>
        <w:pStyle w:val="Compact"/>
      </w:pPr>
      <w:r>
        <w:t xml:space="preserve">Dier- en laboratoriumresultaten worden uitdrukkelijk als zodanig aangeduid.</w:t>
      </w:r>
    </w:p>
    <w:p>
      <w:pPr>
        <w:numPr>
          <w:ilvl w:val="0"/>
          <w:numId w:val="1334"/>
        </w:numPr>
        <w:pStyle w:val="Compact"/>
      </w:pPr>
      <w:r>
        <w:t xml:space="preserve">Negatieve en tegenstrijdige studies worden genoemd, niet alleen de positieve.</w:t>
      </w:r>
    </w:p>
    <w:p>
      <w:pPr>
        <w:numPr>
          <w:ilvl w:val="0"/>
          <w:numId w:val="1334"/>
        </w:numPr>
        <w:pStyle w:val="Compact"/>
      </w:pPr>
      <w:r>
        <w:t xml:space="preserve">Onzekerheid wordt openlijk benoemd („De gegevens zijn onvoldoende om … te beoordelen”).</w:t>
      </w:r>
    </w:p>
    <w:p>
      <w:pPr>
        <w:numPr>
          <w:ilvl w:val="0"/>
          <w:numId w:val="1334"/>
        </w:numPr>
        <w:pStyle w:val="Compact"/>
      </w:pPr>
      <w:r>
        <w:t xml:space="preserve">Juridische status en dopingstatus worden vermeld.</w:t>
      </w:r>
    </w:p>
    <w:p>
      <w:pPr>
        <w:numPr>
          <w:ilvl w:val="0"/>
          <w:numId w:val="1334"/>
        </w:numPr>
        <w:pStyle w:val="Compact"/>
      </w:pPr>
      <w:r>
        <w:t xml:space="preserve">Er staat een duidelijke vermelding dat geneesmiddelen in handen van een arts horen en dat grijze-marktproducten niet gecontroleerd zijn.</w:t>
      </w:r>
    </w:p>
    <w:bookmarkEnd w:id="2598"/>
    <w:bookmarkStart w:id="2599" w:name="drie-vragen-voor-het-dagelijks-leven"/>
    <w:p>
      <w:pPr>
        <w:pStyle w:val="Heading4"/>
      </w:pPr>
      <w:r>
        <w:t xml:space="preserve">Drie vragen voor het dagelijks leven</w:t>
      </w:r>
    </w:p>
    <w:p>
      <w:pPr>
        <w:pStyle w:val="FirstParagraph"/>
      </w:pPr>
      <w:r>
        <w:t xml:space="preserve">Als je weinig tijd hebt, volstaan vaak drie vragen:</w:t>
      </w:r>
    </w:p>
    <w:p>
      <w:pPr>
        <w:numPr>
          <w:ilvl w:val="0"/>
          <w:numId w:val="1335"/>
        </w:numPr>
        <w:pStyle w:val="Compact"/>
      </w:pPr>
      <w:r>
        <w:t xml:space="preserve">Is de stof in de EU of de VS als geneesmiddel geregistreerd voor precies deze toepassing?</w:t>
      </w:r>
    </w:p>
    <w:p>
      <w:pPr>
        <w:numPr>
          <w:ilvl w:val="0"/>
          <w:numId w:val="1335"/>
        </w:numPr>
        <w:pStyle w:val="Compact"/>
      </w:pPr>
      <w:r>
        <w:t xml:space="preserve">Is er minstens één gerandomiseerde, placebogecontroleerde studie bij mensen die het beweerde voordeel heeft aangetoond?</w:t>
      </w:r>
    </w:p>
    <w:p>
      <w:pPr>
        <w:numPr>
          <w:ilvl w:val="0"/>
          <w:numId w:val="1335"/>
        </w:numPr>
        <w:pStyle w:val="Compact"/>
      </w:pPr>
      <w:r>
        <w:t xml:space="preserve">Komt het product uit de apotheek – of uit een bron waarvan niemand de inhoud controleert?</w:t>
      </w:r>
    </w:p>
    <w:p>
      <w:pPr>
        <w:pStyle w:val="FirstParagraph"/>
      </w:pPr>
      <w:r>
        <w:t xml:space="preserve">Luidt het antwoord op alle drie de vragen „nee”, dan berust de belofte op hoop, niet op bewijs.</w:t>
      </w:r>
    </w:p>
    <w:bookmarkEnd w:id="2599"/>
    <w:bookmarkEnd w:id="2600"/>
    <w:bookmarkStart w:id="2601" w:name="conclusie-59"/>
    <w:p>
      <w:pPr>
        <w:pStyle w:val="Heading3"/>
      </w:pPr>
      <w:r>
        <w:t xml:space="preserve">Conclusie</w:t>
      </w:r>
    </w:p>
    <w:p>
      <w:pPr>
        <w:pStyle w:val="FirstParagraph"/>
      </w:pPr>
      <w:r>
        <w:t xml:space="preserve">De op internet populairste peptiden zijn vrijwel zonder uitzondering de slechtst onderzochte. Hun beloften steunen overwegend op dierproeven, op vervangende meetwaarden of op studies met een andere stof; waar er gerandomiseerde studies bij mensen bestaan, hebben die het aangeprezen voordeel meestal niet bevestigd. Dat betekent niet dat geen van deze stoffen ooit een voordeel zou kunnen hebben – maar bij geen enkele zijn de gegevens voldoende om dat aan te tonen. Wie een bewering over een peptide hoort, doet er goed aan naar de bron te vragen, de studie te controleren en het verschil tussen een getest geneesmiddel en een flesje van de grijze markt voor ogen te houden.</w:t>
      </w:r>
    </w:p>
    <w:bookmarkEnd w:id="2601"/>
    <w:bookmarkEnd w:id="2602"/>
    <w:bookmarkEnd w:id="2603"/>
    <w:bookmarkStart w:id="2824" w:name="deel-iv-risicos"/>
    <w:p>
      <w:pPr>
        <w:pStyle w:val="Heading1"/>
      </w:pPr>
      <w:r>
        <w:t xml:space="preserve">Deel IV – Risico’s</w:t>
      </w:r>
    </w:p>
    <w:p>
      <w:pPr>
        <w:pStyle w:val="FirstParagraph"/>
      </w:pPr>
      <w:r>
        <w:t xml:space="preserve">In Deel II staat bij elk peptide een eigen paragraaf „Risico’s en bijwerkingen”. Dit deel herhaalt die paragrafen niet. Het legt ze naast elkaar en vraagt dwars door alle werkzame stoffen heen: welke organen worden getroffen? Welke waarschuwingssignalen duiken bij meerdere peptiden op? Hoe betrouwbaar is wat we weten? Wie details over een bepaalde stof zoekt, vindt bij elk punt een verwijzing naar het bijbehorende hoofdstuk.</w:t>
      </w:r>
    </w:p>
    <w:p>
      <w:pPr>
        <w:pStyle w:val="BodyText"/>
      </w:pPr>
      <w:r>
        <w:t xml:space="preserve">Voordat we beginnen, loont het om kort te kijken hoe je risico’s überhaupt kunt duiden. Drie onderscheidingen lopen als een rode draad door alle volgende hoofdstukken.</w:t>
      </w:r>
    </w:p>
    <w:p>
      <w:pPr>
        <w:pStyle w:val="BodyText"/>
      </w:pPr>
      <w:r>
        <w:rPr>
          <w:bCs/>
          <w:b/>
        </w:rPr>
        <w:t xml:space="preserve">Aangetoond, waargenomen of theoretisch.</w:t>
      </w:r>
      <w:r>
        <w:t xml:space="preserve"> </w:t>
      </w:r>
      <w:r>
        <w:t xml:space="preserve">Een risico is het best aangetoond als het in gerandomiseerde studies (RCT’s) vaker met de werkzame stof optrad dan met placebo. Observationele studies met verzekerings- of registergegevens omvatten daarentegen zeer veel mensen en zeldzame gebeurtenissen, maar kunnen oorzaak en bijkomende omstandigheid niet zeker scheiden. Meldingsdatabanken voor bijwerkingen tonen alleen signalen: wat bekend is en veel wordt besproken, wordt vaker gemeld. Theoretische risico’s ten slotte worden afgeleid uit het werkingsmechanisme, uit dierproeven of uit celkweken. Ze zijn geen bewijs van schade – maar bij stoffen die nooit systematisch bij mensen zijn onderzocht, vaak de enige informatie die er is.</w:t>
      </w:r>
    </w:p>
    <w:p>
      <w:pPr>
        <w:pStyle w:val="BodyText"/>
      </w:pPr>
      <w:r>
        <w:rPr>
          <w:bCs/>
          <w:b/>
        </w:rPr>
        <w:t xml:space="preserve">Ontbrekende gegevens zijn geen veiligheid.</w:t>
      </w:r>
      <w:r>
        <w:t xml:space="preserve"> </w:t>
      </w:r>
      <w:r>
        <w:t xml:space="preserve">Als in drie kleine onderzoeken met samen 30 personen geen behandelingsgerelateerde bijwerkingen opvielen (zo bij BPC-157, Poolton 2026, PMID 42885452), betekent dat alleen dat er geen zeer veelvoorkomende, direct optredende problemen zijn opgetreden. Een bijwerking die één op de duizend personen treft, kan zo’n kleine studie helemaal niet herkennen. Bij veel peptiden uit de groepen B, C en D is dat de uitgangssituatie.</w:t>
      </w:r>
    </w:p>
    <w:p>
      <w:pPr>
        <w:pStyle w:val="BodyText"/>
      </w:pPr>
      <w:r>
        <w:rPr>
          <w:bCs/>
          <w:b/>
        </w:rPr>
        <w:t xml:space="preserve">Relatief en absoluut risico.</w:t>
      </w:r>
      <w:r>
        <w:t xml:space="preserve"> </w:t>
      </w:r>
      <w:r>
        <w:t xml:space="preserve">Krantenkoppen noemen meestal relatieve getallen: „drie keer zo vaak”. Doorslaggevend voor je eigen afweging is echter hoeveel mensen werkelijk worden getroffen. Een voorbeeld uit dit deel: in een Deens-Noorse registerstudie kwam een bepaalde doorbloedingsstoornis van de oogzenuw met semaglutide bijna drie keer zo vaak voor als met een vergelijkingsgeneesmiddel (hazard ratio 2,81). In absolute getallen betekende dat ongeveer 1,4 extra gevallen per 10.000 persoonsjaren</w:t>
      </w:r>
      <w:r>
        <w:rPr>
          <w:rStyle w:val="FootnoteReference"/>
        </w:rPr>
        <w:footnoteReference w:id="2604"/>
      </w:r>
      <w:r>
        <w:t xml:space="preserve">. Beide zijn juist – en beide horen bij de informatie.</w:t>
      </w:r>
    </w:p>
    <w:p>
      <w:pPr>
        <w:pStyle w:val="BodyText"/>
      </w:pPr>
      <w:r>
        <w:t xml:space="preserve">Ten slotte telt de verhouding tussen voordeel en risico. Een geneesmiddel tegen diabetes type 2 dat in grote studies hartinfarcten en beroertes vermindert, mag zeldzame bijwerkingen hebben die bij een bruiningsmiddel of een „longevity-peptide” zonder aangetoond voordeel onaanvaardbaar zouden zijn. Wie een geregistreerd geneesmiddel gebruikt met medische begeleiding en een duidelijke indicatie, bevindt zich in een totaal andere situatie dan iemand die een ongetest poeder van internet injecteert. Hoe je studies leest, legt Deel I uit in het hoofdstuk „Studies goed lezen”.</w:t>
      </w:r>
    </w:p>
    <w:p>
      <w:pPr>
        <w:pStyle w:val="BodyText"/>
      </w:pPr>
      <w:r>
        <w:t xml:space="preserve">Deel IV is als volgt opgebouwd: dit hoofdstuk ordent de bijwerkingen naar orgaansysteem. Daarna volgen hoofdstukken over kankerrisico en groeisignalen, over immuunreacties, over laboratoriumanalyses van grijze-marktproducten en over interacties en bijzonder kwetsbare groepen.</w:t>
      </w:r>
    </w:p>
    <w:bookmarkStart w:id="2662" w:name="bijwerkingen-naar-orgaansysteem"/>
    <w:p>
      <w:pPr>
        <w:pStyle w:val="Heading2"/>
      </w:pPr>
      <w:r>
        <w:t xml:space="preserve">Bijwerkingen naar orgaansysteem</w:t>
      </w:r>
    </w:p>
    <w:p>
      <w:pPr>
        <w:pStyle w:val="FirstParagraph"/>
      </w:pPr>
      <w:r>
        <w:t xml:space="preserve">Het volgende overzicht vat samen welke orgaansystemen bij welke peptiden het vaakst worden getroffen. De kolom „Frequentie/bewijs” noemt een typische orde van grootte uit een van de studies die in dit hoofdstuk of in het vermelde peptidehoofdstuk worden besproken. De cijfers komen uit verschillende studies en bevolkingsgroepen en zijn daarom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Orgaansysteem</w:t>
            </w:r>
          </w:p>
        </w:tc>
        <w:tc>
          <w:tcPr/>
          <w:p>
            <w:pPr>
              <w:pStyle w:val="Compact"/>
              <w:jc w:val="left"/>
            </w:pPr>
            <w:r>
              <w:t xml:space="preserve">Betrokken peptiden</w:t>
            </w:r>
          </w:p>
        </w:tc>
        <w:tc>
          <w:tcPr/>
          <w:p>
            <w:pPr>
              <w:pStyle w:val="Compact"/>
              <w:jc w:val="left"/>
            </w:pPr>
            <w:r>
              <w:t xml:space="preserve">Frequentie/bewijs</w:t>
            </w:r>
          </w:p>
        </w:tc>
        <w:tc>
          <w:tcPr/>
          <w:p>
            <w:pPr>
              <w:pStyle w:val="Compact"/>
              <w:jc w:val="left"/>
            </w:pPr>
            <w:r>
              <w:t xml:space="preserve">Hoofdstuk</w:t>
            </w:r>
          </w:p>
        </w:tc>
      </w:tr>
      <w:tr>
        <w:tc>
          <w:tcPr/>
          <w:p>
            <w:pPr>
              <w:pStyle w:val="Compact"/>
              <w:jc w:val="left"/>
            </w:pPr>
            <w:r>
              <w:t xml:space="preserve">Maag-darmkanaal</w:t>
            </w:r>
          </w:p>
        </w:tc>
        <w:tc>
          <w:tcPr/>
          <w:p>
            <w:pPr>
              <w:pStyle w:val="Compact"/>
              <w:jc w:val="left"/>
            </w:pPr>
            <w:r>
              <w:t xml:space="preserve">alle GLP-1-geneesmiddelen, pramlintide, bremelanotide, setmelanotide</w:t>
            </w:r>
          </w:p>
        </w:tc>
        <w:tc>
          <w:tcPr/>
          <w:p>
            <w:pPr>
              <w:pStyle w:val="Compact"/>
              <w:jc w:val="left"/>
            </w:pPr>
            <w:r>
              <w:t xml:space="preserve">zeer vaak; CagriSema 79,6% vs. 39,9% met placebo (Garvey 2025, PMID 40544433)</w:t>
            </w:r>
          </w:p>
        </w:tc>
        <w:tc>
          <w:tcPr/>
          <w:p>
            <w:pPr>
              <w:pStyle w:val="Compact"/>
              <w:jc w:val="left"/>
            </w:pPr>
            <w:r>
              <w:t xml:space="preserve">Semaglutide, Survodutide, Cagrilintide</w:t>
            </w:r>
          </w:p>
        </w:tc>
      </w:tr>
      <w:tr>
        <w:tc>
          <w:tcPr/>
          <w:p>
            <w:pPr>
              <w:pStyle w:val="Compact"/>
              <w:jc w:val="left"/>
            </w:pPr>
            <w:r>
              <w:t xml:space="preserve">Galblaas</w:t>
            </w:r>
          </w:p>
        </w:tc>
        <w:tc>
          <w:tcPr/>
          <w:p>
            <w:pPr>
              <w:pStyle w:val="Compact"/>
              <w:jc w:val="left"/>
            </w:pPr>
            <w:r>
              <w:t xml:space="preserve">GLP-1-klasse, vooral bij gewichtsverlies</w:t>
            </w:r>
          </w:p>
        </w:tc>
        <w:tc>
          <w:tcPr/>
          <w:p>
            <w:pPr>
              <w:pStyle w:val="Compact"/>
              <w:jc w:val="left"/>
            </w:pPr>
            <w:r>
              <w:t xml:space="preserve">relatief risico 1,37 (alle studies), 2,29 (afslankstudies)</w:t>
            </w:r>
          </w:p>
        </w:tc>
        <w:tc>
          <w:tcPr/>
          <w:p>
            <w:pPr>
              <w:pStyle w:val="Compact"/>
              <w:jc w:val="left"/>
            </w:pPr>
            <w:r>
              <w:t xml:space="preserve">Liraglutide, Tirzepatide</w:t>
            </w:r>
          </w:p>
        </w:tc>
      </w:tr>
      <w:tr>
        <w:tc>
          <w:tcPr/>
          <w:p>
            <w:pPr>
              <w:pStyle w:val="Compact"/>
              <w:jc w:val="left"/>
            </w:pPr>
            <w:r>
              <w:t xml:space="preserve">Alvleesklier</w:t>
            </w:r>
          </w:p>
        </w:tc>
        <w:tc>
          <w:tcPr/>
          <w:p>
            <w:pPr>
              <w:pStyle w:val="Compact"/>
              <w:jc w:val="left"/>
            </w:pPr>
            <w:r>
              <w:t xml:space="preserve">GLP-1-klasse</w:t>
            </w:r>
          </w:p>
        </w:tc>
        <w:tc>
          <w:tcPr/>
          <w:p>
            <w:pPr>
              <w:pStyle w:val="Compact"/>
              <w:jc w:val="left"/>
            </w:pPr>
            <w:r>
              <w:t xml:space="preserve">signaal in meta-analyses, absoluut zeldzaam</w:t>
            </w:r>
          </w:p>
        </w:tc>
        <w:tc>
          <w:tcPr/>
          <w:p>
            <w:pPr>
              <w:pStyle w:val="Compact"/>
              <w:jc w:val="left"/>
            </w:pPr>
            <w:r>
              <w:t xml:space="preserve">Exenatide, Semaglutide</w:t>
            </w:r>
          </w:p>
        </w:tc>
      </w:tr>
      <w:tr>
        <w:tc>
          <w:tcPr/>
          <w:p>
            <w:pPr>
              <w:pStyle w:val="Compact"/>
              <w:jc w:val="left"/>
            </w:pPr>
            <w:r>
              <w:t xml:space="preserve">Schildklier</w:t>
            </w:r>
          </w:p>
        </w:tc>
        <w:tc>
          <w:tcPr/>
          <w:p>
            <w:pPr>
              <w:pStyle w:val="Compact"/>
              <w:jc w:val="left"/>
            </w:pPr>
            <w:r>
              <w:t xml:space="preserve">GLP-1-klasse</w:t>
            </w:r>
          </w:p>
        </w:tc>
        <w:tc>
          <w:tcPr/>
          <w:p>
            <w:pPr>
              <w:pStyle w:val="Compact"/>
              <w:jc w:val="left"/>
            </w:pPr>
            <w:r>
              <w:t xml:space="preserve">bevinding bij dieren vaststaand, bij de mens wisselend</w:t>
            </w:r>
          </w:p>
        </w:tc>
        <w:tc>
          <w:tcPr/>
          <w:p>
            <w:pPr>
              <w:pStyle w:val="Compact"/>
              <w:jc w:val="left"/>
            </w:pPr>
            <w:r>
              <w:t xml:space="preserve">Liraglutide, hoofdstuk Kankerrisico</w:t>
            </w:r>
          </w:p>
        </w:tc>
      </w:tr>
      <w:tr>
        <w:tc>
          <w:tcPr/>
          <w:p>
            <w:pPr>
              <w:pStyle w:val="Compact"/>
              <w:jc w:val="left"/>
            </w:pPr>
            <w:r>
              <w:t xml:space="preserve">Ogen</w:t>
            </w:r>
          </w:p>
        </w:tc>
        <w:tc>
          <w:tcPr/>
          <w:p>
            <w:pPr>
              <w:pStyle w:val="Compact"/>
              <w:jc w:val="left"/>
            </w:pPr>
            <w:r>
              <w:t xml:space="preserve">Semaglutide (NAION, retinopathie)</w:t>
            </w:r>
          </w:p>
        </w:tc>
        <w:tc>
          <w:tcPr/>
          <w:p>
            <w:pPr>
              <w:pStyle w:val="Compact"/>
              <w:jc w:val="left"/>
            </w:pPr>
            <w:r>
              <w:t xml:space="preserve">zeer zeldzaam; ongeveer 1,4 extra gevallen per 10.000 persoonsjaren</w:t>
            </w:r>
          </w:p>
        </w:tc>
        <w:tc>
          <w:tcPr/>
          <w:p>
            <w:pPr>
              <w:pStyle w:val="Compact"/>
              <w:jc w:val="left"/>
            </w:pPr>
            <w:r>
              <w:t xml:space="preserve">Semaglutide</w:t>
            </w:r>
          </w:p>
        </w:tc>
      </w:tr>
      <w:tr>
        <w:tc>
          <w:tcPr/>
          <w:p>
            <w:pPr>
              <w:pStyle w:val="Compact"/>
              <w:jc w:val="left"/>
            </w:pPr>
            <w:r>
              <w:t xml:space="preserve">Hart en bloedvaten, vocht</w:t>
            </w:r>
          </w:p>
        </w:tc>
        <w:tc>
          <w:tcPr/>
          <w:p>
            <w:pPr>
              <w:pStyle w:val="Compact"/>
              <w:jc w:val="left"/>
            </w:pPr>
            <w:r>
              <w:t xml:space="preserve">GH-vrijmakers, ibutamoren, bremelanotide, macimoreline, oxytocine</w:t>
            </w:r>
          </w:p>
        </w:tc>
        <w:tc>
          <w:tcPr/>
          <w:p>
            <w:pPr>
              <w:pStyle w:val="Compact"/>
              <w:jc w:val="left"/>
            </w:pPr>
            <w:r>
              <w:t xml:space="preserve">signaal voor hartfalen, bloeddrukpieken, QT-verlenging</w:t>
            </w:r>
          </w:p>
        </w:tc>
        <w:tc>
          <w:tcPr/>
          <w:p>
            <w:pPr>
              <w:pStyle w:val="Compact"/>
              <w:jc w:val="left"/>
            </w:pPr>
            <w:r>
              <w:t xml:space="preserve">Ibutamoren, Bremelanotide, Macimoreline</w:t>
            </w:r>
          </w:p>
        </w:tc>
      </w:tr>
      <w:tr>
        <w:tc>
          <w:tcPr/>
          <w:p>
            <w:pPr>
              <w:pStyle w:val="Compact"/>
              <w:jc w:val="left"/>
            </w:pPr>
            <w:r>
              <w:t xml:space="preserve">Psyche</w:t>
            </w:r>
          </w:p>
        </w:tc>
        <w:tc>
          <w:tcPr/>
          <w:p>
            <w:pPr>
              <w:pStyle w:val="Compact"/>
              <w:jc w:val="left"/>
            </w:pPr>
            <w:r>
              <w:t xml:space="preserve">GLP-1-klasse (onderzocht), setmelanotide, Semax</w:t>
            </w:r>
          </w:p>
        </w:tc>
        <w:tc>
          <w:tcPr/>
          <w:p>
            <w:pPr>
              <w:pStyle w:val="Compact"/>
              <w:jc w:val="left"/>
            </w:pPr>
            <w:r>
              <w:t xml:space="preserve">geen verhoogd risico in 86 RCT’s</w:t>
            </w:r>
          </w:p>
        </w:tc>
        <w:tc>
          <w:tcPr/>
          <w:p>
            <w:pPr>
              <w:pStyle w:val="Compact"/>
              <w:jc w:val="left"/>
            </w:pPr>
            <w:r>
              <w:t xml:space="preserve">Semaglutide, Tirzepatide, Setmelanotide</w:t>
            </w:r>
          </w:p>
        </w:tc>
      </w:tr>
      <w:tr>
        <w:tc>
          <w:tcPr/>
          <w:p>
            <w:pPr>
              <w:pStyle w:val="Compact"/>
              <w:jc w:val="left"/>
            </w:pPr>
            <w:r>
              <w:t xml:space="preserve">Huid, pigment</w:t>
            </w:r>
          </w:p>
        </w:tc>
        <w:tc>
          <w:tcPr/>
          <w:p>
            <w:pPr>
              <w:pStyle w:val="Compact"/>
              <w:jc w:val="left"/>
            </w:pPr>
            <w:r>
              <w:t xml:space="preserve">Melanotan II, setmelanotide, afamelanotide, bremelanotide, LL-37</w:t>
            </w:r>
          </w:p>
        </w:tc>
        <w:tc>
          <w:tcPr/>
          <w:p>
            <w:pPr>
              <w:pStyle w:val="Compact"/>
              <w:jc w:val="left"/>
            </w:pPr>
            <w:r>
              <w:t xml:space="preserve">pigmentatie bij setmelanotide 62%; melanoomcasussen bij Melanotan II</w:t>
            </w:r>
          </w:p>
        </w:tc>
        <w:tc>
          <w:tcPr/>
          <w:p>
            <w:pPr>
              <w:pStyle w:val="Compact"/>
              <w:jc w:val="left"/>
            </w:pPr>
            <w:r>
              <w:t xml:space="preserve">Melanotan II, Setmelanotide</w:t>
            </w:r>
          </w:p>
        </w:tc>
      </w:tr>
      <w:tr>
        <w:tc>
          <w:tcPr/>
          <w:p>
            <w:pPr>
              <w:pStyle w:val="Compact"/>
              <w:jc w:val="left"/>
            </w:pPr>
            <w:r>
              <w:t xml:space="preserve">Hormoonstelsel</w:t>
            </w:r>
          </w:p>
        </w:tc>
        <w:tc>
          <w:tcPr/>
          <w:p>
            <w:pPr>
              <w:pStyle w:val="Compact"/>
              <w:jc w:val="left"/>
            </w:pPr>
            <w:r>
              <w:t xml:space="preserve">GHRP-2, GHRP-6, hexareline, kisspeptine, gonadoreline</w:t>
            </w:r>
          </w:p>
        </w:tc>
        <w:tc>
          <w:tcPr/>
          <w:p>
            <w:pPr>
              <w:pStyle w:val="Compact"/>
              <w:jc w:val="left"/>
            </w:pPr>
            <w:r>
              <w:t xml:space="preserve">stijging van cortisol en prolactine; onderdrukking van de as bij continue toediening</w:t>
            </w:r>
          </w:p>
        </w:tc>
        <w:tc>
          <w:tcPr/>
          <w:p>
            <w:pPr>
              <w:pStyle w:val="Compact"/>
              <w:jc w:val="left"/>
            </w:pPr>
            <w:r>
              <w:t xml:space="preserve">Groep C, Kisspeptine</w:t>
            </w:r>
          </w:p>
        </w:tc>
      </w:tr>
      <w:tr>
        <w:tc>
          <w:tcPr/>
          <w:p>
            <w:pPr>
              <w:pStyle w:val="Compact"/>
              <w:jc w:val="left"/>
            </w:pPr>
            <w:r>
              <w:t xml:space="preserve">Bloedsuiker</w:t>
            </w:r>
          </w:p>
        </w:tc>
        <w:tc>
          <w:tcPr/>
          <w:p>
            <w:pPr>
              <w:pStyle w:val="Compact"/>
              <w:jc w:val="left"/>
            </w:pPr>
            <w:r>
              <w:t xml:space="preserve">mecasermine, pramlintide, GLP-1 met insuline/sulfonylureumderivaat; GH-as</w:t>
            </w:r>
          </w:p>
        </w:tc>
        <w:tc>
          <w:tcPr/>
          <w:p>
            <w:pPr>
              <w:pStyle w:val="Compact"/>
              <w:jc w:val="left"/>
            </w:pPr>
            <w:r>
              <w:t xml:space="preserve">hypoglykemie bij 49% met mecasermine; hogere bloedsuiker met ibutamoren</w:t>
            </w:r>
          </w:p>
        </w:tc>
        <w:tc>
          <w:tcPr/>
          <w:p>
            <w:pPr>
              <w:pStyle w:val="Compact"/>
              <w:jc w:val="left"/>
            </w:pPr>
            <w:r>
              <w:t xml:space="preserve">Mecasermine, Pramlintide, Ibutamoren</w:t>
            </w:r>
          </w:p>
        </w:tc>
      </w:tr>
    </w:tbl>
    <w:bookmarkStart w:id="2614" w:name="maag-darmkanaal"/>
    <w:p>
      <w:pPr>
        <w:pStyle w:val="Heading3"/>
      </w:pPr>
      <w:r>
        <w:t xml:space="preserve">Maag-darmkanaal</w:t>
      </w:r>
    </w:p>
    <w:p>
      <w:pPr>
        <w:pStyle w:val="FirstParagraph"/>
      </w:pPr>
      <w:r>
        <w:t xml:space="preserve">Geen ander orgaansysteem wordt zo vaak getroffen. Misselijkheid, braken, diarree en obstipatie zijn de typische bijwerkingen van alle geneesmiddelen die op de GLP-1-receptor aangrijpen – van het oudere exenatide via semaglutide en tirzepatide tot de nieuwe meervoudige agonisten. Een overzichtsartikel dat 60 meta-analyses met samen 1.751 gerandomiseerde studies samenvatte, vond de zekerste signalen precies hier: de kans (odds) op misselijkheid was met GLP-1-receptoragonisten ongeveer tweeënhalf keer zo hoog als in de vergelijkingsgroepen (odds ratio 2,47), op braken bijna drie keer (2,78) en op diarree ongeveer twee keer zo hoog (1,94)</w:t>
      </w:r>
      <w:r>
        <w:rPr>
          <w:rStyle w:val="FootnoteReference"/>
        </w:rPr>
        <w:footnoteReference w:id="2605"/>
      </w:r>
      <w:r>
        <w:t xml:space="preserve">.</w:t>
      </w:r>
    </w:p>
    <w:p>
      <w:pPr>
        <w:pStyle w:val="BodyText"/>
      </w:pPr>
      <w:r>
        <w:t xml:space="preserve">Hoe vaak de klachten voorkomen, hangt sterk af van de werkzame stof, de dosis en het tempo van de dosisverhoging. Een netwerk-meta-analyse van 39 studies met 33.354 mensen met overgewicht zonder diabetes vond voor alle onderzochte werkzame stoffen een verhoogd risico op misselijkheid, het sterkst voor orforglipron, gevolgd door exenatide, tirzepatide, semaglutide en liraglutide</w:t>
      </w:r>
      <w:r>
        <w:rPr>
          <w:rStyle w:val="FootnoteReference"/>
        </w:rPr>
        <w:footnoteReference w:id="2606"/>
      </w:r>
      <w:r>
        <w:t xml:space="preserve">. Bij de werkzame stoffen met een extra glucagoncomponent liggen de percentages bijzonder hoog: in de leververvettingsstudie met survodutide had 66% last van misselijkheid tegenover 23% met placebo</w:t>
      </w:r>
      <w:r>
        <w:rPr>
          <w:rStyle w:val="FootnoteReference"/>
        </w:rPr>
        <w:footnoteReference w:id="2607"/>
      </w:r>
      <w:r>
        <w:t xml:space="preserve">. Details staan in de hoofdstukken Survodutide, Mazdutide en Retatrutide.</w:t>
      </w:r>
    </w:p>
    <w:p>
      <w:pPr>
        <w:pStyle w:val="BodyText"/>
      </w:pPr>
      <w:r>
        <w:t xml:space="preserve">Ook buiten de GLP-1-groep is misselijkheid vaak voorkomend. Met bremelanotide trad ze in de fase 3-studies op bij 40,0% tegenover 1,3% met placebo en was ze de meest voorkomende reden om te stoppen</w:t>
      </w:r>
      <w:r>
        <w:rPr>
          <w:rStyle w:val="FootnoteReference"/>
        </w:rPr>
        <w:footnoteReference w:id="2608"/>
      </w:r>
      <w:r>
        <w:t xml:space="preserve">. Met pramlintide meldde 63% misselijkheid, met placebo 36%</w:t>
      </w:r>
      <w:r>
        <w:rPr>
          <w:rStyle w:val="FootnoteReference"/>
        </w:rPr>
        <w:footnoteReference w:id="2609"/>
      </w:r>
      <w:r>
        <w:t xml:space="preserve">. Met setmelanotide was het in een meta-analyse van zeven studies 36%</w:t>
      </w:r>
      <w:r>
        <w:rPr>
          <w:rStyle w:val="FootnoteReference"/>
        </w:rPr>
        <w:footnoteReference w:id="2610"/>
      </w:r>
      <w:r>
        <w:t xml:space="preserve">.</w:t>
      </w:r>
    </w:p>
    <w:p>
      <w:pPr>
        <w:pStyle w:val="BodyText"/>
      </w:pPr>
      <w:r>
        <w:t xml:space="preserve">Belangrijker dan de frequentie van misselijkheid is de vraag naar</w:t>
      </w:r>
      <w:r>
        <w:t xml:space="preserve"> </w:t>
      </w:r>
      <w:r>
        <w:rPr>
          <w:bCs/>
          <w:b/>
        </w:rPr>
        <w:t xml:space="preserve">ernstige</w:t>
      </w:r>
      <w:r>
        <w:t xml:space="preserve"> </w:t>
      </w:r>
      <w:r>
        <w:t xml:space="preserve">maag-darmgebeurtenissen. Een databankanalyse uit 2023 had voor GLP-1-receptoragonisten bij gebruik voor gewichtsverlies een verhoogd risico gemeld op alvleesklierontsteking, darmafsluiting en maagverlamming</w:t>
      </w:r>
      <w:r>
        <w:rPr>
          <w:rStyle w:val="FootnoteReference"/>
        </w:rPr>
        <w:footnoteReference w:id="2611"/>
      </w:r>
      <w:r>
        <w:t xml:space="preserve">. Een meta-analyse van 55 placebogecontroleerde studies met 106.395 deelnemers bevestigde dat voor de meeste van deze gebeurtenissen niet. Verhoogd waren galstenen (relatief risico 1,46; twee extra gevallen per 1.000 behandelden) en waarschijnlijk refluxziekte (relatief risico 2,19; vier extra gevallen per 1.000). Voor darmafsluiting, maagverlamming, zweren of bloedingen werd geen duidelijk verschil gevonden</w:t>
      </w:r>
      <w:r>
        <w:rPr>
          <w:rStyle w:val="FootnoteReference"/>
        </w:rPr>
        <w:footnoteReference w:id="2612"/>
      </w:r>
      <w:r>
        <w:t xml:space="preserve">. In een cohortstudie met routinegegevens verschilden tirzepatide en semaglutide nauwelijks wat ernstige maag-darmgebeurtenissen betreft</w:t>
      </w:r>
      <w:r>
        <w:rPr>
          <w:rStyle w:val="FootnoteReference"/>
        </w:rPr>
        <w:footnoteReference w:id="2613"/>
      </w:r>
      <w:r>
        <w:t xml:space="preserve">.</w:t>
      </w:r>
    </w:p>
    <w:p>
      <w:pPr>
        <w:pStyle w:val="BodyText"/>
      </w:pPr>
      <w:r>
        <w:t xml:space="preserve">Praktisch van belang is dat aanhoudend braken en diarree tot vochtverlies kunnen leiden. De klachten treden in de studies vooral op in de fase van de dosisverhoging; daarom schrijven de productinformaties van de geregistreerde middelen een stapsgewijze aanpak voor, die medisch begeleid moet worden. Met grijze-marktproducten waarvan de inhoud niet bekend is, valt zo’n schema niet betrouwbaar aan te houden (zie hoofdstuk „Grijze-marktproducten”).</w:t>
      </w:r>
    </w:p>
    <w:bookmarkEnd w:id="2614"/>
    <w:bookmarkStart w:id="2618" w:name="galblaas-en-alvleesklier"/>
    <w:p>
      <w:pPr>
        <w:pStyle w:val="Heading3"/>
      </w:pPr>
      <w:r>
        <w:t xml:space="preserve">Galblaas en alvleesklier</w:t>
      </w:r>
    </w:p>
    <w:p>
      <w:pPr>
        <w:pStyle w:val="FirstParagraph"/>
      </w:pPr>
      <w:r>
        <w:t xml:space="preserve">Voor de galblaas is het risico inmiddels goed aangetoond. Een meta-analyse van 76 gerandomiseerde studies met 103.371 deelnemers vond met GLP-1-receptoragonisten een 37% verhoogd relatief risico op aandoeningen van de galblaas en galwegen. In studies naar gewichtsverlies was het relatieve risico met 2,29 duidelijk hoger dan in diabetesstudies</w:t>
      </w:r>
      <w:r>
        <w:rPr>
          <w:rStyle w:val="FootnoteReference"/>
        </w:rPr>
        <w:footnoteReference w:id="2615"/>
      </w:r>
      <w:r>
        <w:t xml:space="preserve">. Een deel van het effect is vermoedelijk toe te schrijven aan het snelle gewichtsverlies zelf, waarvan bekend is dat het galstenen in de hand werkt. In STEP TEENS kregen 5 van 133 jongeren met semaglutide galstenen, met placebo niemand</w:t>
      </w:r>
      <w:r>
        <w:rPr>
          <w:rStyle w:val="FootnoteReference"/>
        </w:rPr>
        <w:footnoteReference w:id="2616"/>
      </w:r>
      <w:r>
        <w:t xml:space="preserve">.</w:t>
      </w:r>
    </w:p>
    <w:p>
      <w:pPr>
        <w:pStyle w:val="BodyText"/>
      </w:pPr>
      <w:r>
        <w:t xml:space="preserve">Bij de alvleesklier is de situatie minder eenduidig. Een meta-analyse van 62 studies met 66.232 deelnemers vond in totaal een licht verhoogd risico op alvleesklierontsteking (relatief risico 1,44). Toen de studies werden gesplitst naar de vraag of de deelnemers daarnaast andere geneesmiddelen gebruikten, was het verschil in geen van beide groepen nog statistisch zeker</w:t>
      </w:r>
      <w:r>
        <w:rPr>
          <w:rStyle w:val="FootnoteReference"/>
        </w:rPr>
        <w:footnoteReference w:id="2617"/>
      </w:r>
      <w:r>
        <w:t xml:space="preserve">. De absolute frequentie is laag; in de grote eindpuntstudies kwam pancreatitis zelden voor. De productinformaties vermelden haar als zeldzame bijwerking. Hevige, aanhoudende pijn in de bovenbuik, vaak uitstralend naar de rug, moet bij deze geneesmiddelen altijd medisch worden onderzocht. Voor de vraag naar alvleesklierkanker, zie het volgende hoofdstuk.</w:t>
      </w:r>
    </w:p>
    <w:bookmarkEnd w:id="2618"/>
    <w:bookmarkStart w:id="2620" w:name="schildklier"/>
    <w:p>
      <w:pPr>
        <w:pStyle w:val="Heading3"/>
      </w:pPr>
      <w:r>
        <w:t xml:space="preserve">Schildklier</w:t>
      </w:r>
    </w:p>
    <w:p>
      <w:pPr>
        <w:pStyle w:val="FirstParagraph"/>
      </w:pPr>
      <w:r>
        <w:t xml:space="preserve">De zorg over de schildklier komt uit dierproeven: bij ratten en muizen leidden GLP-1-receptoragonisten tot woekeringen en tumoren van de C-cellen, die het hormoon calcitonine aanmaken. Bij de mens zijn de gegevens wisselend. Een directe aanwijzing voor prikkeling van de C-cellen zou een stijging van het calcitonine in het bloed zijn. In de studie LEADER met 9.340 deelnemers verschilden de calcitoninewaarden na 36 maanden niet tussen liraglutide en placebo, en met liraglutide trad geen medullair schildkliercarcinoom op</w:t>
      </w:r>
      <w:r>
        <w:rPr>
          <w:rStyle w:val="FootnoteReference"/>
        </w:rPr>
        <w:footnoteReference w:id="2619"/>
      </w:r>
      <w:r>
        <w:t xml:space="preserve">. Hoe de kankervraag als geheel moet worden beoordeeld, behandelt het hoofdstuk „Kankerrisico en groeisignalen”. Los daarvan vermelden de productinformaties een contra-indicatie bij medullair schildkliercarcinoom in de eigen of familiaire voorgeschiedenis en bij het MEN-2-syndroom.</w:t>
      </w:r>
    </w:p>
    <w:bookmarkEnd w:id="2620"/>
    <w:bookmarkStart w:id="2628" w:name="ogen-netvlies-en-oogzenuw"/>
    <w:p>
      <w:pPr>
        <w:pStyle w:val="Heading3"/>
      </w:pPr>
      <w:r>
        <w:t xml:space="preserve">Ogen: netvlies en oogzenuw</w:t>
      </w:r>
    </w:p>
    <w:p>
      <w:pPr>
        <w:pStyle w:val="FirstParagraph"/>
      </w:pPr>
      <w:r>
        <w:t xml:space="preserve">Hier zijn er twee verschillende vragen.</w:t>
      </w:r>
    </w:p>
    <w:p>
      <w:pPr>
        <w:pStyle w:val="BodyText"/>
      </w:pPr>
      <w:r>
        <w:rPr>
          <w:bCs/>
          <w:b/>
        </w:rPr>
        <w:t xml:space="preserve">Diabetische retinopathie.</w:t>
      </w:r>
      <w:r>
        <w:t xml:space="preserve"> </w:t>
      </w:r>
      <w:r>
        <w:t xml:space="preserve">In SUSTAIN 6, een cardiovasculaire studie met 3.297 mensen met diabetes type 2, traden complicaties van een diabetische netvliesaandoening met semaglutide vaker op dan met placebo (hazard ratio 1,76)</w:t>
      </w:r>
      <w:r>
        <w:rPr>
          <w:rStyle w:val="FootnoteReference"/>
        </w:rPr>
        <w:footnoteReference w:id="2621"/>
      </w:r>
      <w:r>
        <w:t xml:space="preserve">. Vermoed wordt dat een zeer snelle daling van de bloedsuiker een al bestaande retinopathie tijdelijk verergert – een verschijnsel dat ook van insuline bekend is. Een meta-analyse van 78 studies met 73.640 deelnemers vond in totaal geen verhoogd risico op diabetische retinopathie (odds ratio 1,04) of op oogaandoeningen in het algemeen</w:t>
      </w:r>
      <w:r>
        <w:rPr>
          <w:rStyle w:val="FootnoteReference"/>
        </w:rPr>
        <w:footnoteReference w:id="2622"/>
      </w:r>
      <w:r>
        <w:t xml:space="preserve">. Voor mensen met bekende retinopathie blijft begeleiding door een oogarts toch zinvol.</w:t>
      </w:r>
    </w:p>
    <w:p>
      <w:pPr>
        <w:pStyle w:val="BodyText"/>
      </w:pPr>
      <w:r>
        <w:rPr>
          <w:bCs/>
          <w:b/>
        </w:rPr>
        <w:t xml:space="preserve">NAION.</w:t>
      </w:r>
      <w:r>
        <w:t xml:space="preserve"> </w:t>
      </w:r>
      <w:r>
        <w:t xml:space="preserve">De niet-arteritische anterieure ischemische opticusneuropathie is een doorbloedingsstoornis van de oogzenuwkop die meestal pijnloos tot plotseling zichtverlies aan één oog leidt. Sinds een eerste studie uit een neuro-oftalmologische kliniek</w:t>
      </w:r>
      <w:r>
        <w:rPr>
          <w:rStyle w:val="FootnoteReference"/>
        </w:rPr>
        <w:footnoteReference w:id="2623"/>
      </w:r>
      <w:r>
        <w:t xml:space="preserve"> </w:t>
      </w:r>
      <w:r>
        <w:t xml:space="preserve">zijn er veel verdere onderzoeken verschenen, met uiteenlopende resultaten:</w:t>
      </w:r>
    </w:p>
    <w:p>
      <w:pPr>
        <w:numPr>
          <w:ilvl w:val="0"/>
          <w:numId w:val="1336"/>
        </w:numPr>
        <w:pStyle w:val="Compact"/>
      </w:pPr>
      <w:r>
        <w:t xml:space="preserve">De Deens-Noorse registerstudie vond een verhoogd relatief risico (hazard ratio 2,81), absoluut ongeveer 1,4 extra gevallen per 10.000 persoonsjaren</w:t>
      </w:r>
      <w:r>
        <w:rPr>
          <w:rStyle w:val="FootnoteReference"/>
        </w:rPr>
        <w:footnoteReference w:id="2624"/>
      </w:r>
      <w:r>
        <w:t xml:space="preserve">.</w:t>
      </w:r>
    </w:p>
    <w:p>
      <w:pPr>
        <w:numPr>
          <w:ilvl w:val="0"/>
          <w:numId w:val="1336"/>
        </w:numPr>
        <w:pStyle w:val="Compact"/>
      </w:pPr>
      <w:r>
        <w:t xml:space="preserve">In een Amerikaans cohort met 159.398 mensen met diabetes type 2 werd in twee jaar 0,04% met semaglutide of tirzepatide ziek en 0,02% in de vergelijkingsgroep (hazard ratio 1,76)</w:t>
      </w:r>
      <w:r>
        <w:rPr>
          <w:rStyle w:val="FootnoteReference"/>
        </w:rPr>
        <w:footnoteReference w:id="2625"/>
      </w:r>
      <w:r>
        <w:t xml:space="preserve">.</w:t>
      </w:r>
    </w:p>
    <w:p>
      <w:pPr>
        <w:numPr>
          <w:ilvl w:val="0"/>
          <w:numId w:val="1336"/>
        </w:numPr>
        <w:pStyle w:val="Compact"/>
      </w:pPr>
      <w:r>
        <w:t xml:space="preserve">Een internationale databankstudie met bijna 300.000 personen vond geen vaststaand verband</w:t>
      </w:r>
      <w:r>
        <w:rPr>
          <w:rStyle w:val="FootnoteReference"/>
        </w:rPr>
        <w:footnoteReference w:id="2626"/>
      </w:r>
      <w:r>
        <w:t xml:space="preserve">.</w:t>
      </w:r>
    </w:p>
    <w:p>
      <w:pPr>
        <w:numPr>
          <w:ilvl w:val="0"/>
          <w:numId w:val="1336"/>
        </w:numPr>
        <w:pStyle w:val="Compact"/>
      </w:pPr>
      <w:r>
        <w:t xml:space="preserve">Een meta-analyse zag het signaal alleen in observationele studies bij diabetes, niet in gerandomiseerde studies en niet bij obesitas</w:t>
      </w:r>
      <w:r>
        <w:rPr>
          <w:rStyle w:val="FootnoteReference"/>
        </w:rPr>
        <w:footnoteReference w:id="2627"/>
      </w:r>
      <w:r>
        <w:t xml:space="preserve">.</w:t>
      </w:r>
    </w:p>
    <w:p>
      <w:pPr>
        <w:pStyle w:val="FirstParagraph"/>
      </w:pPr>
      <w:r>
        <w:t xml:space="preserve">Samengevat: een klein verhoogd risico is mogelijk, de absolute frequentie zeer laag. Het Europees Geneesmiddelenbureau heeft NAION in 2025 als zeer zeldzame bijwerking van semaglutide in de productinformatie opgenomen. Plotseling zichtverlies is in elk geval een noodgeval. Details in het hoofdstuk Semaglutide.</w:t>
      </w:r>
    </w:p>
    <w:bookmarkEnd w:id="2628"/>
    <w:bookmarkStart w:id="2637" w:name="hart-en-bloedvaten-en-vochtophoping"/>
    <w:p>
      <w:pPr>
        <w:pStyle w:val="Heading3"/>
      </w:pPr>
      <w:r>
        <w:t xml:space="preserve">Hart en bloedvaten en vochtophoping</w:t>
      </w:r>
    </w:p>
    <w:p>
      <w:pPr>
        <w:pStyle w:val="FirstParagraph"/>
      </w:pPr>
      <w:r>
        <w:t xml:space="preserve">Bij de GLP-1-geneesmiddelen overheerst volgens de huidige kennis het voordeel voor hart en bloedvaten: in SUSTAIN 6 traden ernstige cardiovasculaire gebeurtenissen met semaglutide minder vaak op (6,6% tegenover 8,9%)</w:t>
      </w:r>
      <w:r>
        <w:rPr>
          <w:rStyle w:val="FootnoteReference"/>
        </w:rPr>
        <w:footnoteReference w:id="2629"/>
      </w:r>
      <w:r>
        <w:t xml:space="preserve">. Een lichte stijging van de hartslag in rust is echter een klasse-eigenschap en bij de nieuwe meervoudige agonisten deels sterker uitgesproken. Met retatrutide trad in TRIUMPH-2 bovendien lage bloeddruk op bij 1 tot 6%, met placebo bij minder dan 1%</w:t>
      </w:r>
      <w:r>
        <w:rPr>
          <w:rStyle w:val="FootnoteReference"/>
        </w:rPr>
        <w:footnoteReference w:id="2630"/>
      </w:r>
      <w:r>
        <w:t xml:space="preserve">. Zie de hoofdstukken Retatrutide en Survodutide.</w:t>
      </w:r>
    </w:p>
    <w:p>
      <w:pPr>
        <w:pStyle w:val="BodyText"/>
      </w:pPr>
      <w:r>
        <w:t xml:space="preserve">Een heel ander patroon laat de</w:t>
      </w:r>
      <w:r>
        <w:t xml:space="preserve"> </w:t>
      </w:r>
      <w:r>
        <w:rPr>
          <w:bCs/>
          <w:b/>
        </w:rPr>
        <w:t xml:space="preserve">groeihormoonas</w:t>
      </w:r>
      <w:r>
        <w:t xml:space="preserve"> </w:t>
      </w:r>
      <w:r>
        <w:t xml:space="preserve">zien. Groeihormoon houdt water vast in het lichaam. In een overzicht van studies met gezonde oudere mensen traden met groeihormoon vaker weefselzwellingen, gewrichtspijn, carpaletunnelsyndroom en borstvergroting bij mannen op</w:t>
      </w:r>
      <w:r>
        <w:rPr>
          <w:rStyle w:val="FootnoteReference"/>
        </w:rPr>
        <w:footnoteReference w:id="2631"/>
      </w:r>
      <w:r>
        <w:t xml:space="preserve">. Voor de vrijmakers die de lichaamseigen afgifte stimuleren, is een vergelijkbaar patroon te verwachten. Het duidelijkst bleek dat bij het orale ibutamoren: een studie bij oudere mensen na een heupfractuur werd wegens een signaal voor hartfalen voortijdig beëindigd</w:t>
      </w:r>
      <w:r>
        <w:rPr>
          <w:rStyle w:val="FootnoteReference"/>
        </w:rPr>
        <w:footnoteReference w:id="2632"/>
      </w:r>
      <w:r>
        <w:t xml:space="preserve">. Een hart dat al verzwakt is, kan extra vocht slecht verwerken.</w:t>
      </w:r>
    </w:p>
    <w:p>
      <w:pPr>
        <w:pStyle w:val="BodyText"/>
      </w:pPr>
      <w:r>
        <w:t xml:space="preserve">Verdere afzonderlijke bevindingen:</w:t>
      </w:r>
    </w:p>
    <w:p>
      <w:pPr>
        <w:numPr>
          <w:ilvl w:val="0"/>
          <w:numId w:val="1337"/>
        </w:numPr>
        <w:pStyle w:val="Compact"/>
      </w:pPr>
      <w:r>
        <w:rPr>
          <w:bCs/>
          <w:b/>
        </w:rPr>
        <w:t xml:space="preserve">Bremelanotide</w:t>
      </w:r>
      <w:r>
        <w:t xml:space="preserve"> </w:t>
      </w:r>
      <w:r>
        <w:t xml:space="preserve">verhoogde de bovendruk na toediening tijdelijk met 2,4 tot 3,2 mmHg; de pieken duurden meestal korter dan 15 minuten, tegelijk daalde de hartslag</w:t>
      </w:r>
      <w:r>
        <w:rPr>
          <w:rStyle w:val="FootnoteReference"/>
        </w:rPr>
        <w:footnoteReference w:id="2633"/>
      </w:r>
      <w:r>
        <w:t xml:space="preserve">.</w:t>
      </w:r>
    </w:p>
    <w:p>
      <w:pPr>
        <w:numPr>
          <w:ilvl w:val="0"/>
          <w:numId w:val="1337"/>
        </w:numPr>
        <w:pStyle w:val="Compact"/>
      </w:pPr>
      <w:r>
        <w:rPr>
          <w:bCs/>
          <w:b/>
        </w:rPr>
        <w:t xml:space="preserve">Macimoreline</w:t>
      </w:r>
      <w:r>
        <w:t xml:space="preserve"> </w:t>
      </w:r>
      <w:r>
        <w:t xml:space="preserve">verlengde bij een bewust te hoge enkelvoudige dosis het QT-interval op het ecg gemiddeld met maximaal 9,61 milliseconden</w:t>
      </w:r>
      <w:r>
        <w:rPr>
          <w:rStyle w:val="FootnoteReference"/>
        </w:rPr>
        <w:footnoteReference w:id="2634"/>
      </w:r>
      <w:r>
        <w:t xml:space="preserve"> </w:t>
      </w:r>
      <w:r>
        <w:t xml:space="preserve">– relevant voor mensen die andere QT-verlengende geneesmiddelen gebruiken.</w:t>
      </w:r>
    </w:p>
    <w:p>
      <w:pPr>
        <w:numPr>
          <w:ilvl w:val="0"/>
          <w:numId w:val="1337"/>
        </w:numPr>
        <w:pStyle w:val="Compact"/>
      </w:pPr>
      <w:r>
        <w:rPr>
          <w:bCs/>
          <w:b/>
        </w:rPr>
        <w:t xml:space="preserve">Oxytocine</w:t>
      </w:r>
      <w:r>
        <w:t xml:space="preserve"> </w:t>
      </w:r>
      <w:r>
        <w:t xml:space="preserve">lijkt chemisch op het waterhuishoudingshormoon vasopressine. Beschreven is een geval van verhoogde hersendruk met oxytocine-neusspray bij een tegelijk zeer hoge vochtinname</w:t>
      </w:r>
      <w:r>
        <w:rPr>
          <w:rStyle w:val="FootnoteReference"/>
        </w:rPr>
        <w:footnoteReference w:id="2635"/>
      </w:r>
      <w:r>
        <w:t xml:space="preserve">.</w:t>
      </w:r>
    </w:p>
    <w:p>
      <w:pPr>
        <w:numPr>
          <w:ilvl w:val="0"/>
          <w:numId w:val="1337"/>
        </w:numPr>
        <w:pStyle w:val="Compact"/>
      </w:pPr>
      <w:r>
        <w:rPr>
          <w:bCs/>
          <w:b/>
        </w:rPr>
        <w:t xml:space="preserve">Melanotan II:</w:t>
      </w:r>
      <w:r>
        <w:t xml:space="preserve"> </w:t>
      </w:r>
      <w:r>
        <w:t xml:space="preserve">casusbeschrijvingen van spierafbraak met nierbeschadiging</w:t>
      </w:r>
      <w:r>
        <w:rPr>
          <w:rStyle w:val="FootnoteReference"/>
        </w:rPr>
        <w:footnoteReference w:id="2636"/>
      </w:r>
      <w:r>
        <w:t xml:space="preserve"> </w:t>
      </w:r>
      <w:r>
        <w:t xml:space="preserve">en een nierinfarct; zie hoofdstuk Melanotan II.</w:t>
      </w:r>
    </w:p>
    <w:bookmarkEnd w:id="2637"/>
    <w:bookmarkStart w:id="2642" w:name="psyche-en-suïcidaliteit"/>
    <w:p>
      <w:pPr>
        <w:pStyle w:val="Heading3"/>
      </w:pPr>
      <w:r>
        <w:t xml:space="preserve">Psyche en suïcidaliteit</w:t>
      </w:r>
    </w:p>
    <w:p>
      <w:pPr>
        <w:pStyle w:val="FirstParagraph"/>
      </w:pPr>
      <w:r>
        <w:t xml:space="preserve">In 2023 leidden afzonderlijke meldingen van suïcidale gedachten met semaglutide en liraglutide tot onderzoeken door de autoriteiten in Europa en de VS. De gegevens zijn inmiddels duidelijk beter en overwegend geruststellend. Een meta-analyse van 86 gerandomiseerde studies met 133.378 deelnemers vond met GLP-1-receptoragonisten geen verhoogd risico op psychische aandoeningen in totaal (relatief risico 0,96), op depressie (0,88), suïcide (0,90) of angststoornissen (0,92)</w:t>
      </w:r>
      <w:r>
        <w:rPr>
          <w:rStyle w:val="FootnoteReference"/>
        </w:rPr>
        <w:footnoteReference w:id="2638"/>
      </w:r>
      <w:r>
        <w:t xml:space="preserve">. In een Scandinavische registerstudie met 124.517 personen met GLP-1-receptoragonisten was het risico op suïcide ten opzichte van een ander diabetesmiddel niet verhoogd; de bovengrens van het betrouwbaarheidsinterval kwam overeen met hoogstens 0,16 extra sterfgevallen per 1.000 persoonsjaren</w:t>
      </w:r>
      <w:r>
        <w:rPr>
          <w:rStyle w:val="FootnoteReference"/>
        </w:rPr>
        <w:footnoteReference w:id="2639"/>
      </w:r>
      <w:r>
        <w:t xml:space="preserve">. In de SURMOUNT-studies meldde met tirzepatide en placebo telkens 0,6% suïcidale gedachten</w:t>
      </w:r>
      <w:r>
        <w:rPr>
          <w:rStyle w:val="FootnoteReference"/>
        </w:rPr>
        <w:footnoteReference w:id="2640"/>
      </w:r>
      <w:r>
        <w:t xml:space="preserve">. Ook bij jongeren vond een meta-analyse geen toename van suïcidaal gedrag of depressie</w:t>
      </w:r>
      <w:r>
        <w:rPr>
          <w:rStyle w:val="FootnoteReference"/>
        </w:rPr>
        <w:footnoteReference w:id="2641"/>
      </w:r>
      <w:r>
        <w:t xml:space="preserve">.</w:t>
      </w:r>
    </w:p>
    <w:p>
      <w:pPr>
        <w:pStyle w:val="BodyText"/>
      </w:pPr>
      <w:r>
        <w:t xml:space="preserve">Eén beperking blijft: mensen met ernstige psychische aandoeningen waren in veel studies uitgesloten. Voor hen en voor mensen met eetstoornissen gelden eigen overwegingen (zie hoofdstuk „Interacties en bijzondere risicogroepen”).</w:t>
      </w:r>
    </w:p>
    <w:p>
      <w:pPr>
        <w:pStyle w:val="BodyText"/>
      </w:pPr>
      <w:r>
        <w:t xml:space="preserve">Andere peptiden werken directer op de hersenen. De productinformatie van setmelanotide bevat waarschuwingen voor depressie en suïcidale gedachten (hoofdstuk Setmelanotide). Voor Semax is bij afzonderlijke personen met voorbeschadigde hersenen een aanvalsachtige eeg-verandering beschreven (hoofdstuk Semax). Voor de meeste „nootropicapeptiden” uit groep D zijn er simpelweg geen systematische gegevens over psychische bijwerkingen.</w:t>
      </w:r>
    </w:p>
    <w:bookmarkEnd w:id="2642"/>
    <w:bookmarkStart w:id="2650" w:name="huid-en-pigment"/>
    <w:p>
      <w:pPr>
        <w:pStyle w:val="Heading3"/>
      </w:pPr>
      <w:r>
        <w:t xml:space="preserve">Huid en pigment</w:t>
      </w:r>
    </w:p>
    <w:p>
      <w:pPr>
        <w:pStyle w:val="FirstParagraph"/>
      </w:pPr>
      <w:r>
        <w:t xml:space="preserve">De opvallendste huidveranderingen worden veroorzaakt door peptiden die op de</w:t>
      </w:r>
      <w:r>
        <w:t xml:space="preserve"> </w:t>
      </w:r>
      <w:r>
        <w:rPr>
          <w:bCs/>
          <w:b/>
        </w:rPr>
        <w:t xml:space="preserve">melanocortine-1-receptor</w:t>
      </w:r>
      <w:r>
        <w:t xml:space="preserve"> </w:t>
      </w:r>
      <w:r>
        <w:t xml:space="preserve">van de pigmentcellen werken. Bij setmelanotide, dat eigenlijk op de melanocortine-4-receptor in de hersenen moet aangrijpen, werd de huid in een meta-analyse bij 62% van de behandelden donkerder</w:t>
      </w:r>
      <w:r>
        <w:rPr>
          <w:rStyle w:val="FootnoteReference"/>
        </w:rPr>
        <w:footnoteReference w:id="2643"/>
      </w:r>
      <w:r>
        <w:t xml:space="preserve">. In een observatie over maximaal 46 maanden werden ook lippen en moedervlekken donkerder, rood haar werd bruin; kwaadaardige huidveranderingen traden niet op</w:t>
      </w:r>
      <w:r>
        <w:rPr>
          <w:rStyle w:val="FootnoteReference"/>
        </w:rPr>
        <w:footnoteReference w:id="2644"/>
      </w:r>
      <w:r>
        <w:t xml:space="preserve">. Bremelanotide veroorzaakte bij toediening op maximaal 16 opeenvolgende dagen bij meer dan een derde van de deelnemers omschreven donkere vlekken</w:t>
      </w:r>
      <w:r>
        <w:rPr>
          <w:rStyle w:val="FootnoteReference"/>
        </w:rPr>
        <w:footnoteReference w:id="2645"/>
      </w:r>
      <w:r>
        <w:t xml:space="preserve">.</w:t>
      </w:r>
    </w:p>
    <w:p>
      <w:pPr>
        <w:pStyle w:val="BodyText"/>
      </w:pPr>
      <w:r>
        <w:t xml:space="preserve">Bij het niet-geregistreerde Melanotan II komen daar nieuw optredende, deels opvallende moedervlekken bij. Een overzicht van alle gepubliceerde gevallen van plotseling optredende moedervlekken met 179 betrokkenen noemde melanotan als een van de uitlokkers; 16% van alle gevallen had minstens één histologisch afwijkende (dysplastische) moedervlek</w:t>
      </w:r>
      <w:r>
        <w:rPr>
          <w:rStyle w:val="FootnoteReference"/>
        </w:rPr>
        <w:footnoteReference w:id="2646"/>
      </w:r>
      <w:r>
        <w:t xml:space="preserve">. Of daaruit een hoger melanoomrisico volgt, behandelt het volgende hoofdstuk.</w:t>
      </w:r>
    </w:p>
    <w:p>
      <w:pPr>
        <w:pStyle w:val="BodyText"/>
      </w:pPr>
      <w:r>
        <w:t xml:space="preserve">Bij de GLP-1-geneesmiddelen staan andere huidbevindingen op de voorgrond. Een systematisch overzicht noemt reacties op de injectieplaats het vaakst met tirzepatide (2 tot 7%) en abnormale huidgewaarwordingen (dysesthesie) vooral met semaglutide: bij standaarddoses bij ongeveer 5%, bij de hoge obesitasdoses bij maximaal 20%</w:t>
      </w:r>
      <w:r>
        <w:rPr>
          <w:rStyle w:val="FootnoteReference"/>
        </w:rPr>
        <w:footnoteReference w:id="2647"/>
      </w:r>
      <w:r>
        <w:t xml:space="preserve">. Met retatrutide trad dysesthesie in TRIUMPH-2 dosisafhankelijk op bij 4 tot 7%, met placebo bij 1%</w:t>
      </w:r>
      <w:r>
        <w:rPr>
          <w:rStyle w:val="FootnoteReference"/>
        </w:rPr>
        <w:footnoteReference w:id="2648"/>
      </w:r>
      <w:r>
        <w:t xml:space="preserve">. Reacties op de injectieplaats en allergieën worden samengevat in het hoofdstuk „Immuunreacties en antistoffen”.</w:t>
      </w:r>
    </w:p>
    <w:p>
      <w:pPr>
        <w:pStyle w:val="BodyText"/>
      </w:pPr>
      <w:r>
        <w:t xml:space="preserve">Een bijzonder geval is LL-37: na injecties in huidmetastasen traden bij een patiënte talrijke wratachtige huidveranderingen op die eerst voor kanker werden gehouden en na het stoppen verdwenen</w:t>
      </w:r>
      <w:r>
        <w:rPr>
          <w:rStyle w:val="FootnoteReference"/>
        </w:rPr>
        <w:footnoteReference w:id="2649"/>
      </w:r>
      <w:r>
        <w:t xml:space="preserve">. Voor glutathioninjecties om de huid lichter te maken hebben autoriteiten meermaals gewaarschuwd (hoofdstuk Glutathion).</w:t>
      </w:r>
    </w:p>
    <w:bookmarkEnd w:id="2650"/>
    <w:bookmarkStart w:id="2654" w:name="hormoonstelsel"/>
    <w:p>
      <w:pPr>
        <w:pStyle w:val="Heading3"/>
      </w:pPr>
      <w:r>
        <w:t xml:space="preserve">Hormoonstelsel</w:t>
      </w:r>
    </w:p>
    <w:p>
      <w:pPr>
        <w:pStyle w:val="FirstParagraph"/>
      </w:pPr>
      <w:r>
        <w:t xml:space="preserve">Veel peptiden zijn zelf hormonen of bootsen hormonen na. Het is daarom niet verrassend dat ze ingrijpen in regelkringen die verder gaan dan het eigenlijke doel.</w:t>
      </w:r>
    </w:p>
    <w:p>
      <w:pPr>
        <w:numPr>
          <w:ilvl w:val="0"/>
          <w:numId w:val="1338"/>
        </w:numPr>
        <w:pStyle w:val="Compact"/>
      </w:pPr>
      <w:r>
        <w:rPr>
          <w:bCs/>
          <w:b/>
        </w:rPr>
        <w:t xml:space="preserve">Stresshormonen en prolactine:</w:t>
      </w:r>
      <w:r>
        <w:t xml:space="preserve"> </w:t>
      </w:r>
      <w:r>
        <w:t xml:space="preserve">de ghrelinemimetica GHRP-2, GHRP-6, hexareline en macimoreline maken naast groeihormoon ook ACTH en cortisol vrij, sommige daarnaast prolactine. Bij GHRP-2 is dit effect zo betrouwbaar dat het als test voor de bijnieras is onderzocht</w:t>
      </w:r>
      <w:r>
        <w:rPr>
          <w:rStyle w:val="FootnoteReference"/>
        </w:rPr>
        <w:footnoteReference w:id="2651"/>
      </w:r>
      <w:r>
        <w:t xml:space="preserve">. Wat een herhaalde stimulatie gedurende maanden teweegbrengt, is niet onderzocht (hoofdstukken GHRP-2, GHRP-6, Hexareline).</w:t>
      </w:r>
    </w:p>
    <w:p>
      <w:pPr>
        <w:numPr>
          <w:ilvl w:val="0"/>
          <w:numId w:val="1338"/>
        </w:numPr>
        <w:pStyle w:val="Compact"/>
      </w:pPr>
      <w:r>
        <w:rPr>
          <w:bCs/>
          <w:b/>
        </w:rPr>
        <w:t xml:space="preserve">Onderdrukking in plaats van stimulatie:</w:t>
      </w:r>
      <w:r>
        <w:t xml:space="preserve"> </w:t>
      </w:r>
      <w:r>
        <w:t xml:space="preserve">hormonen die in het lichaam stootsgewijs worden afgegeven, werken bij continue toediening vaak tegengesteld. Bij de kisspeptine-analoog TAK-448 daalde testosteron bij gezonde mannen tijdens een continu infuus van 14 dagen tot in het castratiebereik</w:t>
      </w:r>
      <w:r>
        <w:rPr>
          <w:rStyle w:val="FootnoteReference"/>
        </w:rPr>
        <w:footnoteReference w:id="2652"/>
      </w:r>
      <w:r>
        <w:t xml:space="preserve">. Hetzelfde principe geldt voor gonadoreline als het niet in het juiste ritme wordt gegeven (hoofdstukken Kisspeptine, Gonadoreline).</w:t>
      </w:r>
    </w:p>
    <w:p>
      <w:pPr>
        <w:numPr>
          <w:ilvl w:val="0"/>
          <w:numId w:val="1338"/>
        </w:numPr>
        <w:pStyle w:val="Compact"/>
      </w:pPr>
      <w:r>
        <w:rPr>
          <w:bCs/>
          <w:b/>
        </w:rPr>
        <w:t xml:space="preserve">Borstvergroting bij mannen</w:t>
      </w:r>
      <w:r>
        <w:t xml:space="preserve"> </w:t>
      </w:r>
      <w:r>
        <w:t xml:space="preserve">is een bekend gevolg van een verhoogde groeihormoonwerking</w:t>
      </w:r>
      <w:r>
        <w:rPr>
          <w:rStyle w:val="FootnoteReference"/>
        </w:rPr>
        <w:footnoteReference w:id="2653"/>
      </w:r>
      <w:r>
        <w:t xml:space="preserve">.</w:t>
      </w:r>
    </w:p>
    <w:p>
      <w:pPr>
        <w:numPr>
          <w:ilvl w:val="0"/>
          <w:numId w:val="1338"/>
        </w:numPr>
        <w:pStyle w:val="Compact"/>
      </w:pPr>
      <w:r>
        <w:rPr>
          <w:bCs/>
          <w:b/>
        </w:rPr>
        <w:t xml:space="preserve">Seksuele functie:</w:t>
      </w:r>
      <w:r>
        <w:t xml:space="preserve"> </w:t>
      </w:r>
      <w:r>
        <w:t xml:space="preserve">melanocortine-agonisten kunnen spontane erecties uitlokken; bij Melanotan II zijn gevallen van priapisme, een pijnlijke aanhoudende erectie, beschreven (hoofdstukken Melanotan II, Setmelanotide).</w:t>
      </w:r>
    </w:p>
    <w:bookmarkEnd w:id="2654"/>
    <w:bookmarkStart w:id="2660" w:name="bloedsuiker"/>
    <w:p>
      <w:pPr>
        <w:pStyle w:val="Heading3"/>
      </w:pPr>
      <w:r>
        <w:t xml:space="preserve">Bloedsuiker</w:t>
      </w:r>
    </w:p>
    <w:p>
      <w:pPr>
        <w:pStyle w:val="FirstParagraph"/>
      </w:pPr>
      <w:r>
        <w:t xml:space="preserve">Peptiden kunnen de bloedsuiker in beide richtingen verschuiven – en beide richtingen zijn relevant.</w:t>
      </w:r>
    </w:p>
    <w:p>
      <w:pPr>
        <w:pStyle w:val="BodyText"/>
      </w:pPr>
      <w:r>
        <w:rPr>
          <w:bCs/>
          <w:b/>
        </w:rPr>
        <w:t xml:space="preserve">Te lage bloedsuiker (hypoglykemie).</w:t>
      </w:r>
      <w:r>
        <w:t xml:space="preserve"> </w:t>
      </w:r>
      <w:r>
        <w:t xml:space="preserve">Het grootste risico heeft mecasermine, dus IGF-1 als geneesmiddel: in een langetermijnstudie met 76 kinderen was hypoglykemie met 49% de meest voorkomende bijwerking</w:t>
      </w:r>
      <w:r>
        <w:rPr>
          <w:rStyle w:val="FootnoteReference"/>
        </w:rPr>
        <w:footnoteReference w:id="2655"/>
      </w:r>
      <w:r>
        <w:t xml:space="preserve">. Voor het laboratoriumpreparaat IGF-1 LR3 is een vergelijkbaar of groter risico biologisch aannemelijk, maar nooit gemeten (hoofdstuk IGF-1 LR3). Pramlintide versterkt de werking van tegelijk geïnjecteerde insuline; ernstige hypoglykemie kwam in een studie vaker voor dan met placebo (0,57 tegenover 0,30 gebeurtenissen per patiëntjaar)</w:t>
      </w:r>
      <w:r>
        <w:rPr>
          <w:rStyle w:val="FootnoteReference"/>
        </w:rPr>
        <w:footnoteReference w:id="2656"/>
      </w:r>
      <w:r>
        <w:t xml:space="preserve">. GLP-1-geneesmiddelen alleen verlagen de bloedsuiker nauwelijks tot in het gevaarlijke bereik, omdat hun werking aan de bloedsuiker gekoppeld is. In combinatie met sulfonylureumderivaten of insuline stijgt het risico echter: met exenatide bovenop metformine en een sulfonylureumderivaat trad lichte tot matige hypoglykemie op bij 28% respectievelijk 19%, met placebo bij 13%</w:t>
      </w:r>
      <w:r>
        <w:rPr>
          <w:rStyle w:val="FootnoteReference"/>
        </w:rPr>
        <w:footnoteReference w:id="2657"/>
      </w:r>
      <w:r>
        <w:t xml:space="preserve">. Meer hierover in het hoofdstuk „Interacties en bijzondere risicogroepen”.</w:t>
      </w:r>
    </w:p>
    <w:p>
      <w:pPr>
        <w:pStyle w:val="BodyText"/>
      </w:pPr>
      <w:r>
        <w:t xml:space="preserve">Een ernstige hypoglykemie na een vermeende „afslankprik” bij iemand zonder diabetes is een waarschuwingssignaal voor een vervalsing met insuline. De gevallen zijn beschreven in Deel I in het hoofdstuk „De grijze markt”.</w:t>
      </w:r>
    </w:p>
    <w:p>
      <w:pPr>
        <w:pStyle w:val="BodyText"/>
      </w:pPr>
      <w:r>
        <w:rPr>
          <w:bCs/>
          <w:b/>
        </w:rPr>
        <w:t xml:space="preserve">Hogere bloedsuiker.</w:t>
      </w:r>
      <w:r>
        <w:t xml:space="preserve"> </w:t>
      </w:r>
      <w:r>
        <w:t xml:space="preserve">Groeihormoon werkt insuline tegen. Met ibutamoren steeg de nuchtere bloedsuiker bij gezonde oudere mensen gemiddeld met 0,3 mmol/l, het lichaamsgewicht met 2,7 kg tegenover 0,8 kg met placebo</w:t>
      </w:r>
      <w:r>
        <w:rPr>
          <w:rStyle w:val="FootnoteReference"/>
        </w:rPr>
        <w:footnoteReference w:id="2658"/>
      </w:r>
      <w:r>
        <w:t xml:space="preserve">. In het overzicht over groeihormoon bij oudere mensen traden iets vaker nieuwe diabetes en een gestoorde nuchtere glucose op</w:t>
      </w:r>
      <w:r>
        <w:rPr>
          <w:rStyle w:val="FootnoteReference"/>
        </w:rPr>
        <w:footnoteReference w:id="2659"/>
      </w:r>
      <w:r>
        <w:t xml:space="preserve">. Met tesamoreline steeg de nuchtere glucose in de eerste weken tijdelijk (hoofdstuk Tesamoreline). Voor mensen met diabetes of voorstadia daarvan is de groeihormoonas daarom bijzonder delicaat.</w:t>
      </w:r>
    </w:p>
    <w:bookmarkEnd w:id="2660"/>
    <w:bookmarkStart w:id="2661" w:name="wat-er-uit-de-vergelijking-volgt"/>
    <w:p>
      <w:pPr>
        <w:pStyle w:val="Heading3"/>
      </w:pPr>
      <w:r>
        <w:t xml:space="preserve">Wat er uit de vergelijking volgt</w:t>
      </w:r>
    </w:p>
    <w:p>
      <w:pPr>
        <w:pStyle w:val="FirstParagraph"/>
      </w:pPr>
      <w:r>
        <w:t xml:space="preserve">Over alle orgaansystemen heen tekenen zich drie patronen af.</w:t>
      </w:r>
    </w:p>
    <w:p>
      <w:pPr>
        <w:pStyle w:val="BodyText"/>
      </w:pPr>
      <w:r>
        <w:t xml:space="preserve">Ten eerste: de best onderzochte peptiden – de geregistreerde GLP-1-geneesmiddelen – hebben de best bekende bijwerkingen. Dat komt niet doordat ze bijzonder gevaarlijk zouden zijn, maar doordat honderdduizenden mensen in studies en registers zijn gevolgd. Veelvoorkomende klachten betreffen het maag-darmkanaal en zijn meestal voorbijgaand; ernstigere risico’s zoals galstenen zijn aangetoond, maar in absolute getallen zeldzaam; signalen zoals NAION zijn zeer zeldzaam en worden verder onderzocht.</w:t>
      </w:r>
    </w:p>
    <w:p>
      <w:pPr>
        <w:pStyle w:val="BodyText"/>
      </w:pPr>
      <w:r>
        <w:t xml:space="preserve">Ten tweede: de peptiden van de groeihormoonas delen een gemeenschappelijk profiel van vochtophoping, hogere bloedsuiker en stijging van stresshormonen. Voor gebruik gedurende maanden of jaren bij gezonde mensen zijn er zo goed als geen gegevens.</w:t>
      </w:r>
    </w:p>
    <w:p>
      <w:pPr>
        <w:pStyle w:val="BodyText"/>
      </w:pPr>
      <w:r>
        <w:t xml:space="preserve">Ten derde: voor de meerderheid van de peptiden uit de groepen B en D zijn orgaanrisico’s helemaal niet te beschrijven, omdat niemand er systematisch naar heeft gezocht. Daar ligt het grootste praktische risico niet in de werkzame stof, maar in het product – meer daarover in het hoofdstuk „Grijze-marktproducten”.</w:t>
      </w:r>
    </w:p>
    <w:bookmarkEnd w:id="2661"/>
    <w:bookmarkEnd w:id="2662"/>
    <w:bookmarkStart w:id="2703" w:name="kankerrisico-en-groeisignalen"/>
    <w:p>
      <w:pPr>
        <w:pStyle w:val="Heading2"/>
      </w:pPr>
      <w:r>
        <w:t xml:space="preserve">Kankerrisico en groeisignalen</w:t>
      </w:r>
    </w:p>
    <w:p>
      <w:pPr>
        <w:pStyle w:val="FirstParagraph"/>
      </w:pPr>
      <w:r>
        <w:t xml:space="preserve">Veel peptiden worden juist aangeprezen omdat ze groei zouden stimuleren: van spieren, pezen, bloedvaten, zenuwcellen of haar. Groei is echter niet kieskeurig. De signaalroutes waarlangs weefsels herstellen en zich vernieuwen, worden ook door kankercellen gebruikt. Daarom duikt bij bijna elk „herstel-”, „anti-aging-” of groeihormoonpeptide dezelfde vraag op: kan het kanker bevorderen?</w:t>
      </w:r>
    </w:p>
    <w:p>
      <w:pPr>
        <w:pStyle w:val="BodyText"/>
      </w:pPr>
      <w:r>
        <w:t xml:space="preserve">Dit hoofdstuk vat samen wat daarover bekend is – gescheiden naar de vier mechanismen die in Deel II steeds weer terugkomen: de groeihormoon-IGF-1-as, de vorming van nieuwe bloedvaten, de stimulatie van de pigmentcellen en de werking van de GLP-1-geneesmiddelen op schildklier en alvleesklier. Aan het einde staat een overzicht van de nieuwste grote analyses over GLP-1-geneesmiddelen en kanker.</w:t>
      </w:r>
    </w:p>
    <w:bookmarkStart w:id="2664" w:name="hoe-je-de-kankervraag-kunt-duiden"/>
    <w:p>
      <w:pPr>
        <w:pStyle w:val="Heading3"/>
      </w:pPr>
      <w:r>
        <w:t xml:space="preserve">Hoe je de kankervraag kunt duiden</w:t>
      </w:r>
    </w:p>
    <w:p>
      <w:pPr>
        <w:pStyle w:val="FirstParagraph"/>
      </w:pPr>
      <w:r>
        <w:t xml:space="preserve">Vier punten helpen om de volgende gegevens te lezen.</w:t>
      </w:r>
    </w:p>
    <w:p>
      <w:pPr>
        <w:pStyle w:val="BodyText"/>
      </w:pPr>
      <w:r>
        <w:rPr>
          <w:bCs/>
          <w:b/>
        </w:rPr>
        <w:t xml:space="preserve">Veroorzaken of bevorderen.</w:t>
      </w:r>
      <w:r>
        <w:t xml:space="preserve"> </w:t>
      </w:r>
      <w:r>
        <w:t xml:space="preserve">Een stof kan kanker veroorzaken door het erfelijk materiaal te beschadigen. Bij peptiden wordt vaker een andere mogelijkheid besproken: een groeisignaal zou een al aanwezige, nog onontdekte tumor sneller kunnen laten groeien – zoals mest een plant die al in de grond zit. Voor deze tweede mogelijkheid volstaat het als de stof celdeling, celoverleving of de vorming van nieuwe bloedvaten stimuleert.</w:t>
      </w:r>
    </w:p>
    <w:p>
      <w:pPr>
        <w:pStyle w:val="BodyText"/>
      </w:pPr>
      <w:r>
        <w:rPr>
          <w:bCs/>
          <w:b/>
        </w:rPr>
        <w:t xml:space="preserve">Tijd.</w:t>
      </w:r>
      <w:r>
        <w:t xml:space="preserve"> </w:t>
      </w:r>
      <w:r>
        <w:t xml:space="preserve">Kanker ontwikkelt zich over jaren tot decennia. De meeste peptidestudies lopen weken tot enkele jaren. Zelfs grote registratiestudies kunnen een langzaam ontstaand risico nauwelijks vastleggen. Daarvoor zijn registers en observationele studies over lange perioden nodig – die op hun beurt gevoelig zijn voor vertekening.</w:t>
      </w:r>
    </w:p>
    <w:p>
      <w:pPr>
        <w:pStyle w:val="BodyText"/>
      </w:pPr>
      <w:r>
        <w:rPr>
          <w:bCs/>
          <w:b/>
        </w:rPr>
        <w:t xml:space="preserve">Diagnosevertekening.</w:t>
      </w:r>
      <w:r>
        <w:t xml:space="preserve"> </w:t>
      </w:r>
      <w:r>
        <w:t xml:space="preserve">Wie vanwege een geneesmiddel vaker wordt onderzocht, bij die worden ook vaker tumoren gevonden. Een voorbeeld: een meta-analyse vond in kortere GLP-1-studies iets meer diagnoses van darmkanker en vermoedde als verklaring dat maag-darmklachten tot meer darmonderzoeken (coloscopieën) leidden</w:t>
      </w:r>
      <w:r>
        <w:rPr>
          <w:rStyle w:val="FootnoteReference"/>
        </w:rPr>
        <w:footnoteReference w:id="2663"/>
      </w:r>
      <w:r>
        <w:t xml:space="preserve">.</w:t>
      </w:r>
    </w:p>
    <w:p>
      <w:pPr>
        <w:pStyle w:val="BodyText"/>
      </w:pPr>
      <w:r>
        <w:rPr>
          <w:bCs/>
          <w:b/>
        </w:rPr>
        <w:t xml:space="preserve">De omgekeerde richting.</w:t>
      </w:r>
      <w:r>
        <w:t xml:space="preserve"> </w:t>
      </w:r>
      <w:r>
        <w:t xml:space="preserve">Overgewicht verhoogt het risico op minstens 13 soorten kanker. Een geneesmiddel dat het gewicht sterk vermindert, zou daarom het kankerrisico in totaal kunnen verlagen, ook als het bij één afzonderlijk orgaan een klein signaal geeft. Beide zijn alleen afzonderlijk te beschouwen.</w:t>
      </w:r>
    </w:p>
    <w:bookmarkEnd w:id="2664"/>
    <w:bookmarkStart w:id="2674" w:name="groeihormoon-en-igf-1"/>
    <w:p>
      <w:pPr>
        <w:pStyle w:val="Heading3"/>
      </w:pPr>
      <w:r>
        <w:t xml:space="preserve">Groeihormoon en IGF-1</w:t>
      </w:r>
    </w:p>
    <w:p>
      <w:pPr>
        <w:pStyle w:val="FirstParagraph"/>
      </w:pPr>
      <w:r>
        <w:t xml:space="preserve">Groeihormoon werkt voor een groot deel via IGF-1, de insulineachtige groeifactor 1. IGF-1 zet cellen aan tot deling en beschermt ze tegen geprogrammeerde celdood. Alle peptiden uit groep C – sermoreline, tesamoreline, CJC-1295, ipamoreline, de GHRP-familie, mecasermine en IGF-1 LR3 – en het ter vergelijking besproken ibutamoren verhogen IGF-1 direct of indirect. Het bewijs voor de kankervraag komt uit vijf bronnen.</w:t>
      </w:r>
    </w:p>
    <w:p>
      <w:pPr>
        <w:pStyle w:val="BodyText"/>
      </w:pPr>
      <w:r>
        <w:rPr>
          <w:bCs/>
          <w:b/>
        </w:rPr>
        <w:t xml:space="preserve">Van nature hogere IGF-1-spiegels.</w:t>
      </w:r>
      <w:r>
        <w:t xml:space="preserve"> </w:t>
      </w:r>
      <w:r>
        <w:t xml:space="preserve">Een meta-analyse van 21 studies vond bij mensen met hoge IGF-1-waarden een hoger risico op prostaatkanker (odds ratio 1,49 bij vergelijking van een IGF-1-waarde op het 75e met een op het 25e percentiel) en op borstkanker vóór de overgang (1,65); de auteurs noemden de verbanden uitdrukkelijk „matig”</w:t>
      </w:r>
      <w:r>
        <w:rPr>
          <w:rStyle w:val="FootnoteReference"/>
        </w:rPr>
        <w:footnoteReference w:id="2665"/>
      </w:r>
      <w:r>
        <w:t xml:space="preserve">. In de UK Biobank met 206.263 vrouwen steeg het risico op borstkanker per 5 nmol/l meer IGF-1 met 11%</w:t>
      </w:r>
      <w:r>
        <w:rPr>
          <w:rStyle w:val="FootnoteReference"/>
        </w:rPr>
        <w:footnoteReference w:id="2666"/>
      </w:r>
      <w:r>
        <w:t xml:space="preserve">; voor darmkanker vond dezelfde groep bij bijna 400.000 deelnemers een vergelijkbaar verband</w:t>
      </w:r>
      <w:r>
        <w:rPr>
          <w:rStyle w:val="FootnoteReference"/>
        </w:rPr>
        <w:footnoteReference w:id="2667"/>
      </w:r>
      <w:r>
        <w:t xml:space="preserve">.</w:t>
      </w:r>
    </w:p>
    <w:p>
      <w:pPr>
        <w:pStyle w:val="BodyText"/>
      </w:pPr>
      <w:r>
        <w:rPr>
          <w:bCs/>
          <w:b/>
        </w:rPr>
        <w:t xml:space="preserve">Genetische analyses.</w:t>
      </w:r>
      <w:r>
        <w:t xml:space="preserve"> </w:t>
      </w:r>
      <w:r>
        <w:t xml:space="preserve">De zogenoemde mendeliaanse randomisatie gebruikt genvarianten die de IGF-1-spiegel levenslang licht verhogen als natuurlijk experiment. Ook hier ging een genetisch hoger IGF-1 samen met iets meer borstkanker (odds ratio 1,05 per 5 nmol/l)</w:t>
      </w:r>
      <w:r>
        <w:rPr>
          <w:rStyle w:val="FootnoteReference"/>
        </w:rPr>
        <w:footnoteReference w:id="2668"/>
      </w:r>
      <w:r>
        <w:t xml:space="preserve">. Dat wijst erop dat het verband niet alleen op bijkomende omstandigheden berust.</w:t>
      </w:r>
    </w:p>
    <w:p>
      <w:pPr>
        <w:pStyle w:val="BodyText"/>
      </w:pPr>
      <w:r>
        <w:rPr>
          <w:bCs/>
          <w:b/>
        </w:rPr>
        <w:t xml:space="preserve">Te veel groeihormoon door ziekte.</w:t>
      </w:r>
      <w:r>
        <w:t xml:space="preserve"> </w:t>
      </w:r>
      <w:r>
        <w:t xml:space="preserve">Bij acromegalie, een overproductie van groeihormoon door een tumor van de hypofyse, liet een meta-analyse van 23 studies een met ongeveer de helft verhoogde kankerfrequentie zien (gestandaardiseerde ratio 1,5), met bijzonder hoge waarden voor darm- en schildklierkanker. Kleinere en oudere studies lieten echter hogere waarden zien dan grote, wat op selectievertekening wijst</w:t>
      </w:r>
      <w:r>
        <w:rPr>
          <w:rStyle w:val="FootnoteReference"/>
        </w:rPr>
        <w:footnoteReference w:id="2669"/>
      </w:r>
      <w:r>
        <w:t xml:space="preserve">.</w:t>
      </w:r>
    </w:p>
    <w:p>
      <w:pPr>
        <w:pStyle w:val="BodyText"/>
      </w:pPr>
      <w:r>
        <w:rPr>
          <w:bCs/>
          <w:b/>
        </w:rPr>
        <w:t xml:space="preserve">Te weinig IGF-1 door ziekte.</w:t>
      </w:r>
      <w:r>
        <w:t xml:space="preserve"> </w:t>
      </w:r>
      <w:r>
        <w:t xml:space="preserve">Bij mensen met het syndroom van Laron, die door een genetisch defect nauwelijks IGF-1 aanmaken, trad in Ecuador over 22 jaar observatie slechts één enkele, niet-dodelijke kanker op; bij niet-getroffen familieleden lag het aandeel op 17%</w:t>
      </w:r>
      <w:r>
        <w:rPr>
          <w:rStyle w:val="FootnoteReference"/>
        </w:rPr>
        <w:footnoteReference w:id="2670"/>
      </w:r>
      <w:r>
        <w:t xml:space="preserve">.</w:t>
      </w:r>
    </w:p>
    <w:p>
      <w:pPr>
        <w:pStyle w:val="BodyText"/>
      </w:pPr>
      <w:r>
        <w:rPr>
          <w:bCs/>
          <w:b/>
        </w:rPr>
        <w:t xml:space="preserve">Groeihormoon als geneesmiddel.</w:t>
      </w:r>
      <w:r>
        <w:t xml:space="preserve"> </w:t>
      </w:r>
      <w:r>
        <w:t xml:space="preserve">Bij 23.984 kinderen die in acht Europese landen met groeihormoon werden behandeld, werd zonder ernstige voorafgaande aandoening geen duidelijk verhoogd kankerrisico gevonden. Opvallend waren afzonderlijke kankersoorten (bot, blaas) en een stijging van de kankersterfte met een hogere dagdosis bij kinderen die eerder al kanker hadden gehad</w:t>
      </w:r>
      <w:r>
        <w:rPr>
          <w:rStyle w:val="FootnoteReference"/>
        </w:rPr>
        <w:footnoteReference w:id="2671"/>
      </w:r>
      <w:r>
        <w:t xml:space="preserve">. Bij 8.418 behandelde volwassenen met hypofyse-insufficiëntie was het kankerrisico niet verhoogd; de kankerfrequentie lag zelfs onder het bevolkingsgemiddelde</w:t>
      </w:r>
      <w:r>
        <w:rPr>
          <w:rStyle w:val="FootnoteReference"/>
        </w:rPr>
        <w:footnoteReference w:id="2672"/>
      </w:r>
      <w:r>
        <w:t xml:space="preserve">.</w:t>
      </w:r>
    </w:p>
    <w:p>
      <w:pPr>
        <w:pStyle w:val="BodyText"/>
      </w:pPr>
      <w:r>
        <w:t xml:space="preserve">Wat volgt daaruit? Wie een echt tekort heeft en een ontbrekend hormoon vervangen krijgt, draagt volgens de huidige kennis geen duidelijk verhoogd kankerrisico. Wie daarentegen een normale spiegel jarenlang verhoogt, begeeft zich in het gebied waarin de observationele en genetische studies een matig hoger risico laten zien. Voor precies deze situatie – gezonde volwassenen die vrijmakers gebruiken om hun prestaties te verbeteren of om te „verjongen” – bestaan geen langetermijnstudies. Ibutamoren bijvoorbeeld verhoogde IGF-1 bij gezonde oudere mensen tot het niveau van jonge volwassenen</w:t>
      </w:r>
      <w:r>
        <w:rPr>
          <w:rStyle w:val="FootnoteReference"/>
        </w:rPr>
        <w:footnoteReference w:id="2673"/>
      </w:r>
      <w:r>
        <w:t xml:space="preserve">; een kankersignaal werd niet gerapporteerd, maar daarvoor was de studie groot noch lang genoeg.</w:t>
      </w:r>
    </w:p>
    <w:p>
      <w:pPr>
        <w:pStyle w:val="BodyText"/>
      </w:pPr>
      <w:r>
        <w:t xml:space="preserve">Twee bijzondere gevallen verdienen vermelding. Bij het geregistreerde mecasermine zijn na de markintroductie goed- en kwaadaardige nieuwvormingen bij behandelde kinderen gemeld; de productinformaties bevatten overeenkomstige waarschuwingen, en bij actieve kanker mag het niet worden gebruikt (stand 2026, actuele situatie controleren; hoofdstuk Mecasermine). Het laboratoriumpreparaat IGF-1 LR3 is zo gewijzigd dat het niet meer gebonden wordt aan de bindingseiwitten in het bloed die IGF-1 normaal gesproken bufferen. Daardoor werkt het sterker en langer op de receptor – theoretisch precies de ongunstige richting. Bij mensen is dat nooit onderzocht (hoofdstuk IGF-1 LR3).</w:t>
      </w:r>
    </w:p>
    <w:bookmarkEnd w:id="2674"/>
    <w:bookmarkStart w:id="2684" w:name="Xa06b66f364c4c2e9db083dde0a24b0b4fdd96d0"/>
    <w:p>
      <w:pPr>
        <w:pStyle w:val="Heading3"/>
      </w:pPr>
      <w:r>
        <w:t xml:space="preserve">Vorming van nieuwe bloedvaten en andere groeisignalen</w:t>
      </w:r>
    </w:p>
    <w:p>
      <w:pPr>
        <w:pStyle w:val="FirstParagraph"/>
      </w:pPr>
      <w:r>
        <w:t xml:space="preserve">Een tumor die groter wil worden dan enkele millimeters, heeft eigen bloedvaten nodig. Dit proces heet angiogenese. Sommige geregistreerde kankergeneesmiddelen werken juist doordat ze de belangrijkste signaalroute van de vaatnieuwvorming blokkeren, het VEGF-systeem. Omgekeerd staan stoffen die de vorming van nieuwe bloedvaten bevorderen, onder verdenking tumoren te begunstigen.</w:t>
      </w:r>
    </w:p>
    <w:p>
      <w:pPr>
        <w:pStyle w:val="BodyText"/>
      </w:pPr>
      <w:r>
        <w:rPr>
          <w:bCs/>
          <w:b/>
        </w:rPr>
        <w:t xml:space="preserve">BPC-157.</w:t>
      </w:r>
      <w:r>
        <w:t xml:space="preserve"> </w:t>
      </w:r>
      <w:r>
        <w:t xml:space="preserve">In laboratoriumproeven verhoogde BPC-157 de vaatdichtheid in membranen van kippeneieren, versnelde het bij ratten de doorbloeding van een slecht doorbloed been en verhoogde het in menselijke vaatcellen de hoeveelheid VEGF-receptor 2</w:t>
      </w:r>
      <w:r>
        <w:rPr>
          <w:rStyle w:val="FootnoteReference"/>
        </w:rPr>
        <w:footnoteReference w:id="2675"/>
      </w:r>
      <w:r>
        <w:t xml:space="preserve">. De Zagrebse onderzoeksgroep, van wie de meeste BPC-157-studies afkomstig zijn, brengt daartegen in dat BPC-157 de vaatvorming stuurt in plaats van die blind aan te jagen, en in dier- en celproeven zelfs effecten tegen tumoren heeft laten zien</w:t>
      </w:r>
      <w:r>
        <w:rPr>
          <w:rStyle w:val="FootnoteReference"/>
        </w:rPr>
        <w:footnoteReference w:id="2676"/>
      </w:r>
      <w:r>
        <w:t xml:space="preserve">. Langetermijnstudies naar het ontstaan van kanker, zoals die voor geneesmiddelen verplicht zijn, zijn voor BPC-157 niet gepubliceerd. De vraag is open. Zie hoofdstuk BPC-157.</w:t>
      </w:r>
    </w:p>
    <w:p>
      <w:pPr>
        <w:pStyle w:val="BodyText"/>
      </w:pPr>
      <w:r>
        <w:rPr>
          <w:bCs/>
          <w:b/>
        </w:rPr>
        <w:t xml:space="preserve">TB-500 en thymosine bèta-4.</w:t>
      </w:r>
      <w:r>
        <w:t xml:space="preserve"> </w:t>
      </w:r>
      <w:r>
        <w:t xml:space="preserve">Thymosine bèta-4 bevordert celmigratie en de vorming van nieuwe bloedvaten. In weefselmonsters van 138 mensen met blaaskanker ging een sterke aanmaak van thymosine bèta-4 samen met een gevorderd stadium, aantasting van lymfeklieren en een kortere overleving</w:t>
      </w:r>
      <w:r>
        <w:rPr>
          <w:rStyle w:val="FootnoteReference"/>
        </w:rPr>
        <w:footnoteReference w:id="2677"/>
      </w:r>
      <w:r>
        <w:t xml:space="preserve">. In kweken van borstkankercellen verhoogde toegevoegd thymosine bèta-4 het aantal cellen</w:t>
      </w:r>
      <w:r>
        <w:rPr>
          <w:rStyle w:val="FootnoteReference"/>
        </w:rPr>
        <w:footnoteReference w:id="2678"/>
      </w:r>
      <w:r>
        <w:t xml:space="preserve">. Dat bewijst niet dat van buitenaf toegediend TB-500 kanker bevordert, maar is wel een reden tot voorzichtigheid bij mensen met kanker of een hoog kankerrisico. Zie hoofdstuk TB-500.</w:t>
      </w:r>
    </w:p>
    <w:p>
      <w:pPr>
        <w:pStyle w:val="BodyText"/>
      </w:pPr>
      <w:r>
        <w:rPr>
          <w:bCs/>
          <w:b/>
        </w:rPr>
        <w:t xml:space="preserve">Andere peptiden met groeisignalen.</w:t>
      </w:r>
      <w:r>
        <w:t xml:space="preserve"> </w:t>
      </w:r>
      <w:r>
        <w:t xml:space="preserve">Bij meerdere peptiden uit Deel II rijzen vergelijkbare vragen uit het werkingsmechanisme of uit laboratoriumgegevens: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Mechanisme</w:t>
            </w:r>
          </w:p>
        </w:tc>
        <w:tc>
          <w:tcPr/>
          <w:p>
            <w:pPr>
              <w:pStyle w:val="Compact"/>
              <w:jc w:val="left"/>
            </w:pPr>
            <w:r>
              <w:t xml:space="preserve">Soort aanwijzing</w:t>
            </w:r>
          </w:p>
        </w:tc>
        <w:tc>
          <w:tcPr/>
          <w:p>
            <w:pPr>
              <w:pStyle w:val="Compact"/>
              <w:jc w:val="left"/>
            </w:pPr>
            <w:r>
              <w:t xml:space="preserve">Hoofdstuk</w:t>
            </w:r>
          </w:p>
        </w:tc>
      </w:tr>
      <w:tr>
        <w:tc>
          <w:tcPr/>
          <w:p>
            <w:pPr>
              <w:pStyle w:val="Compact"/>
              <w:jc w:val="left"/>
            </w:pPr>
            <w:r>
              <w:t xml:space="preserve">Dihexa</w:t>
            </w:r>
          </w:p>
        </w:tc>
        <w:tc>
          <w:tcPr/>
          <w:p>
            <w:pPr>
              <w:pStyle w:val="Compact"/>
              <w:jc w:val="left"/>
            </w:pPr>
            <w:r>
              <w:t xml:space="preserve">versterkt het c-Met-signaal, een bekende kankeraanjager</w:t>
            </w:r>
          </w:p>
        </w:tc>
        <w:tc>
          <w:tcPr/>
          <w:p>
            <w:pPr>
              <w:pStyle w:val="Compact"/>
              <w:jc w:val="left"/>
            </w:pPr>
            <w:r>
              <w:t xml:space="preserve">alleen theoretisch, geen gegevens bij mensen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zou telomerase activeren</w:t>
            </w:r>
          </w:p>
        </w:tc>
        <w:tc>
          <w:tcPr/>
          <w:p>
            <w:pPr>
              <w:pStyle w:val="Compact"/>
              <w:jc w:val="left"/>
            </w:pPr>
            <w:r>
              <w:t xml:space="preserve">celkweek: ook telomeren van borstkankercellen verlengd</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beschermt cellen tegen celdood</w:t>
            </w:r>
          </w:p>
        </w:tc>
        <w:tc>
          <w:tcPr/>
          <w:p>
            <w:pPr>
              <w:pStyle w:val="Compact"/>
              <w:jc w:val="left"/>
            </w:pPr>
            <w:r>
              <w:t xml:space="preserve">muizen: snellere tumorgroei, meer uitzaaiingen</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ontstekings- en groeisignalen</w:t>
            </w:r>
          </w:p>
        </w:tc>
        <w:tc>
          <w:tcPr/>
          <w:p>
            <w:pPr>
              <w:pStyle w:val="Compact"/>
              <w:jc w:val="left"/>
            </w:pPr>
            <w:r>
              <w:t xml:space="preserve">laboratorium: afhankelijk van de kankersoort bevorderend of remmend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vorming van nieuwe bloedvaten in dierproeven</w:t>
            </w:r>
          </w:p>
        </w:tc>
        <w:tc>
          <w:tcPr/>
          <w:p>
            <w:pPr>
              <w:pStyle w:val="Compact"/>
              <w:jc w:val="left"/>
            </w:pPr>
            <w:r>
              <w:t xml:space="preserve">alleen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werkt op de EPO-receptor</w:t>
            </w:r>
          </w:p>
        </w:tc>
        <w:tc>
          <w:tcPr/>
          <w:p>
            <w:pPr>
              <w:pStyle w:val="Compact"/>
              <w:jc w:val="left"/>
            </w:pPr>
            <w:r>
              <w:t xml:space="preserve">theoretisch, naar analogie van EPO</w:t>
            </w:r>
          </w:p>
        </w:tc>
        <w:tc>
          <w:tcPr/>
          <w:p>
            <w:pPr>
              <w:pStyle w:val="Compact"/>
              <w:jc w:val="left"/>
            </w:pPr>
            <w:r>
              <w:t xml:space="preserve">ARA-290</w:t>
            </w:r>
          </w:p>
        </w:tc>
      </w:tr>
    </w:tbl>
    <w:p>
      <w:pPr>
        <w:pStyle w:val="BodyText"/>
      </w:pPr>
      <w:r>
        <w:t xml:space="preserve">Sommige van deze aanwijzingen zijn concreet. Bij muizen met triple-negatieve borstkanker verminderde toegediend humanine de celdood in de tumor, verzwakte het de chemotherapie en versnelde het de tumorgroei en longuitzaaiingen</w:t>
      </w:r>
      <w:r>
        <w:rPr>
          <w:rStyle w:val="FootnoteReference"/>
        </w:rPr>
        <w:footnoteReference w:id="2679"/>
      </w:r>
      <w:r>
        <w:t xml:space="preserve">. Epitalon verlengde in celkweken de telomeren van gezonde cellen via het enzym telomerase, in borstkankercellen via een andere route</w:t>
      </w:r>
      <w:r>
        <w:rPr>
          <w:rStyle w:val="FootnoteReference"/>
        </w:rPr>
        <w:footnoteReference w:id="2680"/>
      </w:r>
      <w:r>
        <w:t xml:space="preserve">; in een muizenstudie nam het aantal spontane tumoren daarentegen niet toe</w:t>
      </w:r>
      <w:r>
        <w:rPr>
          <w:rStyle w:val="FootnoteReference"/>
        </w:rPr>
        <w:footnoteReference w:id="2681"/>
      </w:r>
      <w:r>
        <w:t xml:space="preserve">. Voor LL-37 beschrijft een overzicht bevorderende effecten op tumoren van eierstok, long, borst, prostaat, alvleesklier en huid, maar remmende op darm- en maagkanker</w:t>
      </w:r>
      <w:r>
        <w:rPr>
          <w:rStyle w:val="FootnoteReference"/>
        </w:rPr>
        <w:footnoteReference w:id="2682"/>
      </w:r>
      <w:r>
        <w:t xml:space="preserve">. Voor Dihexa is de koppeling met het c-Met-systeem beschreven</w:t>
      </w:r>
      <w:r>
        <w:rPr>
          <w:rStyle w:val="FootnoteReference"/>
        </w:rPr>
        <w:footnoteReference w:id="2683"/>
      </w:r>
      <w:r>
        <w:t xml:space="preserve">; onderzoeken naar het ontstaan van kanker zijn er niet.</w:t>
      </w:r>
    </w:p>
    <w:p>
      <w:pPr>
        <w:pStyle w:val="BodyText"/>
      </w:pPr>
      <w:r>
        <w:t xml:space="preserve">Al deze bevindingen komen uit dierproeven, celkweken of uit het werkingsmechanisme. Geen enkele bewijst een kankerrisico bij de mens. Ze laten echter zien dat „natuurlijk”, „lichaamseigen” of „regeneratief” niet automatisch „onschuldig” betekent – en dat voor geen van deze stoffen de langetermijngegevens bestaan waarmee de vraag beantwoord zou kunnen worden.</w:t>
      </w:r>
    </w:p>
    <w:bookmarkEnd w:id="2684"/>
    <w:bookmarkStart w:id="2689" w:name="X0607b094f40bcfef8b8c1cc9e4bdf0dd355bcca"/>
    <w:p>
      <w:pPr>
        <w:pStyle w:val="Heading3"/>
      </w:pPr>
      <w:r>
        <w:t xml:space="preserve">Pigmentcellen: melanotan, setmelanotide en afamelanotide</w:t>
      </w:r>
    </w:p>
    <w:p>
      <w:pPr>
        <w:pStyle w:val="FirstParagraph"/>
      </w:pPr>
      <w:r>
        <w:t xml:space="preserve">De melanocortinepeptiden stimuleren de pigmentcellen (melanocyten) van de huid. Bij afamelanotide is dat de gewenste werking, bij setmelanotide en bremelanotide een bijwerking en bij Melanotan II de eigenlijke reden om het te verkopen. Omdat een melanoom uit pigmentcellen ontstaat, ligt de vraag naar huidkanker voor de hand.</w:t>
      </w:r>
    </w:p>
    <w:p>
      <w:pPr>
        <w:pStyle w:val="BodyText"/>
      </w:pPr>
      <w:r>
        <w:t xml:space="preserve">Voor het niet-geregistreerde</w:t>
      </w:r>
      <w:r>
        <w:t xml:space="preserve"> </w:t>
      </w:r>
      <w:r>
        <w:rPr>
          <w:bCs/>
          <w:b/>
        </w:rPr>
        <w:t xml:space="preserve">Melanotan II</w:t>
      </w:r>
      <w:r>
        <w:t xml:space="preserve"> </w:t>
      </w:r>
      <w:r>
        <w:t xml:space="preserve">zijn er meerdere casusbeschrijvingen van melanomen die tijdens of kort na het gebruik werden ontdekt. Een overzicht telde vier gevallen waarin melanomen uit bestaande moedervlekken voortkwamen, en benadrukt tegelijk dat een sluitend bewijs voor een verband ontbreekt</w:t>
      </w:r>
      <w:r>
        <w:rPr>
          <w:rStyle w:val="FootnoteReference"/>
        </w:rPr>
        <w:footnoteReference w:id="2685"/>
      </w:r>
      <w:r>
        <w:t xml:space="preserve">. Van 179 gepubliceerde gevallen van plotseling optredende moedervlekken, waarvan een deel aan melanotan werd toegeschreven, gingen er vijf samen met een melanoom</w:t>
      </w:r>
      <w:r>
        <w:rPr>
          <w:rStyle w:val="FootnoteReference"/>
        </w:rPr>
        <w:footnoteReference w:id="2686"/>
      </w:r>
      <w:r>
        <w:t xml:space="preserve">. De interpretatie is moeilijk: veel betrokkenen gebruikten tegelijk zonnebanken of zonden intensief, wat het melanoomrisico onafhankelijk verhoogt. En casusbeschrijvingen kunnen geen frequentie opleveren. Zie hoofdstuk Melanotan II.</w:t>
      </w:r>
    </w:p>
    <w:p>
      <w:pPr>
        <w:pStyle w:val="BodyText"/>
      </w:pPr>
      <w:r>
        <w:t xml:space="preserve">Voor het geregistreerde</w:t>
      </w:r>
      <w:r>
        <w:t xml:space="preserve"> </w:t>
      </w:r>
      <w:r>
        <w:rPr>
          <w:bCs/>
          <w:b/>
        </w:rPr>
        <w:t xml:space="preserve">afamelanotide</w:t>
      </w:r>
      <w:r>
        <w:t xml:space="preserve"> </w:t>
      </w:r>
      <w:r>
        <w:t xml:space="preserve">zijn er systematischere gegevens. In een studie met 15 behandelden en 103 moedervlekken waren onder de dermatoscoop tijdelijke veranderingen te zien die na een jaar waren teruggegaan; aanwijzingen voor kwaadaardigheid of nieuwe moedervlekken werden niet gevonden</w:t>
      </w:r>
      <w:r>
        <w:rPr>
          <w:rStyle w:val="FootnoteReference"/>
        </w:rPr>
        <w:footnoteReference w:id="2687"/>
      </w:r>
      <w:r>
        <w:t xml:space="preserve">. Met</w:t>
      </w:r>
      <w:r>
        <w:t xml:space="preserve"> </w:t>
      </w:r>
      <w:r>
        <w:rPr>
          <w:bCs/>
          <w:b/>
        </w:rPr>
        <w:t xml:space="preserve">setmelanotide</w:t>
      </w:r>
      <w:r>
        <w:t xml:space="preserve"> </w:t>
      </w:r>
      <w:r>
        <w:t xml:space="preserve">traden in een observatie over maximaal 46 maanden geen kwaadaardige huidveranderingen op</w:t>
      </w:r>
      <w:r>
        <w:rPr>
          <w:rStyle w:val="FootnoteReference"/>
        </w:rPr>
        <w:footnoteReference w:id="2688"/>
      </w:r>
      <w:r>
        <w:t xml:space="preserve">. Deze gegevens zijn geruststellend, maar klein en kort in verhouding tot de ontwikkelingstijd van een melanoom. De productinformaties schrijven regelmatige huidcontroles voor. Op Melanotan II zijn ze niet over te dragen: een andere stof, ongeteste producten, vaak gecombineerd met uv-straling.</w:t>
      </w:r>
    </w:p>
    <w:bookmarkEnd w:id="2689"/>
    <w:bookmarkStart w:id="2696" w:name="glp-1-en-de-c-cellen-van-de-schildklier"/>
    <w:p>
      <w:pPr>
        <w:pStyle w:val="Heading3"/>
      </w:pPr>
      <w:r>
        <w:t xml:space="preserve">GLP-1 en de C-cellen van de schildklier</w:t>
      </w:r>
    </w:p>
    <w:p>
      <w:pPr>
        <w:pStyle w:val="FirstParagraph"/>
      </w:pPr>
      <w:r>
        <w:t xml:space="preserve">Bij ratten en muizen leidden GLP-1-receptoragonisten in langetermijnproeven tot woekeringen en tumoren van de C-cellen van de schildklier. Het mechanisme is goed begrepen: de C-cellen van knaagdieren dragen de GLP-1-receptor; activering ervan verhoogt de afgifte van calcitonine en de celdeling. Bij mensen en apen komt de receptor op de C-cellen duidelijk minder voor. Apen die 20 maanden lang liraglutide kregen in een meer dan 60 keer hogere concentratie dan bij de mens, ontwikkelden geen C-celwoekering</w:t>
      </w:r>
      <w:r>
        <w:rPr>
          <w:rStyle w:val="FootnoteReference"/>
        </w:rPr>
        <w:footnoteReference w:id="2690"/>
      </w:r>
      <w:r>
        <w:t xml:space="preserve">.</w:t>
      </w:r>
    </w:p>
    <w:p>
      <w:pPr>
        <w:pStyle w:val="BodyText"/>
      </w:pPr>
      <w:r>
        <w:t xml:space="preserve">Helemaal uitgesloten is een effect bij de mens daarmee niet. In menselijk schildklierweefsel vond een onderzoek de GLP-1-receptor in alle monsters van medullaire schildkliercarcinomen en C-celwoekeringen, in 18% van de papillaire carcinomen en in een deel van de C-cellen van gezonde schildklieren</w:t>
      </w:r>
      <w:r>
        <w:rPr>
          <w:rStyle w:val="FootnoteReference"/>
        </w:rPr>
        <w:footnoteReference w:id="2691"/>
      </w:r>
      <w:r>
        <w:t xml:space="preserve">.</w:t>
      </w:r>
    </w:p>
    <w:p>
      <w:pPr>
        <w:pStyle w:val="BodyText"/>
      </w:pPr>
      <w:r>
        <w:t xml:space="preserve">De studies bij mensen geven geen eenduidig beeld:</w:t>
      </w:r>
    </w:p>
    <w:p>
      <w:pPr>
        <w:numPr>
          <w:ilvl w:val="0"/>
          <w:numId w:val="1339"/>
        </w:numPr>
        <w:pStyle w:val="Compact"/>
      </w:pPr>
      <w:r>
        <w:t xml:space="preserve">In de studie LEADER steeg calcitonine met liraglutide over maximaal vijf jaar niet, en er traden geen medullaire carcinomen op</w:t>
      </w:r>
      <w:r>
        <w:rPr>
          <w:rStyle w:val="FootnoteReference"/>
        </w:rPr>
        <w:footnoteReference w:id="2692"/>
      </w:r>
      <w:r>
        <w:t xml:space="preserve">.</w:t>
      </w:r>
    </w:p>
    <w:p>
      <w:pPr>
        <w:numPr>
          <w:ilvl w:val="0"/>
          <w:numId w:val="1339"/>
        </w:numPr>
        <w:pStyle w:val="Compact"/>
      </w:pPr>
      <w:r>
        <w:t xml:space="preserve">Een Franse patiënt-controlestudie met 2.562 gevallen vond na een tot drie jaar behandeling een verhoogd risico op schildklierkanker in totaal (hazard ratio 1,58) en op het medullaire carcinoom (1,78)</w:t>
      </w:r>
      <w:r>
        <w:rPr>
          <w:rStyle w:val="FootnoteReference"/>
        </w:rPr>
        <w:footnoteReference w:id="2693"/>
      </w:r>
      <w:r>
        <w:t xml:space="preserve">.</w:t>
      </w:r>
    </w:p>
    <w:p>
      <w:pPr>
        <w:numPr>
          <w:ilvl w:val="0"/>
          <w:numId w:val="1339"/>
        </w:numPr>
        <w:pStyle w:val="Compact"/>
      </w:pPr>
      <w:r>
        <w:t xml:space="preserve">Een Scandinavische cohortstudie met 145.410 personen met GLP-1-receptoragonisten vond geen verhoogd risico (hazard ratio 0,93; 1,33 tegenover 1,46 gevallen per 10.000 persoonsjaren). Voor het zeldzame medullaire carcinoom was de schatting zeer onzeker (hazard ratio 1,19; betrouwbaarheidsinterval 0,37 tot 3,86)</w:t>
      </w:r>
      <w:r>
        <w:rPr>
          <w:rStyle w:val="FootnoteReference"/>
        </w:rPr>
        <w:footnoteReference w:id="2694"/>
      </w:r>
      <w:r>
        <w:t xml:space="preserve">.</w:t>
      </w:r>
    </w:p>
    <w:p>
      <w:pPr>
        <w:numPr>
          <w:ilvl w:val="0"/>
          <w:numId w:val="1339"/>
        </w:numPr>
        <w:pStyle w:val="Compact"/>
      </w:pPr>
      <w:r>
        <w:t xml:space="preserve">Een meta-analyse van 50 gerandomiseerde studies met een duur van minstens een jaar liet een signaal voor schildklierkanker zien (odds ratio 1,55), dat in langere studies duidelijker was</w:t>
      </w:r>
      <w:r>
        <w:rPr>
          <w:rStyle w:val="FootnoteReference"/>
        </w:rPr>
        <w:footnoteReference w:id="2695"/>
      </w:r>
      <w:r>
        <w:t xml:space="preserve">.</w:t>
      </w:r>
    </w:p>
    <w:p>
      <w:pPr>
        <w:pStyle w:val="FirstParagraph"/>
      </w:pPr>
      <w:r>
        <w:t xml:space="preserve">Hoe valt dat met elkaar te rijmen? Een deel van het signaal zou kunnen komen door vaker onderzoek: wie wegens diabetes of obesitas nauw wordt gevolgd, krijgt vaker een echografie waarbij kleine, onschuldige papillaire carcinomen worden ontdekt. Een klein echt risico valt echter niet uit te sluiten. Voor mensen met een medullair schildkliercarcinoom in de eigen of familiaire voorgeschiedenis of met het MEN-2-syndroom geldt daarom nog steeds een contra-indicatie. Zie hoofdstuk Liraglutide.</w:t>
      </w:r>
    </w:p>
    <w:bookmarkEnd w:id="2696"/>
    <w:bookmarkStart w:id="2700" w:name="alvleesklier"/>
    <w:p>
      <w:pPr>
        <w:pStyle w:val="Heading3"/>
      </w:pPr>
      <w:r>
        <w:t xml:space="preserve">Alvleesklier</w:t>
      </w:r>
    </w:p>
    <w:p>
      <w:pPr>
        <w:pStyle w:val="FirstParagraph"/>
      </w:pPr>
      <w:r>
        <w:t xml:space="preserve">Na de vroege meldingen van alvleesklierontstekingen met exenatide en liraglutide werd ook een verhoogd risico op alvleesklierkanker gevreesd. De gegevens hebben dat tot nu toe niet bevestigd. Een meta-analyse van 62 gerandomiseerde studies vond geen vaststaand verhoogd risico (relatief risico 1,30; betrouwbaarheidsinterval 0,86 tot 1,97); in een subgroep van studies met bijkomende geneesmiddelen was het verhoogd, zonder bijkomende geneesmiddelen niet</w:t>
      </w:r>
      <w:r>
        <w:rPr>
          <w:rStyle w:val="FootnoteReference"/>
        </w:rPr>
        <w:footnoteReference w:id="2697"/>
      </w:r>
      <w:r>
        <w:t xml:space="preserve">. De auteurs wijzen erop dat veel studies zonder één enkele gebeurtenis helemaal niet in de berekening werden meegenomen. In een groot Amerikaans cohortonderzoek kwam alvleesklierkanker met GLP-1-receptoragonisten zelfs minder vaak voor dan met insuline (hazard ratio 0,41)</w:t>
      </w:r>
      <w:r>
        <w:rPr>
          <w:rStyle w:val="FootnoteReference"/>
        </w:rPr>
        <w:footnoteReference w:id="2698"/>
      </w:r>
      <w:r>
        <w:t xml:space="preserve"> </w:t>
      </w:r>
      <w:r>
        <w:t xml:space="preserve">– waarbij insuline vaak wordt ingezet bij langer bestaande, ernstigere diabetes.</w:t>
      </w:r>
    </w:p>
    <w:p>
      <w:pPr>
        <w:pStyle w:val="BodyText"/>
      </w:pPr>
      <w:r>
        <w:t xml:space="preserve">Voor neuro-endocriene tumoren, een zeldzame groep tumoren die onder meer in de alvleesklier ontstaan en deels de GLP-1-receptor dragen, concludeert een overzichtsartikel dat de beschikbare gegevens geen algemene stijging laten zien, maar dat er belangrijke lacunes zijn, bijvoorbeeld bij erfelijke aanleg</w:t>
      </w:r>
      <w:r>
        <w:rPr>
          <w:rStyle w:val="FootnoteReference"/>
        </w:rPr>
        <w:footnoteReference w:id="2699"/>
      </w:r>
      <w:r>
        <w:t xml:space="preserve">.</w:t>
      </w:r>
    </w:p>
    <w:bookmarkEnd w:id="2700"/>
    <w:bookmarkStart w:id="2701" w:name="Xeab30c1631a4e47a7f7b502b64f5f14f0c35928"/>
    <w:p>
      <w:pPr>
        <w:pStyle w:val="Heading3"/>
      </w:pPr>
      <w:r>
        <w:t xml:space="preserve">Wat nieuwe meta-analyses en grote cohorten over GLP-1 en kanker laten zien</w:t>
      </w:r>
    </w:p>
    <w:p>
      <w:pPr>
        <w:pStyle w:val="FirstParagraph"/>
      </w:pPr>
      <w:r>
        <w:t xml:space="preserve">Met de brede verspreiding van de GLP-1-geneesmiddelen zijn sinds 2024 meerdere zeer grote analyses verschenen. Ze schetsen een overwegend geruststellend, maar op afzonderlijke punten onduidelijk beeld.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Gegevens</w:t>
            </w:r>
          </w:p>
        </w:tc>
        <w:tc>
          <w:tcPr/>
          <w:p>
            <w:pPr>
              <w:pStyle w:val="Compact"/>
              <w:jc w:val="left"/>
            </w:pPr>
            <w:r>
              <w:t xml:space="preserve">Resultaat kanker in totaal</w:t>
            </w:r>
          </w:p>
        </w:tc>
        <w:tc>
          <w:tcPr/>
          <w:p>
            <w:pPr>
              <w:pStyle w:val="Compact"/>
              <w:jc w:val="left"/>
            </w:pPr>
            <w:r>
              <w:t xml:space="preserve">Opvallende bevindingen</w:t>
            </w:r>
          </w:p>
        </w:tc>
      </w:tr>
      <w:tr>
        <w:tc>
          <w:tcPr/>
          <w:p>
            <w:pPr>
              <w:pStyle w:val="Compact"/>
              <w:jc w:val="left"/>
            </w:pPr>
            <w:r>
              <w:t xml:space="preserve">Silverii 2025, PMID 40437949</w:t>
            </w:r>
          </w:p>
        </w:tc>
        <w:tc>
          <w:tcPr/>
          <w:p>
            <w:pPr>
              <w:pStyle w:val="Compact"/>
              <w:jc w:val="left"/>
            </w:pPr>
            <w:r>
              <w:t xml:space="preserve">50 RCT’s, min. 52 weken</w:t>
            </w:r>
          </w:p>
        </w:tc>
        <w:tc>
          <w:tcPr/>
          <w:p>
            <w:pPr>
              <w:pStyle w:val="Compact"/>
              <w:jc w:val="left"/>
            </w:pPr>
            <w:r>
              <w:t xml:space="preserve">geen verschil (odds ratio 1,05)</w:t>
            </w:r>
          </w:p>
        </w:tc>
        <w:tc>
          <w:tcPr/>
          <w:p>
            <w:pPr>
              <w:pStyle w:val="Compact"/>
              <w:jc w:val="left"/>
            </w:pPr>
            <w:r>
              <w:t xml:space="preserve">schildklier 1,55; baarmoeder bij obesitas 0,24</w:t>
            </w:r>
          </w:p>
        </w:tc>
      </w:tr>
      <w:tr>
        <w:tc>
          <w:tcPr/>
          <w:p>
            <w:pPr>
              <w:pStyle w:val="Compact"/>
              <w:jc w:val="left"/>
            </w:pPr>
            <w:r>
              <w:t xml:space="preserve">Wang 2024, PMID 38967919</w:t>
            </w:r>
          </w:p>
        </w:tc>
        <w:tc>
          <w:tcPr/>
          <w:p>
            <w:pPr>
              <w:pStyle w:val="Compact"/>
              <w:jc w:val="left"/>
            </w:pPr>
            <w:r>
              <w:t xml:space="preserve">1.651.452 mensen met diabetes type 2</w:t>
            </w:r>
          </w:p>
        </w:tc>
        <w:tc>
          <w:tcPr/>
          <w:p>
            <w:pPr>
              <w:pStyle w:val="Compact"/>
              <w:jc w:val="left"/>
            </w:pPr>
            <w:r>
              <w:t xml:space="preserve">vs. insuline minder bij 10 van 13 kankersoorten</w:t>
            </w:r>
          </w:p>
        </w:tc>
        <w:tc>
          <w:tcPr/>
          <w:p>
            <w:pPr>
              <w:pStyle w:val="Compact"/>
              <w:jc w:val="left"/>
            </w:pPr>
            <w:r>
              <w:t xml:space="preserve">vs. metformine meer nierkanker (1,54)</w:t>
            </w:r>
          </w:p>
        </w:tc>
      </w:tr>
      <w:tr>
        <w:tc>
          <w:tcPr/>
          <w:p>
            <w:pPr>
              <w:pStyle w:val="Compact"/>
              <w:jc w:val="left"/>
            </w:pPr>
            <w:r>
              <w:t xml:space="preserve">Dai 2025, PMID 40839273</w:t>
            </w:r>
          </w:p>
        </w:tc>
        <w:tc>
          <w:tcPr/>
          <w:p>
            <w:pPr>
              <w:pStyle w:val="Compact"/>
              <w:jc w:val="left"/>
            </w:pPr>
            <w:r>
              <w:t xml:space="preserve">86.632 volwassenen met obesitas</w:t>
            </w:r>
          </w:p>
        </w:tc>
        <w:tc>
          <w:tcPr/>
          <w:p>
            <w:pPr>
              <w:pStyle w:val="Compact"/>
              <w:jc w:val="left"/>
            </w:pPr>
            <w:r>
              <w:t xml:space="preserve">minder kanker (hazard ratio 0,83)</w:t>
            </w:r>
          </w:p>
        </w:tc>
        <w:tc>
          <w:tcPr/>
          <w:p>
            <w:pPr>
              <w:pStyle w:val="Compact"/>
              <w:jc w:val="left"/>
            </w:pPr>
            <w:r>
              <w:t xml:space="preserve">nierkanker grenswaardig verhoogd (1,38)</w:t>
            </w:r>
          </w:p>
        </w:tc>
      </w:tr>
      <w:tr>
        <w:tc>
          <w:tcPr/>
          <w:p>
            <w:pPr>
              <w:pStyle w:val="Compact"/>
              <w:jc w:val="left"/>
            </w:pPr>
            <w:r>
              <w:t xml:space="preserve">Hsu 2026, PMID 42252247</w:t>
            </w:r>
          </w:p>
        </w:tc>
        <w:tc>
          <w:tcPr/>
          <w:p>
            <w:pPr>
              <w:pStyle w:val="Compact"/>
              <w:jc w:val="left"/>
            </w:pPr>
            <w:r>
              <w:t xml:space="preserve">161.798 volwassenen met obesitas zonder diabetes</w:t>
            </w:r>
          </w:p>
        </w:tc>
        <w:tc>
          <w:tcPr/>
          <w:p>
            <w:pPr>
              <w:pStyle w:val="Compact"/>
              <w:jc w:val="left"/>
            </w:pPr>
            <w:r>
              <w:t xml:space="preserve">minder overgewichtgerelateerde kankersoorten (0,59)</w:t>
            </w:r>
          </w:p>
        </w:tc>
        <w:tc>
          <w:tcPr/>
          <w:p>
            <w:pPr>
              <w:pStyle w:val="Compact"/>
              <w:jc w:val="left"/>
            </w:pPr>
            <w:r>
              <w:t xml:space="preserve">follow-up mediaan 2 jaar</w:t>
            </w:r>
          </w:p>
        </w:tc>
      </w:tr>
    </w:tbl>
    <w:p>
      <w:pPr>
        <w:pStyle w:val="BodyText"/>
      </w:pPr>
      <w:r>
        <w:t xml:space="preserve">Hoe moeten deze cijfers worden gelezen?</w:t>
      </w:r>
    </w:p>
    <w:p>
      <w:pPr>
        <w:numPr>
          <w:ilvl w:val="0"/>
          <w:numId w:val="1340"/>
        </w:numPr>
        <w:pStyle w:val="Compact"/>
      </w:pPr>
      <w:r>
        <w:rPr>
          <w:bCs/>
          <w:b/>
        </w:rPr>
        <w:t xml:space="preserve">De gerandomiseerde studies</w:t>
      </w:r>
      <w:r>
        <w:t xml:space="preserve"> </w:t>
      </w:r>
      <w:r>
        <w:t xml:space="preserve">laten in totaal geen invloed op het kankerrisico zien. Dat is het betrouwbaarste resultaat, maar de studies zijn te kort voor kanker.</w:t>
      </w:r>
    </w:p>
    <w:p>
      <w:pPr>
        <w:numPr>
          <w:ilvl w:val="0"/>
          <w:numId w:val="1340"/>
        </w:numPr>
        <w:pStyle w:val="Compact"/>
      </w:pPr>
      <w:r>
        <w:rPr>
          <w:bCs/>
          <w:b/>
        </w:rPr>
        <w:t xml:space="preserve">De grote observationele studies</w:t>
      </w:r>
      <w:r>
        <w:t xml:space="preserve"> </w:t>
      </w:r>
      <w:r>
        <w:t xml:space="preserve">laten eerder minder kanker met GLP-1-geneesmiddelen zien. Dat past bij het idee dat gewichtsverlies overgewichtgerelateerde kankersoorten vermindert. Het kan echter ook komen doordat mensen die zulke geneesmiddelen krijgen, in veel opzichten verschillen van de vergelijkingsgroepen. Een follow-up van twee jaar is voor een uitspraak over kankerpreventie zeer kort.</w:t>
      </w:r>
    </w:p>
    <w:p>
      <w:pPr>
        <w:numPr>
          <w:ilvl w:val="0"/>
          <w:numId w:val="1340"/>
        </w:numPr>
        <w:pStyle w:val="Compact"/>
      </w:pPr>
      <w:r>
        <w:rPr>
          <w:bCs/>
          <w:b/>
        </w:rPr>
        <w:t xml:space="preserve">Nierkanker</w:t>
      </w:r>
      <w:r>
        <w:t xml:space="preserve"> </w:t>
      </w:r>
      <w:r>
        <w:t xml:space="preserve">duikt in twee cohortstudies op als mogelijk signaal. Of dat een echt effect is, moet nog blijken.</w:t>
      </w:r>
    </w:p>
    <w:p>
      <w:pPr>
        <w:numPr>
          <w:ilvl w:val="0"/>
          <w:numId w:val="1340"/>
        </w:numPr>
        <w:pStyle w:val="Compact"/>
      </w:pPr>
      <w:r>
        <w:rPr>
          <w:bCs/>
          <w:b/>
        </w:rPr>
        <w:t xml:space="preserve">Schildklierkanker</w:t>
      </w:r>
      <w:r>
        <w:t xml:space="preserve"> </w:t>
      </w:r>
      <w:r>
        <w:t xml:space="preserve">blijft de open vraag, zoals hierboven beschreven.</w:t>
      </w:r>
    </w:p>
    <w:p>
      <w:pPr>
        <w:pStyle w:val="FirstParagraph"/>
      </w:pPr>
      <w:r>
        <w:t xml:space="preserve">Of GLP-1-geneesmiddelen werkelijk tegen kanker beschermen, valt met de beschikbare gegevens niet te zeggen. Voor de vraag of ze kanker veroorzaken, geldt volgens de huidige kennis: voor de meeste kankersoorten niet, voor schildklier en nieren nog niet definitief opgehelderd. Voor de nieuwe meervoudige agonisten zoals retatrutide, survodutide of mazdutide zijn er nog te weinig behandeljaren om eigen uitspraken te doen.</w:t>
      </w:r>
    </w:p>
    <w:bookmarkEnd w:id="2701"/>
    <w:bookmarkStart w:id="2702" w:name="het-belangrijkste-in-het-kort-5"/>
    <w:p>
      <w:pPr>
        <w:pStyle w:val="Heading3"/>
      </w:pPr>
      <w:r>
        <w:t xml:space="preserve">Het belangrijkste in het kort</w:t>
      </w:r>
    </w:p>
    <w:p>
      <w:pPr>
        <w:numPr>
          <w:ilvl w:val="0"/>
          <w:numId w:val="1341"/>
        </w:numPr>
        <w:pStyle w:val="Compact"/>
      </w:pPr>
      <w:r>
        <w:t xml:space="preserve">De beste gegevens over het kankerrisico zijn er uitgerekend voor de peptiden waarbij de zorg het minst gegrond lijkt: de geregistreerde GLP-1-geneesmiddelen. Voor de meeste kankersoorten laten ze geen verhoogd risico zien; het schildkliersignaal is onopgehelderd.</w:t>
      </w:r>
    </w:p>
    <w:p>
      <w:pPr>
        <w:numPr>
          <w:ilvl w:val="0"/>
          <w:numId w:val="1341"/>
        </w:numPr>
        <w:pStyle w:val="Compact"/>
      </w:pPr>
      <w:r>
        <w:t xml:space="preserve">Bij de groeihormoon-IGF-1-as is een matig verband tussen blijvend hogere IGF-1-spiegels en enkele kankersoorten goed aangetoond. Voor gezonde mensen die IGF-1 jarenlang kunstmatig verhogen, ontbreken studies.</w:t>
      </w:r>
    </w:p>
    <w:p>
      <w:pPr>
        <w:numPr>
          <w:ilvl w:val="0"/>
          <w:numId w:val="1341"/>
        </w:numPr>
        <w:pStyle w:val="Compact"/>
      </w:pPr>
      <w:r>
        <w:t xml:space="preserve">Voor BPC-157, TB-500, Epitalon, humanine, Dihexa en vergelijkbare stoffen zijn er alleen theoretische en dierexperimentele aanwijzingen – in beide richtingen. Langetermijngegevens over het ontstaan van kanker bestaan niet.</w:t>
      </w:r>
    </w:p>
    <w:p>
      <w:pPr>
        <w:numPr>
          <w:ilvl w:val="0"/>
          <w:numId w:val="1341"/>
        </w:numPr>
        <w:pStyle w:val="Compact"/>
      </w:pPr>
      <w:r>
        <w:t xml:space="preserve">Bij Melanotan II zijn er casusbeschrijvingen van melanomen, maar geen frequentiegegevens. Bij het geregistreerde afamelanotide vonden kleine studies geen kwaadaardige veranderingen.</w:t>
      </w:r>
    </w:p>
    <w:p>
      <w:pPr>
        <w:numPr>
          <w:ilvl w:val="0"/>
          <w:numId w:val="1341"/>
        </w:numPr>
        <w:pStyle w:val="Compact"/>
      </w:pPr>
      <w:r>
        <w:t xml:space="preserve">Voor mensen met een actieve of eerdere kanker zijn alle groeibevorderende peptiden zonder medische begeleiding bijzonder problematisch.</w:t>
      </w:r>
    </w:p>
    <w:bookmarkEnd w:id="2702"/>
    <w:bookmarkEnd w:id="2703"/>
    <w:bookmarkStart w:id="2734" w:name="immuunreacties-en-antistoffen"/>
    <w:p>
      <w:pPr>
        <w:pStyle w:val="Heading2"/>
      </w:pPr>
      <w:r>
        <w:t xml:space="preserve">Immuunreacties en antistoffen</w:t>
      </w:r>
    </w:p>
    <w:p>
      <w:pPr>
        <w:pStyle w:val="FirstParagraph"/>
      </w:pPr>
      <w:r>
        <w:t xml:space="preserve">Het immuunsysteem heeft als taak vreemde stoffen te herkennen. Peptiden bevinden zich daarbij op een grens: veel ervan zijn nagebouwd naar lichaamseigen signaalstoffen, maar chemisch gewijzigd zodat ze langer werken. Andere komen van dieren, van bacteriën of uit het laboratorium. Daar komt bij dat de meeste peptiden onder de huid worden geïnjecteerd – op een plek waar bijzonder veel afweercellen op indringers wachten.</w:t>
      </w:r>
    </w:p>
    <w:p>
      <w:pPr>
        <w:pStyle w:val="BodyText"/>
      </w:pPr>
      <w:r>
        <w:t xml:space="preserve">Immuunreacties op peptiden lopen uiteen van onschuldige roodheid op de injectieplaats via antistoffen die men alleen in het laboratorium opmerkt, tot zeldzame levensbedreigende allergische reacties. Dit hoofdstuk ordent deze reacties, vergelijkt de peptiden en laat zien welke rol verontreinigingen spelen.</w:t>
      </w:r>
    </w:p>
    <w:bookmarkStart w:id="2705" w:name="Xe777d2e8e2ecc0a64de98fc1cdf973f0dc51da0"/>
    <w:p>
      <w:pPr>
        <w:pStyle w:val="Heading3"/>
      </w:pPr>
      <w:r>
        <w:t xml:space="preserve">Waarom peptiden een immuunreactie kunnen uitlokken</w:t>
      </w:r>
    </w:p>
    <w:p>
      <w:pPr>
        <w:pStyle w:val="FirstParagraph"/>
      </w:pPr>
      <w:r>
        <w:t xml:space="preserve">Of het immuunsysteem een peptide als vreemd beschouwt, hangt af van meerdere factoren:</w:t>
      </w:r>
    </w:p>
    <w:p>
      <w:pPr>
        <w:numPr>
          <w:ilvl w:val="0"/>
          <w:numId w:val="1342"/>
        </w:numPr>
        <w:pStyle w:val="Compact"/>
      </w:pPr>
      <w:r>
        <w:rPr>
          <w:bCs/>
          <w:b/>
        </w:rPr>
        <w:t xml:space="preserve">Herkomst en gelijkenis met het lichaamseigene.</w:t>
      </w:r>
      <w:r>
        <w:t xml:space="preserve"> </w:t>
      </w:r>
      <w:r>
        <w:t xml:space="preserve">Exenatide werd ontwikkeld uit een peptide in het speeksel van een hagedis en verschilt duidelijk van het menselijke GLP-1. Liraglutide en semaglutide zijn daarentegen grotendeels naar het menselijke hormoon nagebouwd.</w:t>
      </w:r>
    </w:p>
    <w:p>
      <w:pPr>
        <w:numPr>
          <w:ilvl w:val="0"/>
          <w:numId w:val="1342"/>
        </w:numPr>
        <w:pStyle w:val="Compact"/>
      </w:pPr>
      <w:r>
        <w:rPr>
          <w:bCs/>
          <w:b/>
        </w:rPr>
        <w:t xml:space="preserve">Grootte en wijzigingen.</w:t>
      </w:r>
      <w:r>
        <w:t xml:space="preserve"> </w:t>
      </w:r>
      <w:r>
        <w:t xml:space="preserve">Langere moleculen, aangehechte vetzuren, verbindingsstukken of bestanddelen van antistoffen (zoals bij maridebart cafraglutide) bieden meer aangrijpingspunten.</w:t>
      </w:r>
    </w:p>
    <w:p>
      <w:pPr>
        <w:numPr>
          <w:ilvl w:val="0"/>
          <w:numId w:val="1342"/>
        </w:numPr>
        <w:pStyle w:val="Compact"/>
      </w:pPr>
      <w:r>
        <w:rPr>
          <w:bCs/>
          <w:b/>
        </w:rPr>
        <w:t xml:space="preserve">Klontering.</w:t>
      </w:r>
      <w:r>
        <w:t xml:space="preserve"> </w:t>
      </w:r>
      <w:r>
        <w:t xml:space="preserve">Peptiden kunnen samenklonteren tot grotere aggregaten die het immuunsysteem gemakkelijker herkent.</w:t>
      </w:r>
    </w:p>
    <w:p>
      <w:pPr>
        <w:numPr>
          <w:ilvl w:val="0"/>
          <w:numId w:val="1342"/>
        </w:numPr>
        <w:pStyle w:val="Compact"/>
      </w:pPr>
      <w:r>
        <w:rPr>
          <w:bCs/>
          <w:b/>
        </w:rPr>
        <w:t xml:space="preserve">Verontreinigingen.</w:t>
      </w:r>
      <w:r>
        <w:t xml:space="preserve"> </w:t>
      </w:r>
      <w:r>
        <w:t xml:space="preserve">Al kleine hoeveelheden foutief geproduceerde peptidefragmenten of bacteriële bestanddelen kunnen een afweerreactie in gang zetten (meer hierover hieronder).</w:t>
      </w:r>
    </w:p>
    <w:p>
      <w:pPr>
        <w:numPr>
          <w:ilvl w:val="0"/>
          <w:numId w:val="1342"/>
        </w:numPr>
        <w:pStyle w:val="Compact"/>
      </w:pPr>
      <w:r>
        <w:rPr>
          <w:bCs/>
          <w:b/>
        </w:rPr>
        <w:t xml:space="preserve">Frequentie en duur van het gebruik.</w:t>
      </w:r>
      <w:r>
        <w:t xml:space="preserve"> </w:t>
      </w:r>
      <w:r>
        <w:t xml:space="preserve">Wie een peptide maandenlang herhaaldelijk injecteert, geeft het immuunsysteem veel gelegenheden om erop te reageren.</w:t>
      </w:r>
    </w:p>
    <w:p>
      <w:pPr>
        <w:pStyle w:val="FirstParagraph"/>
      </w:pPr>
      <w:r>
        <w:t xml:space="preserve">Voor de beoordeling van antistoffen tegen geneesmiddelen – deskundigen spreken van anti-drug-antistoffen (ADA) – heeft zich een eenduidige terminologie gevestigd</w:t>
      </w:r>
      <w:r>
        <w:rPr>
          <w:rStyle w:val="FootnoteReference"/>
        </w:rPr>
        <w:footnoteReference w:id="2704"/>
      </w:r>
      <w:r>
        <w:t xml:space="preserve">. Belangrijk zijn vier vragen: hoeveel behandelden vormen antistoffen? Hoe groot is de hoeveelheid (de titer)? Remmen de antistoffen de werking (neutraliserende antistoffen)? En reageren ze ook met het lichaamseigen hormoon (kruisreactiviteit)? Het laatste punt zou het zorgwekkendst zijn: antistoffen die niet alleen het geneesmiddel, maar ook het eigen hormoon blokkeren, zouden een blijvende stoornis kunnen achterlaten.</w:t>
      </w:r>
    </w:p>
    <w:bookmarkEnd w:id="2705"/>
    <w:bookmarkStart w:id="2708" w:name="X2d1109d40a43ebaf32494fe3346e51e3111d5cf"/>
    <w:p>
      <w:pPr>
        <w:pStyle w:val="Heading3"/>
      </w:pPr>
      <w:r>
        <w:t xml:space="preserve">Anti-drug-antistoffen: wat de studies laten zien</w:t>
      </w:r>
    </w:p>
    <w:p>
      <w:pPr>
        <w:pStyle w:val="FirstParagraph"/>
      </w:pPr>
      <w:r>
        <w:t xml:space="preserve">Voor de geregistreerde GLP-1-geneesmiddelen zijn systematische onderzoeken beschikbaar. Ze laten zien hoe verschillend vaak antistoffen ontstaan – en dat een hoge frequentie niet automatisch een klinisch probleem betekent.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Antistoffen bij</w:t>
            </w:r>
          </w:p>
        </w:tc>
        <w:tc>
          <w:tcPr/>
          <w:p>
            <w:pPr>
              <w:pStyle w:val="Compact"/>
              <w:jc w:val="left"/>
            </w:pPr>
            <w:r>
              <w:t xml:space="preserve">Gevolgen</w:t>
            </w:r>
          </w:p>
        </w:tc>
        <w:tc>
          <w:tcPr/>
          <w:p>
            <w:pPr>
              <w:pStyle w:val="Compact"/>
              <w:jc w:val="left"/>
            </w:pPr>
            <w:r>
              <w:t xml:space="preserve">Bron</w:t>
            </w:r>
          </w:p>
        </w:tc>
      </w:tr>
      <w:tr>
        <w:tc>
          <w:tcPr/>
          <w:p>
            <w:pPr>
              <w:pStyle w:val="Compact"/>
              <w:jc w:val="left"/>
            </w:pPr>
            <w:r>
              <w:t xml:space="preserve">Exenatide</w:t>
            </w:r>
          </w:p>
        </w:tc>
        <w:tc>
          <w:tcPr/>
          <w:p>
            <w:pPr>
              <w:pStyle w:val="Compact"/>
              <w:jc w:val="left"/>
            </w:pPr>
            <w:r>
              <w:t xml:space="preserve">61% na 26 weken (LEAD-6)</w:t>
            </w:r>
          </w:p>
        </w:tc>
        <w:tc>
          <w:tcPr/>
          <w:p>
            <w:pPr>
              <w:pStyle w:val="Compact"/>
              <w:jc w:val="left"/>
            </w:pPr>
            <w:r>
              <w:t xml:space="preserve">hoge titers: geringere HbA1c-daling</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tot 8,7%, lage titers</w:t>
            </w:r>
          </w:p>
        </w:tc>
        <w:tc>
          <w:tcPr/>
          <w:p>
            <w:pPr>
              <w:pStyle w:val="Compact"/>
              <w:jc w:val="left"/>
            </w:pPr>
            <w:r>
              <w:t xml:space="preserve">geen verzwakking van de werking</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neutraliserend 0,9%</w:t>
            </w:r>
          </w:p>
        </w:tc>
        <w:tc>
          <w:tcPr/>
          <w:p>
            <w:pPr>
              <w:pStyle w:val="Compact"/>
              <w:jc w:val="left"/>
            </w:pPr>
            <w:r>
              <w:t xml:space="preserve">geen overgevoeligheid bij antistofpositieven</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neutraliserend ongeveer 2%</w:t>
            </w:r>
          </w:p>
        </w:tc>
        <w:tc>
          <w:tcPr/>
          <w:p>
            <w:pPr>
              <w:pStyle w:val="Compact"/>
              <w:jc w:val="left"/>
            </w:pPr>
            <w:r>
              <w:t xml:space="preserve">geen verzwakking van de werking; meer huid- en allergische reacties</w:t>
            </w:r>
          </w:p>
        </w:tc>
        <w:tc>
          <w:tcPr/>
          <w:p>
            <w:pPr>
              <w:pStyle w:val="Compact"/>
              <w:jc w:val="left"/>
            </w:pPr>
            <w:r>
              <w:t xml:space="preserve">Mullins 2024, PMID 37700637</w:t>
            </w:r>
          </w:p>
        </w:tc>
      </w:tr>
      <w:tr>
        <w:tc>
          <w:tcPr/>
          <w:p>
            <w:pPr>
              <w:pStyle w:val="Compact"/>
              <w:jc w:val="left"/>
            </w:pPr>
            <w:r>
              <w:t xml:space="preserve">Sermoreline</w:t>
            </w:r>
          </w:p>
        </w:tc>
        <w:tc>
          <w:tcPr/>
          <w:p>
            <w:pPr>
              <w:pStyle w:val="Compact"/>
              <w:jc w:val="left"/>
            </w:pPr>
            <w:r>
              <w:t xml:space="preserve">14 van 18 kinderen</w:t>
            </w:r>
          </w:p>
        </w:tc>
        <w:tc>
          <w:tcPr/>
          <w:p>
            <w:pPr>
              <w:pStyle w:val="Compact"/>
              <w:jc w:val="left"/>
            </w:pPr>
            <w:r>
              <w:t xml:space="preserve">geen herkenbare gevolgen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geen in 12 weken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het schoolvoorbeeld van een peptide dat door zijn niet-menselijke herkomst vaak antistoffen oproept. In de studie LEAD-6 hadden na 26 weken 113 van de 185 behandelden antistoffen tegen exenatide; hoge antistofspiegels gingen samen met een significant geringere daling van de lange-termijnbloedsuiker. Na de overstap op liraglutide belemmerden deze antistoffen de verdere werking niet</w:t>
      </w:r>
      <w:r>
        <w:rPr>
          <w:rStyle w:val="FootnoteReference"/>
        </w:rPr>
        <w:footnoteReference w:id="2706"/>
      </w:r>
      <w:r>
        <w:t xml:space="preserve">.</w:t>
      </w:r>
    </w:p>
    <w:p>
      <w:pPr>
        <w:pStyle w:val="BodyText"/>
      </w:pPr>
      <w:r>
        <w:rPr>
          <w:bCs/>
          <w:b/>
        </w:rPr>
        <w:t xml:space="preserve">Tirzepatide</w:t>
      </w:r>
      <w:r>
        <w:t xml:space="preserve"> </w:t>
      </w:r>
      <w:r>
        <w:t xml:space="preserve">laat zien dat ook een naar de mens nagebouwd peptide vaak kan worden herkend. In zeven fase 3-studies met 5.025 evalueerbare deelnemers vormde 51,1% tijdens de behandeling antistoffen. Neutraliserende antistoffen tegen de werking op de GIP- respectievelijk GLP-1-receptor werden gevonden bij 1,9% en 2,1%, antistoffen die ook de lichaamseigen hormonen neutraliseerden bij minder dan 1%. Op bloedspiegels en werking had dat geen invloed. Antistofpositieve deelnemers kregen wel vaker overgevoeligheidsreacties en reacties op de injectieplaats, meestal licht tot matig</w:t>
      </w:r>
      <w:r>
        <w:rPr>
          <w:rStyle w:val="FootnoteReference"/>
        </w:rPr>
        <w:footnoteReference w:id="2707"/>
      </w:r>
      <w:r>
        <w:t xml:space="preserve">.</w:t>
      </w:r>
    </w:p>
    <w:p>
      <w:pPr>
        <w:pStyle w:val="BodyText"/>
      </w:pPr>
      <w:r>
        <w:t xml:space="preserve">Voor de nieuwere werkzame stoffen – retatrutide, survodutide, mazdutide, cagrilintide, amycretine en het op antistoffen gebaseerde maridebart cafraglutide – zijn vergelijkbare samenvattende analyses nog niet gepubliceerd. Bij maridebart cafraglutide is dat bijzonder relevant, omdat antistofgeneesmiddelen een eigen immunogeniciteit kunnen hebben (hoofdstuk Maridebart cafraglutide).</w:t>
      </w:r>
    </w:p>
    <w:p>
      <w:pPr>
        <w:pStyle w:val="BodyText"/>
      </w:pPr>
      <w:r>
        <w:t xml:space="preserve">Voor de meeste grijze-marktpeptiden zijn er helemaal geen gegevens over antistoffen. Dat geldt voor BPC-157, TB-500, CJC-1295, ipamoreline, MOTS-c, humanine, Epitalon en vele andere. In de hoofdstukken over MOTS-c, humanine en FOXO4-DRI wordt erop gewezen dat antistoffen bij herhaalde injectie denkbaar zijn, maar nooit zijn onderzocht. Wie zulke stoffen maandenlang injecteert, kan dus niet weten of zijn lichaam antistoffen vormt en wat die teweegbrengen.</w:t>
      </w:r>
    </w:p>
    <w:bookmarkEnd w:id="2708"/>
    <w:bookmarkStart w:id="2712" w:name="reacties-op-de-injectieplaats"/>
    <w:p>
      <w:pPr>
        <w:pStyle w:val="Heading3"/>
      </w:pPr>
      <w:r>
        <w:t xml:space="preserve">Reacties op de injectieplaats</w:t>
      </w:r>
    </w:p>
    <w:p>
      <w:pPr>
        <w:pStyle w:val="FirstParagraph"/>
      </w:pPr>
      <w:r>
        <w:t xml:space="preserve">Roodheid, jeuk, zwelling, kleine blauwe plekken of voelbare knobbeltjes op de injectieplaats zijn de meest voorkomende immuun- en weefselreacties op geïnjecteerde peptiden. Een meta-analyse van 14 gerandomiseerde studies met 4.861 deelnemers vond met GLP-1-receptoragonisten een ongeveer drieënhalf keer zo hoog risico op zulke reacties als in de vergelijkingsgroepen (relatief risico 3,55). In de Amerikaanse meldingsdatabank vielen vooral exenatide en dulaglutide op met bloedingen op de injectieplaats</w:t>
      </w:r>
      <w:r>
        <w:rPr>
          <w:rStyle w:val="FootnoteReference"/>
        </w:rPr>
        <w:footnoteReference w:id="2709"/>
      </w:r>
      <w:r>
        <w:t xml:space="preserve">.</w:t>
      </w:r>
    </w:p>
    <w:p>
      <w:pPr>
        <w:pStyle w:val="BodyText"/>
      </w:pPr>
      <w:r>
        <w:t xml:space="preserve">De frequentie verschilt aanzienlijk tussen de peptiden: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Reacties op de injectieplaats</w:t>
            </w:r>
          </w:p>
        </w:tc>
        <w:tc>
          <w:tcPr/>
          <w:p>
            <w:pPr>
              <w:pStyle w:val="Compact"/>
              <w:jc w:val="left"/>
            </w:pPr>
            <w:r>
              <w:t xml:space="preserve">Bron</w:t>
            </w:r>
          </w:p>
        </w:tc>
      </w:tr>
      <w:tr>
        <w:tc>
          <w:tcPr/>
          <w:p>
            <w:pPr>
              <w:pStyle w:val="Compact"/>
              <w:jc w:val="left"/>
            </w:pPr>
            <w:r>
              <w:t xml:space="preserve">Setmelanotide</w:t>
            </w:r>
          </w:p>
        </w:tc>
        <w:tc>
          <w:tcPr/>
          <w:p>
            <w:pPr>
              <w:pStyle w:val="Compact"/>
              <w:jc w:val="left"/>
            </w:pPr>
            <w:r>
              <w:t xml:space="preserve">96% (meta-analyse,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meestal licht</w:t>
            </w:r>
          </w:p>
        </w:tc>
        <w:tc>
          <w:tcPr/>
          <w:p>
            <w:pPr>
              <w:pStyle w:val="Compact"/>
              <w:jc w:val="left"/>
            </w:pPr>
            <w:r>
              <w:t xml:space="preserve">Karaa 2020, PMID 32096613</w:t>
            </w:r>
          </w:p>
        </w:tc>
      </w:tr>
      <w:tr>
        <w:tc>
          <w:tcPr/>
          <w:p>
            <w:pPr>
              <w:pStyle w:val="Compact"/>
              <w:jc w:val="left"/>
            </w:pPr>
            <w:r>
              <w:t xml:space="preserve">Mecasermine</w:t>
            </w:r>
          </w:p>
        </w:tc>
        <w:tc>
          <w:tcPr/>
          <w:p>
            <w:pPr>
              <w:pStyle w:val="Compact"/>
              <w:jc w:val="left"/>
            </w:pPr>
            <w:r>
              <w:t xml:space="preserve">veranderingen van het vetweefsel bij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tot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met placebo</w:t>
            </w:r>
          </w:p>
        </w:tc>
        <w:tc>
          <w:tcPr/>
          <w:p>
            <w:pPr>
              <w:pStyle w:val="Compact"/>
              <w:jc w:val="left"/>
            </w:pPr>
            <w:r>
              <w:t xml:space="preserve">Clayton 2022, PMID 35147466</w:t>
            </w:r>
          </w:p>
        </w:tc>
      </w:tr>
    </w:tbl>
    <w:p>
      <w:pPr>
        <w:pStyle w:val="BodyText"/>
      </w:pPr>
      <w:r>
        <w:t xml:space="preserve">Bij de weekvorm van exenatide ontstaan vaak kleine knobbeltjes, omdat de microbolletjes die de werkzame stof langzaam vrijgeven, onder de huid worden afgebroken. In de vijfjaarsanalyse van DURATION-1 werden zulke reacties na verloop van tijd zeldzamer</w:t>
      </w:r>
      <w:r>
        <w:rPr>
          <w:rStyle w:val="FootnoteReference"/>
        </w:rPr>
        <w:footnoteReference w:id="2710"/>
      </w:r>
      <w:r>
        <w:t xml:space="preserve">. Bij mecasermine ging het om een verdikking van het vetweefsel op de injectieplaats (lipohypertrofie).</w:t>
      </w:r>
    </w:p>
    <w:p>
      <w:pPr>
        <w:pStyle w:val="BodyText"/>
      </w:pPr>
      <w:r>
        <w:t xml:space="preserve">Belangrijk is het onderscheid met een</w:t>
      </w:r>
      <w:r>
        <w:t xml:space="preserve"> </w:t>
      </w:r>
      <w:r>
        <w:rPr>
          <w:bCs/>
          <w:b/>
        </w:rPr>
        <w:t xml:space="preserve">infectie</w:t>
      </w:r>
      <w:r>
        <w:t xml:space="preserve">. Een roodheid die over dagen toeneemt, warm wordt, pijn doet, ettert of met koorts gepaard gaat, is geen onschuldige reactie. Na injecties met Argireline in voorhoofd en slapen ontwikkelde een 45-jarige vrouw knobbels en abcessen; de oorzaak was de moeilijk te behandelen bacterie</w:t>
      </w:r>
      <w:r>
        <w:t xml:space="preserve"> </w:t>
      </w:r>
      <w:r>
        <w:rPr>
          <w:iCs/>
          <w:i/>
        </w:rPr>
        <w:t xml:space="preserve">Mycobacterium abscessus</w:t>
      </w:r>
      <w:r>
        <w:t xml:space="preserve">, de behandeling duurde vijf maanden</w:t>
      </w:r>
      <w:r>
        <w:rPr>
          <w:rStyle w:val="FootnoteReference"/>
        </w:rPr>
        <w:footnoteReference w:id="2711"/>
      </w:r>
      <w:r>
        <w:t xml:space="preserve">. Zulke infecties gaan meestal niet uit van het peptide, maar van niet-steriele producten of werkwijzen – meer hierover in het hoofdstuk „Grijze-marktproducten”.</w:t>
      </w:r>
    </w:p>
    <w:bookmarkEnd w:id="2712"/>
    <w:bookmarkStart w:id="2721" w:name="allergische-reacties-en-anafylaxie"/>
    <w:p>
      <w:pPr>
        <w:pStyle w:val="Heading3"/>
      </w:pPr>
      <w:r>
        <w:t xml:space="preserve">Allergische reacties en anafylaxie</w:t>
      </w:r>
    </w:p>
    <w:p>
      <w:pPr>
        <w:pStyle w:val="FirstParagraph"/>
      </w:pPr>
      <w:r>
        <w:t xml:space="preserve">Anafylaxie is een ernstige, het hele lichaam betreffende allergische reactie met huiduitslag, zwellingen, ademnood en circulatoire shock. Ze is bij peptidegeneesmiddelen zeldzaam, maar komt voor.</w:t>
      </w:r>
    </w:p>
    <w:p>
      <w:pPr>
        <w:pStyle w:val="BodyText"/>
      </w:pPr>
      <w:r>
        <w:t xml:space="preserve">Voor de GLP-1-geneesmiddelen zijn er grote databankstudies over. In drie Amerikaanse verzekeringsdatabanken met 696.089 nieuwe gebruikers lag de frequentie van anafylaxie, afhankelijk van de werkzame stof, tussen 1,0 (lixisenatide) en 6,0 (exenatide) gevallen per 10.000 persoonsjaren; de auteurs beoordelen anafylaxie met GLP-1-geneesmiddelen als zeldzaam</w:t>
      </w:r>
      <w:r>
        <w:rPr>
          <w:rStyle w:val="FootnoteReference"/>
        </w:rPr>
        <w:footnoteReference w:id="2713"/>
      </w:r>
      <w:r>
        <w:t xml:space="preserve">. Een studie uit het Verenigd Koninkrijk en de VS vergeleek GLP-1-receptoragonisten met twee andere groepen diabetesmiddelen. Ten opzichte van DPP-4-remmers was het risico niet aantoonbaar verhoogd (hazard ratio 1,15), ten opzichte van SGLT2-remmers met 38% (40,7 tegenover 29,4 gevallen per 100.000 persoonsjaren)</w:t>
      </w:r>
      <w:r>
        <w:rPr>
          <w:rStyle w:val="FootnoteReference"/>
        </w:rPr>
        <w:footnoteReference w:id="2714"/>
      </w:r>
      <w:r>
        <w:t xml:space="preserve">. Dat is een relatieve stijging bij een in absolute zin zeer zeldzame reactie.</w:t>
      </w:r>
    </w:p>
    <w:p>
      <w:pPr>
        <w:pStyle w:val="BodyText"/>
      </w:pPr>
      <w:r>
        <w:t xml:space="preserve">Afzonderlijke gevallen laten zien hoe zulke reacties eruit kunnen zien:</w:t>
      </w:r>
    </w:p>
    <w:p>
      <w:pPr>
        <w:numPr>
          <w:ilvl w:val="0"/>
          <w:numId w:val="1343"/>
        </w:numPr>
        <w:pStyle w:val="Compact"/>
      </w:pPr>
      <w:r>
        <w:t xml:space="preserve">Casusbeschrijvingen beschrijven anafylaxie met de weekvorm van exenatide</w:t>
      </w:r>
      <w:r>
        <w:rPr>
          <w:rStyle w:val="FootnoteReference"/>
        </w:rPr>
        <w:footnoteReference w:id="2715"/>
      </w:r>
      <w:r>
        <w:t xml:space="preserve"> </w:t>
      </w:r>
      <w:r>
        <w:t xml:space="preserve">en een allergische reactie op exenatide en lixisenatide, maar niet op liraglutide</w:t>
      </w:r>
      <w:r>
        <w:rPr>
          <w:rStyle w:val="FootnoteReference"/>
        </w:rPr>
        <w:footnoteReference w:id="2716"/>
      </w:r>
      <w:r>
        <w:t xml:space="preserve"> </w:t>
      </w:r>
      <w:r>
        <w:t xml:space="preserve">– een aanwijzing dat de van hagedissen afgeleide werkzame stoffen anders worden herkend dan de mensachtige.</w:t>
      </w:r>
    </w:p>
    <w:p>
      <w:pPr>
        <w:numPr>
          <w:ilvl w:val="0"/>
          <w:numId w:val="1343"/>
        </w:numPr>
        <w:pStyle w:val="Compact"/>
      </w:pPr>
      <w:r>
        <w:t xml:space="preserve">Met tirzepatide is een bifasische anafylaxie beschreven, waarbij de klachten na aanvankelijke verbetering opnieuw optraden</w:t>
      </w:r>
      <w:r>
        <w:rPr>
          <w:rStyle w:val="FootnoteReference"/>
        </w:rPr>
        <w:footnoteReference w:id="2717"/>
      </w:r>
      <w:r>
        <w:t xml:space="preserve">.</w:t>
      </w:r>
    </w:p>
    <w:p>
      <w:pPr>
        <w:numPr>
          <w:ilvl w:val="0"/>
          <w:numId w:val="1343"/>
        </w:numPr>
        <w:pStyle w:val="Compact"/>
      </w:pPr>
      <w:r>
        <w:t xml:space="preserve">Een 50-jarige vrouw ontwikkelde vier uur na haar eerste injectie met semaglutide uit een bereidingsapotheek een massale zwelling van lippen, tong en keel en moest vier dagen worden beademd. Pas daarna bleek dat zij per vergissing de tienvoudige hoeveelheid had geïnjecteerd</w:t>
      </w:r>
      <w:r>
        <w:rPr>
          <w:rStyle w:val="FootnoteReference"/>
        </w:rPr>
        <w:footnoteReference w:id="2718"/>
      </w:r>
      <w:r>
        <w:t xml:space="preserve">.</w:t>
      </w:r>
    </w:p>
    <w:p>
      <w:pPr>
        <w:numPr>
          <w:ilvl w:val="0"/>
          <w:numId w:val="1343"/>
        </w:numPr>
        <w:pStyle w:val="Compact"/>
      </w:pPr>
      <w:r>
        <w:t xml:space="preserve">Na een infuus met cerebrolysine ontwikkelde een 85-jarige man een levensbedreigende anafylaxie, die in het laboratorium werd bevestigd</w:t>
      </w:r>
      <w:r>
        <w:rPr>
          <w:rStyle w:val="FootnoteReference"/>
        </w:rPr>
        <w:footnoteReference w:id="2719"/>
      </w:r>
      <w:r>
        <w:t xml:space="preserve">. Cerebrolysine is een mengsel van peptiden uit varkenshersenen; dierlijke extracten zoals dit of thymaline brengen in principe meer vreemde eiwitten mee (hoofdstukken Cerebrolysine, Thymaline).</w:t>
      </w:r>
    </w:p>
    <w:p>
      <w:pPr>
        <w:pStyle w:val="FirstParagraph"/>
      </w:pPr>
      <w:r>
        <w:t xml:space="preserve">Ook bij cosmetische peptiden zijn allergieën mogelijk, zij het zelden. In een kleine studie met een crème die onder meer palmitoyl-pentapeptide-4 bevatte, trad een vermoedelijke allergische reactie op; welk bestanddeel verantwoordelijk was, bleef open</w:t>
      </w:r>
      <w:r>
        <w:rPr>
          <w:rStyle w:val="FootnoteReference"/>
        </w:rPr>
        <w:footnoteReference w:id="2720"/>
      </w:r>
      <w:r>
        <w:t xml:space="preserve">.</w:t>
      </w:r>
    </w:p>
    <w:p>
      <w:pPr>
        <w:pStyle w:val="BodyText"/>
      </w:pPr>
      <w:r>
        <w:t xml:space="preserve">Voor grijze-marktpeptiden zijn er geen frequentiegegevens. Het risico op een ernstige allergische reactie is daar echter in bijzondere mate aanwezig, omdat het gebruik meestal zonder medisch toezicht plaatsvindt en er in een noodgeval niemand met noodmedicatie klaarstaat. Ademnood, zwellingen in gezicht of keel en circulatieklachten na een injectie zijn altijd een noodgeval.</w:t>
      </w:r>
    </w:p>
    <w:bookmarkEnd w:id="2721"/>
    <w:bookmarkStart w:id="2726" w:name="ontstekings--en-auto-immuunreacties"/>
    <w:p>
      <w:pPr>
        <w:pStyle w:val="Heading3"/>
      </w:pPr>
      <w:r>
        <w:t xml:space="preserve">Ontstekings- en auto-immuunreacties</w:t>
      </w:r>
    </w:p>
    <w:p>
      <w:pPr>
        <w:pStyle w:val="FirstParagraph"/>
      </w:pPr>
      <w:r>
        <w:t xml:space="preserve">Sommige peptiden maken zelf deel uit van het immuunsysteem. Dat maakt ze interessant, maar ook riskant.</w:t>
      </w:r>
    </w:p>
    <w:p>
      <w:pPr>
        <w:pStyle w:val="BodyText"/>
      </w:pPr>
      <w:r>
        <w:rPr>
          <w:bCs/>
          <w:b/>
        </w:rPr>
        <w:t xml:space="preserve">LL-37</w:t>
      </w:r>
      <w:r>
        <w:t xml:space="preserve"> </w:t>
      </w:r>
      <w:r>
        <w:t xml:space="preserve">is een lichaamseigen afweerpeptide. Bij psoriasis speelt het een sleutelrol: het bindt zich aan lichaamseigen erfelijk materiaal en maakt dat zichtbaar voor bepaalde immuuncellen, die daarop ontstekingssignaalstoffen afgeven</w:t>
      </w:r>
      <w:r>
        <w:rPr>
          <w:rStyle w:val="FootnoteReference"/>
        </w:rPr>
        <w:footnoteReference w:id="2722"/>
      </w:r>
      <w:r>
        <w:t xml:space="preserve">. Bij twee derde van de mensen met matige tot ernstige psoriasis werden T-cellen gevonden die gericht LL-37 herkennen – het werkt daar dus als een autoantigeen</w:t>
      </w:r>
      <w:r>
        <w:rPr>
          <w:rStyle w:val="FootnoteReference"/>
        </w:rPr>
        <w:footnoteReference w:id="2723"/>
      </w:r>
      <w:r>
        <w:t xml:space="preserve">. Na injecties met LL-37 in huidmetastasen traden bij een patiënte ontstoken, wratachtige huidveranderingen op</w:t>
      </w:r>
      <w:r>
        <w:rPr>
          <w:rStyle w:val="FootnoteReference"/>
        </w:rPr>
        <w:footnoteReference w:id="2724"/>
      </w:r>
      <w:r>
        <w:t xml:space="preserve">. Voor mensen met psoriasis, rosacea of andere auto-immuunziekten is dat een serieus te nemen aanwijzing (hoofdstuk LL-37).</w:t>
      </w:r>
    </w:p>
    <w:p>
      <w:pPr>
        <w:pStyle w:val="BodyText"/>
      </w:pPr>
      <w:r>
        <w:rPr>
          <w:bCs/>
          <w:b/>
        </w:rPr>
        <w:t xml:space="preserve">Immuunstimulerende peptiden</w:t>
      </w:r>
      <w:r>
        <w:t xml:space="preserve"> </w:t>
      </w:r>
      <w:r>
        <w:t xml:space="preserve">zoals thymosine alfa-1 en thymaline zouden de afweer stimuleren. Of dat bij auto-immuunziekten of na orgaantransplantaties schade doet, is niet onderzocht (hoofdstukken Thymosine alfa-1, Thymaline).</w:t>
      </w:r>
    </w:p>
    <w:p>
      <w:pPr>
        <w:pStyle w:val="BodyText"/>
      </w:pPr>
      <w:r>
        <w:t xml:space="preserve">Bij de GLP-1-geneesmiddelen beschrijft een systematisch overzicht naast de veelvoorkomende lichte huidreacties zeldzame, maar potentieel ernstige immuungemedieerde aandoeningen, waaronder angio-oedeem, blaarvormende auto-immuunziekten, geneesmiddeleneruptie en vaatontstekingen</w:t>
      </w:r>
      <w:r>
        <w:rPr>
          <w:rStyle w:val="FootnoteReference"/>
        </w:rPr>
        <w:footnoteReference w:id="2725"/>
      </w:r>
      <w:r>
        <w:t xml:space="preserve">. Hoe vaak ze voorkomen, valt uit casusbeschrijvingen niet af te leiden.</w:t>
      </w:r>
    </w:p>
    <w:bookmarkEnd w:id="2726"/>
    <w:bookmarkStart w:id="2732" w:name="verontreinigingen-als-uitlokker"/>
    <w:p>
      <w:pPr>
        <w:pStyle w:val="Heading3"/>
      </w:pPr>
      <w:r>
        <w:t xml:space="preserve">Verontreinigingen als uitlokker</w:t>
      </w:r>
    </w:p>
    <w:p>
      <w:pPr>
        <w:pStyle w:val="FirstParagraph"/>
      </w:pPr>
      <w:r>
        <w:t xml:space="preserve">Een deel van de immuunreacties gaat niet terug op het peptide zelf, maar op wat er bij de productie extra in het flesje terechtkomt.</w:t>
      </w:r>
    </w:p>
    <w:p>
      <w:pPr>
        <w:pStyle w:val="BodyText"/>
      </w:pPr>
      <w:r>
        <w:rPr>
          <w:bCs/>
          <w:b/>
        </w:rPr>
        <w:t xml:space="preserve">Foutieve peptiden.</w:t>
      </w:r>
      <w:r>
        <w:t xml:space="preserve"> </w:t>
      </w:r>
      <w:r>
        <w:t xml:space="preserve">Bij de chemische synthese ontstaan moleculen waarin een bouwsteen ontbreekt, dubbel voorkomt of chemisch gewijzigd is. Zulke verontreinigingen kunnen nieuwe structuren bevatten die T-cellen van het immuunsysteem herkennen. Daarom eist de Amerikaanse geneesmiddelenautoriteit bij namaakproducten (generieken) van synthetische peptiden gegevens over elke nieuwe verontreiniging ten opzichte van het originele preparaat</w:t>
      </w:r>
      <w:r>
        <w:rPr>
          <w:rStyle w:val="FootnoteReference"/>
        </w:rPr>
        <w:footnoteReference w:id="2727"/>
      </w:r>
      <w:r>
        <w:t xml:space="preserve">. Hoe zo’n toetsing eruitziet, laat een onderzoek zien naar generieken van het osteoporosepeptide teriparatide, waarbij verontreinigingen werden beoordeeld met computermethoden, bindingstests en proeven met menselijke immuuncellen</w:t>
      </w:r>
      <w:r>
        <w:rPr>
          <w:rStyle w:val="FootnoteReference"/>
        </w:rPr>
        <w:footnoteReference w:id="2728"/>
      </w:r>
      <w:r>
        <w:t xml:space="preserve">.</w:t>
      </w:r>
    </w:p>
    <w:p>
      <w:pPr>
        <w:pStyle w:val="BodyText"/>
      </w:pPr>
      <w:r>
        <w:rPr>
          <w:bCs/>
          <w:b/>
        </w:rPr>
        <w:t xml:space="preserve">GLP-1-namaakproducten.</w:t>
      </w:r>
      <w:r>
        <w:t xml:space="preserve"> </w:t>
      </w:r>
      <w:r>
        <w:t xml:space="preserve">Een aan de fabrikant gelieerde analyse van 16 injecteerbare en 8 orale namaakproducten van semaglutide vond nieuwe verontreinigingen, waaronder grotere eiwitmoleculen, en met computermethoden voorspelde nieuwe herkenningsplaatsen voor het immuunsysteem; bij namaakproducten van liraglutide bleek een sterkere neiging tot klontering</w:t>
      </w:r>
      <w:r>
        <w:rPr>
          <w:rStyle w:val="FootnoteReference"/>
        </w:rPr>
        <w:footnoteReference w:id="2729"/>
      </w:r>
      <w:r>
        <w:t xml:space="preserve">. Of deze verschillen bij mensen werkelijk meer antistoffen oproepen, is niet gemeten. Dat een zorgvuldig geproduceerd, synthetisch namaakproduct niet automatisch problematischer is, laat een ander onderzoek zien: een synthetisch generiek liraglutide stimuleerde menselijke immuuncellen in het laboratorium niet sterker dan het genetisch gemodificeerd geproduceerde origineel</w:t>
      </w:r>
      <w:r>
        <w:rPr>
          <w:rStyle w:val="FootnoteReference"/>
        </w:rPr>
        <w:footnoteReference w:id="2730"/>
      </w:r>
      <w:r>
        <w:t xml:space="preserve">. Doorslaggevend is dus niet de productiewijze, maar de kwaliteitscontrole.</w:t>
      </w:r>
    </w:p>
    <w:p>
      <w:pPr>
        <w:pStyle w:val="BodyText"/>
      </w:pPr>
      <w:r>
        <w:rPr>
          <w:bCs/>
          <w:b/>
        </w:rPr>
        <w:t xml:space="preserve">Endotoxinen en kiemen.</w:t>
      </w:r>
      <w:r>
        <w:t xml:space="preserve"> </w:t>
      </w:r>
      <w:r>
        <w:t xml:space="preserve">Endotoxinen, celwandbestanddelen van bacteriën, activeren het aangeboren immuunsysteem direct en kunnen koorts, koude rillingen en circulatoire reacties uitlokken. Bij testaankopen van semaglutide bij illegale online-apotheken waren ze in alle monsters aantoonbaar (Ashraf 2024, PMID 39509151; details in Deel I). Een controlelaboratorium toonde in twee illegale peptidepreparaten voor injectie de bacterie</w:t>
      </w:r>
      <w:r>
        <w:t xml:space="preserve"> </w:t>
      </w:r>
      <w:r>
        <w:rPr>
          <w:iCs/>
          <w:i/>
        </w:rPr>
        <w:t xml:space="preserve">Bacillus cereus</w:t>
      </w:r>
      <w:r>
        <w:t xml:space="preserve"> </w:t>
      </w:r>
      <w:r>
        <w:t xml:space="preserve">aan, die rode bloedcellen kan vernietigen</w:t>
      </w:r>
      <w:r>
        <w:rPr>
          <w:rStyle w:val="FootnoteReference"/>
        </w:rPr>
        <w:footnoteReference w:id="2731"/>
      </w:r>
      <w:r>
        <w:t xml:space="preserve">.</w:t>
      </w:r>
    </w:p>
    <w:p>
      <w:pPr>
        <w:pStyle w:val="BodyText"/>
      </w:pPr>
      <w:r>
        <w:t xml:space="preserve">Voor de grijze markt betekent dit: zelfs als een peptide op zichzelf weinig immunogeen is, kan het product dat wel zijn. En omdat bij grijze-marktwaar noch verontreinigingsprofielen noch grenswaarden voor endotoxinen worden gecontroleerd, valt een reactie achteraf nauwelijks aan een bestanddeel toe te schrijven.</w:t>
      </w:r>
    </w:p>
    <w:bookmarkEnd w:id="2732"/>
    <w:bookmarkStart w:id="2733" w:name="wat-dit-in-de-praktijk-betekent"/>
    <w:p>
      <w:pPr>
        <w:pStyle w:val="Heading3"/>
      </w:pPr>
      <w:r>
        <w:t xml:space="preserve">Wat dit in de praktijk betekent</w:t>
      </w:r>
    </w:p>
    <w:p>
      <w:pPr>
        <w:numPr>
          <w:ilvl w:val="0"/>
          <w:numId w:val="1344"/>
        </w:numPr>
        <w:pStyle w:val="Compact"/>
      </w:pPr>
      <w:r>
        <w:t xml:space="preserve">Antistoffen tegen peptidegeneesmiddelen zijn vaak voorkomend, maar meestal zonder gevolgen. Bij exenatide kunnen hoge titers de werking verzwakken; bij tirzepatide gaan ze samen met iets meer huid- en overgevoeligheidsreacties.</w:t>
      </w:r>
    </w:p>
    <w:p>
      <w:pPr>
        <w:numPr>
          <w:ilvl w:val="0"/>
          <w:numId w:val="1344"/>
        </w:numPr>
        <w:pStyle w:val="Compact"/>
      </w:pPr>
      <w:r>
        <w:t xml:space="preserve">Reacties op de injectieplaats zijn de meest voorkomende immuunreactie, bij sommige peptiden bijna de regel. Toenemende roodheid, warmte, pus of koorts wijzen daarentegen op een infectie.</w:t>
      </w:r>
    </w:p>
    <w:p>
      <w:pPr>
        <w:numPr>
          <w:ilvl w:val="0"/>
          <w:numId w:val="1344"/>
        </w:numPr>
        <w:pStyle w:val="Compact"/>
      </w:pPr>
      <w:r>
        <w:t xml:space="preserve">Anafylaxie is met geregistreerde GLP-1-geneesmiddelen zeer zeldzaam – in de orde van grootte van enkele gevallen per 10.000 behandeljaren. Er zijn ook casusbeschrijvingen bij tirzepatide, cerebrolysine en bij een onbedoelde overdosering.</w:t>
      </w:r>
    </w:p>
    <w:p>
      <w:pPr>
        <w:numPr>
          <w:ilvl w:val="0"/>
          <w:numId w:val="1344"/>
        </w:numPr>
        <w:pStyle w:val="Compact"/>
      </w:pPr>
      <w:r>
        <w:t xml:space="preserve">Voor de meeste grijze-marktpeptiden ontbreken gegevens over antistoffen en allergieën volledig. Verontreinigingen en endotoxinen zijn daar een extra, onberekenbaar risico.</w:t>
      </w:r>
    </w:p>
    <w:p>
      <w:pPr>
        <w:numPr>
          <w:ilvl w:val="0"/>
          <w:numId w:val="1344"/>
        </w:numPr>
        <w:pStyle w:val="Compact"/>
      </w:pPr>
      <w:r>
        <w:t xml:space="preserve">Wie al eens allergisch op een peptide heeft gereageerd, doet er goed aan dat bij elke medische behandeling te vermelden. Of verwante werkzame stoffen worden verdragen, kan alleen een arts uitzoeken.</w:t>
      </w:r>
    </w:p>
    <w:bookmarkEnd w:id="2733"/>
    <w:bookmarkEnd w:id="2734"/>
    <w:bookmarkStart w:id="2778" w:name="X0667aaf5fec43fd1beb3939659184f0b337c373"/>
    <w:p>
      <w:pPr>
        <w:pStyle w:val="Heading2"/>
      </w:pPr>
      <w:r>
        <w:t xml:space="preserve">Grijze-marktproducten: wat laboratoriumanalyses laten zien</w:t>
      </w:r>
    </w:p>
    <w:p>
      <w:pPr>
        <w:pStyle w:val="FirstParagraph"/>
      </w:pPr>
      <w:r>
        <w:t xml:space="preserve">Deel I heeft in het hoofdstuk „De grijze markt” beschreven wat „research peptides” zijn en enkele opzienbarende vondsten voorgesteld: semaglutidepoeder met een zuiverheid van 7,7 tot 14,4%, melanotanflesjes met minder dan de helft van de opgegeven hoeveelheid, vervalste Ozempic met insuline. Dit hoofdstuk gaat een stap verder. Het vraagt wie zulke producten eigenlijk analyseert, welke soorten fouten zich in veel onderzoeken herhalen, wat deze analyses niet kunnen laten zien – en wat de gegevens van vergiftigingeninformatiecentra verraden over de gevolgen van verkeerde doseringen bij GLP-1-geneesmiddelen.</w:t>
      </w:r>
    </w:p>
    <w:bookmarkStart w:id="2736" w:name="wie-grijze-marktproducten-analyseert"/>
    <w:p>
      <w:pPr>
        <w:pStyle w:val="Heading3"/>
      </w:pPr>
      <w:r>
        <w:t xml:space="preserve">Wie grijze-marktproducten analyseert</w:t>
      </w:r>
    </w:p>
    <w:p>
      <w:pPr>
        <w:pStyle w:val="FirstParagraph"/>
      </w:pPr>
      <w:r>
        <w:t xml:space="preserve">De meeste gegevens komen uit drie bronnen.</w:t>
      </w:r>
    </w:p>
    <w:p>
      <w:pPr>
        <w:pStyle w:val="BodyText"/>
      </w:pPr>
      <w:r>
        <w:rPr>
          <w:bCs/>
          <w:b/>
        </w:rPr>
        <w:t xml:space="preserve">Officiële controlelaboratoria voor geneesmiddelen.</w:t>
      </w:r>
      <w:r>
        <w:t xml:space="preserve"> </w:t>
      </w:r>
      <w:r>
        <w:t xml:space="preserve">In Europa werken ze samen in een netwerk dat wordt gecoördineerd door het Europees Directoraat voor de kwaliteit van geneesmiddelen. Ze onderzoeken monsters die door de douane, politie of gezondheidsautoriteiten in beslag worden genomen. Een Belgisch laboratorium ontwikkelde bijvoorbeeld een zoekmethode waarmee 25 verschillende peptiden in onbekende injectiepreparaten in één keer kunnen worden herkend – waaronder ook peptiden die nog helemaal niet in beslag waren genomen, maar op internetfora al werden besproken</w:t>
      </w:r>
      <w:r>
        <w:rPr>
          <w:rStyle w:val="FootnoteReference"/>
        </w:rPr>
        <w:footnoteReference w:id="2735"/>
      </w:r>
      <w:r>
        <w:t xml:space="preserve">.</w:t>
      </w:r>
    </w:p>
    <w:p>
      <w:pPr>
        <w:pStyle w:val="BodyText"/>
      </w:pPr>
      <w:r>
        <w:rPr>
          <w:bCs/>
          <w:b/>
        </w:rPr>
        <w:t xml:space="preserve">Antidoping- en forensische laboratoria.</w:t>
      </w:r>
      <w:r>
        <w:t xml:space="preserve"> </w:t>
      </w:r>
      <w:r>
        <w:t xml:space="preserve">Zij analyseren in beslag genomen waar uit de sportwereld om hun opsporingsmethoden actueel te houden. De bevindingen uit Keulen, Noorwegen en Denemarken uit Deel I komen uit deze bron.</w:t>
      </w:r>
    </w:p>
    <w:p>
      <w:pPr>
        <w:pStyle w:val="BodyText"/>
      </w:pPr>
      <w:r>
        <w:rPr>
          <w:bCs/>
          <w:b/>
        </w:rPr>
        <w:t xml:space="preserve">Testaankopen door onderzoeksgroepen.</w:t>
      </w:r>
      <w:r>
        <w:t xml:space="preserve"> </w:t>
      </w:r>
      <w:r>
        <w:t xml:space="preserve">Zij kopen gericht producten bij online-aanbieders en controleren wat er aankomt. Deze onderzoeken zijn zeldzamer, maar komen het dichtst bij de situatie van kopers.</w:t>
      </w:r>
    </w:p>
    <w:p>
      <w:pPr>
        <w:pStyle w:val="BodyText"/>
      </w:pPr>
      <w:r>
        <w:t xml:space="preserve">Er worden methoden gebruikt die verschillende vragen beantwoorden: massaspectrometrie laat zien</w:t>
      </w:r>
      <w:r>
        <w:t xml:space="preserve"> </w:t>
      </w:r>
      <w:r>
        <w:rPr>
          <w:iCs/>
          <w:i/>
        </w:rPr>
        <w:t xml:space="preserve">welke</w:t>
      </w:r>
      <w:r>
        <w:t xml:space="preserve"> </w:t>
      </w:r>
      <w:r>
        <w:t xml:space="preserve">stof aanwezig is; vloeistofchromatografie meet</w:t>
      </w:r>
      <w:r>
        <w:t xml:space="preserve"> </w:t>
      </w:r>
      <w:r>
        <w:rPr>
          <w:iCs/>
          <w:i/>
        </w:rPr>
        <w:t xml:space="preserve">hoeveel</w:t>
      </w:r>
      <w:r>
        <w:t xml:space="preserve"> </w:t>
      </w:r>
      <w:r>
        <w:t xml:space="preserve">en</w:t>
      </w:r>
      <w:r>
        <w:t xml:space="preserve"> </w:t>
      </w:r>
      <w:r>
        <w:rPr>
          <w:iCs/>
          <w:i/>
        </w:rPr>
        <w:t xml:space="preserve">hoe zuiver</w:t>
      </w:r>
      <w:r>
        <w:t xml:space="preserve">; speciale methoden leggen metalen, resten van oplosmiddelen, bacteriën of endotoxinen vast. Geen enkel laboratorium controleert routinematig alles. Als een rapport alleen de identiteit bepaalt, zegt het niets over kiemen, en omgekeerd.</w:t>
      </w:r>
    </w:p>
    <w:bookmarkEnd w:id="2736"/>
    <w:bookmarkStart w:id="2756" w:name="X34d919d7cdf1ef37d36dfec89813f80f7d070f8"/>
    <w:p>
      <w:pPr>
        <w:pStyle w:val="Heading3"/>
      </w:pPr>
      <w:r>
        <w:t xml:space="preserve">Vier soorten fouten die steeds terugkeren</w:t>
      </w:r>
    </w:p>
    <w:p>
      <w:pPr>
        <w:pStyle w:val="FirstParagraph"/>
      </w:pPr>
      <w:r>
        <w:t xml:space="preserve">Over de afzonderlijke analyses heen kunnen de bevindingen in vier groepen worden ingedeeld.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Soort fout</w:t>
            </w:r>
          </w:p>
        </w:tc>
        <w:tc>
          <w:tcPr/>
          <w:p>
            <w:pPr>
              <w:pStyle w:val="Compact"/>
              <w:jc w:val="left"/>
            </w:pPr>
            <w:r>
              <w:t xml:space="preserve">Voorbeelden uit analyses</w:t>
            </w:r>
          </w:p>
        </w:tc>
        <w:tc>
          <w:tcPr/>
          <w:p>
            <w:pPr>
              <w:pStyle w:val="Compact"/>
              <w:jc w:val="left"/>
            </w:pPr>
            <w:r>
              <w:t xml:space="preserve">Bron</w:t>
            </w:r>
          </w:p>
        </w:tc>
      </w:tr>
      <w:tr>
        <w:tc>
          <w:tcPr/>
          <w:p>
            <w:pPr>
              <w:pStyle w:val="Compact"/>
              <w:jc w:val="left"/>
            </w:pPr>
            <w:r>
              <w:t xml:space="preserve">Verkeerde of geen werkzame stof</w:t>
            </w:r>
          </w:p>
        </w:tc>
        <w:tc>
          <w:tcPr/>
          <w:p>
            <w:pPr>
              <w:pStyle w:val="Compact"/>
              <w:jc w:val="left"/>
            </w:pPr>
            <w:r>
              <w:t xml:space="preserve">9 van 36 in beslag genomen monsters zonder peptide of eiwit</w:t>
            </w:r>
          </w:p>
        </w:tc>
        <w:tc>
          <w:tcPr/>
          <w:p>
            <w:pPr>
              <w:pStyle w:val="Compact"/>
              <w:jc w:val="left"/>
            </w:pPr>
            <w:r>
              <w:t xml:space="preserve">Høj 2021, PMID 33686802</w:t>
            </w:r>
          </w:p>
        </w:tc>
      </w:tr>
      <w:tr>
        <w:tc>
          <w:tcPr/>
          <w:p>
            <w:pPr>
              <w:pStyle w:val="Compact"/>
              <w:jc w:val="left"/>
            </w:pPr>
            <w:r>
              <w:t xml:space="preserve">Verkeerde hoeveelheid</w:t>
            </w:r>
          </w:p>
        </w:tc>
        <w:tc>
          <w:tcPr/>
          <w:p>
            <w:pPr>
              <w:pStyle w:val="Compact"/>
              <w:jc w:val="left"/>
            </w:pPr>
            <w:r>
              <w:t xml:space="preserve">slechts 41% van 44 internetproducten met correcte hoeveelheid werkzame stof</w:t>
            </w:r>
          </w:p>
        </w:tc>
        <w:tc>
          <w:tcPr/>
          <w:p>
            <w:pPr>
              <w:pStyle w:val="Compact"/>
              <w:jc w:val="left"/>
            </w:pPr>
            <w:r>
              <w:t xml:space="preserve">Van Wagoner 2017, PMID 29183075</w:t>
            </w:r>
          </w:p>
        </w:tc>
      </w:tr>
      <w:tr>
        <w:tc>
          <w:tcPr/>
          <w:p>
            <w:pPr>
              <w:pStyle w:val="Compact"/>
              <w:jc w:val="left"/>
            </w:pPr>
            <w:r>
              <w:t xml:space="preserve">Lage zuiverheid, afbraakproducten</w:t>
            </w:r>
          </w:p>
        </w:tc>
        <w:tc>
          <w:tcPr/>
          <w:p>
            <w:pPr>
              <w:pStyle w:val="Compact"/>
              <w:jc w:val="left"/>
            </w:pPr>
            <w:r>
              <w:t xml:space="preserve">zuiverheid 5 tot 75% bij bepaalde peptiden</w:t>
            </w:r>
          </w:p>
        </w:tc>
        <w:tc>
          <w:tcPr/>
          <w:p>
            <w:pPr>
              <w:pStyle w:val="Compact"/>
              <w:jc w:val="left"/>
            </w:pPr>
            <w:r>
              <w:t xml:space="preserve">Janvier 2018, PMID 30029448</w:t>
            </w:r>
          </w:p>
        </w:tc>
      </w:tr>
      <w:tr>
        <w:tc>
          <w:tcPr/>
          <w:p>
            <w:pPr>
              <w:pStyle w:val="Compact"/>
              <w:jc w:val="left"/>
            </w:pPr>
            <w:r>
              <w:t xml:space="preserve">Gevaarlijke bijkomende stoffen</w:t>
            </w:r>
          </w:p>
        </w:tc>
        <w:tc>
          <w:tcPr/>
          <w:p>
            <w:pPr>
              <w:pStyle w:val="Compact"/>
              <w:jc w:val="left"/>
            </w:pPr>
            <w:r>
              <w:t xml:space="preserve">arseen en lood, deels tot het tienvoudige van de grenswaarde</w:t>
            </w:r>
          </w:p>
        </w:tc>
        <w:tc>
          <w:tcPr/>
          <w:p>
            <w:pPr>
              <w:pStyle w:val="Compact"/>
              <w:jc w:val="left"/>
            </w:pPr>
            <w:r>
              <w:t xml:space="preserve">Janvier 2018, PMID 30029448</w:t>
            </w:r>
          </w:p>
        </w:tc>
      </w:tr>
    </w:tbl>
    <w:bookmarkStart w:id="2742" w:name="verkeerde-of-helemaal-geen-werkzame-stof"/>
    <w:p>
      <w:pPr>
        <w:pStyle w:val="Heading4"/>
      </w:pPr>
      <w:r>
        <w:t xml:space="preserve">Verkeerde of helemaal geen werkzame stof</w:t>
      </w:r>
    </w:p>
    <w:p>
      <w:pPr>
        <w:pStyle w:val="FirstParagraph"/>
      </w:pPr>
      <w:r>
        <w:t xml:space="preserve">Een Deens forensisch laboratorium ontving in 2019 36 in beslag genomen monsters waarin peptiden of eiwitten werden vermoed. 15 bevatten een verboden dopingmiddel, 12 een stof die niet op de Deense dopinglijst stond, en 9 bevatten helemaal geen peptide of eiwit</w:t>
      </w:r>
      <w:r>
        <w:rPr>
          <w:rStyle w:val="FootnoteReference"/>
        </w:rPr>
        <w:footnoteReference w:id="2737"/>
      </w:r>
      <w:r>
        <w:t xml:space="preserve">. Bij een Europese douaneactie meldden de laboratoria onder de in beslag genomen injectiepreparaten groeihormoon, sermoreline, Melanotan II en preparaten zonder enige werkzame stof; de zendingen waren gemiddeld te groot voor eigen gebruik en vermoedelijk deels bestemd voor doorverkoop</w:t>
      </w:r>
      <w:r>
        <w:rPr>
          <w:rStyle w:val="FootnoteReference"/>
        </w:rPr>
        <w:footnoteReference w:id="2738"/>
      </w:r>
      <w:r>
        <w:t xml:space="preserve">. In een Belgisch geval bevatte een preparaat dat als IGF-1 werd vermoed, in plaats daarvan een andere groeifactor, de epidermale groeifactor EGF</w:t>
      </w:r>
      <w:r>
        <w:rPr>
          <w:rStyle w:val="FootnoteReference"/>
        </w:rPr>
        <w:footnoteReference w:id="2739"/>
      </w:r>
      <w:r>
        <w:t xml:space="preserve">.</w:t>
      </w:r>
    </w:p>
    <w:p>
      <w:pPr>
        <w:pStyle w:val="BodyText"/>
      </w:pPr>
      <w:r>
        <w:t xml:space="preserve">Een laboratorium voor paardendoping analyseerde op internet aangeboden producten met de namen „TB500”, „TB1000” en „SGF1000”. De inhoud van de TB-producten kwam niet steeds overeen met de eerdere beschrijvingen. „SGF1000” bestond overwegend uit bindweefsel- en bloedeiwitten van schapen; de zogenaamd groeibevorderende bestanddelen waren extreem verdund</w:t>
      </w:r>
      <w:r>
        <w:rPr>
          <w:rStyle w:val="FootnoteReference"/>
        </w:rPr>
        <w:footnoteReference w:id="2740"/>
      </w:r>
      <w:r>
        <w:t xml:space="preserve">.</w:t>
      </w:r>
    </w:p>
    <w:p>
      <w:pPr>
        <w:pStyle w:val="BodyText"/>
      </w:pPr>
      <w:r>
        <w:t xml:space="preserve">Hoe vaak etiket en inhoud uiteenlopen, laat een Amerikaans onderzoek zien dat weliswaar geen peptiden, maar zogenoemde SARM’s betrof, die echter via hetzelfde verkoopkanaal gaan: van 44 internetproducten bevatte slechts 52% überhaupt een werkzame stof uit de aangeprezen stofgroep. 39% bevatte andere niet-geregistreerde stoffen, waaronder de groeihormoonvrijmaker ibutamoren, 9% helemaal geen werkzame stof, en 25% niet-gedeclareerde stoffen</w:t>
      </w:r>
      <w:r>
        <w:rPr>
          <w:rStyle w:val="FootnoteReference"/>
        </w:rPr>
        <w:footnoteReference w:id="2741"/>
      </w:r>
      <w:r>
        <w:t xml:space="preserve">.</w:t>
      </w:r>
    </w:p>
    <w:bookmarkEnd w:id="2742"/>
    <w:bookmarkStart w:id="2746" w:name="verkeerde-hoeveelheid"/>
    <w:p>
      <w:pPr>
        <w:pStyle w:val="Heading4"/>
      </w:pPr>
      <w:r>
        <w:t xml:space="preserve">Verkeerde hoeveelheid</w:t>
      </w:r>
    </w:p>
    <w:p>
      <w:pPr>
        <w:pStyle w:val="FirstParagraph"/>
      </w:pPr>
      <w:r>
        <w:t xml:space="preserve">Zelfs als de juiste stof in het flesje zit, klopt de hoeveelheid vaak niet. In de genoemde Amerikaanse analyse kwam de gemeten hoeveelheid werkzame stof slechts bij 18 van de 44 producten (41%) overeen met de vermelding op het etiket</w:t>
      </w:r>
      <w:r>
        <w:rPr>
          <w:rStyle w:val="FootnoteReference"/>
        </w:rPr>
        <w:footnoteReference w:id="2743"/>
      </w:r>
      <w:r>
        <w:t xml:space="preserve">. Een Frans toxicologisch laboratorium onderzocht 75 op de zwarte markt in beslag genomen geneesmiddelen uit de bodybuildingwereld: 33% was ondermaats, dus verkeerd gedoseerd, 32% vervalst, dat wil zeggen met een andere inhoud dan opgegeven, en slechts 19% kwam volledig overeen met het origineel</w:t>
      </w:r>
      <w:r>
        <w:rPr>
          <w:rStyle w:val="FootnoteReference"/>
        </w:rPr>
        <w:footnoteReference w:id="2744"/>
      </w:r>
      <w:r>
        <w:t xml:space="preserve">. Een vijfjarig Europees markttoezicht met 324 monsters uit 13 landen concludeerde op basis van de beperkte gegevens over hoeveelheden dat de meeste monsters werkzame hoeveelheden bevatten en sommige zelfs overgedoseerd waren</w:t>
      </w:r>
      <w:r>
        <w:rPr>
          <w:rStyle w:val="FootnoteReference"/>
        </w:rPr>
        <w:footnoteReference w:id="2745"/>
      </w:r>
      <w:r>
        <w:t xml:space="preserve">.</w:t>
      </w:r>
    </w:p>
    <w:p>
      <w:pPr>
        <w:pStyle w:val="BodyText"/>
      </w:pPr>
      <w:r>
        <w:t xml:space="preserve">Beide zijn gevaarlijk: te weinig werkzame stof verleidt ertoe „bij te doseren”; te veel leidt direct tot sterkere bijwerkingen. Bij GLP-1-geneesmiddelen, waarvan de verdraagbaarheid sterk afhangt van een langzame dosisverhoging, is een onbekende hoeveelheid bijzonder problematisch.</w:t>
      </w:r>
    </w:p>
    <w:bookmarkEnd w:id="2746"/>
    <w:bookmarkStart w:id="2751" w:name="X88fac429a449b7252ae1cb4660878d18ad5ac33"/>
    <w:p>
      <w:pPr>
        <w:pStyle w:val="Heading4"/>
      </w:pPr>
      <w:r>
        <w:t xml:space="preserve">Lage zuiverheid, afbraakproducten en designervarianten</w:t>
      </w:r>
    </w:p>
    <w:p>
      <w:pPr>
        <w:pStyle w:val="FirstParagraph"/>
      </w:pPr>
      <w:r>
        <w:t xml:space="preserve">Het meest omvattende systematische onderzoek komt uit België. Het controlelaboratorium kocht de tien vaakst vervalste peptidegeneesmiddelen van de Belgische markt bij drie vermoedelijk illegale internetapotheken en controleerde ze op werkzame stof, peptideverontreinigingen, kleine organische vreemde stoffen, metalen en resten van oplosmiddelen. De hoeveelheid per flesje schommelde sterk, en bij peptiden met het aminozuur cysteïne lag de zuiverheid tussen 5 en 75%</w:t>
      </w:r>
      <w:r>
        <w:rPr>
          <w:rStyle w:val="FootnoteReference"/>
        </w:rPr>
        <w:footnoteReference w:id="2747"/>
      </w:r>
      <w:r>
        <w:t xml:space="preserve">.</w:t>
      </w:r>
    </w:p>
    <w:p>
      <w:pPr>
        <w:pStyle w:val="BodyText"/>
      </w:pPr>
      <w:r>
        <w:t xml:space="preserve">Andere laboratoria vonden in zwarte-marktproducten van IGF-1-varianten talrijke geoxideerde, dus chemisch gewijzigde, peptidevormen</w:t>
      </w:r>
      <w:r>
        <w:rPr>
          <w:rStyle w:val="FootnoteReference"/>
        </w:rPr>
        <w:footnoteReference w:id="2748"/>
      </w:r>
      <w:r>
        <w:t xml:space="preserve"> </w:t>
      </w:r>
      <w:r>
        <w:t xml:space="preserve">en in een in beslag genomen monster Melanotan II een zuiverheid van 30%</w:t>
      </w:r>
      <w:r>
        <w:rPr>
          <w:rStyle w:val="FootnoteReference"/>
        </w:rPr>
        <w:footnoteReference w:id="2749"/>
      </w:r>
      <w:r>
        <w:t xml:space="preserve">. In door de Deense douane in beslag genomen preparaten werden varianten gevonden van GHRP-2, GHRP-6, ipamoreline en een GHRH-fragment, waaraan telkens een extra aminozuur glycine was voorgeplaatst</w:t>
      </w:r>
      <w:r>
        <w:rPr>
          <w:rStyle w:val="FootnoteReference"/>
        </w:rPr>
        <w:footnoteReference w:id="2750"/>
      </w:r>
      <w:r>
        <w:t xml:space="preserve">. Zulke „designervarianten” zijn vermoedelijk bedoeld om dopingtests te omzeilen. Hun werking en veiligheid bij mensen zijn volledig onbekend.</w:t>
      </w:r>
    </w:p>
    <w:bookmarkEnd w:id="2751"/>
    <w:bookmarkStart w:id="2755" w:name="gevaarlijke-bijkomende-stoffen"/>
    <w:p>
      <w:pPr>
        <w:pStyle w:val="Heading4"/>
      </w:pPr>
      <w:r>
        <w:t xml:space="preserve">Gevaarlijke bijkomende stoffen</w:t>
      </w:r>
    </w:p>
    <w:p>
      <w:pPr>
        <w:pStyle w:val="FirstParagraph"/>
      </w:pPr>
      <w:r>
        <w:t xml:space="preserve">In het Belgische onderzoek werden de giftige elementen arseen en lood gevonden. Eén monster was verontreinigd met lood, meerdere bevatten arseen in concentraties tot het tienvoudige van de internationale grenswaarde voor injectiegeneesmiddelen. De nadere analyse liet zien dat het arseen volledig in de giftigere anorganische vorm aanwezig was. De auteurs wijzen erop dat arseen kankerverwekkend is en lood zich in het lichaam ophoopt – bij herhaald gebruik gedurende maanden een extra, sluipend risico</w:t>
      </w:r>
      <w:r>
        <w:rPr>
          <w:rStyle w:val="FootnoteReference"/>
        </w:rPr>
        <w:footnoteReference w:id="2752"/>
      </w:r>
      <w:r>
        <w:t xml:space="preserve">.</w:t>
      </w:r>
    </w:p>
    <w:p>
      <w:pPr>
        <w:pStyle w:val="BodyText"/>
      </w:pPr>
      <w:r>
        <w:t xml:space="preserve">Daarbij komen kiemen en bacteriële bestanddelen. Hetzelfde laboratorium toonde in twee illegale peptidepreparaten voor injectie de bacterie</w:t>
      </w:r>
      <w:r>
        <w:t xml:space="preserve"> </w:t>
      </w:r>
      <w:r>
        <w:rPr>
          <w:iCs/>
          <w:i/>
        </w:rPr>
        <w:t xml:space="preserve">Bacillus cereus</w:t>
      </w:r>
      <w:r>
        <w:t xml:space="preserve"> </w:t>
      </w:r>
      <w:r>
        <w:t xml:space="preserve">aan</w:t>
      </w:r>
      <w:r>
        <w:rPr>
          <w:rStyle w:val="FootnoteReference"/>
        </w:rPr>
        <w:footnoteReference w:id="2753"/>
      </w:r>
      <w:r>
        <w:t xml:space="preserve">. Bij de testaankopen van semaglutide uit Deel I waren in alle monsters endotoxinen aantoonbaar</w:t>
      </w:r>
      <w:r>
        <w:rPr>
          <w:rStyle w:val="FootnoteReference"/>
        </w:rPr>
        <w:footnoteReference w:id="2754"/>
      </w:r>
      <w:r>
        <w:t xml:space="preserve">. Waarom dat voor het immuunsysteem relevant is, beschrijft het hoofdstuk „Immuunreacties en antistoffen”.</w:t>
      </w:r>
    </w:p>
    <w:bookmarkEnd w:id="2755"/>
    <w:bookmarkEnd w:id="2756"/>
    <w:bookmarkStart w:id="2762" w:name="steeds-nieuwe-stoffen"/>
    <w:p>
      <w:pPr>
        <w:pStyle w:val="Heading3"/>
      </w:pPr>
      <w:r>
        <w:t xml:space="preserve">Steeds nieuwe stoffen</w:t>
      </w:r>
    </w:p>
    <w:p>
      <w:pPr>
        <w:pStyle w:val="FirstParagraph"/>
      </w:pPr>
      <w:r>
        <w:t xml:space="preserve">De grijze markt reageert snel op trends. Een Europees markttoezicht met 1.104 gemelde gevallen uit 16 landen tussen 2017 en 2019 vond dat 11% van de monsters biologische moleculen bevatte, vooral „research peptides”; dat was de op één na meest voorkomende categorie</w:t>
      </w:r>
      <w:r>
        <w:rPr>
          <w:rStyle w:val="FootnoteReference"/>
        </w:rPr>
        <w:footnoteReference w:id="2757"/>
      </w:r>
      <w:r>
        <w:t xml:space="preserve">. Belgische laboratoria identificeerden in in beslag genomen preparaten het „anti-agingpeptide” Epitalon</w:t>
      </w:r>
      <w:r>
        <w:rPr>
          <w:rStyle w:val="FootnoteReference"/>
        </w:rPr>
        <w:footnoteReference w:id="2758"/>
      </w:r>
      <w:r>
        <w:t xml:space="preserve"> </w:t>
      </w:r>
      <w:r>
        <w:t xml:space="preserve">en de nootropicapeptiden Selank en Semax; het laboratorium ontwikkelde daarop een eigen opsporingsmethode voor tien van zulke op internet aangeboden peptiden</w:t>
      </w:r>
      <w:r>
        <w:rPr>
          <w:rStyle w:val="FootnoteReference"/>
        </w:rPr>
        <w:footnoteReference w:id="2759"/>
      </w:r>
      <w:r>
        <w:t xml:space="preserve">. Inmiddels worden ook werkzame stoffen aangeboden die zich nog in klinische studies bevinden, zoals retatrutide en amycretine (hoofdstukken Retatrutide, Amycretine).</w:t>
      </w:r>
    </w:p>
    <w:p>
      <w:pPr>
        <w:pStyle w:val="BodyText"/>
      </w:pPr>
      <w:r>
        <w:t xml:space="preserve">Voor de controlelaboratoria betekent dat een wedloop: een stof waarvoor nog geen referentiestof bestaat, kan niet zeker worden geïdentificeerd. Voor kopers betekent het dat over de nieuwste producten het minst bekend is over inhoud en kwaliteit.</w:t>
      </w:r>
    </w:p>
    <w:p>
      <w:pPr>
        <w:pStyle w:val="BodyText"/>
      </w:pPr>
      <w:r>
        <w:t xml:space="preserve">Steeds vaker duiken grijze-marktproducten ook op in vormen die onschuldiger lijken dan een injectie. Een Amerikaans onderzoek vond 24 als voedingssupplement verkochte pleisters en één gel die werden aangeprezen als „natuurlijk GLP-1”. Geen enkele legde een analysecertificaat voor, veel maakten misleidende reclame; volgens Amerikaans recht is de verkoop van zulke pleisters als voedingssupplement niet toegestaan</w:t>
      </w:r>
      <w:r>
        <w:rPr>
          <w:rStyle w:val="FootnoteReference"/>
        </w:rPr>
        <w:footnoteReference w:id="2760"/>
      </w:r>
      <w:r>
        <w:t xml:space="preserve">. In het Europese markttoezicht was 24% van de spieropbouwpreparaten verpakt als voedingssupplement – wie ze koopt, weet vaak niet dat hij een niet-geregistreerd geneesmiddel inneemt</w:t>
      </w:r>
      <w:r>
        <w:rPr>
          <w:rStyle w:val="FootnoteReference"/>
        </w:rPr>
        <w:footnoteReference w:id="2761"/>
      </w:r>
      <w:r>
        <w:t xml:space="preserve">.</w:t>
      </w:r>
    </w:p>
    <w:bookmarkEnd w:id="2762"/>
    <w:bookmarkStart w:id="2763" w:name="wat-de-analyses-niet-laten-zien"/>
    <w:p>
      <w:pPr>
        <w:pStyle w:val="Heading3"/>
      </w:pPr>
      <w:r>
        <w:t xml:space="preserve">Wat de analyses niet laten zien</w:t>
      </w:r>
    </w:p>
    <w:p>
      <w:pPr>
        <w:pStyle w:val="FirstParagraph"/>
      </w:pPr>
      <w:r>
        <w:t xml:space="preserve">Hoe eenduidig de bevindingen ook zijn, ze hebben grenzen.</w:t>
      </w:r>
    </w:p>
    <w:p>
      <w:pPr>
        <w:numPr>
          <w:ilvl w:val="0"/>
          <w:numId w:val="1345"/>
        </w:numPr>
        <w:pStyle w:val="Compact"/>
      </w:pPr>
      <w:r>
        <w:rPr>
          <w:bCs/>
          <w:b/>
        </w:rPr>
        <w:t xml:space="preserve">Geen representatieve steekproef.</w:t>
      </w:r>
      <w:r>
        <w:t xml:space="preserve"> </w:t>
      </w:r>
      <w:r>
        <w:t xml:space="preserve">In beslag genomen waar is een selectie van wat de douane opvalt. Testaankopen omvatten meestal maar enkele aanbieders. Hoe groot het aandeel gebrekkige producten op de totale markt is, valt daaruit niet te berekenen.</w:t>
      </w:r>
    </w:p>
    <w:p>
      <w:pPr>
        <w:numPr>
          <w:ilvl w:val="0"/>
          <w:numId w:val="1345"/>
        </w:numPr>
        <w:pStyle w:val="Compact"/>
      </w:pPr>
      <w:r>
        <w:rPr>
          <w:bCs/>
          <w:b/>
        </w:rPr>
        <w:t xml:space="preserve">Momentopnamen.</w:t>
      </w:r>
      <w:r>
        <w:t xml:space="preserve"> </w:t>
      </w:r>
      <w:r>
        <w:t xml:space="preserve">Een aanbieder van wie de waar vandaag correct is, kan morgen een andere partij leveren. Goede resultaten van een analyse gelden niet voor het volgende flesje.</w:t>
      </w:r>
    </w:p>
    <w:p>
      <w:pPr>
        <w:numPr>
          <w:ilvl w:val="0"/>
          <w:numId w:val="1345"/>
        </w:numPr>
        <w:pStyle w:val="Compact"/>
      </w:pPr>
      <w:r>
        <w:rPr>
          <w:bCs/>
          <w:b/>
        </w:rPr>
        <w:t xml:space="preserve">Niet alles wordt gecontroleerd.</w:t>
      </w:r>
      <w:r>
        <w:t xml:space="preserve"> </w:t>
      </w:r>
      <w:r>
        <w:t xml:space="preserve">Veel rapporten bepalen alleen de identiteit van de werkzame stof. Of een product met de „juiste” inhoud steriel en endotoxinevrij was, blijft dan open.</w:t>
      </w:r>
    </w:p>
    <w:p>
      <w:pPr>
        <w:numPr>
          <w:ilvl w:val="0"/>
          <w:numId w:val="1345"/>
        </w:numPr>
        <w:pStyle w:val="Compact"/>
      </w:pPr>
      <w:r>
        <w:rPr>
          <w:bCs/>
          <w:b/>
        </w:rPr>
        <w:t xml:space="preserve">Geen uitspraak over werking en veiligheid.</w:t>
      </w:r>
      <w:r>
        <w:t xml:space="preserve"> </w:t>
      </w:r>
      <w:r>
        <w:t xml:space="preserve">Ook een zuiver product is maar zo veilig als de werkzame stof zelf. Voor de meeste grijze-marktpeptiden ontbreken daarvoor studies bij mensen (zie Deel II).</w:t>
      </w:r>
    </w:p>
    <w:bookmarkEnd w:id="2763"/>
    <w:bookmarkStart w:id="2775" w:name="X24d102721a14d9c84086e5f951dd8c4421b9477"/>
    <w:p>
      <w:pPr>
        <w:pStyle w:val="Heading3"/>
      </w:pPr>
      <w:r>
        <w:t xml:space="preserve">GLP-1-geneesmiddelen: wat vergiftigingeninformatiecentra melden</w:t>
      </w:r>
    </w:p>
    <w:p>
      <w:pPr>
        <w:pStyle w:val="FirstParagraph"/>
      </w:pPr>
      <w:r>
        <w:t xml:space="preserve">Voor de GLP-1-geneesmiddelen is er een extra gegevensbron die laat zien wat er bij het gebruik werkelijk misgaat: telefoontjes naar vergiftigingeninformatiecentra. In de VS worden die verzameld in een nationale databank. Deze gegevens maken niet altijd onderscheid tussen origineel, apotheekbereiding en grijze-marktwaar, maar tonen wel de orde van grootte van de problemen.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Periode en omvang</w:t>
            </w:r>
          </w:p>
        </w:tc>
        <w:tc>
          <w:tcPr/>
          <w:p>
            <w:pPr>
              <w:pStyle w:val="Compact"/>
              <w:jc w:val="left"/>
            </w:pPr>
            <w:r>
              <w:t xml:space="preserve">Belangrijkste bevindingen</w:t>
            </w:r>
          </w:p>
        </w:tc>
      </w:tr>
      <w:tr>
        <w:tc>
          <w:tcPr/>
          <w:p>
            <w:pPr>
              <w:pStyle w:val="Compact"/>
              <w:jc w:val="left"/>
            </w:pPr>
            <w:r>
              <w:t xml:space="preserve">Gaw 2024, PMID 38421490</w:t>
            </w:r>
          </w:p>
        </w:tc>
        <w:tc>
          <w:tcPr/>
          <w:p>
            <w:pPr>
              <w:pStyle w:val="Compact"/>
              <w:jc w:val="left"/>
            </w:pPr>
            <w:r>
              <w:t xml:space="preserve">VS, 2017–2022, 5.713 gevallen</w:t>
            </w:r>
          </w:p>
        </w:tc>
        <w:tc>
          <w:tcPr/>
          <w:p>
            <w:pPr>
              <w:pStyle w:val="Compact"/>
              <w:jc w:val="left"/>
            </w:pPr>
            <w:r>
              <w:t xml:space="preserve">79,9% gebruiksfouten; 6,2% ernstig verloop, één sterfgeval</w:t>
            </w:r>
          </w:p>
        </w:tc>
      </w:tr>
      <w:tr>
        <w:tc>
          <w:tcPr/>
          <w:p>
            <w:pPr>
              <w:pStyle w:val="Compact"/>
              <w:jc w:val="left"/>
            </w:pPr>
            <w:r>
              <w:t xml:space="preserve">Miller 2026, PMID 41634285</w:t>
            </w:r>
          </w:p>
        </w:tc>
        <w:tc>
          <w:tcPr/>
          <w:p>
            <w:pPr>
              <w:pStyle w:val="Compact"/>
              <w:jc w:val="left"/>
            </w:pPr>
            <w:r>
              <w:t xml:space="preserve">VS, 2012–2023, 10.033 gevallen</w:t>
            </w:r>
          </w:p>
        </w:tc>
        <w:tc>
          <w:tcPr/>
          <w:p>
            <w:pPr>
              <w:pStyle w:val="Compact"/>
              <w:jc w:val="left"/>
            </w:pPr>
            <w:r>
              <w:t xml:space="preserve">na registratie voor obesitas meer gevallen, aandeel met contact met arts of ziekenhuis van 23,0 naar 33,5%</w:t>
            </w:r>
          </w:p>
        </w:tc>
      </w:tr>
      <w:tr>
        <w:tc>
          <w:tcPr/>
          <w:p>
            <w:pPr>
              <w:pStyle w:val="Compact"/>
              <w:jc w:val="left"/>
            </w:pPr>
            <w:r>
              <w:t xml:space="preserve">Senthilkumar 2026, PMID 41784916</w:t>
            </w:r>
          </w:p>
        </w:tc>
        <w:tc>
          <w:tcPr/>
          <w:p>
            <w:pPr>
              <w:pStyle w:val="Compact"/>
              <w:jc w:val="left"/>
            </w:pPr>
            <w:r>
              <w:t xml:space="preserve">VS, 2017–2024, 13.924 gevallen</w:t>
            </w:r>
          </w:p>
        </w:tc>
        <w:tc>
          <w:tcPr/>
          <w:p>
            <w:pPr>
              <w:pStyle w:val="Compact"/>
              <w:jc w:val="left"/>
            </w:pPr>
            <w:r>
              <w:t xml:space="preserve">91,7% zonder of met lichte gevolgen; 42 ernstige verlopen, twee sterfgevallen</w:t>
            </w:r>
          </w:p>
        </w:tc>
      </w:tr>
      <w:tr>
        <w:tc>
          <w:tcPr/>
          <w:p>
            <w:pPr>
              <w:pStyle w:val="Compact"/>
              <w:jc w:val="left"/>
            </w:pPr>
            <w:r>
              <w:t xml:space="preserve">Ho 2025, PMID 40371098</w:t>
            </w:r>
          </w:p>
        </w:tc>
        <w:tc>
          <w:tcPr/>
          <w:p>
            <w:pPr>
              <w:pStyle w:val="Compact"/>
              <w:jc w:val="left"/>
            </w:pPr>
            <w:r>
              <w:t xml:space="preserve">Californië, 2017–2023, 1.047 gevallen</w:t>
            </w:r>
          </w:p>
        </w:tc>
        <w:tc>
          <w:tcPr/>
          <w:p>
            <w:pPr>
              <w:pStyle w:val="Compact"/>
              <w:jc w:val="left"/>
            </w:pPr>
            <w:r>
              <w:t xml:space="preserve">21,0% op de spoedeisende hulp, 4,4% opgenomen; hypoglykemie bij 3,8%</w:t>
            </w:r>
          </w:p>
        </w:tc>
      </w:tr>
    </w:tbl>
    <w:p>
      <w:pPr>
        <w:pStyle w:val="BodyText"/>
      </w:pPr>
      <w:r>
        <w:t xml:space="preserve">Meerdere patronen vallen op:</w:t>
      </w:r>
    </w:p>
    <w:p>
      <w:pPr>
        <w:pStyle w:val="BodyText"/>
      </w:pPr>
      <w:r>
        <w:rPr>
          <w:bCs/>
          <w:b/>
        </w:rPr>
        <w:t xml:space="preserve">Het aantal gevallen steeg sterk met de verspreiding.</w:t>
      </w:r>
      <w:r>
        <w:t xml:space="preserve"> </w:t>
      </w:r>
      <w:r>
        <w:t xml:space="preserve">Van 2021 op 2022 nam het aantal gemelde gevallen per miljoen inwoners met 80,9% toe</w:t>
      </w:r>
      <w:r>
        <w:rPr>
          <w:rStyle w:val="FootnoteReference"/>
        </w:rPr>
        <w:footnoteReference w:id="2764"/>
      </w:r>
      <w:r>
        <w:t xml:space="preserve">. Tussen 2017 en 2024 steeg het in totaal met 1.830,8%</w:t>
      </w:r>
      <w:r>
        <w:rPr>
          <w:rStyle w:val="FootnoteReference"/>
        </w:rPr>
        <w:footnoteReference w:id="2765"/>
      </w:r>
      <w:r>
        <w:t xml:space="preserve">.</w:t>
      </w:r>
    </w:p>
    <w:p>
      <w:pPr>
        <w:pStyle w:val="BodyText"/>
      </w:pPr>
      <w:r>
        <w:rPr>
          <w:bCs/>
          <w:b/>
        </w:rPr>
        <w:t xml:space="preserve">De meeste gevallen zijn gebruiksfouten.</w:t>
      </w:r>
      <w:r>
        <w:t xml:space="preserve"> </w:t>
      </w:r>
      <w:r>
        <w:t xml:space="preserve">In alle analyses overheersten onbedoelde fouten bij het gebruik, zoals een dubbele of verkeerd afgemeten dosis</w:t>
      </w:r>
      <w:r>
        <w:rPr>
          <w:rStyle w:val="FootnoteReference"/>
        </w:rPr>
        <w:footnoteReference w:id="2766"/>
      </w:r>
      <w:r>
        <w:t xml:space="preserve">. In een analyse van één centrum ging 21% van de gevallen terug op fouten bij het eerste gebruik van de voorgevulde pen</w:t>
      </w:r>
      <w:r>
        <w:rPr>
          <w:rStyle w:val="FootnoteReference"/>
        </w:rPr>
        <w:footnoteReference w:id="2767"/>
      </w:r>
      <w:r>
        <w:t xml:space="preserve">. Fouten gebeuren dus ook met geregistreerde producten. In de Californische analyse betroffen 36 gevallen apotheekbereidingen; daarbij waren in 91,7% fouten bij het afmeten of injecteren de oorzaak</w:t>
      </w:r>
      <w:r>
        <w:rPr>
          <w:rStyle w:val="FootnoteReference"/>
        </w:rPr>
        <w:footnoteReference w:id="2768"/>
      </w:r>
      <w:r>
        <w:t xml:space="preserve">. Dat past bij de in Deel I beschreven casussen van verwisselingen van milliliters, „eenheden” en milligram bij flesjes.</w:t>
      </w:r>
    </w:p>
    <w:p>
      <w:pPr>
        <w:pStyle w:val="BodyText"/>
      </w:pPr>
      <w:r>
        <w:rPr>
          <w:bCs/>
          <w:b/>
        </w:rPr>
        <w:t xml:space="preserve">De gevolgen zijn meestal licht, maar niet altijd.</w:t>
      </w:r>
      <w:r>
        <w:t xml:space="preserve"> </w:t>
      </w:r>
      <w:r>
        <w:t xml:space="preserve">Misselijkheid en braken staan op de voorgrond. Een noemenswaardige minderheid heeft echter medische behandeling nodig, en er waren sterfgevallen</w:t>
      </w:r>
      <w:r>
        <w:rPr>
          <w:rStyle w:val="FootnoteReference"/>
        </w:rPr>
        <w:footnoteReference w:id="2769"/>
      </w:r>
      <w:r>
        <w:t xml:space="preserve">. Hypoglykemie trad op in 3,4%</w:t>
      </w:r>
      <w:r>
        <w:rPr>
          <w:rStyle w:val="FootnoteReference"/>
        </w:rPr>
        <w:footnoteReference w:id="2770"/>
      </w:r>
      <w:r>
        <w:t xml:space="preserve"> </w:t>
      </w:r>
      <w:r>
        <w:t xml:space="preserve">tot 3,8%</w:t>
      </w:r>
      <w:r>
        <w:rPr>
          <w:rStyle w:val="FootnoteReference"/>
        </w:rPr>
        <w:footnoteReference w:id="2771"/>
      </w:r>
      <w:r>
        <w:t xml:space="preserve"> </w:t>
      </w:r>
      <w:r>
        <w:t xml:space="preserve">van de gevallen; in een andere analyse kwam ze zelden voor, maar ook na gebruik van alleen een GLP-1-geneesmiddel</w:t>
      </w:r>
      <w:r>
        <w:rPr>
          <w:rStyle w:val="FootnoteReference"/>
        </w:rPr>
        <w:footnoteReference w:id="2772"/>
      </w:r>
      <w:r>
        <w:t xml:space="preserve">. Hoe ernstig een overdosis kan verlopen, laat het in het hoofdstuk „Immuunreacties” beschreven geval zien van een vrouw die na een per vergissing tienvoudige dosis uit een bereidingsapotheek met een massale zwelling in de keel moest worden beademd en daarnaast hypoglykemie ontwikkelde</w:t>
      </w:r>
      <w:r>
        <w:rPr>
          <w:rStyle w:val="FootnoteReference"/>
        </w:rPr>
        <w:footnoteReference w:id="2773"/>
      </w:r>
      <w:r>
        <w:t xml:space="preserve">.</w:t>
      </w:r>
    </w:p>
    <w:p>
      <w:pPr>
        <w:pStyle w:val="BodyText"/>
      </w:pPr>
      <w:r>
        <w:rPr>
          <w:bCs/>
          <w:b/>
        </w:rPr>
        <w:t xml:space="preserve">Jongeren zijn een eigen risicogroep.</w:t>
      </w:r>
      <w:r>
        <w:t xml:space="preserve"> </w:t>
      </w:r>
      <w:r>
        <w:t xml:space="preserve">Bij kinderen en jongeren tussen 6 en 17 jaar steeg het aantal gevallen tussen 2017 en 2024 het sterkst. Zij werden vaker opgenomen dan volwassenen (relatief risico 2,66), en hun gevallen gingen duidelijk vaker terug op opzettelijk misbruik (relatief risico 8,12)</w:t>
      </w:r>
      <w:r>
        <w:rPr>
          <w:rStyle w:val="FootnoteReference"/>
        </w:rPr>
        <w:footnoteReference w:id="2774"/>
      </w:r>
      <w:r>
        <w:t xml:space="preserve">. Meer hierover in het volgende hoofdstuk.</w:t>
      </w:r>
    </w:p>
    <w:bookmarkEnd w:id="2775"/>
    <w:bookmarkStart w:id="2776" w:name="wat-daaruit-volgt"/>
    <w:p>
      <w:pPr>
        <w:pStyle w:val="Heading3"/>
      </w:pPr>
      <w:r>
        <w:t xml:space="preserve">Wat daaruit volgt</w:t>
      </w:r>
    </w:p>
    <w:p>
      <w:pPr>
        <w:pStyle w:val="FirstParagraph"/>
      </w:pPr>
      <w:r>
        <w:t xml:space="preserve">De laboratoriumanalyses en de gegevens van vergiftigingeninformatiecentra beschrijven twee kanten van hetzelfde probleem. De analyses laten zien dat grijze-marktproducten in elk denkbaar opzicht van het etiket kunnen afwijken: in de stof, in de hoeveelheid, in de zuiverheid en in giftige bijkomende stoffen. De gegevens van de vergiftigingenlijnen laten zien dat al bij geteste producten fouten bij het afmeten vaak voorkomen – en dat flesjes die eerst moeten worden opgelost en omgerekend, bijzonder foutgevoelig zijn.</w:t>
      </w:r>
    </w:p>
    <w:p>
      <w:pPr>
        <w:pStyle w:val="BodyText"/>
      </w:pPr>
      <w:r>
        <w:t xml:space="preserve">Combineert men beide, dan ontstaat een risico dat met geen enkele studie naar een werkzame stof kan worden beschreven: wie een grijze-marktpeptide injecteert, kent noch de inhoud noch de hoeveelheid, en elke afwijking wordt door mogelijke eigen rekenfouten nog versterkt. De veiligheidsgegevens uit de registratiestudies die in Deel II zijn beschreven, gelden niet voor deze producten.</w:t>
      </w:r>
    </w:p>
    <w:bookmarkEnd w:id="2776"/>
    <w:bookmarkStart w:id="2777" w:name="het-belangrijkste-in-het-kort-6"/>
    <w:p>
      <w:pPr>
        <w:pStyle w:val="Heading3"/>
      </w:pPr>
      <w:r>
        <w:t xml:space="preserve">Het belangrijkste in het kort</w:t>
      </w:r>
    </w:p>
    <w:p>
      <w:pPr>
        <w:numPr>
          <w:ilvl w:val="0"/>
          <w:numId w:val="1346"/>
        </w:numPr>
        <w:pStyle w:val="Compact"/>
      </w:pPr>
      <w:r>
        <w:t xml:space="preserve">Officiële, forensische en antidopinglaboratoria vinden in grijze-marktpeptiden regelmatig verkeerde werkzame stoffen, verkeerde hoeveelheden, lage zuiverheid en designervarianten.</w:t>
      </w:r>
    </w:p>
    <w:p>
      <w:pPr>
        <w:numPr>
          <w:ilvl w:val="0"/>
          <w:numId w:val="1346"/>
        </w:numPr>
        <w:pStyle w:val="Compact"/>
      </w:pPr>
      <w:r>
        <w:t xml:space="preserve">Een systematische Belgische analyse vond daarnaast arseen en lood, deels tot het tienvoudige van de grenswaarde voor injecties, en bacteriën in injectiepreparaten.</w:t>
      </w:r>
    </w:p>
    <w:p>
      <w:pPr>
        <w:numPr>
          <w:ilvl w:val="0"/>
          <w:numId w:val="1346"/>
        </w:numPr>
        <w:pStyle w:val="Compact"/>
      </w:pPr>
      <w:r>
        <w:t xml:space="preserve">Nieuwe „research peptides” duiken sneller op dan controlelaboratoria opsporingsmethoden kunnen ontwikkelen.</w:t>
      </w:r>
    </w:p>
    <w:p>
      <w:pPr>
        <w:numPr>
          <w:ilvl w:val="0"/>
          <w:numId w:val="1346"/>
        </w:numPr>
        <w:pStyle w:val="Compact"/>
      </w:pPr>
      <w:r>
        <w:t xml:space="preserve">Analyses zijn momentopnamen; een goed resultaat geldt niet voor de volgende partij.</w:t>
      </w:r>
    </w:p>
    <w:p>
      <w:pPr>
        <w:numPr>
          <w:ilvl w:val="0"/>
          <w:numId w:val="1346"/>
        </w:numPr>
        <w:pStyle w:val="Compact"/>
      </w:pPr>
      <w:r>
        <w:t xml:space="preserve">In de VS is het aantal telefoontjes naar vergiftigingenlijnen over GLP-1-geneesmiddelen sterk gestegen. De meeste gevallen zijn gebruiksfouten met lichte gevolgen, een minderheid verloopt ernstig. Bij apotheekbereidingen gingen bijna alle gevallen terug op fouten bij het afmeten.</w:t>
      </w:r>
    </w:p>
    <w:bookmarkEnd w:id="2777"/>
    <w:bookmarkEnd w:id="2778"/>
    <w:bookmarkStart w:id="2823" w:name="interacties-en-bijzondere-risicogroepen"/>
    <w:p>
      <w:pPr>
        <w:pStyle w:val="Heading2"/>
      </w:pPr>
      <w:r>
        <w:t xml:space="preserve">Interacties en bijzondere risicogroepen</w:t>
      </w:r>
    </w:p>
    <w:p>
      <w:pPr>
        <w:pStyle w:val="FirstParagraph"/>
      </w:pPr>
      <w:r>
        <w:t xml:space="preserve">De studies waarop de registratie van een geneesmiddel berust, sluiten bepaalde mensen bijna altijd uit: zwangeren, kinderen, zeer oude mensen of mensen met meerdere aandoeningen, mensen met eetstoornissen of ernstige psychische aandoeningen. Wat voor de studiedeelnemers geldt, is daarom maar beperkt op deze groepen over te dragen. Daarbij komen interacties met andere geneesmiddelen en situaties zoals een narcose, waarin een normaal onschuldige werking plotseling gevaarlijk kan worden.</w:t>
      </w:r>
    </w:p>
    <w:p>
      <w:pPr>
        <w:pStyle w:val="BodyText"/>
      </w:pPr>
      <w:r>
        <w:t xml:space="preserve">Dit hoofdstuk bundelt deze vragen. Het vervangt geen medisch advies en geen productinformatie. Bij geregistreerde geneesmiddelen legt de productinformatie contra-indicaties en interacties bindend vast; bij niet-geregistreerde peptiden zijn er over deze groepen doorgaans helemaal geen gegevens.</w:t>
      </w:r>
    </w:p>
    <w:bookmarkStart w:id="2784" w:name="zwangerschap-en-borstvoeding"/>
    <w:p>
      <w:pPr>
        <w:pStyle w:val="Heading3"/>
      </w:pPr>
      <w:r>
        <w:t xml:space="preserve">Zwangerschap en borstvoeding</w:t>
      </w:r>
    </w:p>
    <w:p>
      <w:pPr>
        <w:pStyle w:val="FirstParagraph"/>
      </w:pPr>
      <w:r>
        <w:t xml:space="preserve">Voor bijna alle peptiden in dit boek geldt: tijdens de zwangerschap zijn ze niet onderzocht of niet geïndiceerd. De productinformaties van de GLP-1-geneesmiddelen schrijven voor ze tijdens de zwangerschap niet te gebruiken en vóór een geplande zwangerschap tijdig te stoppen (hoofdstukken Semaglutide, Tirzepatide). Bij maridebart cafraglutide is dat bijzonder belangrijk, omdat de werking ervan in een vroege studie tot 150 dagen na de laatste dosis aanhield (hoofdstuk Maridebart cafraglutide).</w:t>
      </w:r>
    </w:p>
    <w:p>
      <w:pPr>
        <w:pStyle w:val="BodyText"/>
      </w:pPr>
      <w:r>
        <w:t xml:space="preserve">Omdat GLP-1-geneesmiddelen bij veel vrouwen in de vruchtbare leeftijd worden ingezet en gewichtsverlies de vruchtbaarheid kan verbeteren, komen er toch ongeplande zwangerschappen tijdens de behandeling voor. Voor die situatie zijn er inmiddels gegevens, die overwegend geruststellend zijn:</w:t>
      </w:r>
    </w:p>
    <w:p>
      <w:pPr>
        <w:numPr>
          <w:ilvl w:val="0"/>
          <w:numId w:val="1347"/>
        </w:numPr>
        <w:pStyle w:val="Compact"/>
      </w:pPr>
      <w:r>
        <w:t xml:space="preserve">In een grote studie uit vier Noordse landen, de VS en Israël lag het percentage ernstige aangeboren afwijkingen bij kinderen van vrouwen met diabetes type 2 die rond de conceptie GLP-1-receptoragonisten hadden gekregen, niet hoger dan met insuline (gecorrigeerd relatief risico 0,95)</w:t>
      </w:r>
      <w:r>
        <w:rPr>
          <w:rStyle w:val="FootnoteReference"/>
        </w:rPr>
        <w:footnoteReference w:id="2779"/>
      </w:r>
      <w:r>
        <w:t xml:space="preserve">.</w:t>
      </w:r>
    </w:p>
    <w:p>
      <w:pPr>
        <w:numPr>
          <w:ilvl w:val="0"/>
          <w:numId w:val="1347"/>
        </w:numPr>
        <w:pStyle w:val="Compact"/>
      </w:pPr>
      <w:r>
        <w:t xml:space="preserve">Een analyse van zes informatiecentra voor geneesmiddelen tijdens de zwangerschap vond bij 168 zwangerschappen met blootstelling aan GLP-1 in het eerste trimester ernstige aangeboren afwijkingen bij 2,6%, in de vergelijkingsgroepen bij 2,3% en 3,9%</w:t>
      </w:r>
      <w:r>
        <w:rPr>
          <w:rStyle w:val="FootnoteReference"/>
        </w:rPr>
        <w:footnoteReference w:id="2780"/>
      </w:r>
      <w:r>
        <w:t xml:space="preserve">.</w:t>
      </w:r>
    </w:p>
    <w:p>
      <w:pPr>
        <w:numPr>
          <w:ilvl w:val="0"/>
          <w:numId w:val="1347"/>
        </w:numPr>
        <w:pStyle w:val="Compact"/>
      </w:pPr>
      <w:r>
        <w:t xml:space="preserve">Een Amerikaanse studie met 3.572 zwangerschappen vergeleek vrouwen die het geneesmiddel tot in het eerste trimester bleven ophalen met vrouwen die ermee stopten. Een duidelijk verhoogd risico op miskraam of doodgeboorte, groeistoornissen of aangeboren afwijkingen werd niet gevonden; de schattingen voor aangeboren afwijkingen waren echter zo onnauwkeurig dat ook een betekenisvol verschil niet kan worden uitgesloten</w:t>
      </w:r>
      <w:r>
        <w:rPr>
          <w:rStyle w:val="FootnoteReference"/>
        </w:rPr>
        <w:footnoteReference w:id="2781"/>
      </w:r>
      <w:r>
        <w:t xml:space="preserve">.</w:t>
      </w:r>
    </w:p>
    <w:p>
      <w:pPr>
        <w:numPr>
          <w:ilvl w:val="0"/>
          <w:numId w:val="1347"/>
        </w:numPr>
        <w:pStyle w:val="Compact"/>
      </w:pPr>
      <w:r>
        <w:t xml:space="preserve">Een meta-analyse van zeven cohortstudies met meer dan 40.000 blootgestelde zwangerschappen vond geen statistisch zekere stijging van ernstige aangeboren afwijkingen; een signaal voor afwijkingen van de urinewegen berustte alleen op niet-gecorrigeerde gegevens. De zekerheid van het bewijs beoordelen de auteurs als laag</w:t>
      </w:r>
      <w:r>
        <w:rPr>
          <w:rStyle w:val="FootnoteReference"/>
        </w:rPr>
        <w:footnoteReference w:id="2782"/>
      </w:r>
      <w:r>
        <w:t xml:space="preserve">.</w:t>
      </w:r>
    </w:p>
    <w:p>
      <w:pPr>
        <w:pStyle w:val="FirstParagraph"/>
      </w:pPr>
      <w:r>
        <w:t xml:space="preserve">Deze gegevens helpen bij de beoordeling van een</w:t>
      </w:r>
      <w:r>
        <w:t xml:space="preserve"> </w:t>
      </w:r>
      <w:r>
        <w:rPr>
          <w:iCs/>
          <w:i/>
        </w:rPr>
        <w:t xml:space="preserve">onbedoelde</w:t>
      </w:r>
      <w:r>
        <w:t xml:space="preserve"> </w:t>
      </w:r>
      <w:r>
        <w:t xml:space="preserve">blootstelling. Ze zijn geen bewijs dat gepland gebruik tijdens de zwangerschap veilig zou zijn. Voor de periode van borstvoeding zijn de gegevens nog schaarser; over de overgang van bremelanotide in de moedermelk is een kleine studie met tien vrouwen afgerond</w:t>
      </w:r>
      <w:r>
        <w:rPr>
          <w:rStyle w:val="FootnoteReference"/>
        </w:rPr>
        <w:footnoteReference w:id="2783"/>
      </w:r>
      <w:r>
        <w:t xml:space="preserve">.</w:t>
      </w:r>
    </w:p>
    <w:p>
      <w:pPr>
        <w:pStyle w:val="BodyText"/>
      </w:pPr>
      <w:r>
        <w:t xml:space="preserve">Sommige peptiden zijn tijdens de zwangerschap gevaarlijk vanwege hun werkingsprincipe. Oxytocine wekt weeën op; gebruik als neusspray buiten medische controle is tijdens de zwangerschap riskant (hoofdstuk Oxytocine). Voor grijze-marktpeptiden zoals BPC-157, TB-500, Epitalon of de groeihormoonvrijmakers zijn er geen enkele gegevens over zwangerschap en borstvoeding.</w:t>
      </w:r>
    </w:p>
    <w:bookmarkEnd w:id="2784"/>
    <w:bookmarkStart w:id="2789" w:name="orale-anticonceptie-en-maaglediging"/>
    <w:p>
      <w:pPr>
        <w:pStyle w:val="Heading3"/>
      </w:pPr>
      <w:r>
        <w:t xml:space="preserve">Orale anticonceptie en maaglediging</w:t>
      </w:r>
    </w:p>
    <w:p>
      <w:pPr>
        <w:pStyle w:val="FirstParagraph"/>
      </w:pPr>
      <w:r>
        <w:t xml:space="preserve">GLP-1-geneesmiddelen, amylineanalogen zoals pramlintide en ook bremelanotide vertragen de lediging van de maag. Daardoor kunnen tabletten die tegelijk worden ingenomen, later of in een andere hoeveelheid in het bloed terechtkomen. Dat betreft vooral geneesmiddelen waarbij een snel intredende werking of een gelijkmatige bloedspiegel belangrijk is.</w:t>
      </w:r>
    </w:p>
    <w:p>
      <w:pPr>
        <w:pStyle w:val="BodyText"/>
      </w:pPr>
      <w:r>
        <w:t xml:space="preserve">Bijzonder nauwkeurig onderzocht is de anticonceptiepil. Voor semaglutide vond een studie met 43 vrouwen geen verminderde opname van de twee hormonen van een gangbare combinatiepil; de spiegel van het progestageen lag met semaglutide zelfs 20% hoger</w:t>
      </w:r>
      <w:r>
        <w:rPr>
          <w:rStyle w:val="FootnoteReference"/>
        </w:rPr>
        <w:footnoteReference w:id="2785"/>
      </w:r>
      <w:r>
        <w:t xml:space="preserve">. Bij tirzepatide is dat anders: een overzicht van zes studies vond alleen bij tirzepatide een significante vermindering van de opgenomen hoeveelheid hormoon, bij de overige GLP-1-receptoragonisten niet. Als verklaring noemen de auteurs de sterkere vertraging van de maaglediging na de eerste dosis en na dosisverhogingen</w:t>
      </w:r>
      <w:r>
        <w:rPr>
          <w:rStyle w:val="FootnoteReference"/>
        </w:rPr>
        <w:footnoteReference w:id="2786"/>
      </w:r>
      <w:r>
        <w:t xml:space="preserve">. De productinformatie van tirzepatide bevat daarom een eigen waarschuwing over anticonceptie met tabletten; de details staan daar en kunnen het best met je arts worden besproken.</w:t>
      </w:r>
    </w:p>
    <w:p>
      <w:pPr>
        <w:pStyle w:val="BodyText"/>
      </w:pPr>
      <w:r>
        <w:t xml:space="preserve">Ongeacht de werkzame stof geldt: hevig braken of diarree – bij GLP-1-geneesmiddelen vaak voorkomend – kunnen de opname van elke tablet belemmeren, ook die van de pil.</w:t>
      </w:r>
    </w:p>
    <w:p>
      <w:pPr>
        <w:pStyle w:val="BodyText"/>
      </w:pPr>
      <w:r>
        <w:t xml:space="preserve">Andere bekende interacties in een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Interactie</w:t>
            </w:r>
          </w:p>
        </w:tc>
        <w:tc>
          <w:tcPr/>
          <w:p>
            <w:pPr>
              <w:pStyle w:val="Compact"/>
              <w:jc w:val="left"/>
            </w:pPr>
            <w:r>
              <w:t xml:space="preserve">Betekenis</w:t>
            </w:r>
          </w:p>
        </w:tc>
        <w:tc>
          <w:tcPr/>
          <w:p>
            <w:pPr>
              <w:pStyle w:val="Compact"/>
              <w:jc w:val="left"/>
            </w:pPr>
            <w:r>
              <w:t xml:space="preserve">Hoofdstuk</w:t>
            </w:r>
          </w:p>
        </w:tc>
      </w:tr>
      <w:tr>
        <w:tc>
          <w:tcPr/>
          <w:p>
            <w:pPr>
              <w:pStyle w:val="Compact"/>
              <w:jc w:val="left"/>
            </w:pPr>
            <w:r>
              <w:t xml:space="preserve">GLP-1-geneesmiddelen, pramlintide</w:t>
            </w:r>
          </w:p>
        </w:tc>
        <w:tc>
          <w:tcPr/>
          <w:p>
            <w:pPr>
              <w:pStyle w:val="Compact"/>
              <w:jc w:val="left"/>
            </w:pPr>
            <w:r>
              <w:t xml:space="preserve">vertraagde opname van tabletten</w:t>
            </w:r>
          </w:p>
        </w:tc>
        <w:tc>
          <w:tcPr/>
          <w:p>
            <w:pPr>
              <w:pStyle w:val="Compact"/>
              <w:jc w:val="left"/>
            </w:pPr>
            <w:r>
              <w:t xml:space="preserve">letten op bij geneesmiddelen met een smalle therapeutische breedte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minder hormoon uit de pil</w:t>
            </w:r>
          </w:p>
        </w:tc>
        <w:tc>
          <w:tcPr/>
          <w:p>
            <w:pPr>
              <w:pStyle w:val="Compact"/>
              <w:jc w:val="left"/>
            </w:pPr>
            <w:r>
              <w:t xml:space="preserve">waarschuwing in de productinformatie</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lagere spiegels van indometacine en naltrexon</w:t>
            </w:r>
          </w:p>
        </w:tc>
        <w:tc>
          <w:tcPr/>
          <w:p>
            <w:pPr>
              <w:pStyle w:val="Compact"/>
              <w:jc w:val="left"/>
            </w:pPr>
            <w:r>
              <w:t xml:space="preserve">werking van deze middelen kan afnemen</w:t>
            </w:r>
          </w:p>
        </w:tc>
        <w:tc>
          <w:tcPr/>
          <w:p>
            <w:pPr>
              <w:pStyle w:val="Compact"/>
              <w:jc w:val="left"/>
            </w:pPr>
            <w:r>
              <w:t xml:space="preserve">Bremelanotide</w:t>
            </w:r>
          </w:p>
        </w:tc>
      </w:tr>
      <w:tr>
        <w:tc>
          <w:tcPr/>
          <w:p>
            <w:pPr>
              <w:pStyle w:val="Compact"/>
              <w:jc w:val="left"/>
            </w:pPr>
            <w:r>
              <w:t xml:space="preserve">Macimoreline</w:t>
            </w:r>
          </w:p>
        </w:tc>
        <w:tc>
          <w:tcPr/>
          <w:p>
            <w:pPr>
              <w:pStyle w:val="Compact"/>
              <w:jc w:val="left"/>
            </w:pPr>
            <w:r>
              <w:t xml:space="preserve">verlengt het QT-interval</w:t>
            </w:r>
          </w:p>
        </w:tc>
        <w:tc>
          <w:tcPr/>
          <w:p>
            <w:pPr>
              <w:pStyle w:val="Compact"/>
              <w:jc w:val="left"/>
            </w:pPr>
            <w:r>
              <w:t xml:space="preserve">voorzichtigheid met andere QT-verlengende middelen</w:t>
            </w:r>
          </w:p>
        </w:tc>
        <w:tc>
          <w:tcPr/>
          <w:p>
            <w:pPr>
              <w:pStyle w:val="Compact"/>
              <w:jc w:val="left"/>
            </w:pPr>
            <w:r>
              <w:t xml:space="preserve">Macimoreline</w:t>
            </w:r>
          </w:p>
        </w:tc>
      </w:tr>
      <w:tr>
        <w:tc>
          <w:tcPr/>
          <w:p>
            <w:pPr>
              <w:pStyle w:val="Compact"/>
              <w:jc w:val="left"/>
            </w:pPr>
            <w:r>
              <w:t xml:space="preserve">Orforglipron</w:t>
            </w:r>
          </w:p>
        </w:tc>
        <w:tc>
          <w:tcPr/>
          <w:p>
            <w:pPr>
              <w:pStyle w:val="Compact"/>
              <w:jc w:val="left"/>
            </w:pPr>
            <w:r>
              <w:t xml:space="preserve">afbraak via leverenzymen</w:t>
            </w:r>
          </w:p>
        </w:tc>
        <w:tc>
          <w:tcPr/>
          <w:p>
            <w:pPr>
              <w:pStyle w:val="Compact"/>
              <w:jc w:val="left"/>
            </w:pPr>
            <w:r>
              <w:t xml:space="preserve">interacties met andere geneesmiddelen mogelijk</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kalmerings- en slaapmiddelen, alcohol</w:t>
            </w:r>
          </w:p>
        </w:tc>
        <w:tc>
          <w:tcPr/>
          <w:p>
            <w:pPr>
              <w:pStyle w:val="Compact"/>
              <w:jc w:val="left"/>
            </w:pPr>
            <w:r>
              <w:t xml:space="preserve">niet onderzocht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bloedstolling (alleen dierlijke gegevens)</w:t>
            </w:r>
          </w:p>
        </w:tc>
        <w:tc>
          <w:tcPr/>
          <w:p>
            <w:pPr>
              <w:pStyle w:val="Compact"/>
              <w:jc w:val="left"/>
            </w:pPr>
            <w:r>
              <w:t xml:space="preserve">bij antistollingsmiddelen onbekend</w:t>
            </w:r>
          </w:p>
        </w:tc>
        <w:tc>
          <w:tcPr/>
          <w:p>
            <w:pPr>
              <w:pStyle w:val="Compact"/>
              <w:jc w:val="left"/>
            </w:pPr>
            <w:r>
              <w:t xml:space="preserve">BPC-157</w:t>
            </w:r>
          </w:p>
        </w:tc>
      </w:tr>
    </w:tbl>
    <w:p>
      <w:pPr>
        <w:pStyle w:val="BodyText"/>
      </w:pPr>
      <w:r>
        <w:t xml:space="preserve">De interactie van bremelanotide met indometacine en naltrexon is beschreven in de registratiegegevens</w:t>
      </w:r>
      <w:r>
        <w:rPr>
          <w:rStyle w:val="FootnoteReference"/>
        </w:rPr>
        <w:footnoteReference w:id="2787"/>
      </w:r>
      <w:r>
        <w:t xml:space="preserve">. De QT-verlenging door macimoreline werd gemeten in een grondige ecg-studie</w:t>
      </w:r>
      <w:r>
        <w:rPr>
          <w:rStyle w:val="FootnoteReference"/>
        </w:rPr>
        <w:footnoteReference w:id="2788"/>
      </w:r>
      <w:r>
        <w:t xml:space="preserve">.</w:t>
      </w:r>
    </w:p>
    <w:bookmarkEnd w:id="2789"/>
    <w:bookmarkStart w:id="2794" w:name="narcose-gastroscopie-en-aspiratie"/>
    <w:p>
      <w:pPr>
        <w:pStyle w:val="Heading3"/>
      </w:pPr>
      <w:r>
        <w:t xml:space="preserve">Narcose, gastroscopie en aspiratie</w:t>
      </w:r>
    </w:p>
    <w:p>
      <w:pPr>
        <w:pStyle w:val="FirstParagraph"/>
      </w:pPr>
      <w:r>
        <w:t xml:space="preserve">Vóór een narcose moet de maag leeg zijn. De reden: als maaginhoud tijdens de narcose in de luchtwegen terechtkomt (aspiratie), kan een ernstige longontsteking volgen. Omdat GLP-1-geneesmiddelen de maaglediging vertragen, kan de maag ondanks een voorgeschreven nuchtere periode nog voedselresten bevatten.</w:t>
      </w:r>
    </w:p>
    <w:p>
      <w:pPr>
        <w:pStyle w:val="BodyText"/>
      </w:pPr>
      <w:r>
        <w:t xml:space="preserve">De studies hierover geven een tweeledig beeld:</w:t>
      </w:r>
    </w:p>
    <w:p>
      <w:pPr>
        <w:numPr>
          <w:ilvl w:val="0"/>
          <w:numId w:val="1348"/>
        </w:numPr>
        <w:pStyle w:val="Compact"/>
      </w:pPr>
      <w:r>
        <w:rPr>
          <w:bCs/>
          <w:b/>
        </w:rPr>
        <w:t xml:space="preserve">Meer restinhoud in de maag is goed aangetoond.</w:t>
      </w:r>
      <w:r>
        <w:t xml:space="preserve"> </w:t>
      </w:r>
      <w:r>
        <w:t xml:space="preserve">Een meta-analyse van 23 observationele studies met 262.018 mensen die een gastroscopie kregen, vond met GLP-1-receptoragonisten een ongeveer viereneenhalf keer zo hoog risico op voedselresten in de maag (odds ratio 4,54) en evenzo vaker voortijdig afgebroken onderzoeken. Aspiratiepneumonie kwam niet vaker voor (odds ratio 0,96)</w:t>
      </w:r>
      <w:r>
        <w:rPr>
          <w:rStyle w:val="FootnoteReference"/>
        </w:rPr>
        <w:footnoteReference w:id="2790"/>
      </w:r>
      <w:r>
        <w:t xml:space="preserve">.</w:t>
      </w:r>
    </w:p>
    <w:p>
      <w:pPr>
        <w:numPr>
          <w:ilvl w:val="0"/>
          <w:numId w:val="1348"/>
        </w:numPr>
        <w:pStyle w:val="Compact"/>
      </w:pPr>
      <w:r>
        <w:t xml:space="preserve">In een studie met echografie van de maag vóór geplande operaties had 49% van de mensen met semaglutide een „volle maag”, maar slechts 18% van de vergelijkbare controlepersonen; vaste voedselresten werden gevonden bij 42% tegenover 7%. Dat gold ook als een dosis vóór de operatie was overgeslagen</w:t>
      </w:r>
      <w:r>
        <w:rPr>
          <w:rStyle w:val="FootnoteReference"/>
        </w:rPr>
        <w:footnoteReference w:id="2791"/>
      </w:r>
      <w:r>
        <w:t xml:space="preserve">.</w:t>
      </w:r>
    </w:p>
    <w:p>
      <w:pPr>
        <w:numPr>
          <w:ilvl w:val="0"/>
          <w:numId w:val="1348"/>
        </w:numPr>
        <w:pStyle w:val="Compact"/>
      </w:pPr>
      <w:r>
        <w:rPr>
          <w:bCs/>
          <w:b/>
        </w:rPr>
        <w:t xml:space="preserve">Werkelijke aspiraties zijn zeldzaam.</w:t>
      </w:r>
      <w:r>
        <w:t xml:space="preserve"> </w:t>
      </w:r>
      <w:r>
        <w:t xml:space="preserve">In een grote Amerikaanse databankstudie met 296.389 paren van mensen met diabetes type 2 traden luchtwegcomplicaties na operaties met GLP-1-receptoragonisten zelfs minder vaak op (0,09% tegenover 0,34%), aspiraties bij 0,01% tegenover 0,03%. De auteurs benadrukken dat onduidelijk is of in deze gevallen al voorzorgsmaatregelen waren genomen</w:t>
      </w:r>
      <w:r>
        <w:rPr>
          <w:rStyle w:val="FootnoteReference"/>
        </w:rPr>
        <w:footnoteReference w:id="2792"/>
      </w:r>
      <w:r>
        <w:t xml:space="preserve">.</w:t>
      </w:r>
    </w:p>
    <w:p>
      <w:pPr>
        <w:pStyle w:val="FirstParagraph"/>
      </w:pPr>
      <w:r>
        <w:t xml:space="preserve">Mogelijk zijn de aspiratiepercentages laag omdat anesthesieteams het risico kennen en hun aanpak aanpassen. Of het pauzeren van het geneesmiddel vóór een gastroscopie het probleem vermindert, moet een grote studie in China ophelderen</w:t>
      </w:r>
      <w:r>
        <w:rPr>
          <w:rStyle w:val="FootnoteReference"/>
        </w:rPr>
        <w:footnoteReference w:id="2793"/>
      </w:r>
      <w:r>
        <w:t xml:space="preserve">. Voor behandelden betekent dat vooral: meld vóór elke operatie, narcose of gastroscopie dat je een GLP-1-geneesmiddel gebruikt – ook als het uit een bereidingsapotheek of van de grijze markt komt. Hoe met het geneesmiddel vóór de ingreep moet worden omgegaan, beslist het behandelteam volgens de dan geldende aanbevelingen. Wie een grijze-marktproduct niet als geneesmiddel beschouwt en het daarom niet noemt, ontneemt het anesthesieteam die mogelijkheid.</w:t>
      </w:r>
    </w:p>
    <w:bookmarkEnd w:id="2794"/>
    <w:bookmarkStart w:id="2797" w:name="X99fd7e573647aca4fb09d7594e87007c01ff395"/>
    <w:p>
      <w:pPr>
        <w:pStyle w:val="Heading3"/>
      </w:pPr>
      <w:r>
        <w:t xml:space="preserve">Combinatie met diabetesmiddelen en hypoglykemie</w:t>
      </w:r>
    </w:p>
    <w:p>
      <w:pPr>
        <w:pStyle w:val="FirstParagraph"/>
      </w:pPr>
      <w:r>
        <w:t xml:space="preserve">Zoals beschreven in het hoofdstuk „Bijwerkingen naar orgaansysteem”, veroorzaken GLP-1-geneesmiddelen alleen nauwelijks gevaarlijke hypoglykemie. Dat verandert in combinatie met insuline of sulfonylureumderivaten, die de bloedsuiker verlagen ongeacht de actuele waarde. In een studie met exenatide bovenop metformine en een sulfonylureumderivaat trad lichte tot matige hypoglykemie op bij maximaal 28%, met placebo bij 13%; bij een laag gedoseerd sulfonylureumderivaat kwam ze minder vaak voor</w:t>
      </w:r>
      <w:r>
        <w:rPr>
          <w:rStyle w:val="FootnoteReference"/>
        </w:rPr>
        <w:footnoteReference w:id="2795"/>
      </w:r>
      <w:r>
        <w:t xml:space="preserve">. Bij pramlintide, dat samen met insuline wordt ingezet, kwam ernstige hypoglykemie vaker voor dan met placebo</w:t>
      </w:r>
      <w:r>
        <w:rPr>
          <w:rStyle w:val="FootnoteReference"/>
        </w:rPr>
        <w:footnoteReference w:id="2796"/>
      </w:r>
      <w:r>
        <w:t xml:space="preserve">. Daarom schrijven de productinformaties voor dat de dosis van de andere diabetesmiddelen bij de start wordt gecontroleerd; de uitvoering hoort in handen van een arts.</w:t>
      </w:r>
    </w:p>
    <w:p>
      <w:pPr>
        <w:pStyle w:val="BodyText"/>
      </w:pPr>
      <w:r>
        <w:t xml:space="preserve">Voor meerdere niet-geregistreerde peptiden is een extra bloedsuikerverlaging theoretisch denkbaar, bijvoorbeeld voor MOTS-c of IGF-1 LR3 (hoofdstukken MOTS-c, IGF-1 LR3). Onderzocht is dat niet. Omgekeerd kunnen de peptiden van de groeihormoonas de bloedsuiker verhogen en een bestaande diabetesbehandeling uit evenwicht brengen (hoofdstukken Ibutamoren, Tesamoreline).</w:t>
      </w:r>
    </w:p>
    <w:bookmarkEnd w:id="2797"/>
    <w:bookmarkStart w:id="2802" w:name="kinderen-en-jongeren-3"/>
    <w:p>
      <w:pPr>
        <w:pStyle w:val="Heading3"/>
      </w:pPr>
      <w:r>
        <w:t xml:space="preserve">Kinderen en jongeren</w:t>
      </w:r>
    </w:p>
    <w:p>
      <w:pPr>
        <w:pStyle w:val="FirstParagraph"/>
      </w:pPr>
      <w:r>
        <w:t xml:space="preserve">Semaglutide en liraglutide zijn in de EU en de VS ook geregistreerd voor jongeren vanaf twaalf jaar met obesitas. De registratiestudies laten een vergelijkbaar bijwerkingenprofiel zien als bij volwassenen: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w:t>
            </w:r>
          </w:p>
        </w:tc>
        <w:tc>
          <w:tcPr/>
          <w:p>
            <w:pPr>
              <w:pStyle w:val="Compact"/>
              <w:jc w:val="left"/>
            </w:pPr>
            <w:r>
              <w:t xml:space="preserve">Maag-darmklachten</w:t>
            </w:r>
          </w:p>
        </w:tc>
        <w:tc>
          <w:tcPr/>
          <w:p>
            <w:pPr>
              <w:pStyle w:val="Compact"/>
              <w:jc w:val="left"/>
            </w:pPr>
            <w:r>
              <w:t xml:space="preserve">Overige bevindingen</w:t>
            </w:r>
          </w:p>
        </w:tc>
      </w:tr>
      <w:tr>
        <w:tc>
          <w:tcPr/>
          <w:p>
            <w:pPr>
              <w:pStyle w:val="Compact"/>
              <w:jc w:val="left"/>
            </w:pPr>
            <w:r>
              <w:t xml:space="preserve">STEP TEENS (Weghuber 2022), PMID 36322838</w:t>
            </w:r>
          </w:p>
        </w:tc>
        <w:tc>
          <w:tcPr/>
          <w:p>
            <w:pPr>
              <w:pStyle w:val="Compact"/>
              <w:jc w:val="left"/>
            </w:pPr>
            <w:r>
              <w:t xml:space="preserve">201 jongeren, semaglutide, 68 weken</w:t>
            </w:r>
          </w:p>
        </w:tc>
        <w:tc>
          <w:tcPr/>
          <w:p>
            <w:pPr>
              <w:pStyle w:val="Compact"/>
              <w:jc w:val="left"/>
            </w:pPr>
            <w:r>
              <w:t xml:space="preserve">62% vs. 42%</w:t>
            </w:r>
          </w:p>
        </w:tc>
        <w:tc>
          <w:tcPr/>
          <w:p>
            <w:pPr>
              <w:pStyle w:val="Compact"/>
              <w:jc w:val="left"/>
            </w:pPr>
            <w:r>
              <w:t xml:space="preserve">galstenen bij 4%; ernstige voorvallen 11% vs. 9%</w:t>
            </w:r>
          </w:p>
        </w:tc>
      </w:tr>
      <w:tr>
        <w:tc>
          <w:tcPr/>
          <w:p>
            <w:pPr>
              <w:pStyle w:val="Compact"/>
              <w:jc w:val="left"/>
            </w:pPr>
            <w:r>
              <w:t xml:space="preserve">SCALE Teens (Kelly 2020), PMID 32233338</w:t>
            </w:r>
          </w:p>
        </w:tc>
        <w:tc>
          <w:tcPr/>
          <w:p>
            <w:pPr>
              <w:pStyle w:val="Compact"/>
              <w:jc w:val="left"/>
            </w:pPr>
            <w:r>
              <w:t xml:space="preserve">251 jongeren, liraglutide, 56 weken</w:t>
            </w:r>
          </w:p>
        </w:tc>
        <w:tc>
          <w:tcPr/>
          <w:p>
            <w:pPr>
              <w:pStyle w:val="Compact"/>
              <w:jc w:val="left"/>
            </w:pPr>
            <w:r>
              <w:t xml:space="preserve">64,8% vs. 36,5%</w:t>
            </w:r>
          </w:p>
        </w:tc>
        <w:tc>
          <w:tcPr/>
          <w:p>
            <w:pPr>
              <w:pStyle w:val="Compact"/>
              <w:jc w:val="left"/>
            </w:pPr>
            <w:r>
              <w:t xml:space="preserve">stoppen wegens bijwerkingen 10,4% vs. 0%</w:t>
            </w:r>
          </w:p>
        </w:tc>
      </w:tr>
    </w:tbl>
    <w:p>
      <w:pPr>
        <w:pStyle w:val="BodyText"/>
      </w:pPr>
      <w:r>
        <w:t xml:space="preserve">In de liraglutidestudie steeg de BMI na het stoppen weer sterker dan met placebo, en er vond een suïcide plaats in de liraglutidegroep, die de onderzoekers als waarschijnlijk niet behandelingsgerelateerd beoordeelden</w:t>
      </w:r>
      <w:r>
        <w:rPr>
          <w:rStyle w:val="FootnoteReference"/>
        </w:rPr>
        <w:footnoteReference w:id="2798"/>
      </w:r>
      <w:r>
        <w:t xml:space="preserve">. Een meta-analyse van negen gerandomiseerde en twee observationele studies met jongeren vond in totaal geen toename van suïcidaal gedrag of depressie</w:t>
      </w:r>
      <w:r>
        <w:rPr>
          <w:rStyle w:val="FootnoteReference"/>
        </w:rPr>
        <w:footnoteReference w:id="2799"/>
      </w:r>
      <w:r>
        <w:t xml:space="preserve">.</w:t>
      </w:r>
    </w:p>
    <w:p>
      <w:pPr>
        <w:pStyle w:val="BodyText"/>
      </w:pPr>
      <w:r>
        <w:t xml:space="preserve">Een ander beeld geven de gegevens van de Amerikaanse vergiftigingeninformatiecentra. Bij kinderen en jongeren tussen 6 en 17 jaar stegen de gemelde gevallen met GLP-1-geneesmiddelen tussen 2017 en 2024 het sterkst. Zij werden vaker opgenomen dan volwassenen (relatief risico 2,66), braakten vaker, en hun gevallen gingen ongeveer acht keer zo vaak terug op opzettelijk misbruik</w:t>
      </w:r>
      <w:r>
        <w:rPr>
          <w:rStyle w:val="FootnoteReference"/>
        </w:rPr>
        <w:footnoteReference w:id="2800"/>
      </w:r>
      <w:r>
        <w:t xml:space="preserve">. Dat wijst erop dat jongeren deze geneesmiddelen deels buiten een medische behandeling gebruiken.</w:t>
      </w:r>
    </w:p>
    <w:p>
      <w:pPr>
        <w:pStyle w:val="BodyText"/>
      </w:pPr>
      <w:r>
        <w:t xml:space="preserve">Bij de peptiden uit de fitness- en bodybuildingwereld is onduidelijk hoe verspreid ze onder jongeren zijn. Een overzicht wijst op reclame in sociale media en aanwijzingen voor een groeiend gebruik ook door jongere recreatieve sporters, maar benadrukt dat studies naar de frequentie ontbreken</w:t>
      </w:r>
      <w:r>
        <w:rPr>
          <w:rStyle w:val="FootnoteReference"/>
        </w:rPr>
        <w:footnoteReference w:id="2801"/>
      </w:r>
      <w:r>
        <w:t xml:space="preserve">. Voor jongeren, van wie de groei en het hormoonstelsel nog niet zijn voltooid, is ingrijpen in de groeihormoon- of geslachtshormoonas met niet-geregistreerde stoffen bijzonder riskant. De geregistreerde peptiden voor kinderen – zoals mecasermine bij ernstig IGF-1-tekort – worden uitsluitend onder controle van een medisch specialist ingezet (hoofdstuk Mecasermine).</w:t>
      </w:r>
    </w:p>
    <w:bookmarkEnd w:id="2802"/>
    <w:bookmarkStart w:id="2805" w:name="ouderen"/>
    <w:p>
      <w:pPr>
        <w:pStyle w:val="Heading3"/>
      </w:pPr>
      <w:r>
        <w:t xml:space="preserve">Ouderen</w:t>
      </w:r>
    </w:p>
    <w:p>
      <w:pPr>
        <w:pStyle w:val="FirstParagraph"/>
      </w:pPr>
      <w:r>
        <w:t xml:space="preserve">Met de leeftijd neemt het risico toe dat bijwerkingen ernstiger verlopen. Voor ouderen zijn bij peptiden vooral vier punten belangrijk:</w:t>
      </w:r>
    </w:p>
    <w:p>
      <w:pPr>
        <w:numPr>
          <w:ilvl w:val="0"/>
          <w:numId w:val="1349"/>
        </w:numPr>
        <w:pStyle w:val="Compact"/>
      </w:pPr>
      <w:r>
        <w:rPr>
          <w:bCs/>
          <w:b/>
        </w:rPr>
        <w:t xml:space="preserve">Vochtverlies.</w:t>
      </w:r>
      <w:r>
        <w:t xml:space="preserve"> </w:t>
      </w:r>
      <w:r>
        <w:t xml:space="preserve">Braken en diarree met GLP-1-geneesmiddelen kunnen bij ouderen sneller tot uitdroging en nierproblemen leiden.</w:t>
      </w:r>
    </w:p>
    <w:p>
      <w:pPr>
        <w:numPr>
          <w:ilvl w:val="0"/>
          <w:numId w:val="1349"/>
        </w:numPr>
        <w:pStyle w:val="Compact"/>
      </w:pPr>
      <w:r>
        <w:rPr>
          <w:bCs/>
          <w:b/>
        </w:rPr>
        <w:t xml:space="preserve">Spiermassa.</w:t>
      </w:r>
      <w:r>
        <w:t xml:space="preserve"> </w:t>
      </w:r>
      <w:r>
        <w:t xml:space="preserve">Wie al weinig spieren heeft, verdraagt verder verlies daarvan slecht (zie de volgende paragraaf).</w:t>
      </w:r>
    </w:p>
    <w:p>
      <w:pPr>
        <w:numPr>
          <w:ilvl w:val="0"/>
          <w:numId w:val="1349"/>
        </w:numPr>
        <w:pStyle w:val="Compact"/>
      </w:pPr>
      <w:r>
        <w:rPr>
          <w:bCs/>
          <w:b/>
        </w:rPr>
        <w:t xml:space="preserve">Vochtophoping en hart.</w:t>
      </w:r>
      <w:r>
        <w:t xml:space="preserve"> </w:t>
      </w:r>
      <w:r>
        <w:t xml:space="preserve">Groeihormoon leidde bij gezonde ouderen vaker tot weefselzwellingen, gewrichtspijn en carpaletunnelsyndroom</w:t>
      </w:r>
      <w:r>
        <w:rPr>
          <w:rStyle w:val="FootnoteReference"/>
        </w:rPr>
        <w:footnoteReference w:id="2803"/>
      </w:r>
      <w:r>
        <w:t xml:space="preserve">. Een studie met ibutamoren bij ouderen na een heupfractuur werd wegens een signaal voor hartfalen afgebroken</w:t>
      </w:r>
      <w:r>
        <w:rPr>
          <w:rStyle w:val="FootnoteReference"/>
        </w:rPr>
        <w:footnoteReference w:id="2804"/>
      </w:r>
      <w:r>
        <w:t xml:space="preserve">. Juist de peptiden die als „anti-aging”-middel worden aangeprezen, zijn voor oudere harten dus eerder belastend.</w:t>
      </w:r>
    </w:p>
    <w:p>
      <w:pPr>
        <w:numPr>
          <w:ilvl w:val="0"/>
          <w:numId w:val="1349"/>
        </w:numPr>
        <w:pStyle w:val="Compact"/>
      </w:pPr>
      <w:r>
        <w:rPr>
          <w:bCs/>
          <w:b/>
        </w:rPr>
        <w:t xml:space="preserve">Meerdere geneesmiddelen.</w:t>
      </w:r>
      <w:r>
        <w:t xml:space="preserve"> </w:t>
      </w:r>
      <w:r>
        <w:t xml:space="preserve">Ouderen gebruiken vaak veel geneesmiddelen tegelijk. De vertraagde maaglediging kan de opname daarvan veranderen, en combinaties met bloedsuikerverlagende middelen verhogen het risico op hypoglykemie en vallen.</w:t>
      </w:r>
    </w:p>
    <w:bookmarkEnd w:id="2805"/>
    <w:bookmarkStart w:id="2810" w:name="spierverlies-bij-sterk-gewichtsverlies"/>
    <w:p>
      <w:pPr>
        <w:pStyle w:val="Heading3"/>
      </w:pPr>
      <w:r>
        <w:t xml:space="preserve">Spierverlies bij sterk gewichtsverlies</w:t>
      </w:r>
    </w:p>
    <w:p>
      <w:pPr>
        <w:pStyle w:val="FirstParagraph"/>
      </w:pPr>
      <w:r>
        <w:t xml:space="preserve">Bij elk gewichtsverlies gaat naast vet ook vetvrije massa verloren, waartoe spieren, organen en water behoren. Bij de sterk werkzame GLP-1-geneesmiddelen is de vraag of dit aandeel ongewoon hoog is en of het schade doet.</w:t>
      </w:r>
    </w:p>
    <w:p>
      <w:pPr>
        <w:numPr>
          <w:ilvl w:val="0"/>
          <w:numId w:val="1350"/>
        </w:numPr>
        <w:pStyle w:val="Compact"/>
      </w:pPr>
      <w:r>
        <w:t xml:space="preserve">In een deelstudie van SURMOUNT-1 met 160 deelnemers bestond het verloren gewicht met tirzepatide voor ongeveer 75% uit vet en voor 25% uit vetvrije massa – in dezelfde verhouding als met placebo, alleen bij een duidelijk groter totaal verlies. Deze aandelen bleven in de meeste subgroepen, ook naar leeftijd gescheiden, vergelijkbaar</w:t>
      </w:r>
      <w:r>
        <w:rPr>
          <w:rStyle w:val="FootnoteReference"/>
        </w:rPr>
        <w:footnoteReference w:id="2806"/>
      </w:r>
      <w:r>
        <w:t xml:space="preserve">.</w:t>
      </w:r>
    </w:p>
    <w:p>
      <w:pPr>
        <w:numPr>
          <w:ilvl w:val="0"/>
          <w:numId w:val="1350"/>
        </w:numPr>
        <w:pStyle w:val="Compact"/>
      </w:pPr>
      <w:r>
        <w:t xml:space="preserve">Een netwerk-meta-analyse van 22 studies vond eveneens dat ongeveer 25% van het gewichtsverlies voor rekening van vetvrije massa kwam. Semaglutide en tirzepatide leidden tot het sterkste gewichtsverlies, maar behoorden ook tot de werkzame stoffen waarbij de meeste vetvrije massa verloren ging</w:t>
      </w:r>
      <w:r>
        <w:rPr>
          <w:rStyle w:val="FootnoteReference"/>
        </w:rPr>
        <w:footnoteReference w:id="2807"/>
      </w:r>
      <w:r>
        <w:t xml:space="preserve">.</w:t>
      </w:r>
    </w:p>
    <w:p>
      <w:pPr>
        <w:numPr>
          <w:ilvl w:val="0"/>
          <w:numId w:val="1350"/>
        </w:numPr>
        <w:pStyle w:val="Compact"/>
      </w:pPr>
      <w:r>
        <w:t xml:space="preserve">Een systematisch overzicht van 35 studies kwam op een iets hoger aandeel: in de mediaan kwam 28,3% van het gewichtsverlies voor rekening van spiergerelateerde meetwaarden, en in 65% van de studies lag het aandeel boven een richtwaarde van ongeveer 25%. Geen enkele studie had het lichamelijk prestatievermogen objectief gemeten</w:t>
      </w:r>
      <w:r>
        <w:rPr>
          <w:rStyle w:val="FootnoteReference"/>
        </w:rPr>
        <w:footnoteReference w:id="2808"/>
      </w:r>
      <w:r>
        <w:t xml:space="preserve">.</w:t>
      </w:r>
    </w:p>
    <w:p>
      <w:pPr>
        <w:numPr>
          <w:ilvl w:val="0"/>
          <w:numId w:val="1350"/>
        </w:numPr>
        <w:pStyle w:val="Compact"/>
      </w:pPr>
      <w:r>
        <w:t xml:space="preserve">Een andere meta-analyse benadrukt de andere kant: omdat vet sterker afneemt dan spieren, steeg het</w:t>
      </w:r>
      <w:r>
        <w:t xml:space="preserve"> </w:t>
      </w:r>
      <w:r>
        <w:rPr>
          <w:iCs/>
          <w:i/>
        </w:rPr>
        <w:t xml:space="preserve">aandeel</w:t>
      </w:r>
      <w:r>
        <w:t xml:space="preserve"> </w:t>
      </w:r>
      <w:r>
        <w:t xml:space="preserve">vetvrije massa in het lichaamsgewicht met 1,81 procentpunt. De auteurs bevelen aan de behandeling te begeleiden met voedings- en beweegprogramma’s</w:t>
      </w:r>
      <w:r>
        <w:rPr>
          <w:rStyle w:val="FootnoteReference"/>
        </w:rPr>
        <w:footnoteReference w:id="2809"/>
      </w:r>
      <w:r>
        <w:t xml:space="preserve">.</w:t>
      </w:r>
    </w:p>
    <w:p>
      <w:pPr>
        <w:pStyle w:val="FirstParagraph"/>
      </w:pPr>
      <w:r>
        <w:t xml:space="preserve">Samengevat: het spierverlies met GLP-1-geneesmiddelen lijkt in verhouding tot het totale verlies niet wezenlijk groter te zijn dan bij andere vormen van gewichtsvermindering – in absolute kilogrammen is het door het grote verlies echter aanzienlijk. Of dat gevolgen heeft voor kracht, vallen of zelfstandigheid, is niet onderzocht. Voor ouderen, mensen met weinig spiermassa en mensen met kwetsbaarheid (frailty) is dat een open vraag. Of combinaties met cagrilintide het spierverlies beïnvloeden, wordt momenteel onderzocht (hoofdstuk Cagrilintide).</w:t>
      </w:r>
    </w:p>
    <w:bookmarkEnd w:id="2810"/>
    <w:bookmarkStart w:id="2815" w:name="eetstoornissen"/>
    <w:p>
      <w:pPr>
        <w:pStyle w:val="Heading3"/>
      </w:pPr>
      <w:r>
        <w:t xml:space="preserve">Eetstoornissen</w:t>
      </w:r>
    </w:p>
    <w:p>
      <w:pPr>
        <w:pStyle w:val="FirstParagraph"/>
      </w:pPr>
      <w:r>
        <w:t xml:space="preserve">GLP-1-geneesmiddelen dempen eetlust en hongergevoel. Voor mensen met anorexia nervosa of boulimia kan juist deze werking gevaarlijk zijn: ze kan restrictief eetgedrag versterken en een aandoening verergeren. Een casusbeschrijving beschrijft misbruik van semaglutide bij atypische anorexia</w:t>
      </w:r>
      <w:r>
        <w:rPr>
          <w:rStyle w:val="FootnoteReference"/>
        </w:rPr>
        <w:footnoteReference w:id="2811"/>
      </w:r>
      <w:r>
        <w:t xml:space="preserve">, en een Amerikaanse cross-sectionele studie onderzocht hoe verspreid gebruik en misbruik van GLP-1-geneesmiddelen zijn onder mensen met eetstoornissen</w:t>
      </w:r>
      <w:r>
        <w:rPr>
          <w:rStyle w:val="FootnoteReference"/>
        </w:rPr>
        <w:footnoteReference w:id="2812"/>
      </w:r>
      <w:r>
        <w:t xml:space="preserve">.</w:t>
      </w:r>
    </w:p>
    <w:p>
      <w:pPr>
        <w:pStyle w:val="BodyText"/>
      </w:pPr>
      <w:r>
        <w:t xml:space="preserve">Een panel van 45 deskundigen en ervaringsdeskundigen heeft in 2026 via een consensusprocedure aanbevelingen opgesteld. Volgens die aanbevelingen zou vóór de start van een GLP-1-behandeling met een korte, gevalideerde vragenlijst naar huidige en eerdere eetstoornissen moeten worden gevraagd, zouden symptomen in het verloop moeten worden gevolgd, en zouden deze geneesmiddelen bij actieve anorexia, atypische anorexia of boulimia met sterke beperking van het eten in de regel niet moeten worden ingezet. Ook bij eerdere eetstoornissen is voorzichtigheid geboden</w:t>
      </w:r>
      <w:r>
        <w:rPr>
          <w:rStyle w:val="FootnoteReference"/>
        </w:rPr>
        <w:footnoteReference w:id="2813"/>
      </w:r>
      <w:r>
        <w:t xml:space="preserve">.</w:t>
      </w:r>
    </w:p>
    <w:p>
      <w:pPr>
        <w:pStyle w:val="BodyText"/>
      </w:pPr>
      <w:r>
        <w:t xml:space="preserve">Voor de eetbuistoornis (binge-eating disorder), waarbij eetbuien zonder compenserend gedrag optreden, zijn er daarentegen eerste aanwijzingen dat GLP-1-geneesmiddelen eetbuien zouden kunnen verminderen</w:t>
      </w:r>
      <w:r>
        <w:rPr>
          <w:rStyle w:val="FootnoteReference"/>
        </w:rPr>
        <w:footnoteReference w:id="2814"/>
      </w:r>
      <w:r>
        <w:t xml:space="preserve">. Dat laat zien hoe belangrijk een nauwkeurige diagnose is. Via de grijze markt en via online-aanbieders met weinig medische begeleiding valt juist dit doorvragen weg.</w:t>
      </w:r>
    </w:p>
    <w:bookmarkEnd w:id="2815"/>
    <w:bookmarkStart w:id="2821" w:name="topsport-en-dopingcontroles"/>
    <w:p>
      <w:pPr>
        <w:pStyle w:val="Heading3"/>
      </w:pPr>
      <w:r>
        <w:t xml:space="preserve">Topsport en dopingcontroles</w:t>
      </w:r>
    </w:p>
    <w:p>
      <w:pPr>
        <w:pStyle w:val="FirstParagraph"/>
      </w:pPr>
      <w:r>
        <w:t xml:space="preserve">Voor sporters die aan dopingcontroles onderworpen zijn, is de situatie bij peptiden bijzonder delicaat. Volgens de verboden lijst van het Wereldantidopingagentschap (WADA) geldt grofweg:</w:t>
      </w:r>
    </w:p>
    <w:p>
      <w:pPr>
        <w:numPr>
          <w:ilvl w:val="0"/>
          <w:numId w:val="1351"/>
        </w:numPr>
        <w:pStyle w:val="Compact"/>
      </w:pPr>
      <w:r>
        <w:rPr>
          <w:bCs/>
          <w:b/>
        </w:rPr>
        <w:t xml:space="preserve">Verboden (S2, peptidehormonen en groeifactoren):</w:t>
      </w:r>
      <w:r>
        <w:t xml:space="preserve"> </w:t>
      </w:r>
      <w:r>
        <w:t xml:space="preserve">alle groeihormoonvrijmakers en IGF-1-varianten, thymosine bèta-4 en TB-500, ARA-290, bij mannen gonadoreline en LH-vrijmakers zoals kisspeptine.</w:t>
      </w:r>
    </w:p>
    <w:p>
      <w:pPr>
        <w:numPr>
          <w:ilvl w:val="0"/>
          <w:numId w:val="1351"/>
        </w:numPr>
        <w:pStyle w:val="Compact"/>
      </w:pPr>
      <w:r>
        <w:rPr>
          <w:bCs/>
          <w:b/>
        </w:rPr>
        <w:t xml:space="preserve">Verboden (S0, niet-goedgekeurde stoffen):</w:t>
      </w:r>
      <w:r>
        <w:t xml:space="preserve"> </w:t>
      </w:r>
      <w:r>
        <w:t xml:space="preserve">stoffen zonder registratie als geneesmiddel voor mensen, zoals BPC-157, Melanotan II en de nog in studies verkerende meervoudige GLP-1-agonisten zoals retatrutide.</w:t>
      </w:r>
    </w:p>
    <w:p>
      <w:pPr>
        <w:numPr>
          <w:ilvl w:val="0"/>
          <w:numId w:val="1351"/>
        </w:numPr>
        <w:pStyle w:val="Compact"/>
      </w:pPr>
      <w:r>
        <w:rPr>
          <w:bCs/>
          <w:b/>
        </w:rPr>
        <w:t xml:space="preserve">Verboden (S4):</w:t>
      </w:r>
      <w:r>
        <w:t xml:space="preserve"> </w:t>
      </w:r>
      <w:r>
        <w:t xml:space="preserve">MOTS-c als activator van het enzym AMPK.</w:t>
      </w:r>
    </w:p>
    <w:p>
      <w:pPr>
        <w:numPr>
          <w:ilvl w:val="0"/>
          <w:numId w:val="1351"/>
        </w:numPr>
        <w:pStyle w:val="Compact"/>
      </w:pPr>
      <w:r>
        <w:rPr>
          <w:bCs/>
          <w:b/>
        </w:rPr>
        <w:t xml:space="preserve">Niet verboden:</w:t>
      </w:r>
      <w:r>
        <w:t xml:space="preserve"> </w:t>
      </w:r>
      <w:r>
        <w:t xml:space="preserve">de geregistreerde GLP-1-geneesmiddelen. Semaglutide en tirzepatide zijn echter opgenomen in het monitoringprogramma van het WADA om mogelijk misbruik vast te leggen; laboratoria hebben al opsporingsmethoden ontwikkeld voor bloed en gedroogde bloeddruppels</w:t>
      </w:r>
      <w:r>
        <w:rPr>
          <w:rStyle w:val="FootnoteReference"/>
        </w:rPr>
        <w:footnoteReference w:id="2816"/>
      </w:r>
      <w:r>
        <w:t xml:space="preserve">.</w:t>
      </w:r>
    </w:p>
    <w:p>
      <w:pPr>
        <w:pStyle w:val="FirstParagraph"/>
      </w:pPr>
      <w:r>
        <w:t xml:space="preserve">De details staan in de betreffende hoofdstukken. Drie punten zijn voor alle peptiden belangrijk.</w:t>
      </w:r>
    </w:p>
    <w:p>
      <w:pPr>
        <w:pStyle w:val="BodyText"/>
      </w:pPr>
      <w:r>
        <w:rPr>
          <w:bCs/>
          <w:b/>
        </w:rPr>
        <w:t xml:space="preserve">Verontreinigde producten.</w:t>
      </w:r>
      <w:r>
        <w:t xml:space="preserve"> </w:t>
      </w:r>
      <w:r>
        <w:t xml:space="preserve">Een sporter is verantwoordelijk voor elke verboden stof in zijn lichaam – ook als die afkomstig is uit een verkeerd gedeclareerd product. De laboratoriumanalyses in het hoofdstuk „Grijze-marktproducten” laten zien dat grijze-marktwaar vaak andere of extra stoffen bevat en dat verboden werkzame stoffen ook opduiken in producten die als voedingssupplement zijn verpakt</w:t>
      </w:r>
      <w:r>
        <w:rPr>
          <w:rStyle w:val="FootnoteReference"/>
        </w:rPr>
        <w:footnoteReference w:id="2817"/>
      </w:r>
      <w:r>
        <w:t xml:space="preserve">.</w:t>
      </w:r>
    </w:p>
    <w:p>
      <w:pPr>
        <w:pStyle w:val="BodyText"/>
      </w:pPr>
      <w:r>
        <w:rPr>
          <w:bCs/>
          <w:b/>
        </w:rPr>
        <w:t xml:space="preserve">Designervarianten.</w:t>
      </w:r>
      <w:r>
        <w:t xml:space="preserve"> </w:t>
      </w:r>
      <w:r>
        <w:t xml:space="preserve">Gewijzigde peptiden zoals Gly-GHRP-2 of Gly-ipamoreline zijn vermoedelijk bedoeld om tests te omzeilen</w:t>
      </w:r>
      <w:r>
        <w:rPr>
          <w:rStyle w:val="FootnoteReference"/>
        </w:rPr>
        <w:footnoteReference w:id="2818"/>
      </w:r>
      <w:r>
        <w:t xml:space="preserve">. Hun werking en veiligheid zijn volledig onbekend. De ervaring leert dat antidopinglaboratoria hun methoden bijwerken; monsters worden bovendien langdurig bewaard en kunnen later opnieuw worden onderzocht.</w:t>
      </w:r>
    </w:p>
    <w:p>
      <w:pPr>
        <w:pStyle w:val="BodyText"/>
      </w:pPr>
      <w:r>
        <w:rPr>
          <w:bCs/>
          <w:b/>
        </w:rPr>
        <w:t xml:space="preserve">Twijfelachtig voordeel.</w:t>
      </w:r>
      <w:r>
        <w:t xml:space="preserve"> </w:t>
      </w:r>
      <w:r>
        <w:t xml:space="preserve">Een overzicht over incretinegeneesmiddelen in de sport concludeert dat klinische studies geen eenduidige verbetering van het lichamelijk prestatievermogen bij de mens laten zien en dat 20 tot 30% van het gewichtsverlies voor rekening van vetvrije massa komt</w:t>
      </w:r>
      <w:r>
        <w:rPr>
          <w:rStyle w:val="FootnoteReference"/>
        </w:rPr>
        <w:footnoteReference w:id="2819"/>
      </w:r>
      <w:r>
        <w:t xml:space="preserve">. Voor de regeneratieve peptiden en de groeihormoonvrijmakers concludeert een sportmedisch overzicht dat ze experimenteel blijven, met een onzeker veiligheidsprofiel, twijfelachtige productkwaliteit en verregaande dopingverboden</w:t>
      </w:r>
      <w:r>
        <w:rPr>
          <w:rStyle w:val="FootnoteReference"/>
        </w:rPr>
        <w:footnoteReference w:id="2820"/>
      </w:r>
      <w:r>
        <w:t xml:space="preserve">.</w:t>
      </w:r>
    </w:p>
    <w:bookmarkEnd w:id="2821"/>
    <w:bookmarkStart w:id="2822" w:name="het-belangrijkste-in-het-kort-7"/>
    <w:p>
      <w:pPr>
        <w:pStyle w:val="Heading3"/>
      </w:pPr>
      <w:r>
        <w:t xml:space="preserve">Het belangrijkste in het kort</w:t>
      </w:r>
    </w:p>
    <w:p>
      <w:pPr>
        <w:numPr>
          <w:ilvl w:val="0"/>
          <w:numId w:val="1352"/>
        </w:numPr>
        <w:pStyle w:val="Compact"/>
      </w:pPr>
      <w:r>
        <w:t xml:space="preserve">Tijdens de zwangerschap zijn bijna alle peptiden niet onderzocht of niet geïndiceerd. Voor een onbedoelde blootstelling aan GLP-1-geneesmiddelen zijn de gegevens overwegend geruststellend, maar onzeker.</w:t>
      </w:r>
    </w:p>
    <w:p>
      <w:pPr>
        <w:numPr>
          <w:ilvl w:val="0"/>
          <w:numId w:val="1352"/>
        </w:numPr>
        <w:pStyle w:val="Compact"/>
      </w:pPr>
      <w:r>
        <w:t xml:space="preserve">Tirzepatide kan de opname van de pil verminderen; bij semaglutide werd dat niet gevonden. Braken en diarree belemmeren de inname van elke tablet.</w:t>
      </w:r>
    </w:p>
    <w:p>
      <w:pPr>
        <w:numPr>
          <w:ilvl w:val="0"/>
          <w:numId w:val="1352"/>
        </w:numPr>
        <w:pStyle w:val="Compact"/>
      </w:pPr>
      <w:r>
        <w:t xml:space="preserve">Met GLP-1-geneesmiddelen blijft de maag vaker gevuld. Vóór narcoses en gastroscopieën moet het behandelteam daarvan op de hoogte zijn.</w:t>
      </w:r>
    </w:p>
    <w:p>
      <w:pPr>
        <w:numPr>
          <w:ilvl w:val="0"/>
          <w:numId w:val="1352"/>
        </w:numPr>
        <w:pStyle w:val="Compact"/>
      </w:pPr>
      <w:r>
        <w:t xml:space="preserve">In combinatie met insuline of sulfonylureumderivaten stijgt het risico op hypoglykemie.</w:t>
      </w:r>
    </w:p>
    <w:p>
      <w:pPr>
        <w:numPr>
          <w:ilvl w:val="0"/>
          <w:numId w:val="1352"/>
        </w:numPr>
        <w:pStyle w:val="Compact"/>
      </w:pPr>
      <w:r>
        <w:t xml:space="preserve">Jongeren vallen in gegevens van vergiftigingenlijnen op door opzettelijk misbruik; bij eetstoornissen zouden GLP-1-geneesmiddelen in de regel niet moeten worden ingezet.</w:t>
      </w:r>
    </w:p>
    <w:p>
      <w:pPr>
        <w:numPr>
          <w:ilvl w:val="0"/>
          <w:numId w:val="1352"/>
        </w:numPr>
        <w:pStyle w:val="Compact"/>
      </w:pPr>
      <w:r>
        <w:t xml:space="preserve">Ongeveer een kwart van het gewichtsverlies met GLP-1-geneesmiddelen komt voor rekening van vetvrije massa; of dat functionele gevolgen heeft, is open.</w:t>
      </w:r>
    </w:p>
    <w:p>
      <w:pPr>
        <w:numPr>
          <w:ilvl w:val="0"/>
          <w:numId w:val="1352"/>
        </w:numPr>
        <w:pStyle w:val="Compact"/>
      </w:pPr>
      <w:r>
        <w:t xml:space="preserve">Voor sporters zijn de meeste peptiden verboden, en grijze-marktproducten bergen daarnaast het risico op niet-gedeclareerde dopingmiddelen.</w:t>
      </w:r>
    </w:p>
    <w:bookmarkEnd w:id="2822"/>
    <w:bookmarkEnd w:id="2823"/>
    <w:bookmarkEnd w:id="2824"/>
    <w:bookmarkStart w:id="2976" w:name="deel-v-toekomst"/>
    <w:p>
      <w:pPr>
        <w:pStyle w:val="Heading1"/>
      </w:pPr>
      <w:r>
        <w:t xml:space="preserve">Deel V – Toekomst</w:t>
      </w:r>
    </w:p>
    <w:p>
      <w:pPr>
        <w:pStyle w:val="FirstParagraph"/>
      </w:pPr>
      <w:r>
        <w:t xml:space="preserve">De voorgaande delen hebben beschreven wat er vandaag over peptiden bekend is. Dit laatste deel kijkt vooruit: welke werkzame stoffen zitten in de grote studies die in de komende jaren eindigen? Worden injecties vervangen door tabletten? Wat betekenen aflopende octrooien voor prijzen en beschikbaarheid? En welke ontwikkelingen zijn tot 2035 te verwachten?</w:t>
      </w:r>
    </w:p>
    <w:p>
      <w:pPr>
        <w:pStyle w:val="BodyText"/>
      </w:pPr>
      <w:r>
        <w:t xml:space="preserve">Uitspraken over de toekomst zijn in dit boek strikt gescheiden.</w:t>
      </w:r>
      <w:r>
        <w:t xml:space="preserve"> </w:t>
      </w:r>
      <w:r>
        <w:rPr>
          <w:bCs/>
          <w:b/>
        </w:rPr>
        <w:t xml:space="preserve">Vaststaand</w:t>
      </w:r>
      <w:r>
        <w:t xml:space="preserve"> </w:t>
      </w:r>
      <w:r>
        <w:t xml:space="preserve">is wat in een studieregister is ingeschreven, in een peer-reviewed studie is gepubliceerd of door autoriteiten is besloten. Ook dat is slechts een momentopname: studies worden verlengd, verkleind of afgebroken, geplande einddata verschuiven vaak met jaren. Al het andere is een</w:t>
      </w:r>
      <w:r>
        <w:t xml:space="preserve"> </w:t>
      </w:r>
      <w:r>
        <w:rPr>
          <w:bCs/>
          <w:b/>
        </w:rPr>
        <w:t xml:space="preserve">inschatting van de auteur</w:t>
      </w:r>
      <w:r>
        <w:t xml:space="preserve"> </w:t>
      </w:r>
      <w:r>
        <w:t xml:space="preserve">en wordt uitdrukkelijk zo aangeduid. Het onderzoek geeft de stand van oktober 2026 weer.</w:t>
      </w:r>
    </w:p>
    <w:bookmarkStart w:id="2866" w:name="de-pijplijn-wat-er-in-fase-2-en-3-zit"/>
    <w:p>
      <w:pPr>
        <w:pStyle w:val="Heading2"/>
      </w:pPr>
      <w:r>
        <w:t xml:space="preserve">De pijplijn: wat er in fase 2 en 3 zit</w:t>
      </w:r>
    </w:p>
    <w:p>
      <w:pPr>
        <w:pStyle w:val="FirstParagraph"/>
      </w:pPr>
      <w:r>
        <w:t xml:space="preserve">Met „pijplijn” (pipeline) bedoelt de farmaceutische industrie het geheel van werkzame stoffen die in ontwikkeling zijn. De stadia zijn in Deel I uitgelegd: in</w:t>
      </w:r>
      <w:r>
        <w:t xml:space="preserve"> </w:t>
      </w:r>
      <w:r>
        <w:rPr>
          <w:bCs/>
          <w:b/>
        </w:rPr>
        <w:t xml:space="preserve">fase 1</w:t>
      </w:r>
      <w:r>
        <w:t xml:space="preserve"> </w:t>
      </w:r>
      <w:r>
        <w:t xml:space="preserve">wordt een werkzame stof meestal bij enkele gezonde mensen op verdraagbaarheid getest, in</w:t>
      </w:r>
      <w:r>
        <w:t xml:space="preserve"> </w:t>
      </w:r>
      <w:r>
        <w:rPr>
          <w:bCs/>
          <w:b/>
        </w:rPr>
        <w:t xml:space="preserve">fase 2</w:t>
      </w:r>
      <w:r>
        <w:t xml:space="preserve"> </w:t>
      </w:r>
      <w:r>
        <w:t xml:space="preserve">bij enkele honderden patiënten op werkzaamheid en geschikte dosis, in</w:t>
      </w:r>
      <w:r>
        <w:t xml:space="preserve"> </w:t>
      </w:r>
      <w:r>
        <w:rPr>
          <w:bCs/>
          <w:b/>
        </w:rPr>
        <w:t xml:space="preserve">fase 3</w:t>
      </w:r>
      <w:r>
        <w:t xml:space="preserve"> </w:t>
      </w:r>
      <w:r>
        <w:t xml:space="preserve">bij duizenden voor de registratie.</w:t>
      </w:r>
      <w:r>
        <w:t xml:space="preserve"> </w:t>
      </w:r>
      <w:r>
        <w:rPr>
          <w:bCs/>
          <w:b/>
        </w:rPr>
        <w:t xml:space="preserve">Fase 4</w:t>
      </w:r>
      <w:r>
        <w:t xml:space="preserve"> </w:t>
      </w:r>
      <w:r>
        <w:t xml:space="preserve">duidt op studies met al geregistreerde geneesmiddelen. Wie wil weten wat er in de komende vijf jaar op de markt zou kunnen komen, moet vooral naar fase 3 kijken.</w:t>
      </w:r>
    </w:p>
    <w:bookmarkStart w:id="2827" w:name="hoe-de-analyse-is-uitgevoerd"/>
    <w:p>
      <w:pPr>
        <w:pStyle w:val="Heading3"/>
      </w:pPr>
      <w:r>
        <w:t xml:space="preserve">Hoe de analyse is uitgevoerd</w:t>
      </w:r>
    </w:p>
    <w:p>
      <w:pPr>
        <w:pStyle w:val="FirstParagraph"/>
      </w:pPr>
      <w:r>
        <w:t xml:space="preserve">Basis zijn de registerlijsten van ClinicalTrials.gov, die voor de 58 werkzame stoffen in dit boek in oktober 2026 zijn opgevraagd (zie Methodologie in de bijlage). Een klein analyseprogramma heeft daaruit alle vermeldingen gefilterd die</w:t>
      </w:r>
    </w:p>
    <w:p>
      <w:pPr>
        <w:numPr>
          <w:ilvl w:val="0"/>
          <w:numId w:val="1353"/>
        </w:numPr>
        <w:pStyle w:val="Compact"/>
      </w:pPr>
      <w:r>
        <w:t xml:space="preserve">een</w:t>
      </w:r>
      <w:r>
        <w:t xml:space="preserve"> </w:t>
      </w:r>
      <w:r>
        <w:rPr>
          <w:bCs/>
          <w:b/>
        </w:rPr>
        <w:t xml:space="preserve">interventionele</w:t>
      </w:r>
      <w:r>
        <w:t xml:space="preserve"> </w:t>
      </w:r>
      <w:r>
        <w:t xml:space="preserve">studie beschrijven, dus een studie waarin een werkzame stof gericht wordt toegediend (geen zuivere observatie), en</w:t>
      </w:r>
    </w:p>
    <w:p>
      <w:pPr>
        <w:numPr>
          <w:ilvl w:val="0"/>
          <w:numId w:val="1353"/>
        </w:numPr>
        <w:pStyle w:val="Compact"/>
      </w:pPr>
      <w:r>
        <w:t xml:space="preserve">als</w:t>
      </w:r>
      <w:r>
        <w:t xml:space="preserve"> </w:t>
      </w:r>
      <w:r>
        <w:rPr>
          <w:bCs/>
          <w:b/>
        </w:rPr>
        <w:t xml:space="preserve">lopend</w:t>
      </w:r>
      <w:r>
        <w:t xml:space="preserve"> </w:t>
      </w:r>
      <w:r>
        <w:t xml:space="preserve">zijn gemarkeerd: werving gaande, actief zonder verdere werving, nog niet aan het werven, of deelname alleen op uitnodiging.</w:t>
      </w:r>
    </w:p>
    <w:p>
      <w:pPr>
        <w:pStyle w:val="FirstParagraph"/>
      </w:pPr>
      <w:r>
        <w:t xml:space="preserve">Studies die onder meerdere werkzame stoffen voorkomen – bijvoorbeeld een vergelijking van retatrutide met tirzepatide – zijn maar één keer geteld.</w:t>
      </w:r>
    </w:p>
    <w:p>
      <w:pPr>
        <w:pStyle w:val="BodyText"/>
      </w:pPr>
      <w:r>
        <w:rPr>
          <w:bCs/>
          <w:b/>
        </w:rPr>
        <w:t xml:space="preserve">Wat werd uitgesloten – en waarom:</w:t>
      </w:r>
    </w:p>
    <w:p>
      <w:pPr>
        <w:numPr>
          <w:ilvl w:val="0"/>
          <w:numId w:val="1354"/>
        </w:numPr>
        <w:pStyle w:val="Compact"/>
      </w:pPr>
      <w:r>
        <w:rPr>
          <w:bCs/>
          <w:b/>
        </w:rPr>
        <w:t xml:space="preserve">Acht vermeldingen van de sponsor „Hudson Biotech”</w:t>
      </w:r>
      <w:r>
        <w:t xml:space="preserve"> </w:t>
      </w:r>
      <w:r>
        <w:t xml:space="preserve">(telkens één over BPC-157, GHK-Cu, Melanotan II, MOTS-c, retatrutide, TB-500, tesamoreline en tirzepatide). Eén vermelding van deze sponsor noemt zichzelf in de eigen beschrijving een fictief voorbeeld (zie hoofdstukken BPC-157 en TB-500). Geen van deze vermeldingen wordt in dit boek als echte studie beschouwd.</w:t>
      </w:r>
    </w:p>
    <w:p>
      <w:pPr>
        <w:numPr>
          <w:ilvl w:val="0"/>
          <w:numId w:val="1354"/>
        </w:numPr>
        <w:pStyle w:val="Compact"/>
      </w:pPr>
      <w:r>
        <w:rPr>
          <w:bCs/>
          <w:b/>
        </w:rPr>
        <w:t xml:space="preserve">Alle 1.000 treffers voor de zoekterm „gonadorelin”.</w:t>
      </w:r>
      <w:r>
        <w:t xml:space="preserve"> </w:t>
      </w:r>
      <w:r>
        <w:t xml:space="preserve">Die betreffen overwegend synthetische varianten van het hormoon GnRH (zoals leuproreline of triptoreline) bij de behandeling van prostaat- en borstkanker of in de vruchtbaarheidsgeneeskunde – dus andere geneesmiddelen. De weinige vermeldingen over natuurlijk GnRH worden besproken in het hoofdstuk Gonadoreline; geen daarvan is een lopende fase 3-studie.</w:t>
      </w:r>
    </w:p>
    <w:p>
      <w:pPr>
        <w:pStyle w:val="FirstParagraph"/>
      </w:pPr>
      <w:r>
        <w:rPr>
          <w:bCs/>
          <w:b/>
        </w:rPr>
        <w:t xml:space="preserve">Wat niet werd uitgesloten, maar wel gecontroleerd:</w:t>
      </w:r>
      <w:r>
        <w:t xml:space="preserve"> </w:t>
      </w:r>
      <w:r>
        <w:t xml:space="preserve">bij glutathion, collageen en carnosine zijn de zoektermen zo algemeen dat veel treffers de stof alleen als bestanddeel van een mengsel, als vergelijking of als meetwaarde noemen. Zo verschijnt onder glutathion een grote denguestudie, omdat daarin N-acetylcysteïne – een voorloper van glutathion – wordt getest</w:t>
      </w:r>
      <w:r>
        <w:rPr>
          <w:rStyle w:val="FootnoteReference"/>
        </w:rPr>
        <w:footnoteReference w:id="2825"/>
      </w:r>
      <w:r>
        <w:t xml:space="preserve">. Onder larazotide duiken twee studies op over een totaal andere werkzame stof tegen de ziekte van Fabry</w:t>
      </w:r>
      <w:r>
        <w:rPr>
          <w:rStyle w:val="FootnoteReference"/>
        </w:rPr>
        <w:footnoteReference w:id="2826"/>
      </w:r>
      <w:r>
        <w:t xml:space="preserve">. Deze treffers zijn in de totaalaantallen opgenomen, maar in de beoordeling niet als peptidestudies geteld.</w:t>
      </w:r>
    </w:p>
    <w:p>
      <w:pPr>
        <w:pStyle w:val="BodyText"/>
      </w:pPr>
      <w:r>
        <w:rPr>
          <w:bCs/>
          <w:b/>
        </w:rPr>
        <w:t xml:space="preserve">Twee grenzen van de analyse:</w:t>
      </w:r>
      <w:r>
        <w:t xml:space="preserve"> </w:t>
      </w:r>
      <w:r>
        <w:t xml:space="preserve">ten eerste melden niet alle sponsors de afronding van hun studie tijdig; sommige vermeldingen met einddatum 2025 staan nog als „lopend” in het register. Ten tweede omvat de zoekopdracht alleen de 58 werkzame stoffen in dit boek. Nieuwe moleculen zonder eigen hoofdstuk verschijnen alleen als ze tegen een van deze werkzame stoffen worden getest. Daarom is voor de nieuwe werkingsprincipes verderop gericht nagezocht.</w:t>
      </w:r>
    </w:p>
    <w:bookmarkEnd w:id="2827"/>
    <w:bookmarkStart w:id="2835" w:name="het-resultaat-in-cijfers"/>
    <w:p>
      <w:pPr>
        <w:pStyle w:val="Heading3"/>
      </w:pPr>
      <w:r>
        <w:t xml:space="preserve">Het resultaat in cijfers</w:t>
      </w:r>
    </w:p>
    <w:p>
      <w:pPr>
        <w:pStyle w:val="FirstParagraph"/>
      </w:pPr>
      <w:r>
        <w:t xml:space="preserve">Na de uitsluitingen bleven 730 lopende interventionele studies over. Daarvan betreffen er 568 – ruim drie kwart – werkzame stoffen uit groep A (stofwisseling en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lopende studies in totaal</w:t>
            </w:r>
          </w:p>
        </w:tc>
        <w:tc>
          <w:tcPr/>
          <w:p>
            <w:pPr>
              <w:pStyle w:val="Compact"/>
              <w:jc w:val="left"/>
            </w:pPr>
            <w:r>
              <w:t xml:space="preserve">waarvan groep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zonder vermelding van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Van de 157 lopende fase 3-studies waren er 68 nog aan het werven, 54 actief zonder verdere opname, en 35 waren nog niet begonnen. Telt men de gecombineerde fase 2/3-studies mee, dan zijn er 176 late studies; 157 daarvan (142 in fase 3, 15 in fase 2/3) – bijna negen op de tien – horen bij groep A.</w:t>
      </w:r>
    </w:p>
    <w:p>
      <w:pPr>
        <w:pStyle w:val="BodyText"/>
      </w:pPr>
      <w:r>
        <w:t xml:space="preserve">In groep A wordt ongeveer één op de drie van deze late studies gedragen door universiteiten en ziekenhuizen, de overige door bedrijven. De geplande einddata zijn als volgt verdeeld: 21 studies moeten in 2026 eindigen, 49 in 2027, 41 in 2028 en 44 tussen 2029 en 2033. De eigenlijke golf nieuwe resultaten staat dus in 2027 en 2028 te wachten.</w:t>
      </w:r>
    </w:p>
    <w:p>
      <w:pPr>
        <w:pStyle w:val="BodyText"/>
      </w:pPr>
      <w:r>
        <w:rPr>
          <w:bCs/>
          <w:b/>
        </w:rPr>
        <w:t xml:space="preserve">De groepen B tot en met F</w:t>
      </w:r>
      <w:r>
        <w:t xml:space="preserve"> </w:t>
      </w:r>
      <w:r>
        <w:t xml:space="preserve">zien er totaal anders uit. Na doorlichting van de vermeldingen blijven slechts vijf lopende fase 3-studies over waarin een werkzame stof uit dit boek werkelijk de onderzochte stof is: thymosine alfa-1 na een darmkankeroperatie</w:t>
      </w:r>
      <w:r>
        <w:rPr>
          <w:rStyle w:val="FootnoteReference"/>
        </w:rPr>
        <w:footnoteReference w:id="2828"/>
      </w:r>
      <w:r>
        <w:t xml:space="preserve">, oogdruppels met thymosine bèta-4 bij neurotrofe keratopathie</w:t>
      </w:r>
      <w:r>
        <w:rPr>
          <w:rStyle w:val="FootnoteReference"/>
        </w:rPr>
        <w:footnoteReference w:id="2829"/>
      </w:r>
      <w:r>
        <w:t xml:space="preserve">, elamipretide bij droge maculadegeneratie</w:t>
      </w:r>
      <w:r>
        <w:rPr>
          <w:rStyle w:val="FootnoteReference"/>
        </w:rPr>
        <w:footnoteReference w:id="2830"/>
      </w:r>
      <w:r>
        <w:t xml:space="preserve">, afamelanotide bij vitiligo</w:t>
      </w:r>
      <w:r>
        <w:rPr>
          <w:rStyle w:val="FootnoteReference"/>
        </w:rPr>
        <w:footnoteReference w:id="2831"/>
      </w:r>
      <w:r>
        <w:t xml:space="preserve"> </w:t>
      </w:r>
      <w:r>
        <w:t xml:space="preserve">en ibutamoren, dat geen peptide is, bij kinderen met groeihormoontekort</w:t>
      </w:r>
      <w:r>
        <w:rPr>
          <w:rStyle w:val="FootnoteReference"/>
        </w:rPr>
        <w:footnoteReference w:id="2832"/>
      </w:r>
      <w:r>
        <w:t xml:space="preserve">. Daarbij komen enkele gecombineerde fase 2/3-studies, bijvoorbeeld naar oxytocine-neusspray bij chronische pijn</w:t>
      </w:r>
      <w:r>
        <w:rPr>
          <w:rStyle w:val="FootnoteReference"/>
        </w:rPr>
        <w:footnoteReference w:id="2833"/>
      </w:r>
      <w:r>
        <w:t xml:space="preserve"> </w:t>
      </w:r>
      <w:r>
        <w:t xml:space="preserve">en naar thymosine alfa-1 bij herhaald innestelingsfalen na kunstmatige bevruchting</w:t>
      </w:r>
      <w:r>
        <w:rPr>
          <w:rStyle w:val="FootnoteReference"/>
        </w:rPr>
        <w:footnoteReference w:id="2834"/>
      </w:r>
      <w:r>
        <w:t xml:space="preserve">. Voor de op internet populairste „onderzoekspeptiden” – BPC-157, CJC-1295, ipamoreline, Epitalon, Semax, Selank – loopt geen enkele fase 3-studie.</w:t>
      </w:r>
    </w:p>
    <w:bookmarkEnd w:id="2835"/>
    <w:bookmarkStart w:id="2836" w:name="de-belangrijkste-lopende-fase-3-studies"/>
    <w:p>
      <w:pPr>
        <w:pStyle w:val="Heading3"/>
      </w:pPr>
      <w:r>
        <w:t xml:space="preserve">De belangrijkste lopende fase 3-studies</w:t>
      </w:r>
    </w:p>
    <w:p>
      <w:pPr>
        <w:pStyle w:val="FirstParagraph"/>
      </w:pPr>
      <w:r>
        <w:t xml:space="preserve">De volgende tabellen tonen een selectie naar grootte en belang. „Verwacht einde” is het in het register vermelde einde van de studie (stand oktober 2026); het primaire eindpunt wordt vaak enkele maanden eerder geanalyseerd, publicaties volgen meestal een half tot een heel jaar later.</w:t>
      </w:r>
    </w:p>
    <w:p>
      <w:pPr>
        <w:pStyle w:val="BodyText"/>
      </w:pPr>
      <w:r>
        <w:rPr>
          <w:bCs/>
          <w:b/>
        </w:rPr>
        <w:t xml:space="preserve">Stofwisseling en gewicht (groep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gewichtsverlies, 800 volwassenen</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gewichtsverlies zonder diabetes, 3.853 deelnemers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cardiovasculaire gebeurtenissen en overlijden, 15.374 deelnemers</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cardiovasculaire gebeurtenissen, 7.101 deelnemers</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(hogere doses) vs. semaglutide</w:t>
            </w:r>
          </w:p>
        </w:tc>
        <w:tc>
          <w:tcPr/>
          <w:p>
            <w:pPr>
              <w:pStyle w:val="Compact"/>
              <w:jc w:val="left"/>
            </w:pPr>
            <w:r>
              <w:t xml:space="preserve">gewichtsverlies, 2.500 deelnemers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gewichtsbehoud na afvallen, 643 deelnemers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hart- en niergebeurtenissen, 10.000 deelnemers</w:t>
            </w:r>
          </w:p>
        </w:tc>
        <w:tc>
          <w:tcPr/>
          <w:p>
            <w:pPr>
              <w:pStyle w:val="Compact"/>
              <w:jc w:val="left"/>
            </w:pPr>
            <w:r>
              <w:t xml:space="preserve">februari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leververvetting (MASH), 1.205 deelnemers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levercomplicaties bij cirrose, 1.590 deelnemers</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Amycretine (zenagamtide)</w:t>
            </w:r>
          </w:p>
        </w:tc>
        <w:tc>
          <w:tcPr/>
          <w:p>
            <w:pPr>
              <w:pStyle w:val="Compact"/>
              <w:jc w:val="left"/>
            </w:pPr>
            <w:r>
              <w:t xml:space="preserve">gewichtsverlies, 1.150 deelnemers</w:t>
            </w:r>
          </w:p>
        </w:tc>
        <w:tc>
          <w:tcPr/>
          <w:p>
            <w:pPr>
              <w:pStyle w:val="Compact"/>
              <w:jc w:val="left"/>
            </w:pPr>
            <w:r>
              <w:t xml:space="preserve">augustus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cardiovasculaire gebeurtenissen, 12.800 deelnemers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hartfalen met obesitas, 5.056 deelnemers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Amycretine (zenagamtide)</w:t>
            </w:r>
          </w:p>
        </w:tc>
        <w:tc>
          <w:tcPr/>
          <w:p>
            <w:pPr>
              <w:pStyle w:val="Compact"/>
              <w:jc w:val="left"/>
            </w:pPr>
            <w:r>
              <w:t xml:space="preserve">cardiovasculaire gebeurtenissen, 8.500 gepland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(geen peptide)</w:t>
            </w:r>
          </w:p>
        </w:tc>
        <w:tc>
          <w:tcPr/>
          <w:p>
            <w:pPr>
              <w:pStyle w:val="Compact"/>
              <w:jc w:val="left"/>
            </w:pPr>
            <w:r>
              <w:t xml:space="preserve">cardiovasculaire gebeurtenissen, 7.140 deelnemers</w:t>
            </w:r>
          </w:p>
        </w:tc>
        <w:tc>
          <w:tcPr/>
          <w:p>
            <w:pPr>
              <w:pStyle w:val="Compact"/>
              <w:jc w:val="left"/>
            </w:pPr>
            <w:r>
              <w:t xml:space="preserve">augustus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met fibrose, 1.800 deelnemers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en retatrutide</w:t>
            </w:r>
          </w:p>
        </w:tc>
        <w:tc>
          <w:tcPr/>
          <w:p>
            <w:pPr>
              <w:pStyle w:val="Compact"/>
              <w:jc w:val="left"/>
            </w:pPr>
            <w:r>
              <w:t xml:space="preserve">ernstige levergebeurtenissen, 4.500 deelnemers</w:t>
            </w:r>
          </w:p>
        </w:tc>
        <w:tc>
          <w:tcPr/>
          <w:p>
            <w:pPr>
              <w:pStyle w:val="Compact"/>
              <w:jc w:val="left"/>
            </w:pPr>
            <w:r>
              <w:t xml:space="preserve">augustus 2032</w:t>
            </w:r>
          </w:p>
        </w:tc>
      </w:tr>
    </w:tbl>
    <w:p>
      <w:pPr>
        <w:pStyle w:val="BodyText"/>
      </w:pPr>
      <w:r>
        <w:rPr>
          <w:bCs/>
          <w:b/>
        </w:rPr>
        <w:t xml:space="preserve">Andere groepen: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SEER-2, NCT05555589</w:t>
            </w:r>
          </w:p>
        </w:tc>
        <w:tc>
          <w:tcPr/>
          <w:p>
            <w:pPr>
              <w:pStyle w:val="Compact"/>
              <w:jc w:val="left"/>
            </w:pPr>
            <w:r>
              <w:t xml:space="preserve">Thymosine bèta-4 (oogdruppels)</w:t>
            </w:r>
          </w:p>
        </w:tc>
        <w:tc>
          <w:tcPr/>
          <w:p>
            <w:pPr>
              <w:pStyle w:val="Compact"/>
              <w:jc w:val="left"/>
            </w:pPr>
            <w:r>
              <w:t xml:space="preserve">genezing van het hoornvlies, 70 deelnemers</w:t>
            </w:r>
          </w:p>
        </w:tc>
        <w:tc>
          <w:tcPr/>
          <w:p>
            <w:pPr>
              <w:pStyle w:val="Compact"/>
              <w:jc w:val="left"/>
            </w:pPr>
            <w:r>
              <w:t xml:space="preserve">mei 2026 (resultaat nog niet bekend)</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met lichttherapie, 200 deelnemers</w:t>
            </w:r>
          </w:p>
        </w:tc>
        <w:tc>
          <w:tcPr/>
          <w:p>
            <w:pPr>
              <w:pStyle w:val="Compact"/>
              <w:jc w:val="left"/>
            </w:pPr>
            <w:r>
              <w:t xml:space="preserve">juni 2026 (resultaat nog niet bekend)</w:t>
            </w:r>
          </w:p>
        </w:tc>
      </w:tr>
      <w:tr>
        <w:tc>
          <w:tcPr/>
          <w:p>
            <w:pPr>
              <w:pStyle w:val="Compact"/>
              <w:jc w:val="left"/>
            </w:pPr>
            <w:r>
              <w:t xml:space="preserve">NCT05086614</w:t>
            </w:r>
          </w:p>
        </w:tc>
        <w:tc>
          <w:tcPr/>
          <w:p>
            <w:pPr>
              <w:pStyle w:val="Compact"/>
              <w:jc w:val="left"/>
            </w:pPr>
            <w:r>
              <w:t xml:space="preserve">Thymosine alfa-1</w:t>
            </w:r>
          </w:p>
        </w:tc>
        <w:tc>
          <w:tcPr/>
          <w:p>
            <w:pPr>
              <w:pStyle w:val="Compact"/>
              <w:jc w:val="left"/>
            </w:pPr>
            <w:r>
              <w:t xml:space="preserve">ziektevrije overleving na darmkanker, 2.500 deelnemers</w:t>
            </w:r>
          </w:p>
        </w:tc>
        <w:tc>
          <w:tcPr/>
          <w:p>
            <w:pPr>
              <w:pStyle w:val="Compact"/>
              <w:jc w:val="left"/>
            </w:pPr>
            <w:r>
              <w:t xml:space="preserve">maart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droge maculadegeneratie, 313 deelnemers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geen peptide)</w:t>
            </w:r>
          </w:p>
        </w:tc>
        <w:tc>
          <w:tcPr/>
          <w:p>
            <w:pPr>
              <w:pStyle w:val="Compact"/>
              <w:jc w:val="left"/>
            </w:pPr>
            <w:r>
              <w:t xml:space="preserve">groei bij kinderen met hormoontekort, 150 deelnemers</w:t>
            </w:r>
          </w:p>
        </w:tc>
        <w:tc>
          <w:tcPr/>
          <w:p>
            <w:pPr>
              <w:pStyle w:val="Compact"/>
              <w:jc w:val="left"/>
            </w:pPr>
            <w:r>
              <w:t xml:space="preserve">januari 2028</w:t>
            </w:r>
          </w:p>
        </w:tc>
      </w:tr>
    </w:tbl>
    <w:p>
      <w:pPr>
        <w:pStyle w:val="BodyText"/>
      </w:pPr>
      <w:r>
        <w:t xml:space="preserve">Details over elke studie staan in de paragraaf „Lopende studies en vooruitzichten” van het betreffende hoofdstuk.</w:t>
      </w:r>
    </w:p>
    <w:bookmarkEnd w:id="2836"/>
    <w:bookmarkStart w:id="2846" w:name="Xe6fc835edec5e7a77303bc85edf79fc183f11bc"/>
    <w:p>
      <w:pPr>
        <w:pStyle w:val="Heading3"/>
      </w:pPr>
      <w:r>
        <w:t xml:space="preserve">Wat het register verraadt over de richting</w:t>
      </w:r>
    </w:p>
    <w:p>
      <w:pPr>
        <w:pStyle w:val="FirstParagraph"/>
      </w:pPr>
      <w:r>
        <w:rPr>
          <w:bCs/>
          <w:b/>
        </w:rPr>
        <w:t xml:space="preserve">Van de weegschaal naar harde eindpunten.</w:t>
      </w:r>
      <w:r>
        <w:t xml:space="preserve"> </w:t>
      </w:r>
      <w:r>
        <w:t xml:space="preserve">De eerste generatie afslankstudies mat vooral kilogrammen. De grote studies van de komende jaren vragen of hartinfarcten, beroertes, hartfalen, nierfalen of levercirrose minder vaak voorkomen. Alle zes lopende fase 3-studies uit groep A met elk meer dan 5.000 deelnemers zijn zulke eindpuntstudies. Voor zorgverzekeraars die over de vergoeding beslissen, zijn deze resultaten belangrijker dan elk record in gewichtsverlies.</w:t>
      </w:r>
    </w:p>
    <w:p>
      <w:pPr>
        <w:pStyle w:val="BodyText"/>
      </w:pPr>
      <w:r>
        <w:rPr>
          <w:bCs/>
          <w:b/>
        </w:rPr>
        <w:t xml:space="preserve">Directe vergelijkingen.</w:t>
      </w:r>
      <w:r>
        <w:t xml:space="preserve"> </w:t>
      </w:r>
      <w:r>
        <w:t xml:space="preserve">Nieuwe werkzame stoffen moeten zich steeds vaker meten met de gevestigde, niet alleen met placebo: retatrutide tegen tirzepatide</w:t>
      </w:r>
      <w:r>
        <w:rPr>
          <w:rStyle w:val="FootnoteReference"/>
        </w:rPr>
        <w:footnoteReference w:id="2837"/>
      </w:r>
      <w:r>
        <w:t xml:space="preserve">, zenagamtide tegen semaglutide (AMAZE 7, NCT07668414), maridebart cafraglutide tegen semaglutide bij diabetes type 2 (MARITIME-T2D-3, NCT07866066). Ook nieuwe aanbieders gaan de directe confrontatie aan: Roche test de GLP-1/GIP-duale agonist enicepatide tegen tirzepatide</w:t>
      </w:r>
      <w:r>
        <w:rPr>
          <w:rStyle w:val="FootnoteReference"/>
        </w:rPr>
        <w:footnoteReference w:id="2838"/>
      </w:r>
      <w:r>
        <w:t xml:space="preserve">, het bedrijf Kailera de werkzame stof ribupatide tegen semaglutide (KaiNETIC-3, NCT07284979), AstraZeneca de dagelijks in te nemen werkzame stof elecoglipron tegen de semaglutide-tablet (Eluminate-2, NCT07662213).</w:t>
      </w:r>
    </w:p>
    <w:p>
      <w:pPr>
        <w:pStyle w:val="BodyText"/>
      </w:pPr>
      <w:r>
        <w:rPr>
          <w:bCs/>
          <w:b/>
        </w:rPr>
        <w:t xml:space="preserve">Gewicht behouden in plaats van alleen verliezen.</w:t>
      </w:r>
      <w:r>
        <w:t xml:space="preserve"> </w:t>
      </w:r>
      <w:r>
        <w:t xml:space="preserve">Meerdere studies onderzoeken uitdrukkelijk de periode na het afvallen: retatrutide voor gewichtsbehoud (TRIUMPH-6, NCT06859268), een langetermijnstudie met CagriSema over twee jaar plus verlenging</w:t>
      </w:r>
      <w:r>
        <w:rPr>
          <w:rStyle w:val="FootnoteReference"/>
        </w:rPr>
        <w:footnoteReference w:id="2839"/>
      </w:r>
      <w:r>
        <w:t xml:space="preserve">, de overstap van andere GLP-1-geneesmiddelen op het maandelijks toegediende maridebart cafraglutide</w:t>
      </w:r>
      <w:r>
        <w:rPr>
          <w:rStyle w:val="FootnoteReference"/>
        </w:rPr>
        <w:footnoteReference w:id="2840"/>
      </w:r>
      <w:r>
        <w:t xml:space="preserve"> </w:t>
      </w:r>
      <w:r>
        <w:t xml:space="preserve">of op berobenatide, een maandelijks te injecteren onderzoeksmiddel van Pfizer</w:t>
      </w:r>
      <w:r>
        <w:rPr>
          <w:rStyle w:val="FootnoteReference"/>
        </w:rPr>
        <w:footnoteReference w:id="2841"/>
      </w:r>
      <w:r>
        <w:t xml:space="preserve">. Achtergrond zijn studies als SURMOUNT-4: wie na 36 weken met tirzepatide stopte, kwam in het daaropvolgende jaar gemiddeld weer 14,0% aan, terwijl het gewicht met voortgezette behandeling met nog eens 5,5% daalde</w:t>
      </w:r>
      <w:r>
        <w:rPr>
          <w:rStyle w:val="FootnoteReference"/>
        </w:rPr>
        <w:footnoteReference w:id="2842"/>
      </w:r>
      <w:r>
        <w:t xml:space="preserve">.</w:t>
      </w:r>
    </w:p>
    <w:p>
      <w:pPr>
        <w:pStyle w:val="BodyText"/>
      </w:pPr>
      <w:r>
        <w:rPr>
          <w:bCs/>
          <w:b/>
        </w:rPr>
        <w:t xml:space="preserve">Nieuwe landen, nieuwe moleculen.</w:t>
      </w:r>
      <w:r>
        <w:t xml:space="preserve"> </w:t>
      </w:r>
      <w:r>
        <w:t xml:space="preserve">Een groot deel van de nieuwe fase 3-studies komt van Chinese bedrijven die eigen op GLP-1 gebaseerde werkzame stoffen testen tegen semaglutide of dulaglutide – bijvoorbeeld het om de twee weken geïnjecteerde bofanglutide (BALANCE-OBS, NCT07622810) of het exendine-4-fusie-eiwit JY09</w:t>
      </w:r>
      <w:r>
        <w:rPr>
          <w:rStyle w:val="FootnoteReference"/>
        </w:rPr>
        <w:footnoteReference w:id="2843"/>
      </w:r>
      <w:r>
        <w:t xml:space="preserve">. De markt wordt dus breder, niet alleen sterker.</w:t>
      </w:r>
    </w:p>
    <w:p>
      <w:pPr>
        <w:pStyle w:val="BodyText"/>
      </w:pPr>
      <w:r>
        <w:rPr>
          <w:bCs/>
          <w:b/>
        </w:rPr>
        <w:t xml:space="preserve">Kinderen en jongeren.</w:t>
      </w:r>
      <w:r>
        <w:t xml:space="preserve"> </w:t>
      </w:r>
      <w:r>
        <w:t xml:space="preserve">Voor bijna alle grote werkzame stoffen lopen studies bij jongeren, deels ook bij kinderen, bijvoorbeeld voor tirzepatide</w:t>
      </w:r>
      <w:r>
        <w:rPr>
          <w:rStyle w:val="FootnoteReference"/>
        </w:rPr>
        <w:footnoteReference w:id="2844"/>
      </w:r>
      <w:r>
        <w:t xml:space="preserve">, orforglipron</w:t>
      </w:r>
      <w:r>
        <w:rPr>
          <w:rStyle w:val="FootnoteReference"/>
        </w:rPr>
        <w:footnoteReference w:id="2845"/>
      </w:r>
      <w:r>
        <w:t xml:space="preserve"> </w:t>
      </w:r>
      <w:r>
        <w:t xml:space="preserve">en CagriSema (NCT07253285, gepland einde 2033).</w:t>
      </w:r>
    </w:p>
    <w:p>
      <w:pPr>
        <w:pStyle w:val="BodyText"/>
      </w:pPr>
      <w:r>
        <w:rPr>
          <w:bCs/>
          <w:b/>
        </w:rPr>
        <w:t xml:space="preserve">En buiten de stofwisseling?</w:t>
      </w:r>
      <w:r>
        <w:t xml:space="preserve"> </w:t>
      </w:r>
      <w:r>
        <w:t xml:space="preserve">Hier is de pijplijn dun. Waar een peptide niet octrooieerbaar is, al als voedingssupplement wordt verkocht of alleen op de grijze markt bestaat, financiert vrijwel niemand dure registratiestudies. Dat verklaart waarom juist de op internet meest besproken peptiden in de registers praktisch ontbreken.</w:t>
      </w:r>
    </w:p>
    <w:bookmarkEnd w:id="2846"/>
    <w:bookmarkStart w:id="2864" w:name="nieuwe-werkingsprincipes"/>
    <w:p>
      <w:pPr>
        <w:pStyle w:val="Heading3"/>
      </w:pPr>
      <w:r>
        <w:t xml:space="preserve">Nieuwe werkingsprincipes</w:t>
      </w:r>
    </w:p>
    <w:bookmarkStart w:id="2850" w:name="drievoudige-agonisten"/>
    <w:p>
      <w:pPr>
        <w:pStyle w:val="Heading4"/>
      </w:pPr>
      <w:r>
        <w:t xml:space="preserve">Drievoudige agonisten</w:t>
      </w:r>
    </w:p>
    <w:p>
      <w:pPr>
        <w:pStyle w:val="FirstParagraph"/>
      </w:pPr>
      <w:r>
        <w:t xml:space="preserve">Retatrutide activeert drie receptoren tegelijk: GLP-1, GIP en glucagon. De glucagoncomponent moet het energieverbruik en de vetafbraak in de lever verhogen. In de fase 2-studie met 338 volwassenen daalde het gewicht na 48 weken bij de hoogste onderzochte dosis met 24,2%, met placebo met 2,1%</w:t>
      </w:r>
      <w:r>
        <w:rPr>
          <w:rStyle w:val="FootnoteReference"/>
        </w:rPr>
        <w:footnoteReference w:id="2847"/>
      </w:r>
      <w:r>
        <w:t xml:space="preserve">. De eerste fase 3-studie TRIUMPH-1 met 2.339 volwassenen bevestigde dat: na 80 weken bedroeg het gewichtsverlies afhankelijk van de dosis 17,6 tot 25,0%, met placebo 3,9%. Bij deelnemers met knieartrose verminderde de pijn, bij slaapapneu het aantal ademstops</w:t>
      </w:r>
      <w:r>
        <w:rPr>
          <w:rStyle w:val="FootnoteReference"/>
        </w:rPr>
        <w:footnoteReference w:id="2848"/>
      </w:r>
      <w:r>
        <w:t xml:space="preserve">. Of dit extra gewichtsverlies ook tot minder hart- en niergebeurtenissen leidt, moet TRIUMPH-Outcomes tegen 2029 laten zien</w:t>
      </w:r>
      <w:r>
        <w:rPr>
          <w:rStyle w:val="FootnoteReference"/>
        </w:rPr>
        <w:footnoteReference w:id="2849"/>
      </w:r>
      <w:r>
        <w:t xml:space="preserve">. Details en bijwerkingen beschrijft het hoofdstuk Retatrutide.</w:t>
      </w:r>
    </w:p>
    <w:bookmarkEnd w:id="2850"/>
    <w:bookmarkStart w:id="2855" w:name="amyline-de-vierde-hormoonroute"/>
    <w:p>
      <w:pPr>
        <w:pStyle w:val="Heading4"/>
      </w:pPr>
      <w:r>
        <w:t xml:space="preserve">Amyline: de vierde hormoonroute</w:t>
      </w:r>
    </w:p>
    <w:p>
      <w:pPr>
        <w:pStyle w:val="FirstParagraph"/>
      </w:pPr>
      <w:r>
        <w:t xml:space="preserve">Amyline wordt samen met insuline afgegeven en werkt in de hersenstam verzadigend. Er zijn drie ontwikkelingslijnen te onderscheiden:</w:t>
      </w:r>
    </w:p>
    <w:p>
      <w:pPr>
        <w:numPr>
          <w:ilvl w:val="0"/>
          <w:numId w:val="1355"/>
        </w:numPr>
        <w:pStyle w:val="Compact"/>
      </w:pPr>
      <w:r>
        <w:rPr>
          <w:bCs/>
          <w:b/>
        </w:rPr>
        <w:t xml:space="preserve">Combinatie in één injectie:</w:t>
      </w:r>
      <w:r>
        <w:t xml:space="preserve"> </w:t>
      </w:r>
      <w:r>
        <w:t xml:space="preserve">CagriSema combineert de amylineanaloog cagrilintide met semaglutide. In REDEFINE 1 met 3.417 volwassenen daalde het gewicht na 68 weken met 20,4%, met placebo met 3,0%; maag-darmklachten traden op bij 79,6% tegenover 39,9%</w:t>
      </w:r>
      <w:r>
        <w:rPr>
          <w:rStyle w:val="FootnoteReference"/>
        </w:rPr>
        <w:footnoteReference w:id="2851"/>
      </w:r>
      <w:r>
        <w:t xml:space="preserve">.</w:t>
      </w:r>
    </w:p>
    <w:p>
      <w:pPr>
        <w:numPr>
          <w:ilvl w:val="0"/>
          <w:numId w:val="1355"/>
        </w:numPr>
        <w:pStyle w:val="Compact"/>
      </w:pPr>
      <w:r>
        <w:rPr>
          <w:bCs/>
          <w:b/>
        </w:rPr>
        <w:t xml:space="preserve">Eén molecuul voor twee receptoren:</w:t>
      </w:r>
      <w:r>
        <w:t xml:space="preserve"> </w:t>
      </w:r>
      <w:r>
        <w:t xml:space="preserve">amycretine, sinds 2026 zenagamtide, activeert GLP-1- en amylinereceptoren tegelijk. In een kleine fase 1b/2a-studie met 125 deelnemers daalde het gewicht bij de hoogste dosisstap na 36 weken met 24,3%</w:t>
      </w:r>
      <w:r>
        <w:rPr>
          <w:rStyle w:val="FootnoteReference"/>
        </w:rPr>
        <w:footnoteReference w:id="2852"/>
      </w:r>
      <w:r>
        <w:t xml:space="preserve">. Het fase 3-programma AMAZE loopt sinds 2026.</w:t>
      </w:r>
    </w:p>
    <w:p>
      <w:pPr>
        <w:numPr>
          <w:ilvl w:val="0"/>
          <w:numId w:val="1355"/>
        </w:numPr>
        <w:pStyle w:val="Compact"/>
      </w:pPr>
      <w:r>
        <w:rPr>
          <w:bCs/>
          <w:b/>
        </w:rPr>
        <w:t xml:space="preserve">Amyline alleen:</w:t>
      </w:r>
      <w:r>
        <w:t xml:space="preserve"> </w:t>
      </w:r>
      <w:r>
        <w:t xml:space="preserve">hier is de hoop een betere verdraagbaarheid. Eloralintide, een selectieve amylinereceptoragonist van Lilly, leidde in een fase 2-studie met 263 volwassenen na 48 weken tot 9 tot 20% gewichtsverlies tegenover 0,4% met placebo; misselijkheid en vermoeidheid kwamen afhankelijk van de dosis duidelijk vaker voor dan met placebo</w:t>
      </w:r>
      <w:r>
        <w:rPr>
          <w:rStyle w:val="FootnoteReference"/>
        </w:rPr>
        <w:footnoteReference w:id="2853"/>
      </w:r>
      <w:r>
        <w:t xml:space="preserve">. Petrelintide van Zealand Pharma verlaagde het gewicht in de fase 2-studie ZUPREME 1 met 493 deelnemers na 28 weken met 7,9 tot 9,8% (placebo 1,7%). Misselijkheid trad op bij 20% tegenover 6%, braken echter niet vaker dan met placebo</w:t>
      </w:r>
      <w:r>
        <w:rPr>
          <w:rStyle w:val="FootnoteReference"/>
        </w:rPr>
        <w:footnoteReference w:id="2854"/>
      </w:r>
      <w:r>
        <w:t xml:space="preserve">.</w:t>
      </w:r>
    </w:p>
    <w:p>
      <w:pPr>
        <w:pStyle w:val="FirstParagraph"/>
      </w:pPr>
      <w:r>
        <w:t xml:space="preserve">Beide zuivere amylinemiddelen zijn inmiddels in fase 3: eloralintide in ENLIGHTEN-1 met 1.980 geplande deelnemers (NCT07321886, einde juli 2030), petrelintide in ZUPREME-3 met 3.900 geplande deelnemers onder leiding van Roche (NCT07843498, einde maart 2029). Lilly test daarnaast een combinatie van eloralintide en tirzepatide (AMPLIFY-1, NCT07881432, 2.115 geplande deelnemers).</w:t>
      </w:r>
    </w:p>
    <w:bookmarkEnd w:id="2855"/>
    <w:bookmarkStart w:id="2858" w:name="antistof-peptideconjugaten"/>
    <w:p>
      <w:pPr>
        <w:pStyle w:val="Heading4"/>
      </w:pPr>
      <w:r>
        <w:t xml:space="preserve">Antistof-peptideconjugaten</w:t>
      </w:r>
    </w:p>
    <w:p>
      <w:pPr>
        <w:pStyle w:val="FirstParagraph"/>
      </w:pPr>
      <w:r>
        <w:t xml:space="preserve">Peptiden worden in het lichaam snel afgebroken en via de nieren uitgescheiden. Een oplossing is ze te koppelen aan een antistof die wekenlang in het bloed blijft. Een overzichtsartikel beschrijft zulke antistof-peptideconjugaten als een eigen, nieuwe klasse werkzame stoffen: anders dan bij fusie-eiwitten wordt het peptide chemisch geproduceerd en pas daarna aan de antistof gebonden, zodat het ook ongebruikelijke bouwstenen kan bevatten</w:t>
      </w:r>
      <w:r>
        <w:rPr>
          <w:rStyle w:val="FootnoteReference"/>
        </w:rPr>
        <w:footnoteReference w:id="2856"/>
      </w:r>
      <w:r>
        <w:t xml:space="preserve">.</w:t>
      </w:r>
    </w:p>
    <w:p>
      <w:pPr>
        <w:pStyle w:val="BodyText"/>
      </w:pPr>
      <w:r>
        <w:t xml:space="preserve">Het bekendste voorbeeld is maridebart cafraglutide (MariTide). Het verbindt een antistof die de GIP-receptor blokkeert met GLP-1-achtige peptiden die de GLP-1-receptor activeren. In de fase 2-studie met 592 deelnemers werd het om de vier of acht weken geïnjecteerd. Na 52 weken bedroeg het gewichtsverlies zonder diabetes 12,3 tot 16,2% (placebo 2,5%), met diabetes type 2 8,4 tot 12,3% (placebo 1,7%). Maag-darmklachten kwamen vaak voor, maar minder vaak als de dosis langzaam werd verhoogd</w:t>
      </w:r>
      <w:r>
        <w:rPr>
          <w:rStyle w:val="FootnoteReference"/>
        </w:rPr>
        <w:footnoteReference w:id="2857"/>
      </w:r>
      <w:r>
        <w:t xml:space="preserve">. Het concept luidt: minder injecties in plaats van maximale werking.</w:t>
      </w:r>
    </w:p>
    <w:bookmarkEnd w:id="2858"/>
    <w:bookmarkStart w:id="2862" w:name="spieren-sparen-bij-het-afvallen"/>
    <w:p>
      <w:pPr>
        <w:pStyle w:val="Heading4"/>
      </w:pPr>
      <w:r>
        <w:t xml:space="preserve">Spieren sparen bij het afvallen</w:t>
      </w:r>
    </w:p>
    <w:p>
      <w:pPr>
        <w:pStyle w:val="FirstParagraph"/>
      </w:pPr>
      <w:r>
        <w:t xml:space="preserve">Bij elk sterk gewichtsverlies gaat ook spier- en botmassa verloren. Eén benadering is de antistof</w:t>
      </w:r>
      <w:r>
        <w:t xml:space="preserve"> </w:t>
      </w:r>
      <w:r>
        <w:rPr>
          <w:bCs/>
          <w:b/>
        </w:rPr>
        <w:t xml:space="preserve">bimagrumab</w:t>
      </w:r>
      <w:r>
        <w:t xml:space="preserve">, die activine-type-II-receptoren blokkeert – schakelaars die de spiergroei afremmen. Bimagrumab is geen peptide, maar wordt gericht gecombineerd met peptidegeneesmiddelen.</w:t>
      </w:r>
    </w:p>
    <w:p>
      <w:pPr>
        <w:numPr>
          <w:ilvl w:val="0"/>
          <w:numId w:val="1356"/>
        </w:numPr>
        <w:pStyle w:val="Compact"/>
      </w:pPr>
      <w:r>
        <w:t xml:space="preserve">In een fase 2-studie met 75 volwassenen met diabetes type 2 en overgewicht daalde met bimagrumab alleen na 48 weken de vetmassa met 20,5%, terwijl de vetvrije massa met 3,6% toenam (placebo −0,5% en −0,8%)</w:t>
      </w:r>
      <w:r>
        <w:rPr>
          <w:rStyle w:val="FootnoteReference"/>
        </w:rPr>
        <w:footnoteReference w:id="2859"/>
      </w:r>
      <w:r>
        <w:t xml:space="preserve">.</w:t>
      </w:r>
    </w:p>
    <w:p>
      <w:pPr>
        <w:numPr>
          <w:ilvl w:val="0"/>
          <w:numId w:val="1356"/>
        </w:numPr>
        <w:pStyle w:val="Compact"/>
      </w:pPr>
      <w:r>
        <w:t xml:space="preserve">In een fase 2-studie met 507 volwassenen met obesitas bedroeg het gewichtsverlies na 48 weken met bimagrumab alleen 9,3 kg, met semaglutide alleen 14,2 kg en met de combinatie 17,8 kg (placebo 3,3 kg). Veelvoorkomende bijwerkingen van bimagrumab waren spierkrampen, diarree en acne</w:t>
      </w:r>
      <w:r>
        <w:rPr>
          <w:rStyle w:val="FootnoteReference"/>
        </w:rPr>
        <w:footnoteReference w:id="2860"/>
      </w:r>
      <w:r>
        <w:t xml:space="preserve">.</w:t>
      </w:r>
    </w:p>
    <w:p>
      <w:pPr>
        <w:pStyle w:val="FirstParagraph"/>
      </w:pPr>
      <w:r>
        <w:t xml:space="preserve">Lilly test bimagrumab nu met tirzepatide (NCT06643728, 252 deelnemers, einde januari 2027). Een kleinere studie in het Massachusetts General Hospital onderzoekt dezelfde combinatie met het oog op lichaamssamenstelling en botten</w:t>
      </w:r>
      <w:r>
        <w:rPr>
          <w:rStyle w:val="FootnoteReference"/>
        </w:rPr>
        <w:footnoteReference w:id="2861"/>
      </w:r>
      <w:r>
        <w:t xml:space="preserve">. Of meer spiermassa op de scan ook meer kracht, minder vallen of minder botbreuken betekent, is tot nu toe niet aangetoond. Fase 3-studies staan niet in het register.</w:t>
      </w:r>
    </w:p>
    <w:bookmarkEnd w:id="2862"/>
    <w:bookmarkStart w:id="2863" w:name="tabletten"/>
    <w:p>
      <w:pPr>
        <w:pStyle w:val="Heading4"/>
      </w:pPr>
      <w:r>
        <w:t xml:space="preserve">Tabletten</w:t>
      </w:r>
    </w:p>
    <w:p>
      <w:pPr>
        <w:pStyle w:val="FirstParagraph"/>
      </w:pPr>
      <w:r>
        <w:t xml:space="preserve">De misschien meest ingrijpende verandering betreft niet de receptor, maar de weg naar het lichaam: tabletten met peptiden en kleine moleculen die werken zoals peptiden. Aan dit onderwerp is het volgende hoofdstuk gewijd.</w:t>
      </w:r>
    </w:p>
    <w:bookmarkEnd w:id="2863"/>
    <w:bookmarkEnd w:id="2864"/>
    <w:bookmarkStart w:id="2865" w:name="het-belangrijkste-in-het-kort-8"/>
    <w:p>
      <w:pPr>
        <w:pStyle w:val="Heading3"/>
      </w:pPr>
      <w:r>
        <w:t xml:space="preserve">Het belangrijkste in het kort</w:t>
      </w:r>
    </w:p>
    <w:p>
      <w:pPr>
        <w:numPr>
          <w:ilvl w:val="0"/>
          <w:numId w:val="1357"/>
        </w:numPr>
        <w:pStyle w:val="Compact"/>
      </w:pPr>
      <w:r>
        <w:t xml:space="preserve">Na uitsluiting van fictieve en vakvreemde vermeldingen lopen er 730 interventionele studies naar de werkzame stoffen in dit boek, waaronder 157 in fase 3.</w:t>
      </w:r>
    </w:p>
    <w:p>
      <w:pPr>
        <w:numPr>
          <w:ilvl w:val="0"/>
          <w:numId w:val="1357"/>
        </w:numPr>
        <w:pStyle w:val="Compact"/>
      </w:pPr>
      <w:r>
        <w:t xml:space="preserve">Bijna negen op de tien late studies betreffen stofwisseling en gewicht. Voor de populaire grijze-marktpeptiden loopt geen enkele fase 3-studie.</w:t>
      </w:r>
    </w:p>
    <w:p>
      <w:pPr>
        <w:numPr>
          <w:ilvl w:val="0"/>
          <w:numId w:val="1357"/>
        </w:numPr>
        <w:pStyle w:val="Compact"/>
      </w:pPr>
      <w:r>
        <w:t xml:space="preserve">De grote studies naar hart en bloedvaten, nieren en lever eindigen tussen 2027 en 2032. Pas die zullen laten zien of de nieuwe werkzame stoffen meer bereiken dan gewicht verlagen.</w:t>
      </w:r>
    </w:p>
    <w:p>
      <w:pPr>
        <w:numPr>
          <w:ilvl w:val="0"/>
          <w:numId w:val="1357"/>
        </w:numPr>
        <w:pStyle w:val="Compact"/>
      </w:pPr>
      <w:r>
        <w:t xml:space="preserve">Nieuwe werkingsprincipes – drievoudige agonisten, amyline, antistof-peptideconjugaten, spierbescherming – zijn in fase 2-studies aangetoond, de meeste bevinden zich in fase 3. Een registratie is voor geen van deze nieuwe werkzame stoffen zeker.</w:t>
      </w:r>
    </w:p>
    <w:bookmarkEnd w:id="2865"/>
    <w:bookmarkEnd w:id="2866"/>
    <w:bookmarkStart w:id="2902" w:name="tabletten-in-plaats-van-injecties"/>
    <w:p>
      <w:pPr>
        <w:pStyle w:val="Heading2"/>
      </w:pPr>
      <w:r>
        <w:t xml:space="preserve">Tabletten in plaats van injecties</w:t>
      </w:r>
    </w:p>
    <w:p>
      <w:pPr>
        <w:pStyle w:val="FirstParagraph"/>
      </w:pPr>
      <w:r>
        <w:t xml:space="preserve">Bijna alle peptidegeneesmiddelen in dit boek worden geïnjecteerd. Daar is een eenvoudige reden voor: het maag-darmkanaal is erop ingericht eiwitten en peptiden in hun bouwstenen af te breken. Wat als voeding zinvol is, maakt een peptide als geneesmiddel onbruikbaar voordat het het bloed bereikt. Deel I heeft deze hindernissen uitvoerig beschreven (hoofdstuk „Hoe peptiden in het lichaam komen”).</w:t>
      </w:r>
    </w:p>
    <w:p>
      <w:pPr>
        <w:pStyle w:val="BodyText"/>
      </w:pPr>
      <w:r>
        <w:t xml:space="preserve">Dat er toch intensief onderzoek naar tabletten wordt gedaan, heeft meerdere redenen. Veel mensen injecteren zichzelf niet graag. Injecties moeten meestal gekoeld worden bewaard, pennen zijn bewerkelijk om te produceren. En omdat geneesmiddelen tegen obesitas volgens de huidige kennis blijvend moeten worden gebruikt om te werken, telt elke vereenvoudiging voor de langdurige behandeling. Een overzichtsartikel beschrijft dat in klinische studies al orale vormen van insuline, calcitonine, parathormoon en vasopressine zijn uitgeprobeerd en dat pas semaglutide de doorbraak bracht voor een breed ingezette werkzame stof</w:t>
      </w:r>
      <w:r>
        <w:rPr>
          <w:rStyle w:val="FootnoteReference"/>
        </w:rPr>
        <w:footnoteReference w:id="2867"/>
      </w:r>
      <w:r>
        <w:t xml:space="preserve">.</w:t>
      </w:r>
    </w:p>
    <w:p>
      <w:pPr>
        <w:pStyle w:val="BodyText"/>
      </w:pPr>
      <w:r>
        <w:t xml:space="preserve">Tegenwoordig zijn er twee principieel verschillende wegen naar een tablet: men beschermt een</w:t>
      </w:r>
      <w:r>
        <w:t xml:space="preserve"> </w:t>
      </w:r>
      <w:r>
        <w:rPr>
          <w:bCs/>
          <w:b/>
        </w:rPr>
        <w:t xml:space="preserve">peptide</w:t>
      </w:r>
      <w:r>
        <w:t xml:space="preserve"> </w:t>
      </w:r>
      <w:r>
        <w:t xml:space="preserve">zo dat er tenminste een klein deel wordt opgenomen – of men vervangt het peptide door een</w:t>
      </w:r>
      <w:r>
        <w:t xml:space="preserve"> </w:t>
      </w:r>
      <w:r>
        <w:rPr>
          <w:bCs/>
          <w:b/>
        </w:rPr>
        <w:t xml:space="preserve">klein molecuul</w:t>
      </w:r>
      <w:r>
        <w:t xml:space="preserve"> </w:t>
      </w:r>
      <w:r>
        <w:t xml:space="preserve">dat zoals een gewoon geneesmiddel vanuit de darm in het bloed komt en toch op dezelfde receptor werkt.</w:t>
      </w:r>
    </w:p>
    <w:bookmarkStart w:id="2882" w:name="weg-1-peptide-plus-absorptieversterker"/>
    <w:p>
      <w:pPr>
        <w:pStyle w:val="Heading3"/>
      </w:pPr>
      <w:r>
        <w:t xml:space="preserve">Weg 1: peptide plus absorptieversterker</w:t>
      </w:r>
    </w:p>
    <w:bookmarkStart w:id="2869" w:name="het-principe"/>
    <w:p>
      <w:pPr>
        <w:pStyle w:val="Heading4"/>
      </w:pPr>
      <w:r>
        <w:t xml:space="preserve">Het principe</w:t>
      </w:r>
    </w:p>
    <w:p>
      <w:pPr>
        <w:pStyle w:val="FirstParagraph"/>
      </w:pPr>
      <w:r>
        <w:t xml:space="preserve">Een</w:t>
      </w:r>
      <w:r>
        <w:t xml:space="preserve"> </w:t>
      </w:r>
      <w:r>
        <w:rPr>
          <w:bCs/>
          <w:b/>
        </w:rPr>
        <w:t xml:space="preserve">absorptieversterker</w:t>
      </w:r>
      <w:r>
        <w:t xml:space="preserve"> </w:t>
      </w:r>
      <w:r>
        <w:t xml:space="preserve">(vakterm: permeatieversterker) is een hulpstof die het slijmvlies kortstondig doorlaatbaarder maakt of het peptide tegen afbraak beschermt. Bij de semaglutide-tablet is dat de hulpstof</w:t>
      </w:r>
      <w:r>
        <w:t xml:space="preserve"> </w:t>
      </w:r>
      <w:r>
        <w:rPr>
          <w:bCs/>
          <w:b/>
        </w:rPr>
        <w:t xml:space="preserve">SNAC</w:t>
      </w:r>
      <w:r>
        <w:t xml:space="preserve">. Die verhoogt in de directe omgeving van de tablet de pH-waarde, dempt de activering van het verteringsenzym pepsine en zorgt ervoor dat semaglutide als afzonderlijk molecuul aanwezig is, dat gemakkelijker wordt opgenomen. Toch komt volgens een overzichtsartikel maar ongeveer 0,4 tot 1% van de werkzame stof in het bloed – en dan alleen nuchter en met weinig water. Na een maaltijd is praktisch geen semaglutide in het bloed aantoonbaar</w:t>
      </w:r>
      <w:r>
        <w:rPr>
          <w:rStyle w:val="FootnoteReference"/>
        </w:rPr>
        <w:footnoteReference w:id="2868"/>
      </w:r>
      <w:r>
        <w:t xml:space="preserve">. Daaruit volgen de strikte innameregels die in de productinformatie staan.</w:t>
      </w:r>
    </w:p>
    <w:bookmarkEnd w:id="2869"/>
    <w:bookmarkStart w:id="2871" w:name="de-semaglutide-tablet-bij-obesitas"/>
    <w:p>
      <w:pPr>
        <w:pStyle w:val="Heading4"/>
      </w:pPr>
      <w:r>
        <w:t xml:space="preserve">De semaglutide-tablet bij obesitas</w:t>
      </w:r>
    </w:p>
    <w:p>
      <w:pPr>
        <w:pStyle w:val="FirstParagraph"/>
      </w:pPr>
      <w:r>
        <w:t xml:space="preserve">Voor diabetes type 2 is de semaglutide-tablet (Rybelsus) in de EU sinds 2020 geregistreerd. Voor obesitas zijn hogere doses getest: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volwassenen zonder diabetes, tablet tegen placebo</w:t>
            </w:r>
          </w:p>
        </w:tc>
        <w:tc>
          <w:tcPr/>
          <w:p>
            <w:pPr>
              <w:pStyle w:val="Compact"/>
              <w:jc w:val="left"/>
            </w:pPr>
            <w:r>
              <w:t xml:space="preserve">68 weken</w:t>
            </w:r>
          </w:p>
        </w:tc>
        <w:tc>
          <w:tcPr/>
          <w:p>
            <w:pPr>
              <w:pStyle w:val="Compact"/>
              <w:jc w:val="left"/>
            </w:pPr>
            <w:r>
              <w:t xml:space="preserve">−15,1% gewicht vs. −2,4%</w:t>
            </w:r>
          </w:p>
        </w:tc>
      </w:tr>
      <w:tr>
        <w:tc>
          <w:tcPr/>
          <w:p>
            <w:pPr>
              <w:pStyle w:val="Compact"/>
              <w:jc w:val="left"/>
            </w:pPr>
            <w:r>
              <w:t xml:space="preserve">OASIS 4 (Wharton 2025), PMID 40934115</w:t>
            </w:r>
          </w:p>
        </w:tc>
        <w:tc>
          <w:tcPr/>
          <w:p>
            <w:pPr>
              <w:pStyle w:val="Compact"/>
              <w:jc w:val="left"/>
            </w:pPr>
            <w:r>
              <w:t xml:space="preserve">307 volwassenen zonder diabetes, lagere tabletdosis tegen placebo</w:t>
            </w:r>
          </w:p>
        </w:tc>
        <w:tc>
          <w:tcPr/>
          <w:p>
            <w:pPr>
              <w:pStyle w:val="Compact"/>
              <w:jc w:val="left"/>
            </w:pPr>
            <w:r>
              <w:t xml:space="preserve">64 weken</w:t>
            </w:r>
          </w:p>
        </w:tc>
        <w:tc>
          <w:tcPr/>
          <w:p>
            <w:pPr>
              <w:pStyle w:val="Compact"/>
              <w:jc w:val="left"/>
            </w:pPr>
            <w:r>
              <w:t xml:space="preserve">−13,6% vs. −2,2%</w:t>
            </w:r>
          </w:p>
        </w:tc>
      </w:tr>
      <w:tr>
        <w:tc>
          <w:tcPr/>
          <w:p>
            <w:pPr>
              <w:pStyle w:val="Compact"/>
              <w:jc w:val="left"/>
            </w:pPr>
            <w:r>
              <w:t xml:space="preserve">Ter vergelijking: STEP 1 (Wilding 2021), PMID 33567185</w:t>
            </w:r>
          </w:p>
        </w:tc>
        <w:tc>
          <w:tcPr/>
          <w:p>
            <w:pPr>
              <w:pStyle w:val="Compact"/>
              <w:jc w:val="left"/>
            </w:pPr>
            <w:r>
              <w:t xml:space="preserve">1.961 volwassenen zonder diabetes, wekelijkse injectie tegen placebo</w:t>
            </w:r>
          </w:p>
        </w:tc>
        <w:tc>
          <w:tcPr/>
          <w:p>
            <w:pPr>
              <w:pStyle w:val="Compact"/>
              <w:jc w:val="left"/>
            </w:pPr>
            <w:r>
              <w:t xml:space="preserve">68 weken</w:t>
            </w:r>
          </w:p>
        </w:tc>
        <w:tc>
          <w:tcPr/>
          <w:p>
            <w:pPr>
              <w:pStyle w:val="Compact"/>
              <w:jc w:val="left"/>
            </w:pPr>
            <w:r>
              <w:t xml:space="preserve">−14,9% vs. −2,4%</w:t>
            </w:r>
          </w:p>
        </w:tc>
      </w:tr>
    </w:tbl>
    <w:p>
      <w:pPr>
        <w:pStyle w:val="BodyText"/>
      </w:pPr>
      <w:r>
        <w:t xml:space="preserve">In beide tabletstudies kwamen maag-darmklachten vaak voor: 80% tegenover 46% met placebo in OASIS 1, 74,0% tegenover 42,2% in OASIS 4. De studie OASIS 4 vormt volgens het hoofdstuk Semaglutide de basis van de in de VS geregistreerde Wegovy-tablet (actuele registratiestatus controleren). Een verdere fase 3-studie met de tablet loopt (OASIS 5, NCT07770841, einde april 2028).</w:t>
      </w:r>
    </w:p>
    <w:p>
      <w:pPr>
        <w:pStyle w:val="BodyText"/>
      </w:pPr>
      <w:r>
        <w:t xml:space="preserve">De cijfers liggen dicht bij die van de injectie. Een grote directe vergelijking tussen tablet en injectie bij obesitas ontbreekt echter, en kruisvergelijkingen tussen studies zijn slechts een grove oriëntatie.</w:t>
      </w:r>
    </w:p>
    <w:p>
      <w:pPr>
        <w:pStyle w:val="BodyText"/>
      </w:pPr>
      <w:r>
        <w:rPr>
          <w:bCs/>
          <w:b/>
        </w:rPr>
        <w:t xml:space="preserve">Een nadeel dat zelden wordt genoemd:</w:t>
      </w:r>
      <w:r>
        <w:t xml:space="preserve"> </w:t>
      </w:r>
      <w:r>
        <w:t xml:space="preserve">omdat slechts een fractie wordt opgenomen, heeft de tablet een veelvoud aan werkzame stof nodig. Een kostenraming voor generieke preparaten na het aflopen van het octrooi kwam voor geïnjecteerd semaglutide uit op 28 tot 140 Amerikaanse dollar per persoon per jaar, voor de tablet op 186 tot 380 Amerikaanse dollar</w:t>
      </w:r>
      <w:r>
        <w:rPr>
          <w:rStyle w:val="FootnoteReference"/>
        </w:rPr>
        <w:footnoteReference w:id="2870"/>
      </w:r>
      <w:r>
        <w:t xml:space="preserve">. De tablet is dus niet automatisch de goedkopere oplossing (meer hierover in het hoofdstuk „Octrooien, generieken en prijzen”).</w:t>
      </w:r>
    </w:p>
    <w:bookmarkEnd w:id="2871"/>
    <w:bookmarkStart w:id="2873" w:name="harde-eindpunten-soul"/>
    <w:p>
      <w:pPr>
        <w:pStyle w:val="Heading4"/>
      </w:pPr>
      <w:r>
        <w:t xml:space="preserve">Harde eindpunten: SOUL</w:t>
      </w:r>
    </w:p>
    <w:p>
      <w:pPr>
        <w:pStyle w:val="FirstParagraph"/>
      </w:pPr>
      <w:r>
        <w:t xml:space="preserve">Voor diabetes type 2 is het voordeel van de semaglutide-tablet aangetoond, ook buiten de bloedsuiker. In SOUL met 9.650 mensen met diabetes type 2 en vaat- of nierziekte traden ernstige cardiovasculaire gebeurtenissen over een gemiddelde observatieperiode van ongeveer vier jaar op bij 12,0% met de tablet en bij 13,8% met placebo (hazard ratio 0,86). De bevestigende niereindpunten verschilden niet significant</w:t>
      </w:r>
      <w:r>
        <w:rPr>
          <w:rStyle w:val="FootnoteReference"/>
        </w:rPr>
        <w:footnoteReference w:id="2872"/>
      </w:r>
      <w:r>
        <w:t xml:space="preserve">. Voor mensen met obesitas zonder diabetes bestaat zo’n studie met de tablet tot nu toe niet.</w:t>
      </w:r>
    </w:p>
    <w:bookmarkEnd w:id="2873"/>
    <w:bookmarkStart w:id="2876" w:name="amyline-en-glp-1-als-tablet"/>
    <w:p>
      <w:pPr>
        <w:pStyle w:val="Heading4"/>
      </w:pPr>
      <w:r>
        <w:t xml:space="preserve">Amyline en GLP-1 als tablet</w:t>
      </w:r>
    </w:p>
    <w:p>
      <w:pPr>
        <w:pStyle w:val="FirstParagraph"/>
      </w:pPr>
      <w:r>
        <w:t xml:space="preserve">Novo Nordisk ontwikkelt ook amycretine (sinds 2026 zenagamtide) als tablet. Het peptide werkt volgens de studiepublicatie op GLP-1-, amyline- en calcitoninereceptoren. In een fase 2-studie met 186 volwassenen met diabetes type 2 daalde de HbA1c-waarde na 36 weken in de drie dosisgroepen 0,5 tot 1,1 procentpunt sterker dan met placebo. Maag-darmklachten traden, afhankelijk van de dosis, op bij 26 tot 47% (placebo 23%); ernstige ongewenste voorvallen troffen 4% met zenagamtide en niemand met placebo</w:t>
      </w:r>
      <w:r>
        <w:rPr>
          <w:rStyle w:val="FootnoteReference"/>
        </w:rPr>
        <w:footnoteReference w:id="2874"/>
      </w:r>
      <w:r>
        <w:t xml:space="preserve">. De fase 3-studie AMAZE 9 test de tablet bij overgewicht met 950 deelnemers (NCT07720271, einde augustus 2028). Een fase 1-studie onderzoekt uitdrukkelijk hoe de hoeveelheid water en het tijdstip van de maaltijd de opname beïnvloeden</w:t>
      </w:r>
      <w:r>
        <w:rPr>
          <w:rStyle w:val="FootnoteReference"/>
        </w:rPr>
        <w:footnoteReference w:id="2875"/>
      </w:r>
      <w:r>
        <w:t xml:space="preserve"> </w:t>
      </w:r>
      <w:r>
        <w:t xml:space="preserve">– een aanwijzing dat ook voor deze tablet innameregels zullen gelden.</w:t>
      </w:r>
    </w:p>
    <w:bookmarkEnd w:id="2876"/>
    <w:bookmarkStart w:id="2881" w:name="orale-peptiden-buiten-de-stofwisseling"/>
    <w:p>
      <w:pPr>
        <w:pStyle w:val="Heading4"/>
      </w:pPr>
      <w:r>
        <w:t xml:space="preserve">Orale peptiden buiten de stofwisseling</w:t>
      </w:r>
    </w:p>
    <w:p>
      <w:pPr>
        <w:pStyle w:val="FirstParagraph"/>
      </w:pPr>
      <w:r>
        <w:t xml:space="preserve">De doorbraak beperkt zich niet tot afslankmiddelen. Twee voorbeelden laten zien dat orale peptiden een eigen klasse geneesmiddelen worden:</w:t>
      </w:r>
    </w:p>
    <w:p>
      <w:pPr>
        <w:numPr>
          <w:ilvl w:val="0"/>
          <w:numId w:val="1358"/>
        </w:numPr>
        <w:pStyle w:val="Compact"/>
      </w:pPr>
      <w:r>
        <w:rPr>
          <w:bCs/>
          <w:b/>
        </w:rPr>
        <w:t xml:space="preserve">Enlicitide</w:t>
      </w:r>
      <w:r>
        <w:t xml:space="preserve"> </w:t>
      </w:r>
      <w:r>
        <w:t xml:space="preserve">is een ringvormig (macrocyclisch) peptide dat het eiwit PCSK9 remt en zo het LDL-cholesterol verlaagt. Tot nu toe bestonden zulke remmers alleen als injectie (antistoffen). De werkzame stof werd gevonden met een methode die zeer grote peptidebibliotheken doorzoekt naar geschikte bindingspartners, en daarna gericht chemisch geoptimaliseerd</w:t>
      </w:r>
      <w:r>
        <w:rPr>
          <w:rStyle w:val="FootnoteReference"/>
        </w:rPr>
        <w:footnoteReference w:id="2877"/>
      </w:r>
      <w:r>
        <w:t xml:space="preserve">. In de fase 3-studie CORALreef Lipids met 2.909 deelnemers daalde het LDL-cholesterol na 24 weken met 57,1%, met placebo steeg het met 3,0%. Ongewenste voorvallen kwamen in beide groepen ongeveer even vaak voor</w:t>
      </w:r>
      <w:r>
        <w:rPr>
          <w:rStyle w:val="FootnoteReference"/>
        </w:rPr>
        <w:footnoteReference w:id="2878"/>
      </w:r>
      <w:r>
        <w:t xml:space="preserve">. Of dit ook hartinfarcten en beroertes voorkomt, moet CORALreef Outcomes met 14.550 deelnemers laten zien (NCT06008756, einde november 2031).</w:t>
      </w:r>
    </w:p>
    <w:p>
      <w:pPr>
        <w:numPr>
          <w:ilvl w:val="0"/>
          <w:numId w:val="1358"/>
        </w:numPr>
        <w:pStyle w:val="Compact"/>
      </w:pPr>
      <w:r>
        <w:rPr>
          <w:bCs/>
          <w:b/>
        </w:rPr>
        <w:t xml:space="preserve">Icotrokinra</w:t>
      </w:r>
      <w:r>
        <w:t xml:space="preserve"> </w:t>
      </w:r>
      <w:r>
        <w:t xml:space="preserve">is een oraal peptide dat de receptor voor de ontstekingssignaalstof interleukine-23 blokkeert. In de fase 3-studie ICONIC-LEAD met 684 volwassenen en jongeren met matige tot ernstige psoriasis bereikte na 16 weken 65% een (bijna) symptoomvrije huid tegenover 8% met placebo; ongewenste voorvallen kwamen in beide groepen even vaak voor (49%)</w:t>
      </w:r>
      <w:r>
        <w:rPr>
          <w:rStyle w:val="FootnoteReference"/>
        </w:rPr>
        <w:footnoteReference w:id="2879"/>
      </w:r>
      <w:r>
        <w:t xml:space="preserve">. In maart 2026 werd icotrokinra in de VS geregistreerd; in de EU liep de beoordeling (Keam 2026, PMID 42243571; actuele stand controleren). Opmerkelijk is de weg daarnaartoe: volgens een farmacologisch onderzoek heeft icotrokinra</w:t>
      </w:r>
      <w:r>
        <w:t xml:space="preserve"> </w:t>
      </w:r>
      <w:r>
        <w:rPr>
          <w:bCs/>
          <w:b/>
        </w:rPr>
        <w:t xml:space="preserve">geen</w:t>
      </w:r>
      <w:r>
        <w:t xml:space="preserve"> </w:t>
      </w:r>
      <w:r>
        <w:t xml:space="preserve">absorptieversterker nodig. In dierproeven kwam slechts 0,1 tot 0,3% in het bloed, en toch was een werking in het hele lichaam meetbaar, omdat het peptide zeer stabiel en zeer werkzaam is</w:t>
      </w:r>
      <w:r>
        <w:rPr>
          <w:rStyle w:val="FootnoteReference"/>
        </w:rPr>
        <w:footnoteReference w:id="2880"/>
      </w:r>
      <w:r>
        <w:t xml:space="preserve">. Studies bij colitis ulcerosa lopen (ICONIC-UC, NCT07196748).</w:t>
      </w:r>
    </w:p>
    <w:p>
      <w:pPr>
        <w:pStyle w:val="FirstParagraph"/>
      </w:pPr>
      <w:r>
        <w:t xml:space="preserve">Beide werkzame stoffen zijn geen peptiden van de grijze markt, maar doelbewust op de tekentafel ontworpen moleculen die jarenlang in grote studies zijn getest. Met de „orale” peptiden die op internet worden aangeboden, hebben ze niets gemeen.</w:t>
      </w:r>
    </w:p>
    <w:bookmarkEnd w:id="2881"/>
    <w:bookmarkEnd w:id="2882"/>
    <w:bookmarkStart w:id="2891" w:name="X117a413f864920b0112508ea94c9202fd3d8484"/>
    <w:p>
      <w:pPr>
        <w:pStyle w:val="Heading3"/>
      </w:pPr>
      <w:r>
        <w:t xml:space="preserve">Weg 2: kleine moleculen in plaats van peptiden</w:t>
      </w:r>
    </w:p>
    <w:bookmarkStart w:id="2888" w:name="orforglipron"/>
    <w:p>
      <w:pPr>
        <w:pStyle w:val="Heading4"/>
      </w:pPr>
      <w:r>
        <w:t xml:space="preserve">Orforglipron</w:t>
      </w:r>
    </w:p>
    <w:p>
      <w:pPr>
        <w:pStyle w:val="FirstParagraph"/>
      </w:pPr>
      <w:r>
        <w:t xml:space="preserve">Orforglipron is geen peptide, maar een klein, chemisch geproduceerd molecuul dat de GLP-1-receptor activeert (uitvoerig in het hoofdstuk Orforglipron in Deel II · A). Het wordt als een gewone tablet eenmaal daags ingenomen, volgens de studies zonder rekening te houden met maaltijden of hoeveelheid water</w:t>
      </w:r>
      <w:r>
        <w:rPr>
          <w:rStyle w:val="FootnoteReference"/>
        </w:rPr>
        <w:footnoteReference w:id="2883"/>
      </w:r>
      <w:r>
        <w:t xml:space="preserve">.</w:t>
      </w:r>
    </w:p>
    <w:p>
      <w:pPr>
        <w:numPr>
          <w:ilvl w:val="0"/>
          <w:numId w:val="1359"/>
        </w:numPr>
        <w:pStyle w:val="Compact"/>
      </w:pPr>
      <w:r>
        <w:rPr>
          <w:bCs/>
          <w:b/>
        </w:rPr>
        <w:t xml:space="preserve">Gewicht:</w:t>
      </w:r>
      <w:r>
        <w:t xml:space="preserve"> </w:t>
      </w:r>
      <w:r>
        <w:t xml:space="preserve">in ATTAIN-1 met 3.127 volwassenen met obesitas daalde het gewicht na 72 weken bij de hoogste dosis met 11,2%, met placebo met 2,1%. Wegens bijwerkingen stopte 5,3 tot 10,3% (placebo 2,7%)</w:t>
      </w:r>
      <w:r>
        <w:rPr>
          <w:rStyle w:val="FootnoteReference"/>
        </w:rPr>
        <w:footnoteReference w:id="2884"/>
      </w:r>
      <w:r>
        <w:t xml:space="preserve">.</w:t>
      </w:r>
    </w:p>
    <w:p>
      <w:pPr>
        <w:numPr>
          <w:ilvl w:val="0"/>
          <w:numId w:val="1359"/>
        </w:numPr>
        <w:pStyle w:val="Compact"/>
      </w:pPr>
      <w:r>
        <w:rPr>
          <w:bCs/>
          <w:b/>
        </w:rPr>
        <w:t xml:space="preserve">Bloedsuiker:</w:t>
      </w:r>
      <w:r>
        <w:t xml:space="preserve"> </w:t>
      </w:r>
      <w:r>
        <w:t xml:space="preserve">in de open vergelijking met de semaglutide-tablet (ACHIEVE-3, 1.698 deelnemers) verlaagde orforglipron de HbA1c-waarde na 52 weken sterker, bij de telkens hogere doses met 1,91 tegenover 1,47 procentpunt</w:t>
      </w:r>
      <w:r>
        <w:rPr>
          <w:rStyle w:val="FootnoteReference"/>
        </w:rPr>
        <w:footnoteReference w:id="2885"/>
      </w:r>
      <w:r>
        <w:t xml:space="preserve">.</w:t>
      </w:r>
    </w:p>
    <w:p>
      <w:pPr>
        <w:numPr>
          <w:ilvl w:val="0"/>
          <w:numId w:val="1359"/>
        </w:numPr>
        <w:pStyle w:val="Compact"/>
      </w:pPr>
      <w:r>
        <w:rPr>
          <w:bCs/>
          <w:b/>
        </w:rPr>
        <w:t xml:space="preserve">Gewicht behouden:</w:t>
      </w:r>
      <w:r>
        <w:t xml:space="preserve"> </w:t>
      </w:r>
      <w:r>
        <w:t xml:space="preserve">in ATTAIN-MAINTAIN stapten deelnemers na afvallen met geïnjecteerd tirzepatide of semaglutide over op orforglipron of placebo. Na 52 weken behielden ze met orforglipron 74,7% resp. 79,3% van hun gewichtsverlies, met placebo 49,2% resp. 37,6%. Een groep die gewoon de injectie bleef krijgen, was er niet; de auteurs noemen dat zelf als beperking</w:t>
      </w:r>
      <w:r>
        <w:rPr>
          <w:rStyle w:val="FootnoteReference"/>
        </w:rPr>
        <w:footnoteReference w:id="2886"/>
      </w:r>
      <w:r>
        <w:t xml:space="preserve">.</w:t>
      </w:r>
    </w:p>
    <w:p>
      <w:pPr>
        <w:numPr>
          <w:ilvl w:val="0"/>
          <w:numId w:val="1359"/>
        </w:numPr>
        <w:pStyle w:val="Compact"/>
      </w:pPr>
      <w:r>
        <w:rPr>
          <w:bCs/>
          <w:b/>
        </w:rPr>
        <w:t xml:space="preserve">Lever:</w:t>
      </w:r>
      <w:r>
        <w:t xml:space="preserve"> </w:t>
      </w:r>
      <w:r>
        <w:t xml:space="preserve">bij kleine GLP-1-moleculen waren leverwaarden een bijzondere zorg. Een gepoolde analyse van zeven fase 3-studies met 11.220 deelnemers vond voor orforglipron geen enkel geval dat voldeed aan de criteria van door geneesmiddelen veroorzaakte leverschade</w:t>
      </w:r>
      <w:r>
        <w:rPr>
          <w:rStyle w:val="FootnoteReference"/>
        </w:rPr>
        <w:footnoteReference w:id="2887"/>
      </w:r>
      <w:r>
        <w:t xml:space="preserve">.</w:t>
      </w:r>
    </w:p>
    <w:bookmarkEnd w:id="2888"/>
    <w:bookmarkStart w:id="2890" w:name="niet-elk-klein-molecuul-haalt-het"/>
    <w:p>
      <w:pPr>
        <w:pStyle w:val="Heading4"/>
      </w:pPr>
      <w:r>
        <w:t xml:space="preserve">Niet elk klein molecuul haalt het</w:t>
      </w:r>
    </w:p>
    <w:p>
      <w:pPr>
        <w:pStyle w:val="FirstParagraph"/>
      </w:pPr>
      <w:r>
        <w:t xml:space="preserve">Dat de weg moeilijk is, laat</w:t>
      </w:r>
      <w:r>
        <w:t xml:space="preserve"> </w:t>
      </w:r>
      <w:r>
        <w:rPr>
          <w:bCs/>
          <w:b/>
        </w:rPr>
        <w:t xml:space="preserve">danuglipron</w:t>
      </w:r>
      <w:r>
        <w:t xml:space="preserve"> </w:t>
      </w:r>
      <w:r>
        <w:t xml:space="preserve">van Pfizer zien. In een fase 2b-studie met 628 volwassenen met obesitas, waarin de tabletten tweemaal daags werden ingenomen, daalde het gewicht weliswaar duidelijk sterker dan met placebo, maar slechts 39,3% voltooide de behandeling; ongeveer 38% stopte wegens bijwerkingen</w:t>
      </w:r>
      <w:r>
        <w:rPr>
          <w:rStyle w:val="FootnoteReference"/>
        </w:rPr>
        <w:footnoteReference w:id="2889"/>
      </w:r>
      <w:r>
        <w:t xml:space="preserve">. Volgens mededelingen van de fabrikant werd de ontwikkeling stopgezet. Andere bedrijven ontwikkelen eigen tabletten; AstraZeneca test bijvoorbeeld de werkzame stof elecoglipron in een fase 3-studie tegen de semaglutide-tablet (Eluminate-2, NCT07662213).</w:t>
      </w:r>
    </w:p>
    <w:bookmarkEnd w:id="2890"/>
    <w:bookmarkEnd w:id="2891"/>
    <w:bookmarkStart w:id="2893" w:name="X6fb0dc6b1e8c22831eda312a4f0fd9097c3fb47"/>
    <w:p>
      <w:pPr>
        <w:pStyle w:val="Heading3"/>
      </w:pPr>
      <w:r>
        <w:t xml:space="preserve">Peptidetablet of klein molecuul: een vergelijking</w:t>
      </w:r>
    </w:p>
    <w:p>
      <w:pPr>
        <w:pStyle w:val="FirstParagraph"/>
      </w:pPr>
      <w:r>
        <w:t xml:space="preserve">Een directe vergelijking van de semaglutide-tablet met orforglipron bij obesitas ontbreekt. Een analyse vergeleek de twee indirect door de individuele gegevens van OASIS 4 af te zetten tegen de gepubliceerde totaalgegevens van ATTAIN-1. Daarbij was het gewichtsverlies met de semaglutide-tablet ongeveer 3 procentpunten groter, en stoppen wegens bijwerkingen kwam met orforglipron vaker voor</w:t>
      </w:r>
      <w:r>
        <w:rPr>
          <w:rStyle w:val="FootnoteReference"/>
        </w:rPr>
        <w:footnoteReference w:id="2892"/>
      </w:r>
      <w:r>
        <w:t xml:space="preserve">. Zulke indirecte vergelijkingen moeten met voorzichtigheid worden gelezen: alleen voor één van de twee studies waren de individuele gegevens beschikbaar, en wel die van het semaglutideprogramma.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Kenmerk</w:t>
            </w:r>
          </w:p>
        </w:tc>
        <w:tc>
          <w:tcPr/>
          <w:p>
            <w:pPr>
              <w:pStyle w:val="Compact"/>
              <w:jc w:val="left"/>
            </w:pPr>
            <w:r>
              <w:t xml:space="preserve">Peptide-injectie</w:t>
            </w:r>
          </w:p>
        </w:tc>
        <w:tc>
          <w:tcPr/>
          <w:p>
            <w:pPr>
              <w:pStyle w:val="Compact"/>
              <w:jc w:val="left"/>
            </w:pPr>
            <w:r>
              <w:t xml:space="preserve">Peptidetablet</w:t>
            </w:r>
          </w:p>
        </w:tc>
        <w:tc>
          <w:tcPr/>
          <w:p>
            <w:pPr>
              <w:pStyle w:val="Compact"/>
              <w:jc w:val="left"/>
            </w:pPr>
            <w:r>
              <w:t xml:space="preserve">Klein molecuul</w:t>
            </w:r>
          </w:p>
        </w:tc>
      </w:tr>
      <w:tr>
        <w:tc>
          <w:tcPr/>
          <w:p>
            <w:pPr>
              <w:pStyle w:val="Compact"/>
              <w:jc w:val="left"/>
            </w:pPr>
            <w:r>
              <w:t xml:space="preserve">Voorbeeld</w:t>
            </w:r>
          </w:p>
        </w:tc>
        <w:tc>
          <w:tcPr/>
          <w:p>
            <w:pPr>
              <w:pStyle w:val="Compact"/>
              <w:jc w:val="left"/>
            </w:pPr>
            <w:r>
              <w:t xml:space="preserve">Semaglutide, tirzepatide</w:t>
            </w:r>
          </w:p>
        </w:tc>
        <w:tc>
          <w:tcPr/>
          <w:p>
            <w:pPr>
              <w:pStyle w:val="Compact"/>
              <w:jc w:val="left"/>
            </w:pPr>
            <w:r>
              <w:t xml:space="preserve">Semaglutide-tablet, zenagamtide-tablet</w:t>
            </w:r>
          </w:p>
        </w:tc>
        <w:tc>
          <w:tcPr/>
          <w:p>
            <w:pPr>
              <w:pStyle w:val="Compact"/>
              <w:jc w:val="left"/>
            </w:pPr>
            <w:r>
              <w:t xml:space="preserve">Orforglipron</w:t>
            </w:r>
          </w:p>
        </w:tc>
      </w:tr>
      <w:tr>
        <w:tc>
          <w:tcPr/>
          <w:p>
            <w:pPr>
              <w:pStyle w:val="Compact"/>
              <w:jc w:val="left"/>
            </w:pPr>
            <w:r>
              <w:t xml:space="preserve">Inname</w:t>
            </w:r>
          </w:p>
        </w:tc>
        <w:tc>
          <w:tcPr/>
          <w:p>
            <w:pPr>
              <w:pStyle w:val="Compact"/>
              <w:jc w:val="left"/>
            </w:pPr>
            <w:r>
              <w:t xml:space="preserve">wekelijks tot maandelijks</w:t>
            </w:r>
          </w:p>
        </w:tc>
        <w:tc>
          <w:tcPr/>
          <w:p>
            <w:pPr>
              <w:pStyle w:val="Compact"/>
              <w:jc w:val="left"/>
            </w:pPr>
            <w:r>
              <w:t xml:space="preserve">dagelijks, nuchter, met innameregels</w:t>
            </w:r>
          </w:p>
        </w:tc>
        <w:tc>
          <w:tcPr/>
          <w:p>
            <w:pPr>
              <w:pStyle w:val="Compact"/>
              <w:jc w:val="left"/>
            </w:pPr>
            <w:r>
              <w:t xml:space="preserve">dagelijks, zonder maaltijdregels</w:t>
            </w:r>
          </w:p>
        </w:tc>
      </w:tr>
      <w:tr>
        <w:tc>
          <w:tcPr/>
          <w:p>
            <w:pPr>
              <w:pStyle w:val="Compact"/>
              <w:jc w:val="left"/>
            </w:pPr>
            <w:r>
              <w:t xml:space="preserve">Behoefte aan werkzame stof</w:t>
            </w:r>
          </w:p>
        </w:tc>
        <w:tc>
          <w:tcPr/>
          <w:p>
            <w:pPr>
              <w:pStyle w:val="Compact"/>
              <w:jc w:val="left"/>
            </w:pPr>
            <w:r>
              <w:t xml:space="preserve">gering</w:t>
            </w:r>
          </w:p>
        </w:tc>
        <w:tc>
          <w:tcPr/>
          <w:p>
            <w:pPr>
              <w:pStyle w:val="Compact"/>
              <w:jc w:val="left"/>
            </w:pPr>
            <w:r>
              <w:t xml:space="preserve">zeer hoog (opname ongeveer 1%)</w:t>
            </w:r>
          </w:p>
        </w:tc>
        <w:tc>
          <w:tcPr/>
          <w:p>
            <w:pPr>
              <w:pStyle w:val="Compact"/>
              <w:jc w:val="left"/>
            </w:pPr>
            <w:r>
              <w:t xml:space="preserve">normaal voor tabletten</w:t>
            </w:r>
          </w:p>
        </w:tc>
      </w:tr>
      <w:tr>
        <w:tc>
          <w:tcPr/>
          <w:p>
            <w:pPr>
              <w:pStyle w:val="Compact"/>
              <w:jc w:val="left"/>
            </w:pPr>
            <w:r>
              <w:t xml:space="preserve">Gewichtsverlies in studies</w:t>
            </w:r>
          </w:p>
        </w:tc>
        <w:tc>
          <w:tcPr/>
          <w:p>
            <w:pPr>
              <w:pStyle w:val="Compact"/>
              <w:jc w:val="left"/>
            </w:pPr>
            <w:r>
              <w:t xml:space="preserve">het hoogst</w:t>
            </w:r>
          </w:p>
        </w:tc>
        <w:tc>
          <w:tcPr/>
          <w:p>
            <w:pPr>
              <w:pStyle w:val="Compact"/>
              <w:jc w:val="left"/>
            </w:pPr>
            <w:r>
              <w:t xml:space="preserve">vergelijkbaar met de semaglutide-injectie</w:t>
            </w:r>
          </w:p>
        </w:tc>
        <w:tc>
          <w:tcPr/>
          <w:p>
            <w:pPr>
              <w:pStyle w:val="Compact"/>
              <w:jc w:val="left"/>
            </w:pPr>
            <w:r>
              <w:t xml:space="preserve">iets lager</w:t>
            </w:r>
          </w:p>
        </w:tc>
      </w:tr>
      <w:tr>
        <w:tc>
          <w:tcPr/>
          <w:p>
            <w:pPr>
              <w:pStyle w:val="Compact"/>
              <w:jc w:val="left"/>
            </w:pPr>
            <w:r>
              <w:t xml:space="preserve">Afbraak, interacties</w:t>
            </w:r>
          </w:p>
        </w:tc>
        <w:tc>
          <w:tcPr/>
          <w:p>
            <w:pPr>
              <w:pStyle w:val="Compact"/>
              <w:jc w:val="left"/>
            </w:pPr>
            <w:r>
              <w:t xml:space="preserve">zoals eiwit, nauwelijks interacties</w:t>
            </w:r>
          </w:p>
        </w:tc>
        <w:tc>
          <w:tcPr/>
          <w:p>
            <w:pPr>
              <w:pStyle w:val="Compact"/>
              <w:jc w:val="left"/>
            </w:pPr>
            <w:r>
              <w:t xml:space="preserve">zoals eiwit</w:t>
            </w:r>
          </w:p>
        </w:tc>
        <w:tc>
          <w:tcPr/>
          <w:p>
            <w:pPr>
              <w:pStyle w:val="Compact"/>
              <w:jc w:val="left"/>
            </w:pPr>
            <w:r>
              <w:t xml:space="preserve">via leverenzymen, interacties mogelijk</w:t>
            </w:r>
          </w:p>
        </w:tc>
      </w:tr>
      <w:tr>
        <w:tc>
          <w:tcPr/>
          <w:p>
            <w:pPr>
              <w:pStyle w:val="Compact"/>
              <w:jc w:val="left"/>
            </w:pPr>
            <w:r>
              <w:t xml:space="preserve">Harde eindpunten</w:t>
            </w:r>
          </w:p>
        </w:tc>
        <w:tc>
          <w:tcPr/>
          <w:p>
            <w:pPr>
              <w:pStyle w:val="Compact"/>
              <w:jc w:val="left"/>
            </w:pPr>
            <w:r>
              <w:t xml:space="preserve">voor meerdere werkzame stoffen aangetoond</w:t>
            </w:r>
          </w:p>
        </w:tc>
        <w:tc>
          <w:tcPr/>
          <w:p>
            <w:pPr>
              <w:pStyle w:val="Compact"/>
              <w:jc w:val="left"/>
            </w:pPr>
            <w:r>
              <w:t xml:space="preserve">bij diabetes type 2 aangetoond (SOUL)</w:t>
            </w:r>
          </w:p>
        </w:tc>
        <w:tc>
          <w:tcPr/>
          <w:p>
            <w:pPr>
              <w:pStyle w:val="Compact"/>
              <w:jc w:val="left"/>
            </w:pPr>
            <w:r>
              <w:t xml:space="preserve">eindpuntstudie loopt tot 2031</w:t>
            </w:r>
          </w:p>
        </w:tc>
      </w:tr>
    </w:tbl>
    <w:p>
      <w:pPr>
        <w:pStyle w:val="BodyText"/>
      </w:pPr>
      <w:r>
        <w:t xml:space="preserve">Het punt „interacties” verdient een toelichting: peptiden worden in het lichaam afgebroken zoals andere eiwitten. Kleine moleculen zoals orforglipron worden daarentegen omgezet via leverenzymen, waarlangs ook veel andere geneesmiddelen lopen. Daarom zijn voor orforglipron talrijke interactiestudies uitgevoerd (zie hoofdstuk Orforglipron).</w:t>
      </w:r>
    </w:p>
    <w:bookmarkEnd w:id="2893"/>
    <w:bookmarkStart w:id="2899" w:name="open-vragen"/>
    <w:p>
      <w:pPr>
        <w:pStyle w:val="Heading3"/>
      </w:pPr>
      <w:r>
        <w:t xml:space="preserve">Open vragen</w:t>
      </w:r>
    </w:p>
    <w:p>
      <w:pPr>
        <w:pStyle w:val="FirstParagraph"/>
      </w:pPr>
      <w:r>
        <w:rPr>
          <w:bCs/>
          <w:b/>
        </w:rPr>
        <w:t xml:space="preserve">Neemt men een dagelijkse tablet betrouwbaarder in dan een wekelijkse injectie?</w:t>
      </w:r>
      <w:r>
        <w:t xml:space="preserve"> </w:t>
      </w:r>
      <w:r>
        <w:t xml:space="preserve">Dat staat allerminst vast. Wie één injectie per week inruilt voor zeven tabletten, heeft zeven gelegenheden per week om een dosis te vergeten. Bij de semaglutide-tablet komt daarbij dat al een te vroege maaltijd de opname praktisch kan verhinderen</w:t>
      </w:r>
      <w:r>
        <w:rPr>
          <w:rStyle w:val="FootnoteReference"/>
        </w:rPr>
        <w:footnoteReference w:id="2894"/>
      </w:r>
      <w:r>
        <w:t xml:space="preserve">. Hoe dat in het dagelijks leven op de werking uitpakt, laten registratiestudies met hun nauw begeleide deelnemers niet zien.</w:t>
      </w:r>
    </w:p>
    <w:p>
      <w:pPr>
        <w:pStyle w:val="BodyText"/>
      </w:pPr>
      <w:r>
        <w:rPr>
          <w:bCs/>
          <w:b/>
        </w:rPr>
        <w:t xml:space="preserve">Zijn er harde eindpunten voor tabletten bij obesitas?</w:t>
      </w:r>
      <w:r>
        <w:t xml:space="preserve"> </w:t>
      </w:r>
      <w:r>
        <w:t xml:space="preserve">Nog niet. SOUL betrof mensen met diabetes type 2. De cardiovasculaire studie met orforglipron loopt tot 2031</w:t>
      </w:r>
      <w:r>
        <w:rPr>
          <w:rStyle w:val="FootnoteReference"/>
        </w:rPr>
        <w:footnoteReference w:id="2895"/>
      </w:r>
      <w:r>
        <w:t xml:space="preserve">, en orforglipron wordt zelfs getest bij mensen met overgewicht om de overgang naar obesitas of naar gevolgziekten te voorkomen (ATTAIN-NOW, NCT07794579, 2.001 deelnemers, einde september 2030).</w:t>
      </w:r>
    </w:p>
    <w:p>
      <w:pPr>
        <w:pStyle w:val="BodyText"/>
      </w:pPr>
      <w:r>
        <w:rPr>
          <w:bCs/>
          <w:b/>
        </w:rPr>
        <w:t xml:space="preserve">Is de tablet het middel voor de onderhoudsfase?</w:t>
      </w:r>
      <w:r>
        <w:t xml:space="preserve"> </w:t>
      </w:r>
      <w:r>
        <w:t xml:space="preserve">ATTAIN-MAINTAIN suggereert dat een overstap van de injectie op een tablet een groot deel van het gewichtsverlies kan behouden. Of dat even goed is als de injectie voortzetten, is niet onderzocht.</w:t>
      </w:r>
    </w:p>
    <w:p>
      <w:pPr>
        <w:pStyle w:val="BodyText"/>
      </w:pPr>
      <w:r>
        <w:rPr>
          <w:bCs/>
          <w:b/>
        </w:rPr>
        <w:t xml:space="preserve">Worden tabletten goedkoper?</w:t>
      </w:r>
      <w:r>
        <w:t xml:space="preserve"> </w:t>
      </w:r>
      <w:r>
        <w:t xml:space="preserve">Voor kleine moleculen is dat aannemelijk, omdat ze met standaardmethoden uit de chemie worden geproduceerd. Voor peptidetabletten spreekt de kostenraming dat eerder tegen, omdat ze veel meer werkzame stof nodig hebben</w:t>
      </w:r>
      <w:r>
        <w:rPr>
          <w:rStyle w:val="FootnoteReference"/>
        </w:rPr>
        <w:footnoteReference w:id="2896"/>
      </w:r>
      <w:r>
        <w:t xml:space="preserve">. Concrete prijzen in Europa zijn onbekend.</w:t>
      </w:r>
    </w:p>
    <w:p>
      <w:pPr>
        <w:pStyle w:val="BodyText"/>
      </w:pPr>
      <w:r>
        <w:rPr>
          <w:bCs/>
          <w:b/>
        </w:rPr>
        <w:t xml:space="preserve">Hoe zit het met druppels, smelttabletten en neussprays van internet?</w:t>
      </w:r>
      <w:r>
        <w:t xml:space="preserve"> </w:t>
      </w:r>
      <w:r>
        <w:t xml:space="preserve">Hier is voorzichtigheid geboden. Een onderzoek naar in de VS geproduceerde apotheekbereidingen vond semaglutide- of tirzepatidebereidingen voor gebruik onder de tong en als smelttablet, waarvoor geen bewijs van werkzaamheid en veiligheid bestaat</w:t>
      </w:r>
      <w:r>
        <w:rPr>
          <w:rStyle w:val="FootnoteReference"/>
        </w:rPr>
        <w:footnoteReference w:id="2897"/>
      </w:r>
      <w:r>
        <w:t xml:space="preserve">. Namaakproducten van oraal semaglutide bevatten in een laboratoriumanalyse deels duidelijk minder werkzame stof dan opgegeven en gaven werkzame stof en SNAC anders af dan het origineel</w:t>
      </w:r>
      <w:r>
        <w:rPr>
          <w:rStyle w:val="FootnoteReference"/>
        </w:rPr>
        <w:footnoteReference w:id="2898"/>
      </w:r>
      <w:r>
        <w:t xml:space="preserve">. Een peptide dat „als tablet” wordt verkocht, wordt zonder een geteste formulering nauwelijks opgenomen – dat geldt voor semaglutide net zo goed als voor BPC-157 of andere grijze-marktpeptiden.</w:t>
      </w:r>
    </w:p>
    <w:bookmarkEnd w:id="2899"/>
    <w:bookmarkStart w:id="2900" w:name="inschatting-van-de-auteur"/>
    <w:p>
      <w:pPr>
        <w:pStyle w:val="Heading3"/>
      </w:pPr>
      <w:r>
        <w:t xml:space="preserve">Inschatting van de auteur</w:t>
      </w:r>
    </w:p>
    <w:p>
      <w:pPr>
        <w:pStyle w:val="FirstParagraph"/>
      </w:pPr>
      <w:r>
        <w:t xml:space="preserve">De injectie zal niet verdwijnen, maar haar monopoliepositie is voorbij. Voor de fase van sterk gewichtsverlies zullen geïnjecteerde werkzame stoffen in de komende jaren waarschijnlijk vooraan blijven, omdat ze in studies het meeste effect hebben en de cardiovasculaire gegevens tot nu toe bijna uitsluitend voor hen beschikbaar zijn. Voor jarenlang onderhoud, voor mensen met angst voor injecties en voor landen zonder betrouwbare koudeketen zijn tabletten daarentegen een echte vooruitgang. Of peptidetabletten of kleine moleculen de overhand krijgen, zal minder door de werking worden beslist dan door prijs, innamegemak en veiligheid op lange termijn. Dat is een inschatting; vast staat alleen dat beide wegen in grote fase 3-studies worden getest.</w:t>
      </w:r>
    </w:p>
    <w:bookmarkEnd w:id="2900"/>
    <w:bookmarkStart w:id="2901" w:name="het-belangrijkste-in-het-kort-9"/>
    <w:p>
      <w:pPr>
        <w:pStyle w:val="Heading3"/>
      </w:pPr>
      <w:r>
        <w:t xml:space="preserve">Het belangrijkste in het kort</w:t>
      </w:r>
    </w:p>
    <w:p>
      <w:pPr>
        <w:numPr>
          <w:ilvl w:val="0"/>
          <w:numId w:val="1360"/>
        </w:numPr>
        <w:pStyle w:val="Compact"/>
      </w:pPr>
      <w:r>
        <w:t xml:space="preserve">Peptiden als tablet werken alleen met grote technische inspanning. Bij de semaglutide-tablet komt ongeveer 1% van de werkzame stof in het bloed, toch bereikt ze in studies een vergelijkbaar gewichtsverlies als de injectie.</w:t>
      </w:r>
    </w:p>
    <w:p>
      <w:pPr>
        <w:numPr>
          <w:ilvl w:val="0"/>
          <w:numId w:val="1360"/>
        </w:numPr>
        <w:pStyle w:val="Compact"/>
      </w:pPr>
      <w:r>
        <w:t xml:space="preserve">Kleine moleculen zoals orforglipron omzeilen het probleem, maar gaven in studies iets minder gewichtsverlies en worden via leverenzymen afgebroken.</w:t>
      </w:r>
    </w:p>
    <w:p>
      <w:pPr>
        <w:numPr>
          <w:ilvl w:val="0"/>
          <w:numId w:val="1360"/>
        </w:numPr>
        <w:pStyle w:val="Compact"/>
      </w:pPr>
      <w:r>
        <w:t xml:space="preserve">Orale peptiden worden ook buiten de stofwisseling een eigen klasse geneesmiddelen, bijvoorbeeld tegen hoog cholesterol (enlicitide) en psoriasis (icotrokinra).</w:t>
      </w:r>
    </w:p>
    <w:p>
      <w:pPr>
        <w:numPr>
          <w:ilvl w:val="0"/>
          <w:numId w:val="1360"/>
        </w:numPr>
        <w:pStyle w:val="Compact"/>
      </w:pPr>
      <w:r>
        <w:t xml:space="preserve">Open zijn langetermijngegevens, harde eindpunten bij obesitas, therapietrouw in het dagelijks leven en de prijzen.</w:t>
      </w:r>
    </w:p>
    <w:p>
      <w:pPr>
        <w:numPr>
          <w:ilvl w:val="0"/>
          <w:numId w:val="1360"/>
        </w:numPr>
        <w:pStyle w:val="Compact"/>
      </w:pPr>
      <w:r>
        <w:t xml:space="preserve">Geneesmiddelen horen alleen onder medische begeleiding en volgens de productinformatie te worden gebruikt; „orale” grijze-marktpeptiden hebben met deze ontwikkelingen niets te maken.</w:t>
      </w:r>
    </w:p>
    <w:bookmarkEnd w:id="2901"/>
    <w:bookmarkEnd w:id="2902"/>
    <w:bookmarkStart w:id="2929" w:name="octrooien-generieken-en-prijzen"/>
    <w:p>
      <w:pPr>
        <w:pStyle w:val="Heading2"/>
      </w:pPr>
      <w:r>
        <w:t xml:space="preserve">Octrooien, generieken en prijzen</w:t>
      </w:r>
    </w:p>
    <w:p>
      <w:pPr>
        <w:pStyle w:val="FirstParagraph"/>
      </w:pPr>
      <w:r>
        <w:t xml:space="preserve">Of een geneesmiddel werkt, wordt bepaald door studies. Of het bij de mensen terechtkomt, wordt bepaald door octrooien, prijzen, toeleveringsketens en zorgverzekeraars. Bij de GLP-1-geneesmiddelen is dit tweede deel van het verhaal bijna net zo dramatisch als het eerste: leveringstekorten, een markt voor apotheekkopieën in de VS, vervalsingen wereldwijd – en in 2026 het aflopen van de eerste semaglutide-octrooien in grote landen.</w:t>
      </w:r>
    </w:p>
    <w:p>
      <w:pPr>
        <w:pStyle w:val="BodyText"/>
      </w:pPr>
      <w:r>
        <w:rPr>
          <w:bCs/>
          <w:b/>
        </w:rPr>
        <w:t xml:space="preserve">Een belangrijke opmerking vooraf:</w:t>
      </w:r>
      <w:r>
        <w:t xml:space="preserve"> </w:t>
      </w:r>
      <w:r>
        <w:t xml:space="preserve">prijzen, octrooitermijnen en vergoedingsregels veranderen snel en zijn maar gedeeltelijk in wetenschappelijke publicaties vastgelegd. Waar dit hoofdstuk gegevens zonder studiebewijs geeft, zijn die gemarkeerd met „stand 2026, controleren”. Concrete prijzen in euro worden bewust niet genoemd, omdat ze verschillen per land, verpakking en tijdstip.</w:t>
      </w:r>
    </w:p>
    <w:bookmarkStart w:id="2904" w:name="X67db25653b31b7df8ec5674dee63ad003819e7a"/>
    <w:p>
      <w:pPr>
        <w:pStyle w:val="Heading3"/>
      </w:pPr>
      <w:r>
        <w:t xml:space="preserve">Octrooien, generieken en biosimilars: de begrippen</w:t>
      </w:r>
    </w:p>
    <w:p>
      <w:pPr>
        <w:pStyle w:val="FirstParagraph"/>
      </w:pPr>
      <w:r>
        <w:t xml:space="preserve">Een</w:t>
      </w:r>
      <w:r>
        <w:t xml:space="preserve"> </w:t>
      </w:r>
      <w:r>
        <w:rPr>
          <w:bCs/>
          <w:b/>
        </w:rPr>
        <w:t xml:space="preserve">octrooi</w:t>
      </w:r>
      <w:r>
        <w:t xml:space="preserve"> </w:t>
      </w:r>
      <w:r>
        <w:t xml:space="preserve">geeft de fabrikant voor een beperkte tijd het alleenrecht om een werkzame stof te verkopen. In de EU en de VS bedraagt de basistermijn 20 jaar vanaf de aanvraag; omdat de ontwikkeling vele jaren duurt, kan die voor geneesmiddelen met een aanvullend beschermingscertificaat met maximaal vijf jaar worden verlengd. Naast het octrooi op de werkzame stof zelf zijn er vaak nog andere octrooien op productieprocessen, toedieningsvormen of pennen.</w:t>
      </w:r>
    </w:p>
    <w:p>
      <w:pPr>
        <w:pStyle w:val="BodyText"/>
      </w:pPr>
      <w:r>
        <w:t xml:space="preserve">Na afloop van de bescherming mogen andere fabrikanten namaakpreparaten aanbieden:</w:t>
      </w:r>
    </w:p>
    <w:p>
      <w:pPr>
        <w:numPr>
          <w:ilvl w:val="0"/>
          <w:numId w:val="1361"/>
        </w:numPr>
        <w:pStyle w:val="Compact"/>
      </w:pPr>
      <w:r>
        <w:rPr>
          <w:bCs/>
          <w:b/>
        </w:rPr>
        <w:t xml:space="preserve">Generieken</w:t>
      </w:r>
      <w:r>
        <w:t xml:space="preserve"> </w:t>
      </w:r>
      <w:r>
        <w:t xml:space="preserve">zijn kopieën van chemisch geproduceerde werkzame stoffen. Ze moeten aantonen dat ze dezelfde werkzame stof bevatten en in het lichaam op dezelfde manier beschikbaar zijn; nieuwe grote werkzaamheidsstudies zijn niet nodig.</w:t>
      </w:r>
    </w:p>
    <w:p>
      <w:pPr>
        <w:numPr>
          <w:ilvl w:val="0"/>
          <w:numId w:val="1361"/>
        </w:numPr>
        <w:pStyle w:val="Compact"/>
      </w:pPr>
      <w:r>
        <w:rPr>
          <w:bCs/>
          <w:b/>
        </w:rPr>
        <w:t xml:space="preserve">Biosimilars</w:t>
      </w:r>
      <w:r>
        <w:t xml:space="preserve"> </w:t>
      </w:r>
      <w:r>
        <w:t xml:space="preserve">zijn opvolgers van biologisch geproduceerde werkzame stoffen, zoals antistoffen of fusie-eiwitten. Omdat biologische productie nooit volledig identieke moleculen oplevert, is de registratie ervan bewerkelijker.</w:t>
      </w:r>
    </w:p>
    <w:p>
      <w:pPr>
        <w:pStyle w:val="FirstParagraph"/>
      </w:pPr>
      <w:r>
        <w:t xml:space="preserve">Korte peptiden zoals liraglutide of semaglutide staan daartussenin: ze kunnen genetisch gemodificeerd of chemisch worden geproduceerd. Dat heeft praktische gevolgen. Een laboratoriumanalyse vergeleek 16 geïnjecteerde en 8 orale namaakproducten van semaglutide en 2 namaakproducten van liraglutide met de originelen. Ze vond nieuwe verontreinigingen, bij meerdere semaglutide-tabletten duidelijk minder werkzame stof dan opgegeven en bij liraglutide een sterkere neiging tot klontering</w:t>
      </w:r>
      <w:r>
        <w:rPr>
          <w:rStyle w:val="FootnoteReference"/>
        </w:rPr>
        <w:footnoteReference w:id="2903"/>
      </w:r>
      <w:r>
        <w:t xml:space="preserve">. Of de verschillen klinisch iets betekenen, is volgens de auteurs onbekend. De analyse laat echter zien waarom autoriteiten bij namaakpeptiden goed opletten.</w:t>
      </w:r>
    </w:p>
    <w:bookmarkEnd w:id="2904"/>
    <w:bookmarkStart w:id="2906" w:name="X9e75dc586b2a05c06d7215252284c92b40a7cce"/>
    <w:p>
      <w:pPr>
        <w:pStyle w:val="Heading3"/>
      </w:pPr>
      <w:r>
        <w:t xml:space="preserve">Liraglutide: het eerste generieke GLP-1-middel</w:t>
      </w:r>
    </w:p>
    <w:p>
      <w:pPr>
        <w:pStyle w:val="FirstParagraph"/>
      </w:pPr>
      <w:r>
        <w:t xml:space="preserve">Liraglutide is de eerste GLP-1-werkzame stof waarvan de bescherming in grote markten is afgelopen. In de VS zijn sinds 2024 generieken van de diabetesvorm (Victoza) en sinds 2025 ook van de obesitasvorm (Saxenda) op de markt. In Europa komen er geleidelijk namaakpreparaten bij; de stand verschilt per land (zie hoofdstuk Liraglutide).</w:t>
      </w:r>
    </w:p>
    <w:p>
      <w:pPr>
        <w:pStyle w:val="BodyText"/>
      </w:pPr>
      <w:r>
        <w:t xml:space="preserve">Voor de beschikbaarheid heeft dat twee kanten. Enerzijds wordt een werkzame stof met aangetoond cardiovasculair voordeel bij diabetes type 2 goedkoper. Anderzijds moet liraglutide dagelijks worden geïnjecteerd en werkt het op het gewicht duidelijk zwakker dan semaglutide: in STEP 8 daalde het gewicht met wekelijks semaglutide gemiddeld met 15,8%, met dagelijks liraglutide met 6,4%; minstens een vijfde van hun gewicht verloor 38,5% tegenover 6,0%</w:t>
      </w:r>
      <w:r>
        <w:rPr>
          <w:rStyle w:val="FootnoteReference"/>
        </w:rPr>
        <w:footnoteReference w:id="2905"/>
      </w:r>
      <w:r>
        <w:t xml:space="preserve">. Voor mensen die het nieuwere middel niet kunnen betalen, kan een goedkoop ouder middel toch een betere keuze zijn dan helemaal geen.</w:t>
      </w:r>
    </w:p>
    <w:bookmarkEnd w:id="2906"/>
    <w:bookmarkStart w:id="2911" w:name="semaglutide-2026-als-keerpunt"/>
    <w:p>
      <w:pPr>
        <w:pStyle w:val="Heading3"/>
      </w:pPr>
      <w:r>
        <w:t xml:space="preserve">Semaglutide: 2026 als keerpunt</w:t>
      </w:r>
    </w:p>
    <w:p>
      <w:pPr>
        <w:pStyle w:val="FirstParagraph"/>
      </w:pPr>
      <w:r>
        <w:t xml:space="preserve">Voor semaglutide lopen de octrooien in meerdere grote landen buiten de EU en de VS in 2026 af, waaronder volgens het hoofdstuk Semaglutide Canada, China, India en Brazilië. Een analyse van octrooidatabanken kwam tot het volgende beeld</w:t>
      </w:r>
      <w:r>
        <w:rPr>
          <w:rStyle w:val="FootnoteReference"/>
        </w:rPr>
        <w:footnoteReference w:id="2907"/>
      </w:r>
      <w:r>
        <w:t xml:space="preserve">:</w:t>
      </w:r>
    </w:p>
    <w:p>
      <w:pPr>
        <w:numPr>
          <w:ilvl w:val="0"/>
          <w:numId w:val="1362"/>
        </w:numPr>
        <w:pStyle w:val="Compact"/>
      </w:pPr>
      <w:r>
        <w:t xml:space="preserve">In twaalf landen eindigt de octrooibescherming in 2026. Daar woont 47% van de mensen met obesitas en 49% van de mensen met diabetes type 2 wereldwijd.</w:t>
      </w:r>
    </w:p>
    <w:p>
      <w:pPr>
        <w:numPr>
          <w:ilvl w:val="0"/>
          <w:numId w:val="1362"/>
        </w:numPr>
        <w:pStyle w:val="Compact"/>
      </w:pPr>
      <w:r>
        <w:t xml:space="preserve">In 150 andere landen vonden de auteurs helemaal geen octrooiaanvraag.</w:t>
      </w:r>
    </w:p>
    <w:p>
      <w:pPr>
        <w:numPr>
          <w:ilvl w:val="0"/>
          <w:numId w:val="1362"/>
        </w:numPr>
        <w:pStyle w:val="Compact"/>
      </w:pPr>
      <w:r>
        <w:t xml:space="preserve">Tegen eind 2026 zouden geïnjecteerde semaglutide-generieken daarmee beschikbaar kunnen zijn in 162 landen, waar 69% van de mensen met diabetes type 2 en 84% van de mensen met klinische obesitas woont.</w:t>
      </w:r>
    </w:p>
    <w:p>
      <w:pPr>
        <w:numPr>
          <w:ilvl w:val="0"/>
          <w:numId w:val="1362"/>
        </w:numPr>
        <w:pStyle w:val="Compact"/>
      </w:pPr>
      <w:r>
        <w:t xml:space="preserve">Uit gegevens over leveringen van werkzame stof vanuit India schatten ze de productiekosten: een jaar geïnjecteerd semaglutide zou als generiek middel kunnen worden aangeboden voor 28 tot 140 Amerikaanse dollar per persoon, de tablet voor 186 tot 380 Amerikaanse dollar. De pen nam een onevenredig groot deel van de kosten voor zijn rekening.</w:t>
      </w:r>
    </w:p>
    <w:p>
      <w:pPr>
        <w:pStyle w:val="FirstParagraph"/>
      </w:pPr>
      <w:r>
        <w:t xml:space="preserve">De auteurs benadrukken zelf dat penkosten, verdere octrooien en zwakke gezondheidssystemen de toegang toch kunnen beperken. Hoe sterk generieken prijzen kunnen drukken, laat een analyse uit India zien: daar daalden de prijzen van SGLT2-remmers en GLP-1-receptoragonisten na het aflopen van het octrooi met ongeveer 60 tot 90%. Tussen Indiase generieke prijzen en Amerikaanse lijstprijzen vonden de auteurs verschillen van een factor 15 tot 65. Ze wijzen er echter ook op dat generieken van verschillende fabrikanten kunnen verschillen in kwaliteit en opname in het lichaam</w:t>
      </w:r>
      <w:r>
        <w:rPr>
          <w:rStyle w:val="FootnoteReference"/>
        </w:rPr>
        <w:footnoteReference w:id="2908"/>
      </w:r>
      <w:r>
        <w:t xml:space="preserve">.</w:t>
      </w:r>
    </w:p>
    <w:p>
      <w:pPr>
        <w:pStyle w:val="BodyText"/>
      </w:pPr>
      <w:r>
        <w:rPr>
          <w:bCs/>
          <w:b/>
        </w:rPr>
        <w:t xml:space="preserve">In de EU en de VS</w:t>
      </w:r>
      <w:r>
        <w:t xml:space="preserve"> </w:t>
      </w:r>
      <w:r>
        <w:t xml:space="preserve">wordt pas rond 2031/2032 op semaglutide-generieken gerekend. Voor lezers in Oostenrijk en Duitsland betekent dat: een in Canada of India legaal verkocht generiek semaglutide is hier geen geregistreerd geneesmiddel. De regels voor invoer voor persoonlijk gebruik zijn strikt (zie hoofdstuk „Juridisch kader” in Deel I), en online-aanbiedingen die zich op zulke generieken beroepen, zijn een typische toegangspoort voor vervalsingen (zie hoofdstuk „De grijze markt”).</w:t>
      </w:r>
    </w:p>
    <w:p>
      <w:pPr>
        <w:pStyle w:val="BodyText"/>
      </w:pPr>
      <w:r>
        <w:rPr>
          <w:bCs/>
          <w:b/>
        </w:rPr>
        <w:t xml:space="preserve">Een politiek signaal:</w:t>
      </w:r>
      <w:r>
        <w:t xml:space="preserve"> </w:t>
      </w:r>
      <w:r>
        <w:t xml:space="preserve">de Wereldgezondheidsorganisatie heeft semaglutide, liraglutide, dulaglutide en tirzepatide in september 2025 opgenomen in haar lijst van essentiële geneesmiddelen. Een beschouwing ziet daarin een stap die prijsonderhandelingen en de ontwikkeling van generieken in lage- en middeninkomenslanden moet vergemakkelijken; tegelijk noemt ze ontbrekende middelen, zwakke infrastructuur en het risico van onkritisch gebruik als hindernissen</w:t>
      </w:r>
      <w:r>
        <w:rPr>
          <w:rStyle w:val="FootnoteReference"/>
        </w:rPr>
        <w:footnoteReference w:id="2909"/>
      </w:r>
      <w:r>
        <w:t xml:space="preserve">. In haar eerste richtlijn over GLP-1-therapieën bij obesitas spreekt de WHO een voorwaardelijke aanbeveling uit voor langdurige behandeling samen met intensieve gedragstherapie. Als redenen voor de beperking noemt ze onder meer beperkte langetermijngegevens, kosten en de vraag van rechtvaardige toegang</w:t>
      </w:r>
      <w:r>
        <w:rPr>
          <w:rStyle w:val="FootnoteReference"/>
        </w:rPr>
        <w:footnoteReference w:id="2910"/>
      </w:r>
      <w:r>
        <w:t xml:space="preserve">.</w:t>
      </w:r>
    </w:p>
    <w:bookmarkEnd w:id="2911"/>
    <w:bookmarkStart w:id="2912" w:name="tirzepatide-en-de-opvolgers"/>
    <w:p>
      <w:pPr>
        <w:pStyle w:val="Heading3"/>
      </w:pPr>
      <w:r>
        <w:t xml:space="preserve">Tirzepatide en de opvolgers</w:t>
      </w:r>
    </w:p>
    <w:p>
      <w:pPr>
        <w:pStyle w:val="FirstParagraph"/>
      </w:pPr>
      <w:r>
        <w:t xml:space="preserve">Voor tirzepatide en alle nieuwere werkzame stoffen – retatrutide, CagriSema, amycretine, maridebart cafraglutide, orforglipron – is het aflopen van het octrooi in dit decennium niet te verwachten. Voor tirzepatide wordt volgens bronnen uit de sector op zijn vroegst in de tweede helft van de jaren 2030 op generieken gerekend. Daaruit volgt een voorspelbaar patroon: de oudere werkzame stoffen worden goedkoper, de sterkste blijven duur.</w:t>
      </w:r>
    </w:p>
    <w:bookmarkEnd w:id="2912"/>
    <w:bookmarkStart w:id="2916" w:name="het-einde-van-compounding-in-de-vs"/>
    <w:p>
      <w:pPr>
        <w:pStyle w:val="Heading3"/>
      </w:pPr>
      <w:r>
        <w:t xml:space="preserve">Het einde van compounding in de VS</w:t>
      </w:r>
    </w:p>
    <w:p>
      <w:pPr>
        <w:pStyle w:val="FirstParagraph"/>
      </w:pPr>
      <w:r>
        <w:t xml:space="preserve">Tijdens de officiële leveringstekorten mochten Amerikaanse apotheken semaglutide en tirzepatide zelf bereiden („compounding”, zie Deel I). Daaruit ontstond een grote markt. Een onderzoek in de Amerikaanse staat Colorado vond in het voorjaar van 2024 93 bedrijven met 188 vestigingen die zulke preparaten aanprezen – meestal als medische spa’s of afslankdiensten. 41 van deze websites verwezen in hun productbeschrijvingen naar FDA-registratie, hoewel de preparaten die niet hadden. Eén aanbieder prees een mengsel met BPC-157 aan, een stof die de FDA als ongeschikt voor compounding heeft aangemerkt</w:t>
      </w:r>
      <w:r>
        <w:rPr>
          <w:rStyle w:val="FootnoteReference"/>
        </w:rPr>
        <w:footnoteReference w:id="2913"/>
      </w:r>
      <w:r>
        <w:t xml:space="preserve">.</w:t>
      </w:r>
    </w:p>
    <w:p>
      <w:pPr>
        <w:pStyle w:val="BodyText"/>
      </w:pPr>
      <w:r>
        <w:t xml:space="preserve">Nadat de FDA de tekorten voor beëindigd had verklaard – voor tirzepatide eind 2024, voor semaglutide begin 2025 –, liepen de overgangstermijnen voor kopieën van de geregistreerde preparaten in de loop van 2025 af. Sindsdien zijn alleen nog bereidingen toegestaan die verschillen van de geregistreerde preparaten. Een analyse vond 33 van zulke producten, waaronder mengsels met vitamine B12, glycine of een laxeermiddel en ook druppels en smelttabletten, waarvan voordeel en veiligheid grotendeels onbekend zijn</w:t>
      </w:r>
      <w:r>
        <w:rPr>
          <w:rStyle w:val="FootnoteReference"/>
        </w:rPr>
        <w:footnoteReference w:id="2914"/>
      </w:r>
      <w:r>
        <w:t xml:space="preserve">. Een laboratorium vond in tirzepatide-B12-mengsels van verschillende aanbieders een tot dan toe onbekende verontreiniging, die ontstaat door een chemische reactie tussen tirzepatide en bepaalde B12-vormen; welke gevolgen die voor de gezondheid heeft, is onbekend</w:t>
      </w:r>
      <w:r>
        <w:rPr>
          <w:rStyle w:val="FootnoteReference"/>
        </w:rPr>
        <w:footnoteReference w:id="2915"/>
      </w:r>
      <w:r>
        <w:t xml:space="preserve">.</w:t>
      </w:r>
    </w:p>
    <w:p>
      <w:pPr>
        <w:pStyle w:val="BodyText"/>
      </w:pPr>
      <w:r>
        <w:t xml:space="preserve">Compounding is daarmee niet verdwenen, maar verschoven naar een niche waarin „gepersonaliseerde” toevoegingen de juridische basis leveren. In Europa bestaat geen vergelijkbaar systeem.</w:t>
      </w:r>
    </w:p>
    <w:bookmarkEnd w:id="2916"/>
    <w:bookmarkStart w:id="2919" w:name="leveringstekorten"/>
    <w:p>
      <w:pPr>
        <w:pStyle w:val="Heading3"/>
      </w:pPr>
      <w:r>
        <w:t xml:space="preserve">Leveringstekorten</w:t>
      </w:r>
    </w:p>
    <w:p>
      <w:pPr>
        <w:pStyle w:val="FirstParagraph"/>
      </w:pPr>
      <w:r>
        <w:t xml:space="preserve">Vanaf 2022 overtrof de vraag naar semaglutide en later tirzepatide de productie. Mensen met diabetes type 2 kregen hun geneesmiddelen tijdelijk niet. In Duitsland en Oostenrijk riepen autoriteiten en beroepsverenigingen ertoe op Ozempic voor te behouden aan mensen met diabetes type 2 en het niet voor te schrijven voor alleen gewichtsverlies.</w:t>
      </w:r>
    </w:p>
    <w:p>
      <w:pPr>
        <w:pStyle w:val="BodyText"/>
      </w:pPr>
      <w:r>
        <w:t xml:space="preserve">Hoe groot was het aandeel voorschriften buiten de registratie? Een landelijke registerstudie uit Denemarken geeft een antwoord. Het aantal nieuwe gebruikers van Ozempic steeg vanaf 2022 sterk, tot een piek van 10 per 1.000 volwassenen per jaar begin 2023. In 2022 had een derde van de nieuwe gebruikers geen gedocumenteerde diabetes type 2; in 2023 daalde dit aandeel weer. De auteurs concluderen dat voorschriften voor gewichtsverlies slechts een kleiner deel van het tekort verklaren</w:t>
      </w:r>
      <w:r>
        <w:rPr>
          <w:rStyle w:val="FootnoteReference"/>
        </w:rPr>
        <w:footnoteReference w:id="2917"/>
      </w:r>
      <w:r>
        <w:t xml:space="preserve">.</w:t>
      </w:r>
    </w:p>
    <w:p>
      <w:pPr>
        <w:pStyle w:val="BodyText"/>
      </w:pPr>
      <w:r>
        <w:t xml:space="preserve">Tekorten hebben directe gevolgen voor de behandeling. In een Amerikaans onderzoek bij 288 mensen die binnen het eerste jaar stopten met semaglutide of tirzepatide voor gewichtsverlies, noemde 11,8% leveringstekorten als hoofdreden. Het vaakst waren echter kosten- of verzekeringsproblemen (47,6%), gevolgd door bijwerkingen (14,6%); 2,4% stapte over op een apotheekbereiding</w:t>
      </w:r>
      <w:r>
        <w:rPr>
          <w:rStyle w:val="FootnoteReference"/>
        </w:rPr>
        <w:footnoteReference w:id="2918"/>
      </w:r>
      <w:r>
        <w:t xml:space="preserve">.</w:t>
      </w:r>
    </w:p>
    <w:p>
      <w:pPr>
        <w:pStyle w:val="BodyText"/>
      </w:pPr>
      <w:r>
        <w:t xml:space="preserve">De fabrikanten hebben hun productiecapaciteit sindsdien sterk uitgebreid, en de officiële tekorten gelden in de VS als beëindigd. In Europa is de situatie per preparaat en land verschillend.</w:t>
      </w:r>
    </w:p>
    <w:bookmarkEnd w:id="2919"/>
    <w:bookmarkStart w:id="2924" w:name="prijzen-wat-is-een-afslankmiddel-waard"/>
    <w:p>
      <w:pPr>
        <w:pStyle w:val="Heading3"/>
      </w:pPr>
      <w:r>
        <w:t xml:space="preserve">Prijzen: wat is een afslankmiddel waard?</w:t>
      </w:r>
    </w:p>
    <w:p>
      <w:pPr>
        <w:pStyle w:val="FirstParagraph"/>
      </w:pPr>
      <w:r>
        <w:t xml:space="preserve">In de VS liggen de lijstprijzen voor GLP-1-geneesmiddelen duidelijk hoger dan in Europa. Gezondheidseconomische studies uit de VS vragen zich daarom af of het voordeel de prijs rechtvaardigt:</w:t>
      </w:r>
    </w:p>
    <w:p>
      <w:pPr>
        <w:numPr>
          <w:ilvl w:val="0"/>
          <w:numId w:val="1363"/>
        </w:numPr>
        <w:pStyle w:val="Compact"/>
      </w:pPr>
      <w:r>
        <w:t xml:space="preserve">Een modelberekening voor Amerikaanse volwassenen liet zien dat tirzepatide en semaglutide over de levensduur weliswaar veel gevallen van diabetes en hart- en vaatziekten zouden voorkomen, maar tegen de toenmalige nettoprijzen niet kosteneffectief waren. Om een gangbare drempel te halen, hadden de prijzen nog eens met 30,5% (tirzepatide) resp. 81,9% (semaglutide) moeten dalen</w:t>
      </w:r>
      <w:r>
        <w:rPr>
          <w:rStyle w:val="FootnoteReference"/>
        </w:rPr>
        <w:footnoteReference w:id="2920"/>
      </w:r>
      <w:r>
        <w:t xml:space="preserve">.</w:t>
      </w:r>
    </w:p>
    <w:p>
      <w:pPr>
        <w:numPr>
          <w:ilvl w:val="0"/>
          <w:numId w:val="1363"/>
        </w:numPr>
        <w:pStyle w:val="Compact"/>
      </w:pPr>
      <w:r>
        <w:t xml:space="preserve">Een meta-analyse van negen gezondheidseconomische studies uit hoge-inkomenslanden concludeerde dat GLP-1-receptoragonisten voor de behandeling van obesitas zonder diabetes vanuit het oogpunt van de betalers in het algemeen niet kosteneffectief zijn; in subgroepen en over langere perioden zou dat anders kunnen zijn</w:t>
      </w:r>
      <w:r>
        <w:rPr>
          <w:rStyle w:val="FootnoteReference"/>
        </w:rPr>
        <w:footnoteReference w:id="2921"/>
      </w:r>
      <w:r>
        <w:t xml:space="preserve">.</w:t>
      </w:r>
    </w:p>
    <w:p>
      <w:pPr>
        <w:numPr>
          <w:ilvl w:val="0"/>
          <w:numId w:val="1363"/>
        </w:numPr>
        <w:pStyle w:val="Compact"/>
      </w:pPr>
      <w:r>
        <w:t xml:space="preserve">Voor mensen zonder diabetes die al een hartinfarct of beroerte hadden gehad, viel een modelberekening gunstiger uit: tegen de prijs die zelfbetalers in de VS ten tijde van de analyse betaalden, zou semaglutide in deze groep kosteneffectief zijn</w:t>
      </w:r>
      <w:r>
        <w:rPr>
          <w:rStyle w:val="FootnoteReference"/>
        </w:rPr>
        <w:footnoteReference w:id="2922"/>
      </w:r>
      <w:r>
        <w:t xml:space="preserve">.</w:t>
      </w:r>
    </w:p>
    <w:p>
      <w:pPr>
        <w:pStyle w:val="FirstParagraph"/>
      </w:pPr>
      <w:r>
        <w:t xml:space="preserve">Zulke berekeningen hangen sterk af van prijsaannames, en de prijzen bewegen. In de VS hebben de fabrikanten sinds 2025 duidelijk goedkopere directe aanbiedingen voor zelfbetalers ingevoerd en prijsafspraken met de overheid gemaakt; semaglutide is bovendien onderwerp van de overheidsonderhandelingen over prijzen voor het ouderenprogramma Medicare. Hoe sterk vergoeding het gebruik beïnvloedt, laat een Amerikaanse analyse zien: nadat Wegovy in maart 2024 was geregistreerd voor het verlagen van het cardiovasculaire risico en door Medicare voor deze toepassing werd vergoed, steeg het aantal via Medicare verstrekte Wegovy-verpakkingen relatief met 598,1%</w:t>
      </w:r>
      <w:r>
        <w:rPr>
          <w:rStyle w:val="FootnoteReference"/>
        </w:rPr>
        <w:footnoteReference w:id="2923"/>
      </w:r>
      <w:r>
        <w:t xml:space="preserve">.</w:t>
      </w:r>
    </w:p>
    <w:p>
      <w:pPr>
        <w:pStyle w:val="BodyText"/>
      </w:pPr>
      <w:r>
        <w:rPr>
          <w:bCs/>
          <w:b/>
        </w:rPr>
        <w:t xml:space="preserve">Inschatting van de auteur:</w:t>
      </w:r>
      <w:r>
        <w:t xml:space="preserve"> </w:t>
      </w:r>
      <w:r>
        <w:t xml:space="preserve">de prijzen van op GLP-1 gebaseerde geneesmiddelen zullen in de komende jaren dalen – door generieken van oudere werkzame stoffen, door concurrentie tussen de fabrikanten, door tabletten met kleine moleculen en door politieke druk. Het sterkst zal dat merkbaar zijn in landen waar het octrooi vroeg afloopt. In de EU zal de grote prijsdaling waarschijnlijk pas komen met semaglutide-generieken begin jaren 2030.</w:t>
      </w:r>
    </w:p>
    <w:bookmarkEnd w:id="2924"/>
    <w:bookmarkStart w:id="2925" w:name="vergoeding-in-duitsland-en-oostenrijk"/>
    <w:p>
      <w:pPr>
        <w:pStyle w:val="Heading3"/>
      </w:pPr>
      <w:r>
        <w:t xml:space="preserve">Vergoeding in Duitsland en Oostenrijk</w:t>
      </w:r>
    </w:p>
    <w:p>
      <w:pPr>
        <w:pStyle w:val="FirstParagraph"/>
      </w:pPr>
      <w:r>
        <w:rPr>
          <w:bCs/>
          <w:b/>
        </w:rPr>
        <w:t xml:space="preserve">Duitsland:</w:t>
      </w:r>
      <w:r>
        <w:t xml:space="preserve"> </w:t>
      </w:r>
      <w:r>
        <w:t xml:space="preserve">bij diabetes type 2 vergoedt de wettelijke ziektekostenverzekering de kosten van geregistreerde GLP-1-geneesmiddelen zoals Ozempic, Rybelsus, Trulicity of Mounjaro binnen de registratie. Geneesmiddelen die overwegend voor gewichtsvermindering dienen, zijn daarentegen volgens § 34 SGB V van vergoeding uitgesloten; Wegovy, Saxenda en Mounjaro voor gewichtsbeheersing moeten wettelijk verzekerden daarom doorgaans zelf betalen. Of deze regel voor mensen met een hoog cardiovasculair risico wordt gewijzigd, wordt politiek en binnen het zelfbestuur van de zorg besproken. Particuliere ziektekostenverzekeraars beslissen volgens hun eigen polisvoorwaarden.</w:t>
      </w:r>
    </w:p>
    <w:p>
      <w:pPr>
        <w:pStyle w:val="BodyText"/>
      </w:pPr>
      <w:r>
        <w:rPr>
          <w:bCs/>
          <w:b/>
        </w:rPr>
        <w:t xml:space="preserve">Oostenrijk:</w:t>
      </w:r>
      <w:r>
        <w:t xml:space="preserve"> </w:t>
      </w:r>
      <w:r>
        <w:t xml:space="preserve">voor diabetes type 2 komen GLP-1-geneesmiddelen in aanmerking voor vergoeding, maar de vergoeding is deels gekoppeld aan voorwaarden of aan toestemming van de ziektekostenverzekeraar. Voor alleen gewichtsbeheersing worden de kosten doorgaans niet of slechts in uitzonderingsgevallen vergoed.</w:t>
      </w:r>
    </w:p>
    <w:p>
      <w:pPr>
        <w:pStyle w:val="BodyText"/>
      </w:pPr>
      <w:r>
        <w:t xml:space="preserve">In beide landen geldt: of een behandeling wordt vergoed, hangt af van het indicatiegebied, de bevindingen en de actuele juridische situatie. De behandelend arts en de ziektekostenverzekeraar zijn de juiste aanspreekpunten. Een voorschrift voor gewichtsverlies met een preparaat dat alleen voor diabetes is geregistreerd, is gebruik buiten de registratie (off-label) en wordt niet vergoed.</w:t>
      </w:r>
    </w:p>
    <w:bookmarkEnd w:id="2925"/>
    <w:bookmarkStart w:id="2927" w:name="wat-dit-voor-patiënten-betekent"/>
    <w:p>
      <w:pPr>
        <w:pStyle w:val="Heading3"/>
      </w:pPr>
      <w:r>
        <w:t xml:space="preserve">Wat dit voor patiënten betekent</w:t>
      </w:r>
    </w:p>
    <w:p>
      <w:pPr>
        <w:numPr>
          <w:ilvl w:val="0"/>
          <w:numId w:val="1364"/>
        </w:numPr>
        <w:pStyle w:val="Compact"/>
      </w:pPr>
      <w:r>
        <w:rPr>
          <w:bCs/>
          <w:b/>
        </w:rPr>
        <w:t xml:space="preserve">Goedkoper betekent niet grijze markt.</w:t>
      </w:r>
      <w:r>
        <w:t xml:space="preserve"> </w:t>
      </w:r>
      <w:r>
        <w:t xml:space="preserve">Met het aflopen van octrooien in andere landen zullen aanbiedingen toenemen die zich op „generieken” beroepen. Voor Oostenrijk en Duitsland zijn alleen hier geregistreerde preparaten uit apotheken geteste geneesmiddelen.</w:t>
      </w:r>
    </w:p>
    <w:p>
      <w:pPr>
        <w:numPr>
          <w:ilvl w:val="0"/>
          <w:numId w:val="1364"/>
        </w:numPr>
        <w:pStyle w:val="Compact"/>
      </w:pPr>
      <w:r>
        <w:rPr>
          <w:bCs/>
          <w:b/>
        </w:rPr>
        <w:t xml:space="preserve">Stoppen om kostenredenen komt vaak voor – en heeft gevolgen.</w:t>
      </w:r>
      <w:r>
        <w:t xml:space="preserve"> </w:t>
      </w:r>
      <w:r>
        <w:t xml:space="preserve">In de verlenging van STEP 1 kwamen deelnemers een jaar na het stoppen met semaglutide gemiddeld twee derde van hun gewichtsverlies weer aan, en de verbeteringen van bloeddruk en bloedwaarden gingen grotendeels verloren</w:t>
      </w:r>
      <w:r>
        <w:rPr>
          <w:rStyle w:val="FootnoteReference"/>
        </w:rPr>
        <w:footnoteReference w:id="2926"/>
      </w:r>
      <w:r>
        <w:t xml:space="preserve">. Wie om kostenredenen overweegt te stoppen, doet er goed aan dit met een arts te bespreken.</w:t>
      </w:r>
    </w:p>
    <w:p>
      <w:pPr>
        <w:numPr>
          <w:ilvl w:val="0"/>
          <w:numId w:val="1364"/>
        </w:numPr>
        <w:pStyle w:val="Compact"/>
      </w:pPr>
      <w:r>
        <w:rPr>
          <w:bCs/>
          <w:b/>
        </w:rPr>
        <w:t xml:space="preserve">Oudere werkzame stoffen zijn niet waardeloos.</w:t>
      </w:r>
      <w:r>
        <w:t xml:space="preserve"> </w:t>
      </w:r>
      <w:r>
        <w:t xml:space="preserve">Liraglutide of dulaglutide zijn goed onderzocht en hebben bij diabetes type 2 een aangetoond cardiovasculair voordeel. Welke werkzame stof in een individueel geval in aanmerking komt, is een medische beslissing.</w:t>
      </w:r>
    </w:p>
    <w:bookmarkEnd w:id="2927"/>
    <w:bookmarkStart w:id="2928" w:name="het-belangrijkste-in-het-kort-10"/>
    <w:p>
      <w:pPr>
        <w:pStyle w:val="Heading3"/>
      </w:pPr>
      <w:r>
        <w:t xml:space="preserve">Het belangrijkste in het kort</w:t>
      </w:r>
    </w:p>
    <w:p>
      <w:pPr>
        <w:numPr>
          <w:ilvl w:val="0"/>
          <w:numId w:val="1365"/>
        </w:numPr>
        <w:pStyle w:val="Compact"/>
      </w:pPr>
      <w:r>
        <w:t xml:space="preserve">In 2026 eindigt de octrooibescherming voor semaglutide in landen waar bijna de helft van de mensen met obesitas woont. Generieken zouden daar een fractie van de huidige prijzen kunnen kosten; in de EU en de VS wordt daar pas rond 2031/2032 op gerekend (controleren).</w:t>
      </w:r>
    </w:p>
    <w:p>
      <w:pPr>
        <w:numPr>
          <w:ilvl w:val="0"/>
          <w:numId w:val="1365"/>
        </w:numPr>
        <w:pStyle w:val="Compact"/>
      </w:pPr>
      <w:r>
        <w:t xml:space="preserve">Voor liraglutide zijn er al generieken; tirzepatide en alle nieuwere werkzame stoffen blijven naar verwachting tot ver in de jaren 2030 door octrooien beschermd.</w:t>
      </w:r>
    </w:p>
    <w:p>
      <w:pPr>
        <w:numPr>
          <w:ilvl w:val="0"/>
          <w:numId w:val="1365"/>
        </w:numPr>
        <w:pStyle w:val="Compact"/>
      </w:pPr>
      <w:r>
        <w:t xml:space="preserve">Compounding in de VS met kopieën van geregistreerde preparaten is na het einde van de tekorten grotendeels beëindigd; wat overblijft zijn gewijzigde bereidingen met ongeteste toevoegingen.</w:t>
      </w:r>
    </w:p>
    <w:p>
      <w:pPr>
        <w:numPr>
          <w:ilvl w:val="0"/>
          <w:numId w:val="1365"/>
        </w:numPr>
        <w:pStyle w:val="Compact"/>
      </w:pPr>
      <w:r>
        <w:t xml:space="preserve">Kosten zijn in studies de meest voorkomende reden om een behandeling te stoppen. In Duitsland zijn afslankmiddelen uitgesloten van vergoeding, in Oostenrijk wordt slechts beperkt vergoed.</w:t>
      </w:r>
    </w:p>
    <w:bookmarkEnd w:id="2928"/>
    <w:bookmarkEnd w:id="2929"/>
    <w:bookmarkStart w:id="2975" w:name="prognoses-2030-tot-2035"/>
    <w:p>
      <w:pPr>
        <w:pStyle w:val="Heading2"/>
      </w:pPr>
      <w:r>
        <w:t xml:space="preserve">Prognoses 2030 tot 2035</w:t>
      </w:r>
    </w:p>
    <w:p>
      <w:pPr>
        <w:pStyle w:val="FirstParagraph"/>
      </w:pPr>
      <w:r>
        <w:t xml:space="preserve">Voorspellingen in de geneeskunde hebben een slechte staat van dienst. Ook dit boek kent voorbeelden: dierproeven en observationele gegevens wekten de hoop dat GLP-1-geneesmiddelen de cognitieve achteruitgang bij alzheimer zouden afremmen. In de twee fase 3-studies evoke en evoke+ met samen 3.808 deelnemers verliep de ziekte met semaglutide-tabletten echter net zo snel als met placebo</w:t>
      </w:r>
      <w:r>
        <w:rPr>
          <w:rStyle w:val="FootnoteReference"/>
        </w:rPr>
        <w:footnoteReference w:id="2930"/>
      </w:r>
      <w:r>
        <w:t xml:space="preserve">. Bij parkinson vond de fase 3-studie Exenatide-PD3 met 194 deelnemers geen aanwijzing dat exenatide de progressie vertraagt</w:t>
      </w:r>
      <w:r>
        <w:rPr>
          <w:rStyle w:val="FootnoteReference"/>
        </w:rPr>
        <w:footnoteReference w:id="2931"/>
      </w:r>
      <w:r>
        <w:t xml:space="preserve">.</w:t>
      </w:r>
    </w:p>
    <w:p>
      <w:pPr>
        <w:pStyle w:val="BodyText"/>
      </w:pPr>
      <w:r>
        <w:t xml:space="preserve">Dit hoofdstuk maakt daarom in elke paragraaf een strikt onderscheid:</w:t>
      </w:r>
    </w:p>
    <w:p>
      <w:pPr>
        <w:numPr>
          <w:ilvl w:val="0"/>
          <w:numId w:val="1366"/>
        </w:numPr>
        <w:pStyle w:val="Compact"/>
      </w:pPr>
      <w:r>
        <w:rPr>
          <w:bCs/>
          <w:b/>
        </w:rPr>
        <w:t xml:space="preserve">Vaststaand:</w:t>
      </w:r>
      <w:r>
        <w:t xml:space="preserve"> </w:t>
      </w:r>
      <w:r>
        <w:t xml:space="preserve">wat in studieregisters is ingeschreven (met geplande einddatum), wat in peer-reviewed studies is gepubliceerd en wat autoriteiten hebben besloten. Ook wat vaststaat kan veranderen – einddata verschuiven, studies worden afgebroken.</w:t>
      </w:r>
    </w:p>
    <w:p>
      <w:pPr>
        <w:numPr>
          <w:ilvl w:val="0"/>
          <w:numId w:val="1366"/>
        </w:numPr>
        <w:pStyle w:val="Compact"/>
      </w:pPr>
      <w:r>
        <w:rPr>
          <w:bCs/>
          <w:b/>
        </w:rPr>
        <w:t xml:space="preserve">Inschatting van de auteur:</w:t>
      </w:r>
      <w:r>
        <w:t xml:space="preserve"> </w:t>
      </w:r>
      <w:r>
        <w:t xml:space="preserve">een onderbouwde verwachting die onjuist kan zijn. Ze is als zodanig aangeduid en wordt telkens onderbouwd.</w:t>
      </w:r>
    </w:p>
    <w:p>
      <w:pPr>
        <w:pStyle w:val="FirstParagraph"/>
      </w:pPr>
      <w:r>
        <w:t xml:space="preserve">De registergegevens geven de stand van oktober 2026 weer.</w:t>
      </w:r>
    </w:p>
    <w:bookmarkStart w:id="2941" w:name="groep-a-stofwisseling-en-gewicht"/>
    <w:p>
      <w:pPr>
        <w:pStyle w:val="Heading3"/>
      </w:pPr>
      <w:r>
        <w:t xml:space="preserve">Groep A – stofwisseling en gewicht</w:t>
      </w:r>
    </w:p>
    <w:p>
      <w:pPr>
        <w:pStyle w:val="FirstParagraph"/>
      </w:pPr>
      <w:r>
        <w:rPr>
          <w:bCs/>
          <w:b/>
        </w:rPr>
        <w:t xml:space="preserve">Vaststaand:</w:t>
      </w:r>
    </w:p>
    <w:p>
      <w:pPr>
        <w:numPr>
          <w:ilvl w:val="0"/>
          <w:numId w:val="1367"/>
        </w:numPr>
        <w:pStyle w:val="Compact"/>
      </w:pPr>
      <w:r>
        <w:t xml:space="preserve">Tot 2032 eindigen minstens negen grote eindpunt- en leverstudies: SURMOUNT-MMO naar tirzepatide</w:t>
      </w:r>
      <w:r>
        <w:rPr>
          <w:rStyle w:val="FootnoteReference"/>
        </w:rPr>
        <w:footnoteReference w:id="2932"/>
      </w:r>
      <w:r>
        <w:t xml:space="preserve"> </w:t>
      </w:r>
      <w:r>
        <w:t xml:space="preserve">en REDEFINE 3 naar CagriSema</w:t>
      </w:r>
      <w:r>
        <w:rPr>
          <w:rStyle w:val="FootnoteReference"/>
        </w:rPr>
        <w:footnoteReference w:id="2933"/>
      </w:r>
      <w:r>
        <w:t xml:space="preserve"> </w:t>
      </w:r>
      <w:r>
        <w:t xml:space="preserve">in 2027, TRIUMPH-Outcomes naar retatrutide</w:t>
      </w:r>
      <w:r>
        <w:rPr>
          <w:rStyle w:val="FootnoteReference"/>
        </w:rPr>
        <w:footnoteReference w:id="2934"/>
      </w:r>
      <w:r>
        <w:t xml:space="preserve"> </w:t>
      </w:r>
      <w:r>
        <w:t xml:space="preserve">en LIVERAGE-Cirrhosis naar survodutide</w:t>
      </w:r>
      <w:r>
        <w:rPr>
          <w:rStyle w:val="FootnoteReference"/>
        </w:rPr>
        <w:footnoteReference w:id="2935"/>
      </w:r>
      <w:r>
        <w:t xml:space="preserve"> </w:t>
      </w:r>
      <w:r>
        <w:t xml:space="preserve">in 2029, MARITIME-CV en MARITIME-HF naar maridebart cafraglutide</w:t>
      </w:r>
      <w:r>
        <w:rPr>
          <w:rStyle w:val="FootnoteReference"/>
        </w:rPr>
        <w:footnoteReference w:id="2936"/>
      </w:r>
      <w:r>
        <w:t xml:space="preserve"> </w:t>
      </w:r>
      <w:r>
        <w:t xml:space="preserve">en AMBIENCE naar zenagamtide</w:t>
      </w:r>
      <w:r>
        <w:rPr>
          <w:rStyle w:val="FootnoteReference"/>
        </w:rPr>
        <w:footnoteReference w:id="2937"/>
      </w:r>
      <w:r>
        <w:t xml:space="preserve"> </w:t>
      </w:r>
      <w:r>
        <w:t xml:space="preserve">in 2030, ATTAIN-Outcomes naar orforglipron</w:t>
      </w:r>
      <w:r>
        <w:rPr>
          <w:rStyle w:val="FootnoteReference"/>
        </w:rPr>
        <w:footnoteReference w:id="2938"/>
      </w:r>
      <w:r>
        <w:t xml:space="preserve"> </w:t>
      </w:r>
      <w:r>
        <w:t xml:space="preserve">in 2031 en SYNERGY-Outcomes naar tirzepatide en retatrutide</w:t>
      </w:r>
      <w:r>
        <w:rPr>
          <w:rStyle w:val="FootnoteReference"/>
        </w:rPr>
        <w:footnoteReference w:id="2939"/>
      </w:r>
      <w:r>
        <w:t xml:space="preserve"> </w:t>
      </w:r>
      <w:r>
        <w:t xml:space="preserve">in 2032.</w:t>
      </w:r>
    </w:p>
    <w:p>
      <w:pPr>
        <w:numPr>
          <w:ilvl w:val="0"/>
          <w:numId w:val="1367"/>
        </w:numPr>
        <w:pStyle w:val="Compact"/>
      </w:pPr>
      <w:r>
        <w:t xml:space="preserve">Zuivere amylinemiddelen zijn in fase 3: eloralintide (ENLIGHTEN-1, NCT07321886, einde 2030) en petrelintide (ZUPREME-3, NCT07843498, einde 2029).</w:t>
      </w:r>
    </w:p>
    <w:p>
      <w:pPr>
        <w:numPr>
          <w:ilvl w:val="0"/>
          <w:numId w:val="1367"/>
        </w:numPr>
        <w:pStyle w:val="Compact"/>
      </w:pPr>
      <w:r>
        <w:t xml:space="preserve">Voor CagriSema en orforglipron zijn volgens de betreffende hoofdstukken registratieaanvragen ingediend of aangekondigd; voor retatrutide worden ze verwacht na afronding van TRIUMPH-1 en TRIUMPH-2 (stand oktober 2026, controleren).</w:t>
      </w:r>
    </w:p>
    <w:p>
      <w:pPr>
        <w:numPr>
          <w:ilvl w:val="0"/>
          <w:numId w:val="1367"/>
        </w:numPr>
        <w:pStyle w:val="Compact"/>
      </w:pPr>
      <w:r>
        <w:t xml:space="preserve">In twaalf landen eindigt in 2026 de octrooibescherming voor semaglutide, waaronder grote markten buiten de EU en de VS</w:t>
      </w:r>
      <w:r>
        <w:rPr>
          <w:rStyle w:val="FootnoteReference"/>
        </w:rPr>
        <w:footnoteReference w:id="2940"/>
      </w:r>
      <w:r>
        <w:t xml:space="preserve">. In de EU en de VS wordt rond 2031/2032 op generieken gerekend.</w:t>
      </w:r>
    </w:p>
    <w:p>
      <w:pPr>
        <w:pStyle w:val="FirstParagraph"/>
      </w:pPr>
      <w:r>
        <w:rPr>
          <w:bCs/>
          <w:b/>
        </w:rPr>
        <w:t xml:space="preserve">Inschatting van de auteur:</w:t>
      </w:r>
      <w:r>
        <w:t xml:space="preserve"> </w:t>
      </w:r>
      <w:r>
        <w:t xml:space="preserve">tegen 2030 zullen in de EU naar verwachting meerdere nieuwe klassen werkzame stoffen geregistreerd zijn – minstens één amylinecombinatie, één drievoudige agonist en één klein molecuul als tablet. Onderbouwing: de fase 3-programma’s zijn ver gevorderd, de tot nu toe gepubliceerde resultaten zijn duidelijk positief, en de fabrikanten hebben registratieaanvragen ingediend of aangekondigd. Een gemiddeld gewichtsverlies van 20 tot 25% in studies zal dan waarschijnlijk geen uitzondering meer zijn. Belangrijker dan een nieuw record wordt echter de vraag welke werkzame stof bij welke persoon past: wie vooral hartbescherming nodig heeft, wie leververvetting heeft, wie injecties wil vermijden, wie bijwerkingen slecht verdraagt. Tussen 2030 en 2035 reken ik op duidelijk dalende prijzen voor semaglutide in Europa door generieken, terwijl de nieuwste werkzame stoffen duur blijven. Het risico van een zorg met twee snelheden – de sterkste middelen voor zelfbetalers, oudere middelen voor alle anderen – acht ik reëel.</w:t>
      </w:r>
    </w:p>
    <w:bookmarkEnd w:id="2941"/>
    <w:bookmarkStart w:id="2944" w:name="X33115963980bb0efd3e1a4ed23db4613ea9b7c9"/>
    <w:p>
      <w:pPr>
        <w:pStyle w:val="Heading3"/>
      </w:pPr>
      <w:r>
        <w:t xml:space="preserve">Groep B – herstel, regeneratie en immuunsysteem</w:t>
      </w:r>
    </w:p>
    <w:p>
      <w:pPr>
        <w:pStyle w:val="FirstParagraph"/>
      </w:pPr>
      <w:r>
        <w:rPr>
          <w:bCs/>
          <w:b/>
        </w:rPr>
        <w:t xml:space="preserve">Vaststaand:</w:t>
      </w:r>
    </w:p>
    <w:p>
      <w:pPr>
        <w:numPr>
          <w:ilvl w:val="0"/>
          <w:numId w:val="1368"/>
        </w:numPr>
        <w:pStyle w:val="Compact"/>
      </w:pPr>
      <w:r>
        <w:t xml:space="preserve">De fase 3-studie naar thymosine alfa-1 na een darmkankeroperatie met 2.500 deelnemers moet in maart 2027 eindigen</w:t>
      </w:r>
      <w:r>
        <w:rPr>
          <w:rStyle w:val="FootnoteReference"/>
        </w:rPr>
        <w:footnoteReference w:id="2942"/>
      </w:r>
      <w:r>
        <w:t xml:space="preserve">.</w:t>
      </w:r>
    </w:p>
    <w:p>
      <w:pPr>
        <w:numPr>
          <w:ilvl w:val="0"/>
          <w:numId w:val="1368"/>
        </w:numPr>
        <w:pStyle w:val="Compact"/>
      </w:pPr>
      <w:r>
        <w:t xml:space="preserve">De fase 3-studie SEER-2 met oogdruppels met thymosine bèta-4 bij neurotrofe keratopathie was volgens het register in mei 2026 afgerond; resultaten waren in oktober 2026 niet beschikbaar</w:t>
      </w:r>
      <w:r>
        <w:rPr>
          <w:rStyle w:val="FootnoteReference"/>
        </w:rPr>
        <w:footnoteReference w:id="2943"/>
      </w:r>
      <w:r>
        <w:t xml:space="preserve">.</w:t>
      </w:r>
    </w:p>
    <w:p>
      <w:pPr>
        <w:numPr>
          <w:ilvl w:val="0"/>
          <w:numId w:val="1368"/>
        </w:numPr>
        <w:pStyle w:val="Compact"/>
      </w:pPr>
      <w:r>
        <w:t xml:space="preserve">Een Chinese fase 2-studie met recombinant thymosine bèta-4 na een hartinfarct is gepland (NCT07586865, 189 deelnemers, einde mei 2028).</w:t>
      </w:r>
    </w:p>
    <w:p>
      <w:pPr>
        <w:numPr>
          <w:ilvl w:val="0"/>
          <w:numId w:val="1368"/>
        </w:numPr>
        <w:pStyle w:val="Compact"/>
      </w:pPr>
      <w:r>
        <w:t xml:space="preserve">Voor BPC-157 is een kleine gerandomiseerde studie met 30 deelnemers na schouderoperaties geregistreerd, die nog niet is begonnen (NCT07803250, gepland einde augustus 2027).</w:t>
      </w:r>
    </w:p>
    <w:p>
      <w:pPr>
        <w:pStyle w:val="FirstParagraph"/>
      </w:pPr>
      <w:r>
        <w:rPr>
          <w:bCs/>
          <w:b/>
        </w:rPr>
        <w:t xml:space="preserve">Inschatting van de auteur:</w:t>
      </w:r>
      <w:r>
        <w:t xml:space="preserve"> </w:t>
      </w:r>
      <w:r>
        <w:t xml:space="preserve">een registratie van BPC-157, TB-500 of KPV in de EU tegen 2035 acht ik zeer onwaarschijnlijk. Onderbouwing: er zijn geen fase 2- of fase 3-programma’s, geen fabrikant met herkenbare interesse in registratie, en zelfs een positief resultaat van de kleine schouderstudie zou slechts een eerste aanwijzing zijn. Realistischer is een nicheregistratie voor oogdruppels met thymosine bèta-4 bij een zeldzame hoornvliesaandoening, mits SEER-2 positief uitvalt. Thymosine alfa-1 zou in China een grotere rol kunnen spelen in de nazorg na kanker als de darmkankerstudie positief is – vanwege de ontbrekende dubbele blindering echter onder voorbehoud.</w:t>
      </w:r>
    </w:p>
    <w:bookmarkEnd w:id="2944"/>
    <w:bookmarkStart w:id="2946" w:name="groep-c-groeihormoonas"/>
    <w:p>
      <w:pPr>
        <w:pStyle w:val="Heading3"/>
      </w:pPr>
      <w:r>
        <w:t xml:space="preserve">Groep C – groeihormoonas</w:t>
      </w:r>
    </w:p>
    <w:p>
      <w:pPr>
        <w:pStyle w:val="FirstParagraph"/>
      </w:pPr>
      <w:r>
        <w:rPr>
          <w:bCs/>
          <w:b/>
        </w:rPr>
        <w:t xml:space="preserve">Vaststaand:</w:t>
      </w:r>
    </w:p>
    <w:p>
      <w:pPr>
        <w:numPr>
          <w:ilvl w:val="0"/>
          <w:numId w:val="1369"/>
        </w:numPr>
        <w:pStyle w:val="Compact"/>
      </w:pPr>
      <w:r>
        <w:t xml:space="preserve">Ibutamoren (geen peptide) wordt als LUM-201 getest in een fase 3-studie met 150 kinderen met groeihormoontekort (NCT06948214, einde januari 2028). Een fase 2-studie met 202 oudere mensen met obesitas moet LUM-201 als aanvulling op semaglutide onderzoeken (NCT07754045, einde februari 2028).</w:t>
      </w:r>
    </w:p>
    <w:p>
      <w:pPr>
        <w:numPr>
          <w:ilvl w:val="0"/>
          <w:numId w:val="1369"/>
        </w:numPr>
        <w:pStyle w:val="Compact"/>
      </w:pPr>
      <w:r>
        <w:t xml:space="preserve">Het langetermijnregister voor mecasermine loopt tot eind 2027</w:t>
      </w:r>
      <w:r>
        <w:rPr>
          <w:rStyle w:val="FootnoteReference"/>
        </w:rPr>
        <w:footnoteReference w:id="2945"/>
      </w:r>
      <w:r>
        <w:t xml:space="preserve">.</w:t>
      </w:r>
    </w:p>
    <w:p>
      <w:pPr>
        <w:numPr>
          <w:ilvl w:val="0"/>
          <w:numId w:val="1369"/>
        </w:numPr>
        <w:pStyle w:val="Compact"/>
      </w:pPr>
      <w:r>
        <w:t xml:space="preserve">Voor sermoreline, CJC-1295, ipamoreline, GHRP-2, GHRP-6, hexareline en IGF-1 LR3 is geen lopende studie geregistreerd (zie de betreffende hoofdstukken).</w:t>
      </w:r>
    </w:p>
    <w:p>
      <w:pPr>
        <w:pStyle w:val="FirstParagraph"/>
      </w:pPr>
      <w:r>
        <w:rPr>
          <w:bCs/>
          <w:b/>
        </w:rPr>
        <w:t xml:space="preserve">Inschatting van de auteur:</w:t>
      </w:r>
      <w:r>
        <w:t xml:space="preserve"> </w:t>
      </w:r>
      <w:r>
        <w:t xml:space="preserve">een nieuwe registratie van een groeihormoonvrijmakend peptide voor volwassenen acht ik tegen 2035 onwaarschijnlijk. Onderbouwing: de stoffen zijn oud, nauwelijks octrooieerbaar, en de veiligheidsvragen rond blijvend verhoogde IGF-1-spiegels (zie Deel IV) maken grote studies duur en riskant. Interessant is een andere trend: omdat sterk gewichtsverlies ook spieren kost, zou de groeihormoonas als mogelijke spierbescherming nieuwe aandacht kunnen krijgen – de studie met LUM-201 en semaglutide is een eerste voorbeeld. Of daar een voordeel uit voortkomt, is volledig open.</w:t>
      </w:r>
    </w:p>
    <w:bookmarkEnd w:id="2946"/>
    <w:bookmarkStart w:id="2950" w:name="groep-d-hersenen-slaap-en-een-lang-leven"/>
    <w:p>
      <w:pPr>
        <w:pStyle w:val="Heading3"/>
      </w:pPr>
      <w:r>
        <w:t xml:space="preserve">Groep D – hersenen, slaap en een lang leven</w:t>
      </w:r>
    </w:p>
    <w:p>
      <w:pPr>
        <w:pStyle w:val="FirstParagraph"/>
      </w:pPr>
      <w:r>
        <w:rPr>
          <w:bCs/>
          <w:b/>
        </w:rPr>
        <w:t xml:space="preserve">Vaststaand:</w:t>
      </w:r>
    </w:p>
    <w:p>
      <w:pPr>
        <w:numPr>
          <w:ilvl w:val="0"/>
          <w:numId w:val="1370"/>
        </w:numPr>
        <w:pStyle w:val="Compact"/>
      </w:pPr>
      <w:r>
        <w:t xml:space="preserve">Elamipretide (SS-31) is in de VS sinds september 2025 versneld geregistreerd voor het syndroom van Barth, gekoppeld aan een bevestigende studie (4TAZPower, NCT07531251, einde november 2029). De fase 3-studie ReNEW bij droge maculadegeneratie moet in september 2027 eindigen</w:t>
      </w:r>
      <w:r>
        <w:rPr>
          <w:rStyle w:val="FootnoteReference"/>
        </w:rPr>
        <w:footnoteReference w:id="2947"/>
      </w:r>
      <w:r>
        <w:t xml:space="preserve">.</w:t>
      </w:r>
    </w:p>
    <w:p>
      <w:pPr>
        <w:numPr>
          <w:ilvl w:val="0"/>
          <w:numId w:val="1370"/>
        </w:numPr>
        <w:pStyle w:val="Compact"/>
      </w:pPr>
      <w:r>
        <w:t xml:space="preserve">Voor cerebrolysine lopen alleen kleinere studies, bijvoorbeeld bij CADASIL</w:t>
      </w:r>
      <w:r>
        <w:rPr>
          <w:rStyle w:val="FootnoteReference"/>
        </w:rPr>
        <w:footnoteReference w:id="2948"/>
      </w:r>
      <w:r>
        <w:t xml:space="preserve">.</w:t>
      </w:r>
    </w:p>
    <w:p>
      <w:pPr>
        <w:numPr>
          <w:ilvl w:val="0"/>
          <w:numId w:val="1370"/>
        </w:numPr>
        <w:pStyle w:val="Compact"/>
      </w:pPr>
      <w:r>
        <w:t xml:space="preserve">Voor Semax, Selank, Dihexa, DSIP, Pinealon, humanine, FOXO4-DRI en MOTS-c is geen betrouwbaar geregistreerde studie met toediening van de werkzame stof vermeld. Voor Epitalon is er alleen een ongecontroleerde studie waarin het een van de vijf bestanddelen van een huidserum is</w:t>
      </w:r>
      <w:r>
        <w:rPr>
          <w:rStyle w:val="FootnoteReference"/>
        </w:rPr>
        <w:footnoteReference w:id="2949"/>
      </w:r>
      <w:r>
        <w:t xml:space="preserve">.</w:t>
      </w:r>
    </w:p>
    <w:p>
      <w:pPr>
        <w:numPr>
          <w:ilvl w:val="0"/>
          <w:numId w:val="1370"/>
        </w:numPr>
        <w:pStyle w:val="Compact"/>
      </w:pPr>
      <w:r>
        <w:t xml:space="preserve">In de VS wordt de indeling van meerdere van deze peptiden voor apotheekbereidingen opnieuw beoordeeld (zie hoofdstukken Semax en Dihexa; Willis 2026, PMID 42752426).</w:t>
      </w:r>
    </w:p>
    <w:p>
      <w:pPr>
        <w:pStyle w:val="FirstParagraph"/>
      </w:pPr>
      <w:r>
        <w:rPr>
          <w:bCs/>
          <w:b/>
        </w:rPr>
        <w:t xml:space="preserve">Inschatting van de auteur:</w:t>
      </w:r>
      <w:r>
        <w:t xml:space="preserve"> </w:t>
      </w:r>
      <w:r>
        <w:t xml:space="preserve">de longevity-peptiden zullen tegen 2035 naar verwachting blijven wat ze nu zijn: stoffen met interessante dierlijke gegevens en een grote online-vraag, maar zonder aangetoond voordeel bij mensen. Onderbouwing: studies naar „gezond ouder worden” vergen vele jaren en duidelijke eindpunten, die er daarvoor nog nauwelijks zijn; geen enkele fabrikant heeft een herkenbaar programma. Mochten Amerikaanse autoriteiten afzonderlijke peptiden vrijgeven voor bereidingen, dan zou dat de verspreiding vergroten zonder de bewijslast te verbeteren. Elamipretide is de enige werkzame stof in deze groep met een realistische weg naar een bredere registratie, en ook dat alleen als ReNEW positief uitvalt.</w:t>
      </w:r>
    </w:p>
    <w:bookmarkEnd w:id="2950"/>
    <w:bookmarkStart w:id="2952" w:name="X96a90e59ff21e15c5efcc7529624f6f16931239"/>
    <w:p>
      <w:pPr>
        <w:pStyle w:val="Heading3"/>
      </w:pPr>
      <w:r>
        <w:t xml:space="preserve">Groep E – hormonen, seksualiteit en pigmentatie</w:t>
      </w:r>
    </w:p>
    <w:p>
      <w:pPr>
        <w:pStyle w:val="FirstParagraph"/>
      </w:pPr>
      <w:r>
        <w:rPr>
          <w:bCs/>
          <w:b/>
        </w:rPr>
        <w:t xml:space="preserve">Vaststaand:</w:t>
      </w:r>
    </w:p>
    <w:p>
      <w:pPr>
        <w:numPr>
          <w:ilvl w:val="0"/>
          <w:numId w:val="1371"/>
        </w:numPr>
        <w:pStyle w:val="Compact"/>
      </w:pPr>
      <w:r>
        <w:t xml:space="preserve">De fase 3-studie naar afamelanotide bij vitiligo met 200 deelnemers was volgens het register in juni 2026 afgerond; peer-reviewed resultaten waren in oktober 2026 niet beschikbaar</w:t>
      </w:r>
      <w:r>
        <w:rPr>
          <w:rStyle w:val="FootnoteReference"/>
        </w:rPr>
        <w:footnoteReference w:id="2951"/>
      </w:r>
      <w:r>
        <w:t xml:space="preserve">.</w:t>
      </w:r>
    </w:p>
    <w:p>
      <w:pPr>
        <w:numPr>
          <w:ilvl w:val="0"/>
          <w:numId w:val="1371"/>
        </w:numPr>
        <w:pStyle w:val="Compact"/>
      </w:pPr>
      <w:r>
        <w:t xml:space="preserve">Kisspeptine wordt onderzocht in kleine fase 2-studies bij aangeboren hormoontekort (NCT05896293, einde mei 2028) en bij hypothalame amenorroe (NCT07224438, einde mei 2030).</w:t>
      </w:r>
    </w:p>
    <w:p>
      <w:pPr>
        <w:numPr>
          <w:ilvl w:val="0"/>
          <w:numId w:val="1371"/>
        </w:numPr>
        <w:pStyle w:val="Compact"/>
      </w:pPr>
      <w:r>
        <w:t xml:space="preserve">Oxytocine-neusspray wordt getest als aanvulling op relatietherapie bij posttraumatische stressstoornis met 240 deelnemers (NCT06194851, einde september 2028).</w:t>
      </w:r>
    </w:p>
    <w:p>
      <w:pPr>
        <w:pStyle w:val="FirstParagraph"/>
      </w:pPr>
      <w:r>
        <w:rPr>
          <w:bCs/>
          <w:b/>
        </w:rPr>
        <w:t xml:space="preserve">Inschatting van de auteur:</w:t>
      </w:r>
      <w:r>
        <w:t xml:space="preserve"> </w:t>
      </w:r>
      <w:r>
        <w:t xml:space="preserve">het meest denkbaar tegen 2030 is een uitbreiding van de registratie van afamelanotide naar vitiligo – als de fase 3-studie positief is. Kisspeptine blijft waarschijnlijk een onderzoeks- en diagnostisch hulpmiddel; een registratie tegen 2035 veronderstelt grotere vergelijkende studies, die tot nu toe ontbreken. Bij oxytocine-neusspray verwacht ik geen registratie voor autisme of sociale angst, hooguit bewijs voor nauw omschreven toepassingen in combinatie met psychotherapie. Melanotan II blijft een grijze-marktproduct.</w:t>
      </w:r>
    </w:p>
    <w:bookmarkEnd w:id="2952"/>
    <w:bookmarkStart w:id="2953" w:name="groep-f-collageen-voeding-en-cosmetica"/>
    <w:p>
      <w:pPr>
        <w:pStyle w:val="Heading3"/>
      </w:pPr>
      <w:r>
        <w:t xml:space="preserve">Groep F – collageen, voeding en cosmetica</w:t>
      </w:r>
    </w:p>
    <w:p>
      <w:pPr>
        <w:pStyle w:val="FirstParagraph"/>
      </w:pPr>
      <w:r>
        <w:rPr>
          <w:bCs/>
          <w:b/>
        </w:rPr>
        <w:t xml:space="preserve">Vaststaand:</w:t>
      </w:r>
    </w:p>
    <w:p>
      <w:pPr>
        <w:numPr>
          <w:ilvl w:val="0"/>
          <w:numId w:val="1372"/>
        </w:numPr>
        <w:pStyle w:val="Compact"/>
      </w:pPr>
      <w:r>
        <w:t xml:space="preserve">Een placebogecontroleerde studie met 204 deelnemers test collageenhydrolysaat bij knieartrose; het primaire eindpunt is pijn (NCT04998188, einde december 2027).</w:t>
      </w:r>
    </w:p>
    <w:p>
      <w:pPr>
        <w:numPr>
          <w:ilvl w:val="0"/>
          <w:numId w:val="1372"/>
        </w:numPr>
        <w:pStyle w:val="Compact"/>
      </w:pPr>
      <w:r>
        <w:t xml:space="preserve">Een fase 1/2-studie met 144 deelnemers onderzoekt carnosine bij perifeer arterieel vaatlijden; het primaire eindpunt is de loopafstand in zes minuten (NCT06480760, einde oktober 2028).</w:t>
      </w:r>
    </w:p>
    <w:p>
      <w:pPr>
        <w:numPr>
          <w:ilvl w:val="0"/>
          <w:numId w:val="1372"/>
        </w:numPr>
        <w:pStyle w:val="Compact"/>
      </w:pPr>
      <w:r>
        <w:t xml:space="preserve">Voor lactotripeptiden, Matrixyl en Argireline is geen lopende studie geregistreerd.</w:t>
      </w:r>
    </w:p>
    <w:p>
      <w:pPr>
        <w:pStyle w:val="FirstParagraph"/>
      </w:pPr>
      <w:r>
        <w:rPr>
          <w:bCs/>
          <w:b/>
        </w:rPr>
        <w:t xml:space="preserve">Inschatting van de auteur:</w:t>
      </w:r>
      <w:r>
        <w:t xml:space="preserve"> </w:t>
      </w:r>
      <w:r>
        <w:t xml:space="preserve">deze groep blijft voeding en cosmetica; registraties als geneesmiddel zijn niet te verwachten, omdat de producten al vrij verkrijgbaar zijn en niemand de kosten van een registratieprogramma zou moeten dragen. Wat zou kunnen veranderen, is de kwaliteit van het bewijs: onafhankelijk gefinancierde, vooraf geregistreerde studies zoals die naar knieartrose zullen laten zien of de kleine effecten uit door fabrikanten gefinancierde studies standhouden. Ik verwacht dat de effecten in zulke studies eerder kleiner uitvallen.</w:t>
      </w:r>
    </w:p>
    <w:bookmarkEnd w:id="2953"/>
    <w:bookmarkStart w:id="2972" w:name="overkoepelende-themas"/>
    <w:p>
      <w:pPr>
        <w:pStyle w:val="Heading3"/>
      </w:pPr>
      <w:r>
        <w:t xml:space="preserve">Overkoepelende thema’s</w:t>
      </w:r>
    </w:p>
    <w:bookmarkStart w:id="2955" w:name="langetermijngegevens"/>
    <w:p>
      <w:pPr>
        <w:pStyle w:val="Heading4"/>
      </w:pPr>
      <w:r>
        <w:t xml:space="preserve">Langetermijngegevens</w:t>
      </w:r>
    </w:p>
    <w:p>
      <w:pPr>
        <w:pStyle w:val="FirstParagraph"/>
      </w:pPr>
      <w:r>
        <w:rPr>
          <w:bCs/>
          <w:b/>
        </w:rPr>
        <w:t xml:space="preserve">Vaststaand:</w:t>
      </w:r>
      <w:r>
        <w:t xml:space="preserve"> </w:t>
      </w:r>
      <w:r>
        <w:t xml:space="preserve">de WHO-richtlijn over GLP-1-therapieën bij obesitas spreekt slechts een voorwaardelijke aanbeveling uit en noemt beperkte langetermijngegevens als een van de redenen</w:t>
      </w:r>
      <w:r>
        <w:rPr>
          <w:rStyle w:val="FootnoteReference"/>
        </w:rPr>
        <w:footnoteReference w:id="2954"/>
      </w:r>
      <w:r>
        <w:t xml:space="preserve">. De lopende eindpuntstudies volgen hun deelnemers meerdere jaren, maar vrijwel geen enkele langer dan tien jaar.</w:t>
      </w:r>
    </w:p>
    <w:p>
      <w:pPr>
        <w:pStyle w:val="BodyText"/>
      </w:pPr>
      <w:r>
        <w:rPr>
          <w:bCs/>
          <w:b/>
        </w:rPr>
        <w:t xml:space="preserve">Inschatting van de auteur:</w:t>
      </w:r>
      <w:r>
        <w:t xml:space="preserve"> </w:t>
      </w:r>
      <w:r>
        <w:t xml:space="preserve">tegen 2035 zullen tienjarige gegevens vooral komen uit nationale registers en gegevens van zorgverzekeraars, niet uit gerandomiseerde studies. Ze zullen zeldzame bijwerkingen beter vastleggen, maar oorzaak en gevolg moeilijker kunnen scheiden. Bij kinderen en jongeren, voor wie meerdere studies tot in de vroege jaren 2030 lopen, is de vraag naar langetermijngevolgen bijzonder dringend.</w:t>
      </w:r>
    </w:p>
    <w:bookmarkEnd w:id="2955"/>
    <w:bookmarkStart w:id="2960" w:name="onderhoudsbehandeling"/>
    <w:p>
      <w:pPr>
        <w:pStyle w:val="Heading4"/>
      </w:pPr>
      <w:r>
        <w:t xml:space="preserve">Onderhoudsbehandeling</w:t>
      </w:r>
    </w:p>
    <w:p>
      <w:pPr>
        <w:pStyle w:val="FirstParagraph"/>
      </w:pPr>
      <w:r>
        <w:rPr>
          <w:bCs/>
          <w:b/>
        </w:rPr>
        <w:t xml:space="preserve">Vaststaand:</w:t>
      </w:r>
      <w:r>
        <w:t xml:space="preserve"> </w:t>
      </w:r>
      <w:r>
        <w:t xml:space="preserve">na het stoppen komt een groot deel van het verloren gewicht terug. In de verlenging van STEP 1 was dat een jaar na het einde van de semaglutidebehandeling gemiddeld twee derde</w:t>
      </w:r>
      <w:r>
        <w:rPr>
          <w:rStyle w:val="FootnoteReference"/>
        </w:rPr>
        <w:footnoteReference w:id="2956"/>
      </w:r>
      <w:r>
        <w:t xml:space="preserve">. In SURMOUNT-4 kwamen deelnemers na de overstap van tirzepatide op placebo in het daaropvolgende jaar 14,0% aan</w:t>
      </w:r>
      <w:r>
        <w:rPr>
          <w:rStyle w:val="FootnoteReference"/>
        </w:rPr>
        <w:footnoteReference w:id="2957"/>
      </w:r>
      <w:r>
        <w:t xml:space="preserve">. De overstap van de injectie op orforglipron behield in ATTAIN-MAINTAIN een groot deel van het gewichtsverlies</w:t>
      </w:r>
      <w:r>
        <w:rPr>
          <w:rStyle w:val="FootnoteReference"/>
        </w:rPr>
        <w:footnoteReference w:id="2958"/>
      </w:r>
      <w:r>
        <w:t xml:space="preserve">. Verdere studies naar gewichtsbehoud lopen (TRIUMPH-6, NCT06859268; overstap op maandelijkse werkzame stoffen, NCT07575399, NCT07845500). Modelberekeningen suggereren dat minder frequente toediening een deel van de werking zou kunnen behouden; dat is tot nu toe niet in studies getest en geen basis voor het eigenmachtig veranderen van de behandeling</w:t>
      </w:r>
      <w:r>
        <w:rPr>
          <w:rStyle w:val="FootnoteReference"/>
        </w:rPr>
        <w:footnoteReference w:id="2959"/>
      </w:r>
      <w:r>
        <w:t xml:space="preserve">.</w:t>
      </w:r>
    </w:p>
    <w:p>
      <w:pPr>
        <w:pStyle w:val="BodyText"/>
      </w:pPr>
      <w:r>
        <w:rPr>
          <w:bCs/>
          <w:b/>
        </w:rPr>
        <w:t xml:space="preserve">Inschatting van de auteur:</w:t>
      </w:r>
      <w:r>
        <w:t xml:space="preserve"> </w:t>
      </w:r>
      <w:r>
        <w:t xml:space="preserve">tegen 2030 zal een getrapt model de overhand krijgen: eerst een fase met een sterk werkzame stof, daarna onderhoud met een tablet, een maandelijks preparaat of een lagere intensiteit. Onderbouwing: meerdere fabrikanten testen precies deze volgorde, en ze is aantrekkelijk voor betalers. Of het onderhoud levenslang nodig is of bij sommige mensen stoppen zonder grote gewichtstoename lukt, blijft een van de belangrijkste open vragen.</w:t>
      </w:r>
    </w:p>
    <w:bookmarkEnd w:id="2960"/>
    <w:bookmarkStart w:id="2962" w:name="personalisatie"/>
    <w:p>
      <w:pPr>
        <w:pStyle w:val="Heading4"/>
      </w:pPr>
      <w:r>
        <w:t xml:space="preserve">Personalisatie</w:t>
      </w:r>
    </w:p>
    <w:p>
      <w:pPr>
        <w:pStyle w:val="FirstParagraph"/>
      </w:pPr>
      <w:r>
        <w:rPr>
          <w:bCs/>
          <w:b/>
        </w:rPr>
        <w:t xml:space="preserve">Vaststaand:</w:t>
      </w:r>
      <w:r>
        <w:t xml:space="preserve"> </w:t>
      </w:r>
      <w:r>
        <w:t xml:space="preserve">precisiegeneeskunde bij obesitas bestaat al voor zeldzame genetische vormen: setmelanotide is alleen voor bepaalde genetische defecten geregistreerd (zie hoofdstuk Setmelanotide). Orforglipron wordt in een studie met 2.001 deelnemers getest bij overgewicht om de overgang naar obesitas of gevolgziekten te voorkomen (ATTAIN-NOW, NCT07794579, einde september 2030). De WHO kondigt aan als volgende stap criteria op te stellen voor wie bij beperkte middelen het eerst behandeld moet worden</w:t>
      </w:r>
      <w:r>
        <w:rPr>
          <w:rStyle w:val="FootnoteReference"/>
        </w:rPr>
        <w:footnoteReference w:id="2961"/>
      </w:r>
      <w:r>
        <w:t xml:space="preserve">.</w:t>
      </w:r>
    </w:p>
    <w:p>
      <w:pPr>
        <w:pStyle w:val="BodyText"/>
      </w:pPr>
      <w:r>
        <w:rPr>
          <w:bCs/>
          <w:b/>
        </w:rPr>
        <w:t xml:space="preserve">Inschatting van de auteur:</w:t>
      </w:r>
      <w:r>
        <w:t xml:space="preserve"> </w:t>
      </w:r>
      <w:r>
        <w:t xml:space="preserve">een betrouwbare test die vooraf zegt wie goed reageert op welke werkzame stof, is tegen 2030 niet in zicht. Personalisatie zal aanvankelijk pragmatisch zijn: naar bijkomende aandoeningen, verdraagbaarheid, bereidheid tot injecteren en kosten. De vraag of geneesmiddelen al vóór het ontstaan van obesitas moeten worden ingezet, blijft ethisch en economisch omstreden.</w:t>
      </w:r>
    </w:p>
    <w:bookmarkEnd w:id="2962"/>
    <w:bookmarkStart w:id="2966" w:name="regulering-van-de-grijze-markt"/>
    <w:p>
      <w:pPr>
        <w:pStyle w:val="Heading4"/>
      </w:pPr>
      <w:r>
        <w:t xml:space="preserve">Regulering van de grijze markt</w:t>
      </w:r>
    </w:p>
    <w:p>
      <w:pPr>
        <w:pStyle w:val="FirstParagraph"/>
      </w:pPr>
      <w:r>
        <w:rPr>
          <w:bCs/>
          <w:b/>
        </w:rPr>
        <w:t xml:space="preserve">Vaststaand:</w:t>
      </w:r>
      <w:r>
        <w:t xml:space="preserve"> </w:t>
      </w:r>
      <w:r>
        <w:t xml:space="preserve">de laboratoriumanalyses en casusbeschrijvingen uit Deel I en Deel IV laten vervalsingen, verkeerde doseringen en verontreinigingen zien. Inmiddels worden ook niet-geregistreerde werkzame stoffen zoals retatrutide en zenagamtide online verkocht</w:t>
      </w:r>
      <w:r>
        <w:rPr>
          <w:rStyle w:val="FootnoteReference"/>
        </w:rPr>
        <w:footnoteReference w:id="2963"/>
      </w:r>
      <w:r>
        <w:t xml:space="preserve">. In de VS werden apotheekkopieën van semaglutide en tirzepatide na het einde van de tekorten grotendeels beëindigd; gewijzigde bereidingen bestaan nog steeds</w:t>
      </w:r>
      <w:r>
        <w:rPr>
          <w:rStyle w:val="FootnoteReference"/>
        </w:rPr>
        <w:footnoteReference w:id="2964"/>
      </w:r>
      <w:r>
        <w:t xml:space="preserve">. De indeling van peptiden voor apotheekbereidingen wordt in de VS opnieuw onderhandeld</w:t>
      </w:r>
      <w:r>
        <w:rPr>
          <w:rStyle w:val="FootnoteReference"/>
        </w:rPr>
        <w:footnoteReference w:id="2965"/>
      </w:r>
      <w:r>
        <w:t xml:space="preserve">.</w:t>
      </w:r>
    </w:p>
    <w:p>
      <w:pPr>
        <w:pStyle w:val="BodyText"/>
      </w:pPr>
      <w:r>
        <w:rPr>
          <w:bCs/>
          <w:b/>
        </w:rPr>
        <w:t xml:space="preserve">Inschatting van de auteur:</w:t>
      </w:r>
      <w:r>
        <w:t xml:space="preserve"> </w:t>
      </w:r>
      <w:r>
        <w:t xml:space="preserve">de grijze markt zal tegen 2035 niet verdwijnen, maar wel veranderen. Dalende prijzen voor geregistreerde geneesmiddelen zullen de prikkel voor vervalsingen van semaglutide waarschijnlijk verkleinen. Tegelijk zal elke nieuwe werkzame stof die in studies opzien baart, al vóór de registratie als „research peptide” worden aangeboden. Ik verwacht strengere controles op online-handelaren en betaalkanalen in de EU, maar geen werkzame oplossing zolang bestellingen uit landen met zwak toezicht mogelijk zijn.</w:t>
      </w:r>
    </w:p>
    <w:bookmarkEnd w:id="2966"/>
    <w:bookmarkStart w:id="2971" w:name="X61ca28813846e613610cc589e2c7fa7f32713b9"/>
    <w:p>
      <w:pPr>
        <w:pStyle w:val="Heading4"/>
      </w:pPr>
      <w:r>
        <w:t xml:space="preserve">Kunstmatige intelligentie bij het ontwerpen van peptiden</w:t>
      </w:r>
    </w:p>
    <w:p>
      <w:pPr>
        <w:pStyle w:val="FirstParagraph"/>
      </w:pPr>
      <w:r>
        <w:rPr>
          <w:bCs/>
          <w:b/>
        </w:rPr>
        <w:t xml:space="preserve">Vaststaand:</w:t>
      </w:r>
      <w:r>
        <w:t xml:space="preserve"> </w:t>
      </w:r>
      <w:r>
        <w:t xml:space="preserve">tot nu toe komt al het gepubliceerde bewijs uit laboratorium- en dierproeven. Een onderzoeksteam ontwierp met methoden van machine learning 10.000 nieuwe GLP-1-receptoragonisten, selecteerde er op de computer 60 en testte die in het laboratorium; twee kandidaten werkten bij muizen ongeveer drie keer zo lang als semaglutide</w:t>
      </w:r>
      <w:r>
        <w:rPr>
          <w:rStyle w:val="FootnoteReference"/>
        </w:rPr>
        <w:footnoteReference w:id="2967"/>
      </w:r>
      <w:r>
        <w:t xml:space="preserve">. Een andere methode ontwierp ringvormige peptiden die gericht binden aan vooraf gekozen eiwitten; de in het laboratorium bepaalde structuren kwamen nauw overeen met de computermodellen</w:t>
      </w:r>
      <w:r>
        <w:rPr>
          <w:rStyle w:val="FootnoteReference"/>
        </w:rPr>
        <w:footnoteReference w:id="2968"/>
      </w:r>
      <w:r>
        <w:t xml:space="preserve">. Met een lerend model werden uit bacteriële peptiden nieuwe antimicrobiële peptiden afgeleid, waarvan er één bij muizen met een infectie van de dij de bacteriële belasting met meer dan 95% verlaagde</w:t>
      </w:r>
      <w:r>
        <w:rPr>
          <w:rStyle w:val="FootnoteReference"/>
        </w:rPr>
        <w:footnoteReference w:id="2969"/>
      </w:r>
      <w:r>
        <w:t xml:space="preserve">. Het orale PCSK9-peptide enlicitide werd met een andere high-throughputmethode gevonden en is al in fase 3</w:t>
      </w:r>
      <w:r>
        <w:rPr>
          <w:rStyle w:val="FootnoteReference"/>
        </w:rPr>
        <w:footnoteReference w:id="2970"/>
      </w:r>
      <w:r>
        <w:t xml:space="preserve">.</w:t>
      </w:r>
    </w:p>
    <w:p>
      <w:pPr>
        <w:pStyle w:val="BodyText"/>
      </w:pPr>
      <w:r>
        <w:rPr>
          <w:bCs/>
          <w:b/>
        </w:rPr>
        <w:t xml:space="preserve">Inschatting van de auteur:</w:t>
      </w:r>
      <w:r>
        <w:t xml:space="preserve"> </w:t>
      </w:r>
      <w:r>
        <w:t xml:space="preserve">tegen 2030 zullen de eerste met AI-methoden ontworpen peptiden in vroege studies bij mensen zijn; een registratie tegen 2035 is mogelijk, maar niet waarschijnlijk, omdat ook een snel gevonden molecuul alle klinische fasen moet doorlopen. AI verkort de zoektocht naar kandidaten, niet het testen bij mensen. Voor lezers betekent dit: aanbiedingen die „AI-geoptimaliseerde peptiden” beloven, zijn reclame, geen bewijs van werkzaamheid.</w:t>
      </w:r>
    </w:p>
    <w:bookmarkEnd w:id="2971"/>
    <w:bookmarkEnd w:id="2972"/>
    <w:bookmarkStart w:id="2973" w:name="X0f5c6e7537f10992b002f544d4f9f2e9b7dbdd7"/>
    <w:p>
      <w:pPr>
        <w:pStyle w:val="Heading3"/>
      </w:pPr>
      <w:r>
        <w:t xml:space="preserve">Tijdlijn: wat er tot 2032 in het register is aangekondigd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Periode</w:t>
            </w:r>
          </w:p>
        </w:tc>
        <w:tc>
          <w:tcPr/>
          <w:p>
            <w:pPr>
              <w:pStyle w:val="Compact"/>
              <w:jc w:val="left"/>
            </w:pPr>
            <w:r>
              <w:t xml:space="preserve">Verwachte gebeurtenis volgens register</w:t>
            </w:r>
          </w:p>
        </w:tc>
        <w:tc>
          <w:tcPr/>
          <w:p>
            <w:pPr>
              <w:pStyle w:val="Compact"/>
              <w:jc w:val="left"/>
            </w:pPr>
            <w:r>
              <w:t xml:space="preserve">Werkzame stof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resultaten directe vergelijking met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cardiovasculaire resultaten zonder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cardiovasculaire resultaten</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nazorg na darmkanker</w:t>
            </w:r>
          </w:p>
        </w:tc>
        <w:tc>
          <w:tcPr/>
          <w:p>
            <w:pPr>
              <w:pStyle w:val="Compact"/>
              <w:jc w:val="left"/>
            </w:pPr>
            <w:r>
              <w:t xml:space="preserve">Thymosine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maculadegeneratie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groei bij kinderen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hart- en niergebeurtenissen</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cardiovasculaire resultaten, hartfalen</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cardiovasculaire resultaten</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Enlicitide (oraal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ernstige levergebeurtenissen</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De jaartallen zijn de in het register vermelde einddata van de studies. Publicaties volgen meestal later, en verschuivingen komen vaak voor.</w:t>
      </w:r>
    </w:p>
    <w:bookmarkEnd w:id="2973"/>
    <w:bookmarkStart w:id="2974" w:name="conclusie-van-het-boek"/>
    <w:p>
      <w:pPr>
        <w:pStyle w:val="Heading3"/>
      </w:pPr>
      <w:r>
        <w:t xml:space="preserve">Conclusie van het boek</w:t>
      </w:r>
    </w:p>
    <w:p>
      <w:pPr>
        <w:pStyle w:val="FirstParagraph"/>
      </w:pPr>
      <w:r>
        <w:t xml:space="preserve">Van de peptiden in dit boek hebben er maar weinig in grote studies bij mensen bewezen wat ze kunnen – voorop de op GLP-1 gebaseerde geneesmiddelen, waarvan het voordeel is aangetoond tot en met minder cardiovasculaire gebeurtenissen. Voor de meeste peptiden die op internet worden aangeprezen als wondermiddel voor herstel, spieren of een lang leven, zijn er daarentegen alleen dierproeven, kleine studies of helemaal geen gegevens – en ook geen lopende grote studie die dat binnenkort zou veranderen. De toekomst van de peptidegeneeskunde wordt daarom niet in webwinkels beslist, maar in de eindpuntstudies die tussen 2027 en 2032 eindigen. Wie belangstelling heeft voor een peptide, doet er het best aan drie vragen te stellen: zijn er gerandomiseerde studies bij mensen, is het product een getest geneesmiddel, en begeleidt een arts het gebruik?</w:t>
      </w:r>
    </w:p>
    <w:bookmarkEnd w:id="2974"/>
    <w:bookmarkEnd w:id="2975"/>
    <w:bookmarkEnd w:id="2976"/>
    <w:bookmarkStart w:id="2996" w:name="woordenlijst"/>
    <w:p>
      <w:pPr>
        <w:pStyle w:val="Heading1"/>
      </w:pPr>
      <w:r>
        <w:t xml:space="preserve">Woordenlijst</w:t>
      </w:r>
    </w:p>
    <w:p>
      <w:pPr>
        <w:pStyle w:val="FirstParagraph"/>
      </w:pPr>
      <w:r>
        <w:t xml:space="preserve">De volgende uitleg is bewust kort gehouden. Uitgebreidere toelichtingen vind je in de hoofdstukken van Deel I, met name in „Wat peptiden zijn – en wat niet” en „Studies goed lezen”.</w:t>
      </w:r>
    </w:p>
    <w:bookmarkStart w:id="2977" w:name="a"/>
    <w:p>
      <w:pPr>
        <w:pStyle w:val="Heading3"/>
      </w:pPr>
      <w:r>
        <w:t xml:space="preserve">A</w:t>
      </w:r>
    </w:p>
    <w:p>
      <w:pPr>
        <w:pStyle w:val="FirstParagraph"/>
      </w:pPr>
      <w:r>
        <w:rPr>
          <w:bCs/>
          <w:b/>
        </w:rPr>
        <w:t xml:space="preserve">Absolute risicoreductie</w:t>
      </w:r>
      <w:r>
        <w:t xml:space="preserve">: Het verschil in de frequentie van een gebeurtenis tussen twee groepen, uitgedrukt in procentpunten. Daalt een risico van 8% naar 6,5%, dan bedraagt de absolute risicoreductie 1,5 procentpunt.</w:t>
      </w:r>
    </w:p>
    <w:p>
      <w:pPr>
        <w:pStyle w:val="BodyText"/>
      </w:pPr>
      <w:r>
        <w:rPr>
          <w:bCs/>
          <w:b/>
        </w:rPr>
        <w:t xml:space="preserve">Acromegalie</w:t>
      </w:r>
      <w:r>
        <w:t xml:space="preserve">: Aandoening door een blijvende overproductie van groeihormoon op volwassen leeftijd, meestal door een goedaardige tumor van de hypofyse. Typisch zijn vergrote handen, voeten en gelaatstrekken.</w:t>
      </w:r>
    </w:p>
    <w:p>
      <w:pPr>
        <w:pStyle w:val="BodyText"/>
      </w:pPr>
      <w:r>
        <w:rPr>
          <w:bCs/>
          <w:b/>
        </w:rPr>
        <w:t xml:space="preserve">Agonist</w:t>
      </w:r>
      <w:r>
        <w:t xml:space="preserve">: Een stof die aan een receptor bindt en die activeert, dus een signaal uitlokt. Semaglutide is bijvoorbeeld een agonist van de GLP-1-receptor.</w:t>
      </w:r>
    </w:p>
    <w:p>
      <w:pPr>
        <w:pStyle w:val="BodyText"/>
      </w:pPr>
      <w:r>
        <w:rPr>
          <w:bCs/>
          <w:b/>
        </w:rPr>
        <w:t xml:space="preserve">Albumine</w:t>
      </w:r>
      <w:r>
        <w:t xml:space="preserve">: Het meest voorkomende eiwit in het bloedplasma. Sommige peptidegeneesmiddelen zijn zo gebouwd dat ze zich aan albumine binden en daardoor langer in het lichaam blijven.</w:t>
      </w:r>
    </w:p>
    <w:p>
      <w:pPr>
        <w:pStyle w:val="BodyText"/>
      </w:pPr>
      <w:r>
        <w:rPr>
          <w:bCs/>
          <w:b/>
        </w:rPr>
        <w:t xml:space="preserve">Aminozuur</w:t>
      </w:r>
      <w:r>
        <w:t xml:space="preserve">: Basisbouwsteen van peptiden en eiwitten. De mens gebruikt in wezen 20 standaardaminozuren, die via peptidebindingen tot ketens worden verbonden.</w:t>
      </w:r>
    </w:p>
    <w:p>
      <w:pPr>
        <w:pStyle w:val="BodyText"/>
      </w:pPr>
      <w:r>
        <w:rPr>
          <w:bCs/>
          <w:b/>
        </w:rPr>
        <w:t xml:space="preserve">Amyline</w:t>
      </w:r>
      <w:r>
        <w:t xml:space="preserve">: Een peptidehormoon dat samen met insuline door de alvleesklier wordt afgegeven en onder meer verzadiging en maaglediging beïnvloedt. Varianten zoals pramlintide en cagrilintide worden als geneesmiddel gebruikt of onderzocht.</w:t>
      </w:r>
    </w:p>
    <w:p>
      <w:pPr>
        <w:pStyle w:val="BodyText"/>
      </w:pPr>
      <w:r>
        <w:rPr>
          <w:bCs/>
          <w:b/>
        </w:rPr>
        <w:t xml:space="preserve">Analoog</w:t>
      </w:r>
      <w:r>
        <w:t xml:space="preserve">: Een molecuul dat is nagebouwd naar een natuurlijk voorbeeld, maar gericht is gewijzigd – bijvoorbeeld om het stabieler of langer werkzaam te maken.</w:t>
      </w:r>
    </w:p>
    <w:p>
      <w:pPr>
        <w:pStyle w:val="BodyText"/>
      </w:pPr>
      <w:r>
        <w:rPr>
          <w:bCs/>
          <w:b/>
        </w:rPr>
        <w:t xml:space="preserve">Angiogenese</w:t>
      </w:r>
      <w:r>
        <w:t xml:space="preserve">: Vorming van nieuwe bloedvaten. Ze is belangrijk voor wondgenezing, maar kan ook de groei van tumoren bevorderen.</w:t>
      </w:r>
    </w:p>
    <w:p>
      <w:pPr>
        <w:pStyle w:val="BodyText"/>
      </w:pPr>
      <w:r>
        <w:rPr>
          <w:bCs/>
          <w:b/>
        </w:rPr>
        <w:t xml:space="preserve">Antagonist</w:t>
      </w:r>
      <w:r>
        <w:t xml:space="preserve">: Een stof die aan een receptor bindt zonder die te activeren, en daardoor de werking van lichaamseigen signaalstoffen blokkeert.</w:t>
      </w:r>
    </w:p>
    <w:p>
      <w:pPr>
        <w:pStyle w:val="BodyText"/>
      </w:pPr>
      <w:r>
        <w:rPr>
          <w:bCs/>
          <w:b/>
        </w:rPr>
        <w:t xml:space="preserve">Antimicrobiële peptiden</w:t>
      </w:r>
      <w:r>
        <w:t xml:space="preserve">: Lichaamseigen peptiden die deel uitmaken van de aangeboren afweer en bacteriën, schimmels of virussen kunnen beschadigen. Een voorbeeld is LL-37.</w:t>
      </w:r>
    </w:p>
    <w:p>
      <w:pPr>
        <w:pStyle w:val="BodyText"/>
      </w:pPr>
      <w:r>
        <w:rPr>
          <w:bCs/>
          <w:b/>
        </w:rPr>
        <w:t xml:space="preserve">Antistoffen (antilichamen)</w:t>
      </w:r>
      <w:r>
        <w:t xml:space="preserve">: Eiwitmoleculen van het immuunsysteem die gericht aan vreemde structuren binden. Antistoffen die tegen peptidegeneesmiddelen worden gevormd, kunnen de werking ervan verzwakken of reacties uitlokken.</w:t>
      </w:r>
    </w:p>
    <w:bookmarkEnd w:id="2977"/>
    <w:bookmarkStart w:id="2978" w:name="b"/>
    <w:p>
      <w:pPr>
        <w:pStyle w:val="Heading3"/>
      </w:pPr>
      <w:r>
        <w:t xml:space="preserve">B</w:t>
      </w:r>
    </w:p>
    <w:p>
      <w:pPr>
        <w:pStyle w:val="FirstParagraph"/>
      </w:pPr>
      <w:r>
        <w:rPr>
          <w:bCs/>
          <w:b/>
        </w:rPr>
        <w:t xml:space="preserve">Belangenconflict</w:t>
      </w:r>
      <w:r>
        <w:t xml:space="preserve">: Een situatie waarin financiële of andere belangen het oordeel van onderzoekers of auteurs zouden kunnen beïnvloeden, bijvoorbeeld door financiering van een studie door de fabrikant.</w:t>
      </w:r>
    </w:p>
    <w:p>
      <w:pPr>
        <w:pStyle w:val="BodyText"/>
      </w:pPr>
      <w:r>
        <w:rPr>
          <w:bCs/>
          <w:b/>
        </w:rPr>
        <w:t xml:space="preserve">Betrouwbaarheidsinterval</w:t>
      </w:r>
      <w:r>
        <w:t xml:space="preserve">: Een bereik rond een studieresultaat waarbinnen de werkelijke waarde met een bepaalde waarschijnlijkheid (meestal 95%) ligt. Brede intervallen wijzen op een onzekere schatting.</w:t>
      </w:r>
    </w:p>
    <w:p>
      <w:pPr>
        <w:pStyle w:val="BodyText"/>
      </w:pPr>
      <w:r>
        <w:rPr>
          <w:bCs/>
          <w:b/>
        </w:rPr>
        <w:t xml:space="preserve">Bewijsniveau</w:t>
      </w:r>
      <w:r>
        <w:t xml:space="preserve">: In dit boek een indeling van A tot D die aangeeft hoe goed de werking van een peptide bij de mens is aangetoond. A staat voor meerdere grote gerandomiseerde studies en registratie, D voor uitsluitend dier- en laboratoriumstudies.</w:t>
      </w:r>
    </w:p>
    <w:p>
      <w:pPr>
        <w:pStyle w:val="BodyText"/>
      </w:pPr>
      <w:r>
        <w:rPr>
          <w:bCs/>
          <w:b/>
        </w:rPr>
        <w:t xml:space="preserve">Bewijspiramide</w:t>
      </w:r>
      <w:r>
        <w:t xml:space="preserve">: Een rangorde van studietypen naar hun zeggingskracht, van laboratorium- en dierstudies onderaan tot meta-analyses van gerandomiseerde studies bovenaan.</w:t>
      </w:r>
    </w:p>
    <w:p>
      <w:pPr>
        <w:pStyle w:val="BodyText"/>
      </w:pPr>
      <w:r>
        <w:rPr>
          <w:bCs/>
          <w:b/>
        </w:rPr>
        <w:t xml:space="preserve">Biologische beschikbaarheid</w:t>
      </w:r>
      <w:r>
        <w:t xml:space="preserve">: Het deel van een toegediende werkzame stof dat onveranderd in de bloedsomloop terechtkomt. Bij een infuus in een ader bedraagt die 100%, bij peptidetabletten vaak maar enkele procenten of minder.</w:t>
      </w:r>
    </w:p>
    <w:p>
      <w:pPr>
        <w:pStyle w:val="BodyText"/>
      </w:pPr>
      <w:r>
        <w:rPr>
          <w:bCs/>
          <w:b/>
        </w:rPr>
        <w:t xml:space="preserve">Biologisch geneesmiddel (biological)</w:t>
      </w:r>
      <w:r>
        <w:t xml:space="preserve">: Een geneesmiddel waarvan de werkzame stof met behulp van levende cellen wordt geproduceerd, bijvoorbeeld genetisch gemodificeerd in bacteriën of zoogdiercellen. Veel grotere peptiden en alle antistofgeneesmiddelen behoren daartoe.</w:t>
      </w:r>
    </w:p>
    <w:p>
      <w:pPr>
        <w:pStyle w:val="BodyText"/>
      </w:pPr>
      <w:r>
        <w:rPr>
          <w:bCs/>
          <w:b/>
        </w:rPr>
        <w:t xml:space="preserve">Biosimilar</w:t>
      </w:r>
      <w:r>
        <w:t xml:space="preserve">: Een opvolgerpreparaat van een biologisch geneesmiddel na afloop van de octrooibescherming. Het moet aantoonbaar zeer sterk op het origineel lijken wat kwaliteit, werkzaamheid en veiligheid betreft.</w:t>
      </w:r>
    </w:p>
    <w:p>
      <w:pPr>
        <w:pStyle w:val="BodyText"/>
      </w:pPr>
      <w:r>
        <w:rPr>
          <w:bCs/>
          <w:b/>
        </w:rPr>
        <w:t xml:space="preserve">Blindering</w:t>
      </w:r>
      <w:r>
        <w:t xml:space="preserve">: Het verbergen van de groepstoewijzing voor deelnemers en/of studiepersoneel, om effecten van verwachtingen te vermijden.</w:t>
      </w:r>
    </w:p>
    <w:p>
      <w:pPr>
        <w:pStyle w:val="BodyText"/>
      </w:pPr>
      <w:r>
        <w:rPr>
          <w:bCs/>
          <w:b/>
        </w:rPr>
        <w:t xml:space="preserve">BMI (body-mass-index)</w:t>
      </w:r>
      <w:r>
        <w:t xml:space="preserve">: Lichaamsgewicht in kilogram gedeeld door het kwadraat van de lichaamslengte in meter. Grove maat voor onder-, normaal en overgewicht.</w:t>
      </w:r>
    </w:p>
    <w:bookmarkEnd w:id="2978"/>
    <w:bookmarkStart w:id="2979" w:name="c"/>
    <w:p>
      <w:pPr>
        <w:pStyle w:val="Heading3"/>
      </w:pPr>
      <w:r>
        <w:t xml:space="preserve">C</w:t>
      </w:r>
    </w:p>
    <w:p>
      <w:pPr>
        <w:pStyle w:val="FirstParagraph"/>
      </w:pPr>
      <w:r>
        <w:rPr>
          <w:bCs/>
          <w:b/>
        </w:rPr>
        <w:t xml:space="preserve">Casusbeschrijving</w:t>
      </w:r>
      <w:r>
        <w:t xml:space="preserve">: De beschrijving van één enkel ziektegeval in een vaktijdschrift. Casusbeschrijvingen zijn belangrijk om zeldzame bijwerkingen te herkennen, maar zeggen weinig over werkzaamheid.</w:t>
      </w:r>
    </w:p>
    <w:p>
      <w:pPr>
        <w:pStyle w:val="BodyText"/>
      </w:pPr>
      <w:r>
        <w:rPr>
          <w:bCs/>
          <w:b/>
        </w:rPr>
        <w:t xml:space="preserve">Cohortstudie</w:t>
      </w:r>
      <w:r>
        <w:t xml:space="preserve">: Een observationele studie die een groep mensen langdurig volgt en vergelijkt hoe vaak bepaalde gebeurtenissen optreden bij verschillende kenmerken of behandelingen.</w:t>
      </w:r>
    </w:p>
    <w:p>
      <w:pPr>
        <w:pStyle w:val="BodyText"/>
      </w:pPr>
      <w:r>
        <w:rPr>
          <w:bCs/>
          <w:b/>
        </w:rPr>
        <w:t xml:space="preserve">Compounding</w:t>
      </w:r>
      <w:r>
        <w:t xml:space="preserve">: In de VS het zelf bereiden van geneesmiddelen door apotheken, bijvoorbeeld bij leveringstekorten. Zulke bereidingen zijn geen geregistreerde, industrieel vervaardigde geneesmiddelen.</w:t>
      </w:r>
    </w:p>
    <w:p>
      <w:pPr>
        <w:pStyle w:val="BodyText"/>
      </w:pPr>
      <w:r>
        <w:rPr>
          <w:bCs/>
          <w:b/>
        </w:rPr>
        <w:t xml:space="preserve">Confounding (verstorende variabele)</w:t>
      </w:r>
      <w:r>
        <w:t xml:space="preserve">: Een factor die zowel met een behandeling als met een uitkomst samenhangt en zo een schijnbaar verband kan veroorzaken. Typisch probleem van observationele studies.</w:t>
      </w:r>
    </w:p>
    <w:p>
      <w:pPr>
        <w:pStyle w:val="BodyText"/>
      </w:pPr>
      <w:r>
        <w:rPr>
          <w:bCs/>
          <w:b/>
        </w:rPr>
        <w:t xml:space="preserve">Controlegroep</w:t>
      </w:r>
      <w:r>
        <w:t xml:space="preserve">: De vergelijkingsgroep in een studie, die geen werkzame stof, een placebo of een standaardbehandeling krijgt.</w:t>
      </w:r>
    </w:p>
    <w:p>
      <w:pPr>
        <w:pStyle w:val="BodyText"/>
      </w:pPr>
      <w:r>
        <w:rPr>
          <w:bCs/>
          <w:b/>
        </w:rPr>
        <w:t xml:space="preserve">Cosmetisch product</w:t>
      </w:r>
      <w:r>
        <w:t xml:space="preserve">: Een product voor uitwendig gebruik dat reinigt, verzorgt, beschermt of het uiterlijk verandert. Het mag geen geneeskundige werking claimen en heeft in de EU geen registratie nodig.</w:t>
      </w:r>
    </w:p>
    <w:p>
      <w:pPr>
        <w:pStyle w:val="BodyText"/>
      </w:pPr>
      <w:r>
        <w:rPr>
          <w:bCs/>
          <w:b/>
        </w:rPr>
        <w:t xml:space="preserve">C-terminus</w:t>
      </w:r>
      <w:r>
        <w:t xml:space="preserve">: Het uiteinde van een peptideketen met de vrije zuurgroep. Peptidesequenties worden van de N-terminus naar de C-terminus geschreven.</w:t>
      </w:r>
    </w:p>
    <w:p>
      <w:pPr>
        <w:pStyle w:val="BodyText"/>
      </w:pPr>
      <w:r>
        <w:rPr>
          <w:bCs/>
          <w:b/>
        </w:rPr>
        <w:t xml:space="preserve">Cyclisch peptide</w:t>
      </w:r>
      <w:r>
        <w:t xml:space="preserve">: Een peptide waarvan de keten tot een ring is gesloten. Ringstructuren maken peptiden vaak stabieler tegenover enzymen.</w:t>
      </w:r>
    </w:p>
    <w:bookmarkEnd w:id="2979"/>
    <w:bookmarkStart w:id="2980" w:name="d"/>
    <w:p>
      <w:pPr>
        <w:pStyle w:val="Heading3"/>
      </w:pPr>
      <w:r>
        <w:t xml:space="preserve">D</w:t>
      </w:r>
    </w:p>
    <w:p>
      <w:pPr>
        <w:pStyle w:val="FirstParagraph"/>
      </w:pPr>
      <w:r>
        <w:rPr>
          <w:bCs/>
          <w:b/>
        </w:rPr>
        <w:t xml:space="preserve">Dalton</w:t>
      </w:r>
      <w:r>
        <w:t xml:space="preserve">: Eenheid voor de massa van moleculen. Een aminozuur in een peptideketen weegt gemiddeld iets meer dan 100 dalton.</w:t>
      </w:r>
    </w:p>
    <w:p>
      <w:pPr>
        <w:pStyle w:val="BodyText"/>
      </w:pPr>
      <w:r>
        <w:rPr>
          <w:bCs/>
          <w:b/>
        </w:rPr>
        <w:t xml:space="preserve">Diabetes type 2</w:t>
      </w:r>
      <w:r>
        <w:t xml:space="preserve">: De meest voorkomende vorm van suikerziekte, waarbij het lichaam insuline minder effectief gebruikt en de alvleesklier niet genoeg bijlevert. Vaak gekoppeld aan overgewicht.</w:t>
      </w:r>
    </w:p>
    <w:p>
      <w:pPr>
        <w:pStyle w:val="BodyText"/>
      </w:pPr>
      <w:r>
        <w:rPr>
          <w:bCs/>
          <w:b/>
        </w:rPr>
        <w:t xml:space="preserve">Dipeptidylpeptidase-4 (DPP-4)</w:t>
      </w:r>
      <w:r>
        <w:t xml:space="preserve">: Een enzym dat onder meer het darmhormoon GLP-1 snel afbreekt. Remmers van dit enzym (gliptinen) worden gebruikt als diabetestabletten.</w:t>
      </w:r>
    </w:p>
    <w:p>
      <w:pPr>
        <w:pStyle w:val="BodyText"/>
      </w:pPr>
      <w:r>
        <w:rPr>
          <w:bCs/>
          <w:b/>
        </w:rPr>
        <w:t xml:space="preserve">Dubbelblind</w:t>
      </w:r>
      <w:r>
        <w:t xml:space="preserve">: Een studie waarin noch de deelnemers noch het studiepersoneel weten wie de werkzame stof en wie placebo krijgt. Dat vermindert de invloed van verwachtingen op de resultaten.</w:t>
      </w:r>
    </w:p>
    <w:bookmarkEnd w:id="2980"/>
    <w:bookmarkStart w:id="2981" w:name="e"/>
    <w:p>
      <w:pPr>
        <w:pStyle w:val="Heading3"/>
      </w:pPr>
      <w:r>
        <w:t xml:space="preserve">E</w:t>
      </w:r>
    </w:p>
    <w:p>
      <w:pPr>
        <w:pStyle w:val="FirstParagraph"/>
      </w:pPr>
      <w:r>
        <w:rPr>
          <w:bCs/>
          <w:b/>
        </w:rPr>
        <w:t xml:space="preserve">Eindpunt</w:t>
      </w:r>
      <w:r>
        <w:t xml:space="preserve">: Het kenmerk waaraan in een studie het succes van een behandeling wordt afgemeten, bijvoorbeeld gewichtsverlies, bloedsuiker of hartinfarcten. Het belangrijkste wordt vóór de start van de studie vastgelegd als primair eindpunt.</w:t>
      </w:r>
    </w:p>
    <w:p>
      <w:pPr>
        <w:pStyle w:val="BodyText"/>
      </w:pPr>
      <w:r>
        <w:rPr>
          <w:bCs/>
          <w:b/>
        </w:rPr>
        <w:t xml:space="preserve">Eiwit (proteïne)</w:t>
      </w:r>
      <w:r>
        <w:t xml:space="preserve">: Een groot eiwitmolecuul van meestal meer dan 50 aminozuren met een bepaalde ruimtelijke vouwing.</w:t>
      </w:r>
    </w:p>
    <w:p>
      <w:pPr>
        <w:pStyle w:val="BodyText"/>
      </w:pPr>
      <w:r>
        <w:rPr>
          <w:bCs/>
          <w:b/>
        </w:rPr>
        <w:t xml:space="preserve">Endotoxinen</w:t>
      </w:r>
      <w:r>
        <w:t xml:space="preserve">: Hittestabiele bestanddelen van de celwand van bepaalde bacteriën. Komen ze in het bloed, dan kunnen ze koorts, ontstekingen en circulatoire reacties uitlokken; ze blijven ook na het doden van de bacteriën werkzaam.</w:t>
      </w:r>
    </w:p>
    <w:p>
      <w:pPr>
        <w:pStyle w:val="BodyText"/>
      </w:pPr>
      <w:r>
        <w:rPr>
          <w:bCs/>
          <w:b/>
        </w:rPr>
        <w:t xml:space="preserve">Estimand</w:t>
      </w:r>
      <w:r>
        <w:t xml:space="preserve">: Een nauwkeurige beschrijving van welk behandeleffect in een studie wordt geschat – bijvoorbeeld ongeacht of deelnemers met de behandeling stoppen, of alleen voor de periode waarin het middel daadwerkelijk werd gebruikt.</w:t>
      </w:r>
    </w:p>
    <w:p>
      <w:pPr>
        <w:pStyle w:val="BodyText"/>
      </w:pPr>
      <w:r>
        <w:rPr>
          <w:bCs/>
          <w:b/>
        </w:rPr>
        <w:t xml:space="preserve">EudraVigilance</w:t>
      </w:r>
      <w:r>
        <w:t xml:space="preserve">: De databank van het Europees Geneesmiddelenbureau voor meldingen van vermoedelijke bijwerkingen.</w:t>
      </w:r>
    </w:p>
    <w:bookmarkEnd w:id="2981"/>
    <w:bookmarkStart w:id="2982" w:name="f"/>
    <w:p>
      <w:pPr>
        <w:pStyle w:val="Heading3"/>
      </w:pPr>
      <w:r>
        <w:t xml:space="preserve">F</w:t>
      </w:r>
    </w:p>
    <w:p>
      <w:pPr>
        <w:pStyle w:val="FirstParagraph"/>
      </w:pPr>
      <w:r>
        <w:rPr>
          <w:bCs/>
          <w:b/>
        </w:rPr>
        <w:t xml:space="preserve">FAERS</w:t>
      </w:r>
      <w:r>
        <w:t xml:space="preserve">: Het meldsysteem van de Amerikaanse geneesmiddelenautoriteit FDA voor vermoedelijke bijwerkingen.</w:t>
      </w:r>
    </w:p>
    <w:p>
      <w:pPr>
        <w:pStyle w:val="BodyText"/>
      </w:pPr>
      <w:r>
        <w:rPr>
          <w:bCs/>
          <w:b/>
        </w:rPr>
        <w:t xml:space="preserve">Farmacodynamiek</w:t>
      </w:r>
      <w:r>
        <w:t xml:space="preserve">: De leer van wat een werkzame stof in het lichaam teweegbrengt – dus de effecten en werkingsmechanismen ervan.</w:t>
      </w:r>
    </w:p>
    <w:p>
      <w:pPr>
        <w:pStyle w:val="BodyText"/>
      </w:pPr>
      <w:r>
        <w:rPr>
          <w:bCs/>
          <w:b/>
        </w:rPr>
        <w:t xml:space="preserve">Farmacokinetiek</w:t>
      </w:r>
      <w:r>
        <w:t xml:space="preserve">: De leer van wat het lichaam met een werkzame stof doet – opname, verdeling, afbraak en uitscheiding.</w:t>
      </w:r>
    </w:p>
    <w:bookmarkEnd w:id="2982"/>
    <w:bookmarkStart w:id="2983" w:name="g"/>
    <w:p>
      <w:pPr>
        <w:pStyle w:val="Heading3"/>
      </w:pPr>
      <w:r>
        <w:t xml:space="preserve">G</w:t>
      </w:r>
    </w:p>
    <w:p>
      <w:pPr>
        <w:pStyle w:val="FirstParagraph"/>
      </w:pPr>
      <w:r>
        <w:rPr>
          <w:bCs/>
          <w:b/>
        </w:rPr>
        <w:t xml:space="preserve">Geneesmiddel</w:t>
      </w:r>
      <w:r>
        <w:t xml:space="preserve">: Een stof of bereiding die bestemd is voor het genezen, verlichten of voorkomen van ziekten, of die lichaamsfuncties farmacologisch, immunologisch of metabool beïnvloedt. In de EU heeft een geneesmiddel vóór de verkoop een registratie (handelsvergunning) nodig.</w:t>
      </w:r>
    </w:p>
    <w:p>
      <w:pPr>
        <w:pStyle w:val="BodyText"/>
      </w:pPr>
      <w:r>
        <w:rPr>
          <w:bCs/>
          <w:b/>
        </w:rPr>
        <w:t xml:space="preserve">Geneesmiddelenbewaking (farmacovigilantie)</w:t>
      </w:r>
      <w:r>
        <w:t xml:space="preserve">: Het systematische toezicht op geneesmiddelen na de registratie, om bijwerkingen te herkennen en te beoordelen.</w:t>
      </w:r>
    </w:p>
    <w:p>
      <w:pPr>
        <w:pStyle w:val="BodyText"/>
      </w:pPr>
      <w:r>
        <w:rPr>
          <w:bCs/>
          <w:b/>
        </w:rPr>
        <w:t xml:space="preserve">Geneesmiddel naar functie</w:t>
      </w:r>
      <w:r>
        <w:t xml:space="preserve">: Juridisch begrip voor een product dat vanwege zijn farmacologische, immunologische of metabole werking als geneesmiddel geldt – ongeacht hoe het wordt aangeprezen.</w:t>
      </w:r>
    </w:p>
    <w:p>
      <w:pPr>
        <w:pStyle w:val="BodyText"/>
      </w:pPr>
      <w:r>
        <w:rPr>
          <w:bCs/>
          <w:b/>
        </w:rPr>
        <w:t xml:space="preserve">Geneesmiddel naar presentatie</w:t>
      </w:r>
      <w:r>
        <w:t xml:space="preserve">: Juridisch begrip voor een product dat als geneesmiddel geldt omdat het wordt voorgesteld of aangeprezen als middel tegen ziekten.</w:t>
      </w:r>
    </w:p>
    <w:p>
      <w:pPr>
        <w:pStyle w:val="BodyText"/>
      </w:pPr>
      <w:r>
        <w:rPr>
          <w:bCs/>
          <w:b/>
        </w:rPr>
        <w:t xml:space="preserve">Ghreline</w:t>
      </w:r>
      <w:r>
        <w:t xml:space="preserve">: Een peptidehormoon dat vooral in de maag wordt aangemaakt, honger opwekt en de afgifte van groeihormoon stimuleert.</w:t>
      </w:r>
    </w:p>
    <w:p>
      <w:pPr>
        <w:pStyle w:val="BodyText"/>
      </w:pPr>
      <w:r>
        <w:rPr>
          <w:bCs/>
          <w:b/>
        </w:rPr>
        <w:t xml:space="preserve">GHRH (growth-hormone-releasing hormone)</w:t>
      </w:r>
      <w:r>
        <w:t xml:space="preserve">: Een hormoon uit de hypothalamus dat de hypofyse aanzet tot afgifte van groeihormoon. Sermoreline, tesamoreline en CJC-1295 zijn ervan afgeleid.</w:t>
      </w:r>
    </w:p>
    <w:p>
      <w:pPr>
        <w:pStyle w:val="BodyText"/>
      </w:pPr>
      <w:r>
        <w:rPr>
          <w:bCs/>
          <w:b/>
        </w:rPr>
        <w:t xml:space="preserve">GHRP (growth-hormone-releasing peptides)</w:t>
      </w:r>
      <w:r>
        <w:t xml:space="preserve">: Een groep synthetische peptiden die via de ghrelinereceptor de afgifte van groeihormoon verhogen, zoals GHRP-2, GHRP-6, hexareline en ipamoreline.</w:t>
      </w:r>
    </w:p>
    <w:p>
      <w:pPr>
        <w:pStyle w:val="BodyText"/>
      </w:pPr>
      <w:r>
        <w:rPr>
          <w:bCs/>
          <w:b/>
        </w:rPr>
        <w:t xml:space="preserve">GIP (glucoseafhankelijk insulinotroop polypeptide)</w:t>
      </w:r>
      <w:r>
        <w:t xml:space="preserve">: Een darmhormoon uit de groep van de incretinen. Tirzepatide activeert naast de GLP-1- ook de GIP-receptor.</w:t>
      </w:r>
    </w:p>
    <w:p>
      <w:pPr>
        <w:pStyle w:val="BodyText"/>
      </w:pPr>
      <w:r>
        <w:rPr>
          <w:bCs/>
          <w:b/>
        </w:rPr>
        <w:t xml:space="preserve">GLP-1 (glucagon-like peptide-1)</w:t>
      </w:r>
      <w:r>
        <w:t xml:space="preserve">: Een darmhormoon dat na het eten wordt afgegeven, de insulineafgifte afhankelijk van de bloedsuiker versterkt, de maaglediging vertraagt en het verzadigingsgevoel beïnvloedt.</w:t>
      </w:r>
    </w:p>
    <w:p>
      <w:pPr>
        <w:pStyle w:val="BodyText"/>
      </w:pPr>
      <w:r>
        <w:rPr>
          <w:bCs/>
          <w:b/>
        </w:rPr>
        <w:t xml:space="preserve">GLP-1-receptoragonist</w:t>
      </w:r>
      <w:r>
        <w:t xml:space="preserve">: Een werkzame stof die de GLP-1-receptor activeert, bijvoorbeeld exenatide, liraglutide, dulaglutide of semaglutide.</w:t>
      </w:r>
    </w:p>
    <w:p>
      <w:pPr>
        <w:pStyle w:val="BodyText"/>
      </w:pPr>
      <w:r>
        <w:rPr>
          <w:bCs/>
          <w:b/>
        </w:rPr>
        <w:t xml:space="preserve">Glucagon</w:t>
      </w:r>
      <w:r>
        <w:t xml:space="preserve">: Een peptidehormoon van de alvleesklier dat de bloedsuiker verhoogt. Sommige nieuwe werkzame stoffen activeren daarnaast de glucagonreceptor.</w:t>
      </w:r>
    </w:p>
    <w:p>
      <w:pPr>
        <w:pStyle w:val="BodyText"/>
      </w:pPr>
      <w:r>
        <w:rPr>
          <w:bCs/>
          <w:b/>
        </w:rPr>
        <w:t xml:space="preserve">GnRH (gonadotropine-releasing hormone)</w:t>
      </w:r>
      <w:r>
        <w:t xml:space="preserve">: Een hormoon uit de hypothalamus dat de afgifte regelt van LH en FSH, de hormonen die de geslachtshormonen aansturen. Gonadoreline is een synthetische vorm.</w:t>
      </w:r>
    </w:p>
    <w:p>
      <w:pPr>
        <w:pStyle w:val="BodyText"/>
      </w:pPr>
      <w:r>
        <w:rPr>
          <w:bCs/>
          <w:b/>
        </w:rPr>
        <w:t xml:space="preserve">Groeihormoon (somatotropine)</w:t>
      </w:r>
      <w:r>
        <w:t xml:space="preserve">: Een eiwit uit de hypofyse dat groei, stofwisseling en lichaamssamenstelling beïnvloedt. Veel peptiden in dit boek zouden de afgifte ervan verhogen.</w:t>
      </w:r>
    </w:p>
    <w:bookmarkEnd w:id="2983"/>
    <w:bookmarkStart w:id="2984" w:name="h"/>
    <w:p>
      <w:pPr>
        <w:pStyle w:val="Heading3"/>
      </w:pPr>
      <w:r>
        <w:t xml:space="preserve">H</w:t>
      </w:r>
    </w:p>
    <w:p>
      <w:pPr>
        <w:pStyle w:val="FirstParagraph"/>
      </w:pPr>
      <w:r>
        <w:rPr>
          <w:bCs/>
          <w:b/>
        </w:rPr>
        <w:t xml:space="preserve">Halfwaardetijd</w:t>
      </w:r>
      <w:r>
        <w:t xml:space="preserve">: De tijd waarna de helft van een werkzame stof in het lichaam is afgebroken of uitgescheiden. Ze bepaalt in hoge mate hoe vaak een geneesmiddel moet worden toegediend.</w:t>
      </w:r>
    </w:p>
    <w:p>
      <w:pPr>
        <w:pStyle w:val="BodyText"/>
      </w:pPr>
      <w:r>
        <w:rPr>
          <w:bCs/>
          <w:b/>
        </w:rPr>
        <w:t xml:space="preserve">Hard eindpunt</w:t>
      </w:r>
      <w:r>
        <w:t xml:space="preserve">: Een studie-uitkomst die voor patiënten direct telt, zoals overlijden, hartinfarct, beroerte of botbreuk.</w:t>
      </w:r>
    </w:p>
    <w:p>
      <w:pPr>
        <w:pStyle w:val="BodyText"/>
      </w:pPr>
      <w:r>
        <w:rPr>
          <w:bCs/>
          <w:b/>
        </w:rPr>
        <w:t xml:space="preserve">Hazard ratio</w:t>
      </w:r>
      <w:r>
        <w:t xml:space="preserve">: Een maat voor hoe het risico op een gebeurtenis in de loop van de tijd verschilt tussen twee groepen. Een waarde van 0,80 betekent een ongeveer 20% lager relatief risico.</w:t>
      </w:r>
    </w:p>
    <w:p>
      <w:pPr>
        <w:pStyle w:val="BodyText"/>
      </w:pPr>
      <w:r>
        <w:rPr>
          <w:bCs/>
          <w:b/>
        </w:rPr>
        <w:t xml:space="preserve">HbA1c</w:t>
      </w:r>
      <w:r>
        <w:t xml:space="preserve">: Het deel van de rode bloedkleurstof waaraan suiker is gebonden. Het weerspiegelt de gemiddelde bloedsuiker van de afgelopen twee tot drie maanden en is een belangrijk surrogaateindpunt in diabetesstudies.</w:t>
      </w:r>
    </w:p>
    <w:p>
      <w:pPr>
        <w:pStyle w:val="BodyText"/>
      </w:pPr>
      <w:r>
        <w:rPr>
          <w:bCs/>
          <w:b/>
        </w:rPr>
        <w:t xml:space="preserve">HPLC (hogedrukvloeistofchromatografie)</w:t>
      </w:r>
      <w:r>
        <w:t xml:space="preserve">: Een laboratoriummethode waarmee stofmengsels kunnen worden gescheiden en de zuiverheid van peptiden kan worden bepaald.</w:t>
      </w:r>
    </w:p>
    <w:p>
      <w:pPr>
        <w:pStyle w:val="BodyText"/>
      </w:pPr>
      <w:r>
        <w:rPr>
          <w:bCs/>
          <w:b/>
        </w:rPr>
        <w:t xml:space="preserve">Hydrolysaat</w:t>
      </w:r>
      <w:r>
        <w:t xml:space="preserve">: Een mengsel van fragmenten dat ontstaat wanneer eiwitten met enzymen of zuur worden gesplitst. Collageenpeptiden worden zo gewonnen.</w:t>
      </w:r>
    </w:p>
    <w:p>
      <w:pPr>
        <w:pStyle w:val="BodyText"/>
      </w:pPr>
      <w:r>
        <w:rPr>
          <w:bCs/>
          <w:b/>
        </w:rPr>
        <w:t xml:space="preserve">Hypofyse</w:t>
      </w:r>
      <w:r>
        <w:t xml:space="preserve">: Een kleine hormoonklier aan de schedelbasis die onder meer groeihormoon afgeeft en de stuurhormonen voor schildklier, bijnieren en geslachtsklieren.</w:t>
      </w:r>
    </w:p>
    <w:p>
      <w:pPr>
        <w:pStyle w:val="BodyText"/>
      </w:pPr>
      <w:r>
        <w:rPr>
          <w:bCs/>
          <w:b/>
        </w:rPr>
        <w:t xml:space="preserve">Hypoglykemie</w:t>
      </w:r>
      <w:r>
        <w:t xml:space="preserve">: Te lage bloedsuikerspiegel. Ze kan leiden tot trillen, zweten, verwardheid en bewusteloosheid en is een noodgeval.</w:t>
      </w:r>
    </w:p>
    <w:p>
      <w:pPr>
        <w:pStyle w:val="BodyText"/>
      </w:pPr>
      <w:r>
        <w:rPr>
          <w:bCs/>
          <w:b/>
        </w:rPr>
        <w:t xml:space="preserve">Hypothalamus</w:t>
      </w:r>
      <w:r>
        <w:t xml:space="preserve">: Een hersengebied dat via vrijmakende hormonen de hypofyse aanstuurt en betrokken is bij honger, dorst, slaap en lichaamstemperatuur.</w:t>
      </w:r>
    </w:p>
    <w:bookmarkEnd w:id="2984"/>
    <w:bookmarkStart w:id="2985" w:name="i"/>
    <w:p>
      <w:pPr>
        <w:pStyle w:val="Heading3"/>
      </w:pPr>
      <w:r>
        <w:t xml:space="preserve">I</w:t>
      </w:r>
    </w:p>
    <w:p>
      <w:pPr>
        <w:pStyle w:val="FirstParagraph"/>
      </w:pPr>
      <w:r>
        <w:rPr>
          <w:bCs/>
          <w:b/>
        </w:rPr>
        <w:t xml:space="preserve">IGF-1 (insulineachtige groeifactor 1)</w:t>
      </w:r>
      <w:r>
        <w:t xml:space="preserve">: Een groeifactor die vooral in de lever onder invloed van groeihormoon wordt aangemaakt. Hij bemiddelt veel effecten van groeihormoon en dient als laboratoriumwaarde om dat te beoordelen.</w:t>
      </w:r>
    </w:p>
    <w:p>
      <w:pPr>
        <w:pStyle w:val="BodyText"/>
      </w:pPr>
      <w:r>
        <w:rPr>
          <w:bCs/>
          <w:b/>
        </w:rPr>
        <w:t xml:space="preserve">Immunogeniciteit</w:t>
      </w:r>
      <w:r>
        <w:t xml:space="preserve">: Het vermogen van een stof om een reactie van het immuunsysteem uit te lokken, zoals de vorming van antistoffen.</w:t>
      </w:r>
    </w:p>
    <w:p>
      <w:pPr>
        <w:pStyle w:val="BodyText"/>
      </w:pPr>
      <w:r>
        <w:rPr>
          <w:bCs/>
          <w:b/>
        </w:rPr>
        <w:t xml:space="preserve">Incretinen</w:t>
      </w:r>
      <w:r>
        <w:t xml:space="preserve">: Darmhormonen die na een maaltijd de insulineafgifte versterken. De belangrijkste zijn GLP-1 en GIP.</w:t>
      </w:r>
    </w:p>
    <w:p>
      <w:pPr>
        <w:pStyle w:val="BodyText"/>
      </w:pPr>
      <w:r>
        <w:rPr>
          <w:bCs/>
          <w:b/>
        </w:rPr>
        <w:t xml:space="preserve">Insuline</w:t>
      </w:r>
      <w:r>
        <w:t xml:space="preserve">: Een peptidehormoon van de alvleesklier van 51 aminozuren dat de bloedsuiker verlaagt. Het was in 1922 het eerste als geneesmiddel gebruikte peptide.</w:t>
      </w:r>
    </w:p>
    <w:p>
      <w:pPr>
        <w:pStyle w:val="BodyText"/>
      </w:pPr>
      <w:r>
        <w:rPr>
          <w:bCs/>
          <w:b/>
        </w:rPr>
        <w:t xml:space="preserve">Intention-to-treat-analyse</w:t>
      </w:r>
      <w:r>
        <w:t xml:space="preserve">: Analyse van een studie waarbij alle deelnemers worden meegeteld in de groep waaraan ze zijn toegewezen – ook als ze met de behandeling zijn gestopt. Ze geldt als een realistischere schatting van het effect in de dagelijkse praktijk.</w:t>
      </w:r>
    </w:p>
    <w:p>
      <w:pPr>
        <w:pStyle w:val="BodyText"/>
      </w:pPr>
      <w:r>
        <w:rPr>
          <w:bCs/>
          <w:b/>
        </w:rPr>
        <w:t xml:space="preserve">In vitro</w:t>
      </w:r>
      <w:r>
        <w:t xml:space="preserve">: „In het glas” – proeven in het laboratorium op cellen, weefsels of geïsoleerde moleculen buiten een levend organisme.</w:t>
      </w:r>
    </w:p>
    <w:bookmarkEnd w:id="2985"/>
    <w:bookmarkStart w:id="2986" w:name="l"/>
    <w:p>
      <w:pPr>
        <w:pStyle w:val="Heading3"/>
      </w:pPr>
      <w:r>
        <w:t xml:space="preserve">L</w:t>
      </w:r>
    </w:p>
    <w:p>
      <w:pPr>
        <w:pStyle w:val="FirstParagraph"/>
      </w:pPr>
      <w:r>
        <w:rPr>
          <w:bCs/>
          <w:b/>
        </w:rPr>
        <w:t xml:space="preserve">Lyofilisaat</w:t>
      </w:r>
      <w:r>
        <w:t xml:space="preserve">: Een gevriesdroogd poeder. Veel peptiden worden in deze vorm bewaard en moeten vóór gebruik in een vloeistof worden opgelost.</w:t>
      </w:r>
    </w:p>
    <w:bookmarkEnd w:id="2986"/>
    <w:bookmarkStart w:id="2987" w:name="m"/>
    <w:p>
      <w:pPr>
        <w:pStyle w:val="Heading3"/>
      </w:pPr>
      <w:r>
        <w:t xml:space="preserve">M</w:t>
      </w:r>
    </w:p>
    <w:p>
      <w:pPr>
        <w:pStyle w:val="FirstParagraph"/>
      </w:pPr>
      <w:r>
        <w:rPr>
          <w:bCs/>
          <w:b/>
        </w:rPr>
        <w:t xml:space="preserve">Massaspectrometrie</w:t>
      </w:r>
      <w:r>
        <w:t xml:space="preserve">: Een meetmethode die moleculen bepaalt aan de hand van hun massa. Daarmee kunnen peptiden in producten en lichaamsvloeistoffen eenduidig worden geïdentificeerd, bijvoorbeeld bij dopingcontroles.</w:t>
      </w:r>
    </w:p>
    <w:p>
      <w:pPr>
        <w:pStyle w:val="BodyText"/>
      </w:pPr>
      <w:r>
        <w:rPr>
          <w:bCs/>
          <w:b/>
        </w:rPr>
        <w:t xml:space="preserve">Melanocortinereceptoren</w:t>
      </w:r>
      <w:r>
        <w:t xml:space="preserve">: Een familie receptoren die onder meer huidpigmentatie, eetlust en seksuele functie beïnvloeden. Afamelanotide, bremelanotide, Melanotan II en setmelanotide werken op deze receptoren.</w:t>
      </w:r>
    </w:p>
    <w:p>
      <w:pPr>
        <w:pStyle w:val="BodyText"/>
      </w:pPr>
      <w:r>
        <w:rPr>
          <w:bCs/>
          <w:b/>
        </w:rPr>
        <w:t xml:space="preserve">Meta-analyse</w:t>
      </w:r>
      <w:r>
        <w:t xml:space="preserve">: Een statistische samenvatting van de resultaten van meerdere studies over dezelfde vraag. Ze is maar zo goed als de studies die erin worden opgenomen.</w:t>
      </w:r>
    </w:p>
    <w:p>
      <w:pPr>
        <w:pStyle w:val="BodyText"/>
      </w:pPr>
      <w:r>
        <w:rPr>
          <w:bCs/>
          <w:b/>
        </w:rPr>
        <w:t xml:space="preserve">Mimeticum</w:t>
      </w:r>
      <w:r>
        <w:t xml:space="preserve">: Een stof die de werking van een andere stof nabootst zonder diens structuur te hebben – bijvoorbeeld een klein molecuul dat zoals een peptidehormoon een receptor activeert.</w:t>
      </w:r>
    </w:p>
    <w:bookmarkEnd w:id="2987"/>
    <w:bookmarkStart w:id="2988" w:name="n"/>
    <w:p>
      <w:pPr>
        <w:pStyle w:val="Heading3"/>
      </w:pPr>
      <w:r>
        <w:t xml:space="preserve">N</w:t>
      </w:r>
    </w:p>
    <w:p>
      <w:pPr>
        <w:pStyle w:val="FirstParagraph"/>
      </w:pPr>
      <w:r>
        <w:rPr>
          <w:bCs/>
          <w:b/>
        </w:rPr>
        <w:t xml:space="preserve">NCT-nummer</w:t>
      </w:r>
      <w:r>
        <w:t xml:space="preserve">: Het identificatienummer van een studie in het register ClinicalTrials.gov, bestaande uit „NCT” en acht cijfers.</w:t>
      </w:r>
    </w:p>
    <w:p>
      <w:pPr>
        <w:pStyle w:val="BodyText"/>
      </w:pPr>
      <w:r>
        <w:rPr>
          <w:bCs/>
          <w:b/>
        </w:rPr>
        <w:t xml:space="preserve">Novel food</w:t>
      </w:r>
      <w:r>
        <w:t xml:space="preserve">: In de EU een levensmiddel of ingrediënt dat vóór 15 mei 1997 niet in noemenswaardige mate werd geconsumeerd. Zulke producten hebben vóór de verkoop een toelating nodig.</w:t>
      </w:r>
    </w:p>
    <w:p>
      <w:pPr>
        <w:pStyle w:val="BodyText"/>
      </w:pPr>
      <w:r>
        <w:rPr>
          <w:bCs/>
          <w:b/>
        </w:rPr>
        <w:t xml:space="preserve">N-terminus</w:t>
      </w:r>
      <w:r>
        <w:t xml:space="preserve">: Het begin van een peptideketen met de vrije aminogroep.</w:t>
      </w:r>
    </w:p>
    <w:p>
      <w:pPr>
        <w:pStyle w:val="BodyText"/>
      </w:pPr>
      <w:r>
        <w:rPr>
          <w:bCs/>
          <w:b/>
        </w:rPr>
        <w:t xml:space="preserve">Number needed to treat (NNT)</w:t>
      </w:r>
      <w:r>
        <w:t xml:space="preserve">: Het aantal mensen dat gedurende een bepaalde tijd moet worden behandeld om bij één persoon een gebeurtenis te voorkomen. Het wordt berekend uit de absolute risicoreductie.</w:t>
      </w:r>
    </w:p>
    <w:bookmarkEnd w:id="2988"/>
    <w:bookmarkStart w:id="2989" w:name="o"/>
    <w:p>
      <w:pPr>
        <w:pStyle w:val="Heading3"/>
      </w:pPr>
      <w:r>
        <w:t xml:space="preserve">O</w:t>
      </w:r>
    </w:p>
    <w:p>
      <w:pPr>
        <w:pStyle w:val="FirstParagraph"/>
      </w:pPr>
      <w:r>
        <w:rPr>
          <w:bCs/>
          <w:b/>
        </w:rPr>
        <w:t xml:space="preserve">Obesitas</w:t>
      </w:r>
      <w:r>
        <w:t xml:space="preserve">: Ziekelijk overgewicht, meestal gedefinieerd als een body-mass-index van 30 of meer. Obesitas geldt als een chronische ziekte met een verhoogd risico op diabetes, hart- en vaatziekten en gewrichtsaandoeningen.</w:t>
      </w:r>
    </w:p>
    <w:p>
      <w:pPr>
        <w:pStyle w:val="BodyText"/>
      </w:pPr>
      <w:r>
        <w:rPr>
          <w:bCs/>
          <w:b/>
        </w:rPr>
        <w:t xml:space="preserve">Off-labelgebruik</w:t>
      </w:r>
      <w:r>
        <w:t xml:space="preserve">: Het gebruik van een geregistreerd geneesmiddel buiten de geregistreerde indicaties, doseringen of patiëntengroepen.</w:t>
      </w:r>
    </w:p>
    <w:p>
      <w:pPr>
        <w:pStyle w:val="BodyText"/>
      </w:pPr>
      <w:r>
        <w:rPr>
          <w:bCs/>
          <w:b/>
        </w:rPr>
        <w:t xml:space="preserve">Oligopeptide</w:t>
      </w:r>
      <w:r>
        <w:t xml:space="preserve">: Een kort peptide van ongeveer twee tot tien aminozuren.</w:t>
      </w:r>
    </w:p>
    <w:p>
      <w:pPr>
        <w:pStyle w:val="BodyText"/>
      </w:pPr>
      <w:r>
        <w:rPr>
          <w:bCs/>
          <w:b/>
        </w:rPr>
        <w:t xml:space="preserve">Ongewenst voorval</w:t>
      </w:r>
      <w:r>
        <w:t xml:space="preserve">: Elk gezondheidsprobleem dat tijdens een studie optreedt, ongeacht of het door de behandeling is veroorzaakt. Pas de vergelijking met de controlegroep laat zien of een verband waarschijnlijk is.</w:t>
      </w:r>
    </w:p>
    <w:p>
      <w:pPr>
        <w:pStyle w:val="BodyText"/>
      </w:pPr>
      <w:r>
        <w:rPr>
          <w:bCs/>
          <w:b/>
        </w:rPr>
        <w:t xml:space="preserve">Open studie</w:t>
      </w:r>
      <w:r>
        <w:t xml:space="preserve">: Een studie zonder blindering, waarin deelnemers en studiepersoneel weten welke behandeling wordt gegeven.</w:t>
      </w:r>
    </w:p>
    <w:bookmarkEnd w:id="2989"/>
    <w:bookmarkStart w:id="2990" w:name="p"/>
    <w:p>
      <w:pPr>
        <w:pStyle w:val="Heading3"/>
      </w:pPr>
      <w:r>
        <w:t xml:space="preserve">P</w:t>
      </w:r>
    </w:p>
    <w:p>
      <w:pPr>
        <w:pStyle w:val="FirstParagraph"/>
      </w:pPr>
      <w:r>
        <w:rPr>
          <w:bCs/>
          <w:b/>
        </w:rPr>
        <w:t xml:space="preserve">Pancreatitis</w:t>
      </w:r>
      <w:r>
        <w:t xml:space="preserve">: Ontsteking van de alvleesklier. Ze wordt besproken als mogelijke, zeldzame bijwerking van GLP-1-geneesmiddelen.</w:t>
      </w:r>
    </w:p>
    <w:p>
      <w:pPr>
        <w:pStyle w:val="BodyText"/>
      </w:pPr>
      <w:r>
        <w:rPr>
          <w:bCs/>
          <w:b/>
        </w:rPr>
        <w:t xml:space="preserve">Peptide</w:t>
      </w:r>
      <w:r>
        <w:t xml:space="preserve">: Een keten van aminozuren die via peptidebindingen met elkaar zijn verbonden. Vanaf ongeveer 50 aminozuren spreekt men meestal van een eiwit.</w:t>
      </w:r>
    </w:p>
    <w:p>
      <w:pPr>
        <w:pStyle w:val="BodyText"/>
      </w:pPr>
      <w:r>
        <w:rPr>
          <w:bCs/>
          <w:b/>
        </w:rPr>
        <w:t xml:space="preserve">Peptidebinding</w:t>
      </w:r>
      <w:r>
        <w:t xml:space="preserve">: De chemische verbinding tussen de zuurgroep van het ene aminozuur en de aminogroep van het volgende, waarbij bij de vorming water wordt afgesplitst.</w:t>
      </w:r>
    </w:p>
    <w:p>
      <w:pPr>
        <w:pStyle w:val="BodyText"/>
      </w:pPr>
      <w:r>
        <w:rPr>
          <w:bCs/>
          <w:b/>
        </w:rPr>
        <w:t xml:space="preserve">Placebo</w:t>
      </w:r>
      <w:r>
        <w:t xml:space="preserve">: Een schijnpreparaat zonder werkzame stof dat in studies ter vergelijking wordt gebruikt.</w:t>
      </w:r>
    </w:p>
    <w:p>
      <w:pPr>
        <w:pStyle w:val="BodyText"/>
      </w:pPr>
      <w:r>
        <w:rPr>
          <w:bCs/>
          <w:b/>
        </w:rPr>
        <w:t xml:space="preserve">Placebo-effect</w:t>
      </w:r>
      <w:r>
        <w:t xml:space="preserve">: Een verbetering van klachten die niet het gevolg is van een werkzame stof, maar van verwachtingen, aandacht of het natuurlijke beloop.</w:t>
      </w:r>
    </w:p>
    <w:p>
      <w:pPr>
        <w:pStyle w:val="BodyText"/>
      </w:pPr>
      <w:r>
        <w:rPr>
          <w:bCs/>
          <w:b/>
        </w:rPr>
        <w:t xml:space="preserve">PMID</w:t>
      </w:r>
      <w:r>
        <w:t xml:space="preserve">: Het PubMed-identificatienummer, een uniek nummer voor elke vermelding in de literatuurdatabank PubMed.</w:t>
      </w:r>
    </w:p>
    <w:p>
      <w:pPr>
        <w:pStyle w:val="BodyText"/>
      </w:pPr>
      <w:r>
        <w:rPr>
          <w:bCs/>
          <w:b/>
        </w:rPr>
        <w:t xml:space="preserve">Polypeptide</w:t>
      </w:r>
      <w:r>
        <w:t xml:space="preserve">: Een langere peptideketen, meestal met meer dan tien aminozuren.</w:t>
      </w:r>
    </w:p>
    <w:p>
      <w:pPr>
        <w:pStyle w:val="BodyText"/>
      </w:pPr>
      <w:r>
        <w:rPr>
          <w:bCs/>
          <w:b/>
        </w:rPr>
        <w:t xml:space="preserve">Preklinische studies</w:t>
      </w:r>
      <w:r>
        <w:t xml:space="preserve">: Onderzoeken in het laboratorium en bij dieren die vóór de eerste studies bij mensen worden uitgevoerd.</w:t>
      </w:r>
    </w:p>
    <w:p>
      <w:pPr>
        <w:pStyle w:val="BodyText"/>
      </w:pPr>
      <w:r>
        <w:rPr>
          <w:bCs/>
          <w:b/>
        </w:rPr>
        <w:t xml:space="preserve">Preprint</w:t>
      </w:r>
      <w:r>
        <w:t xml:space="preserve">: Een wetenschappelijk artikel dat openbaar wordt gemaakt vóór de beoordeling door vakgenoten (peer review).</w:t>
      </w:r>
    </w:p>
    <w:p>
      <w:pPr>
        <w:pStyle w:val="BodyText"/>
      </w:pPr>
      <w:r>
        <w:rPr>
          <w:bCs/>
          <w:b/>
        </w:rPr>
        <w:t xml:space="preserve">Productinformatie (SmPC)</w:t>
      </w:r>
      <w:r>
        <w:t xml:space="preserve">: De voor artsen en apotheken bestemde, door de autoriteiten goedgekeurde informatie over een geregistreerd geneesmiddel, met indicaties, dosering, contra-indicaties en bijwerkingen.</w:t>
      </w:r>
    </w:p>
    <w:p>
      <w:pPr>
        <w:pStyle w:val="BodyText"/>
      </w:pPr>
      <w:r>
        <w:rPr>
          <w:bCs/>
          <w:b/>
        </w:rPr>
        <w:t xml:space="preserve">Protease</w:t>
      </w:r>
      <w:r>
        <w:t xml:space="preserve">: Een enzym dat peptidebindingen splitst en zo eiwitten en peptiden afbreekt. Ook peptidase genoemd.</w:t>
      </w:r>
    </w:p>
    <w:p>
      <w:pPr>
        <w:pStyle w:val="BodyText"/>
      </w:pPr>
      <w:r>
        <w:rPr>
          <w:bCs/>
          <w:b/>
        </w:rPr>
        <w:t xml:space="preserve">Publicatiebias</w:t>
      </w:r>
      <w:r>
        <w:t xml:space="preserve">: De vertekening van het totaalbeeld wanneer studies met positieve resultaten vaker worden gepubliceerd dan studies met negatieve.</w:t>
      </w:r>
    </w:p>
    <w:p>
      <w:pPr>
        <w:pStyle w:val="BodyText"/>
      </w:pPr>
      <w:r>
        <w:rPr>
          <w:bCs/>
          <w:b/>
        </w:rPr>
        <w:t xml:space="preserve">PubMed</w:t>
      </w:r>
      <w:r>
        <w:t xml:space="preserve">: Een vrij toegankelijke literatuurdatabank van de Amerikaanse National Library of Medicine met miljoenen vermeldingen uit biomedisch onderzoek.</w:t>
      </w:r>
    </w:p>
    <w:p>
      <w:pPr>
        <w:pStyle w:val="BodyText"/>
      </w:pPr>
      <w:r>
        <w:rPr>
          <w:bCs/>
          <w:b/>
        </w:rPr>
        <w:t xml:space="preserve">P-waarde</w:t>
      </w:r>
      <w:r>
        <w:t xml:space="preserve">: Een statistische maat voor hoe waarschijnlijk een minstens even groot verschil zou zijn als er in werkelijkheid geen effect was. Waarden onder 0,05 gelden gewoonlijk als statistisch significant.</w:t>
      </w:r>
    </w:p>
    <w:bookmarkEnd w:id="2990"/>
    <w:bookmarkStart w:id="2991" w:name="r"/>
    <w:p>
      <w:pPr>
        <w:pStyle w:val="Heading3"/>
      </w:pPr>
      <w:r>
        <w:t xml:space="preserve">R</w:t>
      </w:r>
    </w:p>
    <w:p>
      <w:pPr>
        <w:pStyle w:val="FirstParagraph"/>
      </w:pPr>
      <w:r>
        <w:rPr>
          <w:bCs/>
          <w:b/>
        </w:rPr>
        <w:t xml:space="preserve">Rabdomyolyse</w:t>
      </w:r>
      <w:r>
        <w:t xml:space="preserve">: Afbraak van spierweefsel waarbij spierbestanddelen in het bloed terechtkomen en de nieren kunnen beschadigen.</w:t>
      </w:r>
    </w:p>
    <w:p>
      <w:pPr>
        <w:pStyle w:val="BodyText"/>
      </w:pPr>
      <w:r>
        <w:rPr>
          <w:bCs/>
          <w:b/>
        </w:rPr>
        <w:t xml:space="preserve">Randomisatie</w:t>
      </w:r>
      <w:r>
        <w:t xml:space="preserve">: De willekeurige toewijzing van deelnemers aan de groepen van een studie. Ze zorgt ervoor dat de groepen alleen in de behandeling systematisch verschillen.</w:t>
      </w:r>
    </w:p>
    <w:p>
      <w:pPr>
        <w:pStyle w:val="BodyText"/>
      </w:pPr>
      <w:r>
        <w:rPr>
          <w:bCs/>
          <w:b/>
        </w:rPr>
        <w:t xml:space="preserve">RCT (gerandomiseerde gecontroleerde studie)</w:t>
      </w:r>
      <w:r>
        <w:t xml:space="preserve">: Een studie met willekeurige toewijzing aan een behandel- en een controlegroep. Ze geldt als de betrouwbaarste manier om de werking van een behandeling aan te tonen.</w:t>
      </w:r>
    </w:p>
    <w:p>
      <w:pPr>
        <w:pStyle w:val="BodyText"/>
      </w:pPr>
      <w:r>
        <w:rPr>
          <w:bCs/>
          <w:b/>
        </w:rPr>
        <w:t xml:space="preserve">Receptor</w:t>
      </w:r>
      <w:r>
        <w:t xml:space="preserve">: Een eiwitmolecuul, meestal aan het celoppervlak, waaraan een signaalstof bindt en zo een signaal in de cel uitlokt.</w:t>
      </w:r>
    </w:p>
    <w:p>
      <w:pPr>
        <w:pStyle w:val="BodyText"/>
      </w:pPr>
      <w:r>
        <w:rPr>
          <w:bCs/>
          <w:b/>
        </w:rPr>
        <w:t xml:space="preserve">Recombinant</w:t>
      </w:r>
      <w:r>
        <w:t xml:space="preserve">: Genetisch gemodificeerd geproduceerd, doordat de bouwinstructie voor een peptide of eiwit in bacteriën, gisten of andere cellen wordt ingebracht.</w:t>
      </w:r>
    </w:p>
    <w:p>
      <w:pPr>
        <w:pStyle w:val="BodyText"/>
      </w:pPr>
      <w:r>
        <w:rPr>
          <w:bCs/>
          <w:b/>
        </w:rPr>
        <w:t xml:space="preserve">Registratie (handelsvergunning)</w:t>
      </w:r>
      <w:r>
        <w:t xml:space="preserve">: De toestemming van de autoriteiten om een geneesmiddel in de handel te brengen, na beoordeling van kwaliteit, werkzaamheid en veiligheid.</w:t>
      </w:r>
    </w:p>
    <w:p>
      <w:pPr>
        <w:pStyle w:val="BodyText"/>
      </w:pPr>
      <w:r>
        <w:rPr>
          <w:bCs/>
          <w:b/>
        </w:rPr>
        <w:t xml:space="preserve">Relatief risico</w:t>
      </w:r>
      <w:r>
        <w:t xml:space="preserve">: De verhouding van de frequentie van een gebeurtenis in twee groepen. Een relatief risico van 0,5 betekent een halvering – ongeacht hoe vaak de gebeurtenis in totaal voorkomt.</w:t>
      </w:r>
    </w:p>
    <w:p>
      <w:pPr>
        <w:pStyle w:val="BodyText"/>
      </w:pPr>
      <w:r>
        <w:rPr>
          <w:bCs/>
          <w:b/>
        </w:rPr>
        <w:t xml:space="preserve">Research peptides</w:t>
      </w:r>
      <w:r>
        <w:t xml:space="preserve">: Peptiden die worden verkocht met de vermelding „alleen voor onderzoeksdoeleinden” of „niet voor gebruik bij mensen”, maar vaak aan particulieren. Het zijn geen geteste geneesmiddelen.</w:t>
      </w:r>
    </w:p>
    <w:bookmarkEnd w:id="2991"/>
    <w:bookmarkStart w:id="2992" w:name="s"/>
    <w:p>
      <w:pPr>
        <w:pStyle w:val="Heading3"/>
      </w:pPr>
      <w:r>
        <w:t xml:space="preserve">S</w:t>
      </w:r>
    </w:p>
    <w:p>
      <w:pPr>
        <w:pStyle w:val="FirstParagraph"/>
      </w:pPr>
      <w:r>
        <w:rPr>
          <w:bCs/>
          <w:b/>
        </w:rPr>
        <w:t xml:space="preserve">Secretagoog</w:t>
      </w:r>
      <w:r>
        <w:t xml:space="preserve">: Een stof die de afgifte van een andere stof stimuleert. Groeihormoonsecretagogen verhogen de vrijzetting van groeihormoon.</w:t>
      </w:r>
    </w:p>
    <w:p>
      <w:pPr>
        <w:pStyle w:val="BodyText"/>
      </w:pPr>
      <w:r>
        <w:rPr>
          <w:bCs/>
          <w:b/>
        </w:rPr>
        <w:t xml:space="preserve">Sequentie</w:t>
      </w:r>
      <w:r>
        <w:t xml:space="preserve">: De volgorde van de aminozuren in een peptideketen. Ze bepaalt de eigenschappen van het peptide.</w:t>
      </w:r>
    </w:p>
    <w:p>
      <w:pPr>
        <w:pStyle w:val="BodyText"/>
      </w:pPr>
      <w:r>
        <w:rPr>
          <w:bCs/>
          <w:b/>
        </w:rPr>
        <w:t xml:space="preserve">Significantie (statistische)</w:t>
      </w:r>
      <w:r>
        <w:t xml:space="preserve">: De uitspraak dat een waargenomen verschil waarschijnlijk niet alleen door toeval is ontstaan. Ze zegt niets over de vraag of het verschil groot of betekenisvol is.</w:t>
      </w:r>
    </w:p>
    <w:p>
      <w:pPr>
        <w:pStyle w:val="BodyText"/>
      </w:pPr>
      <w:r>
        <w:rPr>
          <w:bCs/>
          <w:b/>
        </w:rPr>
        <w:t xml:space="preserve">SNAC</w:t>
      </w:r>
      <w:r>
        <w:t xml:space="preserve">: Een hulpstof (natrium-N-[8-(2-hydroxybenzoyl)amino]caprylaat) die in de semaglutide-tablet de opname van het peptide in de maag mogelijk maakt.</w:t>
      </w:r>
    </w:p>
    <w:p>
      <w:pPr>
        <w:pStyle w:val="BodyText"/>
      </w:pPr>
      <w:r>
        <w:rPr>
          <w:bCs/>
          <w:b/>
        </w:rPr>
        <w:t xml:space="preserve">Steriliteit</w:t>
      </w:r>
      <w:r>
        <w:t xml:space="preserve">: Vrij zijn van levende micro-organismen. Een steriel product kan toch endotoxinen bevatten.</w:t>
      </w:r>
    </w:p>
    <w:p>
      <w:pPr>
        <w:pStyle w:val="BodyText"/>
      </w:pPr>
      <w:r>
        <w:rPr>
          <w:bCs/>
          <w:b/>
        </w:rPr>
        <w:t xml:space="preserve">Studiefasen</w:t>
      </w:r>
      <w:r>
        <w:t xml:space="preserve">: De stadia van het testen van geneesmiddelen bij mensen, van fase 1 (verdraagbaarheid bij enkele personen) tot fase 3 (grote vergelijkende studies) en fase 4 (observatie na de registratie).</w:t>
      </w:r>
    </w:p>
    <w:p>
      <w:pPr>
        <w:pStyle w:val="BodyText"/>
      </w:pPr>
      <w:r>
        <w:rPr>
          <w:bCs/>
          <w:b/>
        </w:rPr>
        <w:t xml:space="preserve">Studieregister</w:t>
      </w:r>
      <w:r>
        <w:t xml:space="preserve">: Openbare databanken waarin klinische studies vóór de start worden ingeschreven, zoals ClinicalTrials.gov of het EU-register.</w:t>
      </w:r>
    </w:p>
    <w:p>
      <w:pPr>
        <w:pStyle w:val="BodyText"/>
      </w:pPr>
      <w:r>
        <w:rPr>
          <w:bCs/>
          <w:b/>
        </w:rPr>
        <w:t xml:space="preserve">Subcutaan</w:t>
      </w:r>
      <w:r>
        <w:t xml:space="preserve">: Onder de huid, in het onderhuidse vetweefsel geïnjecteerd. De meest gebruikte toedieningsweg voor peptidegeneesmiddelen.</w:t>
      </w:r>
    </w:p>
    <w:p>
      <w:pPr>
        <w:pStyle w:val="BodyText"/>
      </w:pPr>
      <w:r>
        <w:rPr>
          <w:bCs/>
          <w:b/>
        </w:rPr>
        <w:t xml:space="preserve">Surrogaateindpunt</w:t>
      </w:r>
      <w:r>
        <w:t xml:space="preserve">: Een meetwaarde die wordt gebruikt als vervanging voor een klinisch betekenisvolle gebeurtenis, bijvoorbeeld bloedsuiker in plaats van hartinfarct. Verbeteringen van een surrogaat betekenen niet automatisch een voordeel voor patiënten.</w:t>
      </w:r>
    </w:p>
    <w:p>
      <w:pPr>
        <w:pStyle w:val="BodyText"/>
      </w:pPr>
      <w:r>
        <w:rPr>
          <w:bCs/>
          <w:b/>
        </w:rPr>
        <w:t xml:space="preserve">Systematisch overzicht (systematische review)</w:t>
      </w:r>
      <w:r>
        <w:t xml:space="preserve">: Een artikel dat volgens vastgelegde regels alle beschikbare studies over een vraag opzoekt, beoordeelt en samenvat.</w:t>
      </w:r>
    </w:p>
    <w:bookmarkEnd w:id="2992"/>
    <w:bookmarkStart w:id="2993" w:name="t"/>
    <w:p>
      <w:pPr>
        <w:pStyle w:val="Heading3"/>
      </w:pPr>
      <w:r>
        <w:t xml:space="preserve">T</w:t>
      </w:r>
    </w:p>
    <w:p>
      <w:pPr>
        <w:pStyle w:val="FirstParagraph"/>
      </w:pPr>
      <w:r>
        <w:rPr>
          <w:bCs/>
          <w:b/>
        </w:rPr>
        <w:t xml:space="preserve">Therapeutic Use Exemption (TUE)</w:t>
      </w:r>
      <w:r>
        <w:t xml:space="preserve">: Een medische uitzonderingsvergunning in de sport, die het gebruik toestaat van een verboden, maar medisch noodzakelijk geneesmiddel.</w:t>
      </w:r>
    </w:p>
    <w:bookmarkEnd w:id="2993"/>
    <w:bookmarkStart w:id="2994" w:name="v"/>
    <w:p>
      <w:pPr>
        <w:pStyle w:val="Heading3"/>
      </w:pPr>
      <w:r>
        <w:t xml:space="preserve">V</w:t>
      </w:r>
    </w:p>
    <w:p>
      <w:pPr>
        <w:pStyle w:val="FirstParagraph"/>
      </w:pPr>
      <w:r>
        <w:rPr>
          <w:bCs/>
          <w:b/>
        </w:rPr>
        <w:t xml:space="preserve">Vastefase-peptidesynthese</w:t>
      </w:r>
      <w:r>
        <w:t xml:space="preserve">: Chemische methode waarbij een peptideketen bouwsteen voor bouwsteen op een vast dragermateriaal wordt opgebouwd. Basis voor de productie van de meeste korte peptiden.</w:t>
      </w:r>
    </w:p>
    <w:p>
      <w:pPr>
        <w:pStyle w:val="BodyText"/>
      </w:pPr>
      <w:r>
        <w:rPr>
          <w:bCs/>
          <w:b/>
        </w:rPr>
        <w:t xml:space="preserve">Verontreiniging</w:t>
      </w:r>
      <w:r>
        <w:t xml:space="preserve">: Ongewenste bestanddelen van een product, zoals foutieve peptideketens uit de synthese, resten van oplosmiddelen, metalen of bacteriële bestanddelen.</w:t>
      </w:r>
    </w:p>
    <w:p>
      <w:pPr>
        <w:pStyle w:val="BodyText"/>
      </w:pPr>
      <w:r>
        <w:rPr>
          <w:bCs/>
          <w:b/>
        </w:rPr>
        <w:t xml:space="preserve">Voedingssupplement</w:t>
      </w:r>
      <w:r>
        <w:t xml:space="preserve">: Een levensmiddel dat bedoeld is om de normale voeding aan te vullen met voedingsstoffen of andere stoffen. Het heeft geen registratie nodig, maar mag geen farmacologische werking hebben.</w:t>
      </w:r>
    </w:p>
    <w:bookmarkEnd w:id="2994"/>
    <w:bookmarkStart w:id="2995" w:name="w"/>
    <w:p>
      <w:pPr>
        <w:pStyle w:val="Heading3"/>
      </w:pPr>
      <w:r>
        <w:t xml:space="preserve">W</w:t>
      </w:r>
    </w:p>
    <w:p>
      <w:pPr>
        <w:pStyle w:val="FirstParagraph"/>
      </w:pPr>
      <w:r>
        <w:rPr>
          <w:bCs/>
          <w:b/>
        </w:rPr>
        <w:t xml:space="preserve">WADA (Wereldantidopingagentschap)</w:t>
      </w:r>
      <w:r>
        <w:t xml:space="preserve">: De internationale organisatie die jaarlijks de lijst uitbrengt van stoffen en methoden die in de sport verboden zijn.</w:t>
      </w:r>
    </w:p>
    <w:bookmarkEnd w:id="2995"/>
    <w:bookmarkEnd w:id="2996"/>
    <w:bookmarkStart w:id="3012" w:name="methodologie"/>
    <w:p>
      <w:pPr>
        <w:pStyle w:val="Heading1"/>
      </w:pPr>
      <w:r>
        <w:t xml:space="preserve">Methodologie</w:t>
      </w:r>
    </w:p>
    <w:p>
      <w:pPr>
        <w:pStyle w:val="FirstParagraph"/>
      </w:pPr>
      <w:r>
        <w:t xml:space="preserve">Deze bijlage beschrijft hoe de studies voor dit boek zijn gezocht, geselecteerd en gecontroleerd. Ze moet je in staat stellen het onderzoek na te gaan en het zo nodig zelf te herhalen of bij te werken.</w:t>
      </w:r>
    </w:p>
    <w:bookmarkStart w:id="2997" w:name="databanken"/>
    <w:p>
      <w:pPr>
        <w:pStyle w:val="Heading3"/>
      </w:pPr>
      <w:r>
        <w:t xml:space="preserve">Databanken</w:t>
      </w:r>
    </w:p>
    <w:p>
      <w:pPr>
        <w:pStyle w:val="FirstParagraph"/>
      </w:pPr>
      <w:r>
        <w:t xml:space="preserve">Basis van het onderzoek zijn twee vrij toegankelijke databanken:</w:t>
      </w:r>
    </w:p>
    <w:p>
      <w:pPr>
        <w:numPr>
          <w:ilvl w:val="0"/>
          <w:numId w:val="1373"/>
        </w:numPr>
        <w:pStyle w:val="Compact"/>
      </w:pPr>
      <w:r>
        <w:rPr>
          <w:bCs/>
          <w:b/>
        </w:rPr>
        <w:t xml:space="preserve">PubMed</w:t>
      </w:r>
      <w:r>
        <w:t xml:space="preserve"> </w:t>
      </w:r>
      <w:r>
        <w:t xml:space="preserve">(pubmed.ncbi.nlm.nih.gov), de literatuurdatabank van de Amerikaanse National Library of Medicine. Ze bevat publicaties uit biomedische vaktijdschriften met titel, auteurs, samenvatting (abstract) en trefwoorden. Elke vermelding heeft een uniek nummer, het PMID.</w:t>
      </w:r>
    </w:p>
    <w:p>
      <w:pPr>
        <w:numPr>
          <w:ilvl w:val="0"/>
          <w:numId w:val="1373"/>
        </w:numPr>
        <w:pStyle w:val="Compact"/>
      </w:pPr>
      <w:r>
        <w:rPr>
          <w:bCs/>
          <w:b/>
        </w:rPr>
        <w:t xml:space="preserve">ClinicalTrials.gov</w:t>
      </w:r>
      <w:r>
        <w:t xml:space="preserve"> </w:t>
      </w:r>
      <w:r>
        <w:t xml:space="preserve">(clinicaltrials.gov), het studieregister van de Amerikaanse National Institutes of Health. Hier worden klinische studies uit de hele wereld vóór de start geregistreerd, met opzet, gepland aantal deelnemers, eindpunten en status. Elke studie heeft een NCT-nummer.</w:t>
      </w:r>
    </w:p>
    <w:p>
      <w:pPr>
        <w:pStyle w:val="FirstParagraph"/>
      </w:pPr>
      <w:r>
        <w:t xml:space="preserve">Beide databanken zijn bevraagd via hun officiële, openbaar toegankelijke programmeerinterfaces: PubMed via de E-Utilities van het National Center for Biotechnology Information, ClinicalTrials.gov via de programmeerinterface in versie 2. Andere databanken zoals Embase, de Cochrane Library, Web of Science, het EU-studieregister of nationale registers zijn niet systematisch doorzocht.</w:t>
      </w:r>
    </w:p>
    <w:bookmarkEnd w:id="2997"/>
    <w:bookmarkStart w:id="2998" w:name="periode-van-de-zoekopdrachten"/>
    <w:p>
      <w:pPr>
        <w:pStyle w:val="Heading3"/>
      </w:pPr>
      <w:r>
        <w:t xml:space="preserve">Periode van de zoekopdrachten</w:t>
      </w:r>
    </w:p>
    <w:p>
      <w:pPr>
        <w:pStyle w:val="FirstParagraph"/>
      </w:pPr>
      <w:r>
        <w:t xml:space="preserve">De systematische zoekopdrachten zijn uitgevoerd in</w:t>
      </w:r>
      <w:r>
        <w:t xml:space="preserve"> </w:t>
      </w:r>
      <w:r>
        <w:rPr>
          <w:bCs/>
          <w:b/>
        </w:rPr>
        <w:t xml:space="preserve">oktober 2026</w:t>
      </w:r>
      <w:r>
        <w:t xml:space="preserve">; de telling van de treffers voor alle peptiden dateert van 28 oktober 2026. Aanvullende gerichte zoekopdrachten naar afzonderlijke studies, casusbeschrijvingen en overzichtsartikelen zijn in dezelfde periode uitgevoerd. Later verschenen studies zijn niet meegenomen. De stand van het boek is november 2026.</w:t>
      </w:r>
    </w:p>
    <w:bookmarkEnd w:id="2998"/>
    <w:bookmarkStart w:id="2999" w:name="zoekstrategie"/>
    <w:p>
      <w:pPr>
        <w:pStyle w:val="Heading3"/>
      </w:pPr>
      <w:r>
        <w:t xml:space="preserve">Zoekstrategie</w:t>
      </w:r>
    </w:p>
    <w:p>
      <w:pPr>
        <w:pStyle w:val="FirstParagraph"/>
      </w:pPr>
      <w:r>
        <w:t xml:space="preserve">Voor elk van de 58 peptiden en vergelijkingsstoffen is een eigen PubMed-zoekterm vastgelegd. Die omvat de internationale naam van de werkzame stof en gangbare afkortingen, codenamen en handelsnamen, en zoekt in titel en samenvatting (aanduiding</w:t>
      </w:r>
      <w:r>
        <w:t xml:space="preserve"> </w:t>
      </w:r>
      <w:r>
        <w:rPr>
          <w:rStyle w:val="VerbatimChar"/>
        </w:rPr>
        <w:t xml:space="preserve">[tiab]</w:t>
      </w:r>
      <w:r>
        <w:t xml:space="preserve">) of alleen in de titel (</w:t>
      </w:r>
      <w:r>
        <w:rPr>
          <w:rStyle w:val="VerbatimChar"/>
        </w:rPr>
        <w:t xml:space="preserve">[ti]</w:t>
      </w:r>
      <w:r>
        <w:t xml:space="preserve">). Bij meerduidige begrippen is de zoekterm ingeperkt, bijvoorbeeld bij collageenpeptiden tot artikelen over inname of bij kisspeptine tot artikelen over toediening van het peptide.</w:t>
      </w:r>
    </w:p>
    <w:p>
      <w:pPr>
        <w:pStyle w:val="BodyText"/>
      </w:pPr>
      <w:r>
        <w:t xml:space="preserve">Op deze zoekterm zijn drie filters toegepast:</w:t>
      </w:r>
    </w:p>
    <w:p>
      <w:pPr>
        <w:pStyle w:val="BodyText"/>
      </w:pPr>
      <w:r>
        <w:rPr>
          <w:bCs/>
          <w:b/>
        </w:rPr>
        <w:t xml:space="preserve">Studies bij mensen.</w:t>
      </w:r>
      <w:r>
        <w:t xml:space="preserve"> </w:t>
      </w:r>
      <w:r>
        <w:t xml:space="preserve">Om klinische studies bij mensen te vinden, is de zoekterm gecombineerd met het volgende filter:</w:t>
      </w:r>
    </w:p>
    <w:p>
      <w:pPr>
        <w:pStyle w:val="BodyText"/>
      </w:pPr>
      <w:r>
        <w:rPr>
          <w:rStyle w:val="VerbatimChar"/>
        </w:rPr>
        <w:t xml:space="preserve">(clinical trial[pt] OR randomized controlled trial[pt]) AND humans[mh]</w:t>
      </w:r>
    </w:p>
    <w:p>
      <w:pPr>
        <w:pStyle w:val="BodyText"/>
      </w:pPr>
      <w:r>
        <w:t xml:space="preserve">Het deel</w:t>
      </w:r>
      <w:r>
        <w:t xml:space="preserve"> </w:t>
      </w:r>
      <w:r>
        <w:rPr>
          <w:rStyle w:val="VerbatimChar"/>
        </w:rPr>
        <w:t xml:space="preserve">[pt]</w:t>
      </w:r>
      <w:r>
        <w:t xml:space="preserve"> </w:t>
      </w:r>
      <w:r>
        <w:t xml:space="preserve">zoekt naar het publicatietype dat PubMed aan elk artikel toekent;</w:t>
      </w:r>
      <w:r>
        <w:t xml:space="preserve"> </w:t>
      </w:r>
      <w:r>
        <w:rPr>
          <w:rStyle w:val="VerbatimChar"/>
        </w:rPr>
        <w:t xml:space="preserve">humans[mh]</w:t>
      </w:r>
      <w:r>
        <w:t xml:space="preserve"> </w:t>
      </w:r>
      <w:r>
        <w:t xml:space="preserve">staat voor het trefwoord „mensen” in het trefwoordsysteem MeSH. Zo worden artikelen gevonden die als klinische studie of als gerandomiseerde gecontroleerde studie zijn gemarkeerd en mensen betreffen.</w:t>
      </w:r>
    </w:p>
    <w:p>
      <w:pPr>
        <w:pStyle w:val="BodyText"/>
      </w:pPr>
      <w:r>
        <w:rPr>
          <w:bCs/>
          <w:b/>
        </w:rPr>
        <w:t xml:space="preserve">Meta-analyses en overzichtsartikelen.</w:t>
      </w:r>
      <w:r>
        <w:t xml:space="preserve"> </w:t>
      </w:r>
      <w:r>
        <w:t xml:space="preserve">Voor samenvattende artikelen is de zoekterm gecombineerd met dit filter:</w:t>
      </w:r>
    </w:p>
    <w:p>
      <w:pPr>
        <w:pStyle w:val="BodyText"/>
      </w:pPr>
      <w:r>
        <w:rPr>
          <w:rStyle w:val="VerbatimChar"/>
        </w:rPr>
        <w:t xml:space="preserve">(meta-analysis[pt] OR systematic review[pt])</w:t>
      </w:r>
    </w:p>
    <w:p>
      <w:pPr>
        <w:pStyle w:val="BodyText"/>
      </w:pPr>
      <w:r>
        <w:rPr>
          <w:bCs/>
          <w:b/>
        </w:rPr>
        <w:t xml:space="preserve">Preklinisch onderzoek.</w:t>
      </w:r>
      <w:r>
        <w:t xml:space="preserve"> </w:t>
      </w:r>
      <w:r>
        <w:t xml:space="preserve">Bij peptiden met minder dan 25 gevonden studies bij mensen zijn daarnaast de meest relevante overige artikelen zonder het filter voor studies bij mensen geanalyseerd, om dier- en laboratoriumstudies, casusbeschrijvingen en analyses van grijze-marktproducten vast te leggen.</w:t>
      </w:r>
    </w:p>
    <w:p>
      <w:pPr>
        <w:pStyle w:val="BodyText"/>
      </w:pPr>
      <w:r>
        <w:rPr>
          <w:bCs/>
          <w:b/>
        </w:rPr>
        <w:t xml:space="preserve">Registerstudies.</w:t>
      </w:r>
      <w:r>
        <w:t xml:space="preserve"> </w:t>
      </w:r>
      <w:r>
        <w:t xml:space="preserve">In ClinicalTrials.gov is voor elk peptide een eigen, meestal eenvoudige zoekterm met de naam van de werkzame stof gebruikt. Alle vermeldingen zijn vastgelegd, ongeacht status en studiefase.</w:t>
      </w:r>
    </w:p>
    <w:p>
      <w:pPr>
        <w:pStyle w:val="BodyText"/>
      </w:pPr>
      <w:r>
        <w:t xml:space="preserve">Naast deze geautomatiseerde zoekopdrachten is voor elk hoofdstuk gericht gezocht naar de belangrijkste registratie- en eindpuntstudies, grote meta-analyses, studieprogramma’s (bijvoorbeeld STEP, SURMOUNT of SELECT), veiligheidsgegevens, casusbeschrijvingen en laboratoriumanalyses van grijze-marktproducten. Voor Deel I is bovendien gezocht naar artikelen over de geschiedenis van de peptidegeneeskunde, over toedieningsvormen, over studiemethodologie en over de grijze markt.</w:t>
      </w:r>
    </w:p>
    <w:bookmarkEnd w:id="2999"/>
    <w:bookmarkStart w:id="3006" w:name="zoektermen-per-peptide"/>
    <w:p>
      <w:pPr>
        <w:pStyle w:val="Heading3"/>
      </w:pPr>
      <w:r>
        <w:t xml:space="preserve">Zoektermen per peptide</w:t>
      </w:r>
    </w:p>
    <w:p>
      <w:pPr>
        <w:pStyle w:val="FirstParagraph"/>
      </w:pPr>
      <w:r>
        <w:t xml:space="preserve">De volgende tabellen geven de PubMed-zoektermen weer die voor de systematische zoekopdracht zijn gebruikt. Aan elke term zijn de hierboven beschreven filters toegevoegd. Een sterretje aan het einde van een woord staat voor willekeurige woorduitgangen,</w:t>
      </w:r>
      <w:r>
        <w:t xml:space="preserve"> </w:t>
      </w:r>
      <w:r>
        <w:rPr>
          <w:rStyle w:val="VerbatimChar"/>
        </w:rPr>
        <w:t xml:space="preserve">OR</w:t>
      </w:r>
      <w:r>
        <w:t xml:space="preserve"> </w:t>
      </w:r>
      <w:r>
        <w:t xml:space="preserve">verbindt alternatieve benamingen,</w:t>
      </w:r>
      <w:r>
        <w:t xml:space="preserve"> </w:t>
      </w:r>
      <w:r>
        <w:rPr>
          <w:rStyle w:val="VerbatimChar"/>
        </w:rPr>
        <w:t xml:space="preserve">AND</w:t>
      </w:r>
      <w:r>
        <w:t xml:space="preserve"> </w:t>
      </w:r>
      <w:r>
        <w:t xml:space="preserve">perkt de zoekopdracht in.</w:t>
      </w:r>
    </w:p>
    <w:bookmarkStart w:id="3000" w:name="a.-stofwisseling-en-gewicht-1"/>
    <w:p>
      <w:pPr>
        <w:pStyle w:val="Heading4"/>
      </w:pPr>
      <w:r>
        <w:t xml:space="preserve">A. Stofwisseling en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resp. CagriSema</w:t>
            </w:r>
          </w:p>
        </w:tc>
        <w:tc>
          <w:tcPr/>
          <w:p>
            <w:pPr>
              <w:pStyle w:val="Compact"/>
              <w:jc w:val="left"/>
            </w:pPr>
            <w:r>
              <w:rPr>
                <w:rStyle w:val="VerbatimChar"/>
              </w:rPr>
              <w:t xml:space="preserve">cagrilintide[tiab]</w:t>
            </w:r>
          </w:p>
        </w:tc>
      </w:tr>
      <w:tr>
        <w:tc>
          <w:tcPr/>
          <w:p>
            <w:pPr>
              <w:pStyle w:val="Compact"/>
              <w:jc w:val="left"/>
            </w:pPr>
            <w:r>
              <w:t xml:space="preserve">Amycretine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(vergelijking)</w:t>
            </w:r>
          </w:p>
        </w:tc>
        <w:tc>
          <w:tcPr/>
          <w:p>
            <w:pPr>
              <w:pStyle w:val="Compact"/>
              <w:jc w:val="left"/>
            </w:pPr>
            <w:r>
              <w:rPr>
                <w:rStyle w:val="VerbatimChar"/>
              </w:rPr>
              <w:t xml:space="preserve">orforglipron[tiab]</w:t>
            </w:r>
          </w:p>
        </w:tc>
      </w:tr>
    </w:tbl>
    <w:bookmarkEnd w:id="3000"/>
    <w:bookmarkStart w:id="3001" w:name="b.-herstel-regeneratie-en-immuunsysteem"/>
    <w:p>
      <w:pPr>
        <w:pStyle w:val="Heading4"/>
      </w:pPr>
      <w:r>
        <w:t xml:space="preserve">B. Herstel, regeneratie en immuunsysteem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resp. thymosine bèta-4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alfa-1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resp. thymogen</w:t>
            </w:r>
          </w:p>
        </w:tc>
        <w:tc>
          <w:tcPr/>
          <w:p>
            <w:pPr>
              <w:pStyle w:val="Compact"/>
              <w:jc w:val="left"/>
            </w:pPr>
            <w:r>
              <w:rPr>
                <w:rStyle w:val="VerbatimChar"/>
              </w:rPr>
              <w:t xml:space="preserve">thymalin[tiab] OR thymogen[tiab]</w:t>
            </w:r>
          </w:p>
        </w:tc>
      </w:tr>
    </w:tbl>
    <w:bookmarkEnd w:id="3001"/>
    <w:bookmarkStart w:id="3002" w:name="c.-groeihormoonas-1"/>
    <w:p>
      <w:pPr>
        <w:pStyle w:val="Heading4"/>
      </w:pPr>
      <w:r>
        <w:t xml:space="preserve">C. Groeihormoonas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Sermoreline</w:t>
            </w:r>
          </w:p>
        </w:tc>
        <w:tc>
          <w:tcPr/>
          <w:p>
            <w:pPr>
              <w:pStyle w:val="Compact"/>
              <w:jc w:val="left"/>
            </w:pPr>
            <w:r>
              <w:rPr>
                <w:rStyle w:val="VerbatimChar"/>
              </w:rPr>
              <w:t xml:space="preserve">sermorelin[tiab]</w:t>
            </w:r>
          </w:p>
        </w:tc>
      </w:tr>
      <w:tr>
        <w:tc>
          <w:tcPr/>
          <w:p>
            <w:pPr>
              <w:pStyle w:val="Compact"/>
              <w:jc w:val="left"/>
            </w:pPr>
            <w:r>
              <w:t xml:space="preserve">Tesamoreline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Ipamoreline</w:t>
            </w:r>
          </w:p>
        </w:tc>
        <w:tc>
          <w:tcPr/>
          <w:p>
            <w:pPr>
              <w:pStyle w:val="Compact"/>
              <w:jc w:val="left"/>
            </w:pPr>
            <w:r>
              <w:rPr>
                <w:rStyle w:val="VerbatimChar"/>
              </w:rPr>
              <w:t xml:space="preserve">ipamorelin[tiab]</w:t>
            </w:r>
          </w:p>
        </w:tc>
      </w:tr>
      <w:tr>
        <w:tc>
          <w:tcPr/>
          <w:p>
            <w:pPr>
              <w:pStyle w:val="Compact"/>
              <w:jc w:val="left"/>
            </w:pPr>
            <w:r>
              <w:t xml:space="preserve">GHRP-2 (pralmoreline)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Hexareline</w:t>
            </w:r>
          </w:p>
        </w:tc>
        <w:tc>
          <w:tcPr/>
          <w:p>
            <w:pPr>
              <w:pStyle w:val="Compact"/>
              <w:jc w:val="left"/>
            </w:pPr>
            <w:r>
              <w:rPr>
                <w:rStyle w:val="VerbatimChar"/>
              </w:rPr>
              <w:t xml:space="preserve">hexarelin[tiab]</w:t>
            </w:r>
          </w:p>
        </w:tc>
      </w:tr>
      <w:tr>
        <w:tc>
          <w:tcPr/>
          <w:p>
            <w:pPr>
              <w:pStyle w:val="Compact"/>
              <w:jc w:val="left"/>
            </w:pPr>
            <w:r>
              <w:t xml:space="preserve">Macimoreline</w:t>
            </w:r>
          </w:p>
        </w:tc>
        <w:tc>
          <w:tcPr/>
          <w:p>
            <w:pPr>
              <w:pStyle w:val="Compact"/>
              <w:jc w:val="left"/>
            </w:pPr>
            <w:r>
              <w:rPr>
                <w:rStyle w:val="VerbatimChar"/>
              </w:rPr>
              <w:t xml:space="preserve">macimorelin[tiab]</w:t>
            </w:r>
          </w:p>
        </w:tc>
      </w:tr>
      <w:tr>
        <w:tc>
          <w:tcPr/>
          <w:p>
            <w:pPr>
              <w:pStyle w:val="Compact"/>
              <w:jc w:val="left"/>
            </w:pPr>
            <w:r>
              <w:t xml:space="preserve">Mecasermine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(vergelijking)</w:t>
            </w:r>
          </w:p>
        </w:tc>
        <w:tc>
          <w:tcPr/>
          <w:p>
            <w:pPr>
              <w:pStyle w:val="Compact"/>
              <w:jc w:val="left"/>
            </w:pPr>
            <w:r>
              <w:rPr>
                <w:rStyle w:val="VerbatimChar"/>
              </w:rPr>
              <w:t xml:space="preserve">ibutamoren[tiab] OR MK-677[tiab] OR MK-0677[tiab]</w:t>
            </w:r>
          </w:p>
        </w:tc>
      </w:tr>
    </w:tbl>
    <w:bookmarkEnd w:id="3002"/>
    <w:bookmarkStart w:id="3003" w:name="d.-hersenen-slaap-en-een-lang-leven"/>
    <w:p>
      <w:pPr>
        <w:pStyle w:val="Heading4"/>
      </w:pPr>
      <w:r>
        <w:t xml:space="preserve">D. Hersenen, slaap en een lang leven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Cerebrolysine</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3"/>
    <w:bookmarkStart w:id="3004" w:name="X4668172c86208d1b7720b527fa8f337a7e5cc78"/>
    <w:p>
      <w:pPr>
        <w:pStyle w:val="Heading4"/>
      </w:pPr>
      <w:r>
        <w:t xml:space="preserve">E. Hormonen, seksualiteit en pigmentatie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Oxytocine (intranasaal)</w:t>
            </w:r>
          </w:p>
        </w:tc>
        <w:tc>
          <w:tcPr/>
          <w:p>
            <w:pPr>
              <w:pStyle w:val="Compact"/>
              <w:jc w:val="left"/>
            </w:pPr>
            <w:r>
              <w:rPr>
                <w:rStyle w:val="VerbatimChar"/>
              </w:rPr>
              <w:t xml:space="preserve">intranasal oxytocin[tiab]</w:t>
            </w:r>
          </w:p>
        </w:tc>
      </w:tr>
      <w:tr>
        <w:tc>
          <w:tcPr/>
          <w:p>
            <w:pPr>
              <w:pStyle w:val="Compact"/>
              <w:jc w:val="left"/>
            </w:pPr>
            <w:r>
              <w:t xml:space="preserve">Gonadoreline</w:t>
            </w:r>
          </w:p>
        </w:tc>
        <w:tc>
          <w:tcPr/>
          <w:p>
            <w:pPr>
              <w:pStyle w:val="Compact"/>
              <w:jc w:val="left"/>
            </w:pPr>
            <w:r>
              <w:rPr>
                <w:rStyle w:val="VerbatimChar"/>
              </w:rPr>
              <w:t xml:space="preserve">gonadorelin[tiab]</w:t>
            </w:r>
          </w:p>
        </w:tc>
      </w:tr>
    </w:tbl>
    <w:bookmarkEnd w:id="3004"/>
    <w:bookmarkStart w:id="3005" w:name="f.-collageen-voeding-en-cosmetica-1"/>
    <w:p>
      <w:pPr>
        <w:pStyle w:val="Heading4"/>
      </w:pPr>
      <w:r>
        <w:t xml:space="preserve">F. Collageen, voeding en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Collageenhydrolysaat resp. collageenpeptiden</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Lactotripeptiden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(koperpeptide)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Acetyl-hexapeptide-8 (Argireline)</w:t>
            </w:r>
          </w:p>
        </w:tc>
        <w:tc>
          <w:tcPr/>
          <w:p>
            <w:pPr>
              <w:pStyle w:val="Compact"/>
              <w:jc w:val="left"/>
            </w:pPr>
            <w:r>
              <w:rPr>
                <w:rStyle w:val="VerbatimChar"/>
              </w:rPr>
              <w:t xml:space="preserve">acetyl hexapeptide[tiab] OR argireline[tiab]</w:t>
            </w:r>
          </w:p>
        </w:tc>
      </w:tr>
    </w:tbl>
    <w:bookmarkEnd w:id="3005"/>
    <w:bookmarkEnd w:id="3006"/>
    <w:bookmarkStart w:id="3007" w:name="omvang-van-de-treffers"/>
    <w:p>
      <w:pPr>
        <w:pStyle w:val="Heading3"/>
      </w:pPr>
      <w:r>
        <w:t xml:space="preserve">Omvang van de treffers</w:t>
      </w:r>
    </w:p>
    <w:p>
      <w:pPr>
        <w:pStyle w:val="FirstParagraph"/>
      </w:pPr>
      <w:r>
        <w:t xml:space="preserve">In totaal leverden de 58 zoekopdrachten met het filter voor studies bij mensen 3.216 treffers op, met het filter voor meta-analyses en overzichtsartikelen 1.739 treffers. In ClinicalTrials.gov zijn 4.879 registervermeldingen gevonden. Deze totalen bevatten dubbeltellingen, omdat sommige studies meerdere peptiden betreffen – bijvoorbeeld vergelijkende studies tussen semaglutide en tirzepatide. De aantallen per peptide worden aan het begin van de paragraaf „Studies bij mensen” in het betreffende hoofdstuk genoemd.</w:t>
      </w:r>
    </w:p>
    <w:p>
      <w:pPr>
        <w:pStyle w:val="BodyText"/>
      </w:pPr>
      <w:r>
        <w:t xml:space="preserve">De verdeling is zeer ongelijk: op de geregistreerde GLP-1-geneesmiddelen vallen honderden studies bij mensen, voor veel grijze-marktpeptiden daarentegen geen of slechts een handvol.</w:t>
      </w:r>
    </w:p>
    <w:bookmarkEnd w:id="3007"/>
    <w:bookmarkStart w:id="3008" w:name="selectie-en-analyse"/>
    <w:p>
      <w:pPr>
        <w:pStyle w:val="Heading3"/>
      </w:pPr>
      <w:r>
        <w:t xml:space="preserve">Selectie en analyse</w:t>
      </w:r>
    </w:p>
    <w:p>
      <w:pPr>
        <w:pStyle w:val="FirstParagraph"/>
      </w:pPr>
      <w:r>
        <w:t xml:space="preserve">Voor elk peptide zijn alle treffers met het filter voor studies bij mensen als korte lijst (titel, jaar, vaktijdschrift, eerste auteur) vastgelegd; ze vormen de basis van het studieoverzicht in de bijlage. De volgens PubMed-relevantie belangrijkste studies bij mensen en overzichtsartikelen zijn met hun samenvattingen gelezen en geanalyseerd, aangevuld met de gericht gezochte artikelen.</w:t>
      </w:r>
    </w:p>
    <w:p>
      <w:pPr>
        <w:pStyle w:val="BodyText"/>
      </w:pPr>
      <w:r>
        <w:t xml:space="preserve">Voor de weergave in de tekst geldt:</w:t>
      </w:r>
    </w:p>
    <w:p>
      <w:pPr>
        <w:numPr>
          <w:ilvl w:val="0"/>
          <w:numId w:val="1374"/>
        </w:numPr>
        <w:pStyle w:val="Compact"/>
      </w:pPr>
      <w:r>
        <w:t xml:space="preserve">Elke genoemde studie is gelezen aan de hand van haar PubMed-vermelding respectievelijk registervermelding.</w:t>
      </w:r>
    </w:p>
    <w:p>
      <w:pPr>
        <w:numPr>
          <w:ilvl w:val="0"/>
          <w:numId w:val="1374"/>
        </w:numPr>
        <w:pStyle w:val="Compact"/>
      </w:pPr>
      <w:r>
        <w:t xml:space="preserve">Cijfers – zoals aantallen deelnemers, percentages, gewichtsveranderingen of p-waarden – komen uitsluitend uit de samenvatting van de publicatie of uit de registervermelding. Wat daar niet is onderbouwd, wordt niet als getal genoemd.</w:t>
      </w:r>
    </w:p>
    <w:p>
      <w:pPr>
        <w:numPr>
          <w:ilvl w:val="0"/>
          <w:numId w:val="1374"/>
        </w:numPr>
        <w:pStyle w:val="Compact"/>
      </w:pPr>
      <w:r>
        <w:t xml:space="preserve">Volledige teksten zijn niet systematisch geanalyseerd. Details die alleen in de volledige tekst staan, zoals afzonderlijke bijwerkingspercentages of subgroepen, ontbreken daarom deels.</w:t>
      </w:r>
    </w:p>
    <w:p>
      <w:pPr>
        <w:numPr>
          <w:ilvl w:val="0"/>
          <w:numId w:val="1374"/>
        </w:numPr>
        <w:pStyle w:val="Compact"/>
      </w:pPr>
      <w:r>
        <w:t xml:space="preserve">Dier- en laboratoriumresultaten worden uitdrukkelijk als zodanig aangeduid.</w:t>
      </w:r>
    </w:p>
    <w:p>
      <w:pPr>
        <w:numPr>
          <w:ilvl w:val="0"/>
          <w:numId w:val="1374"/>
        </w:numPr>
        <w:pStyle w:val="Compact"/>
      </w:pPr>
      <w:r>
        <w:t xml:space="preserve">Bij lopende studies wordt alleen vermeld wat in het register staat. Ze worden aangeduid als</w:t>
      </w:r>
      <w:r>
        <w:t xml:space="preserve"> </w:t>
      </w:r>
      <w:r>
        <w:rPr>
          <w:iCs/>
          <w:i/>
        </w:rPr>
        <w:t xml:space="preserve">vaststaand</w:t>
      </w:r>
      <w:r>
        <w:t xml:space="preserve"> </w:t>
      </w:r>
      <w:r>
        <w:t xml:space="preserve">(geregistreerd, lopend), eigen prognoses als</w:t>
      </w:r>
      <w:r>
        <w:t xml:space="preserve"> </w:t>
      </w:r>
      <w:r>
        <w:rPr>
          <w:iCs/>
          <w:i/>
        </w:rPr>
        <w:t xml:space="preserve">inschatting</w:t>
      </w:r>
      <w:r>
        <w:t xml:space="preserve">.</w:t>
      </w:r>
    </w:p>
    <w:bookmarkEnd w:id="3008"/>
    <w:bookmarkStart w:id="3009" w:name="bewijsniveaus"/>
    <w:p>
      <w:pPr>
        <w:pStyle w:val="Heading3"/>
      </w:pPr>
      <w:r>
        <w:t xml:space="preserve">Bewijsniveaus</w:t>
      </w:r>
    </w:p>
    <w:p>
      <w:pPr>
        <w:pStyle w:val="FirstParagraph"/>
      </w:pPr>
      <w:r>
        <w:t xml:space="preserve">Elk peptide kreeg een bewijsniveau volgens de volgende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Criterium</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afzonderlijke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De indeling heeft betrekking op de bewijslast bij mensen als geheel en op het belangrijkste onderzochte toepassingsgebied. Ze is een beoordeling door de auteur op basis van de geanalyseerde studies en geen officiële classificatie.</w:t>
      </w:r>
    </w:p>
    <w:bookmarkEnd w:id="3009"/>
    <w:bookmarkStart w:id="3010" w:name="grenzen-van-de-methodologie"/>
    <w:p>
      <w:pPr>
        <w:pStyle w:val="Heading3"/>
      </w:pPr>
      <w:r>
        <w:t xml:space="preserve">Grenzen van de methodologie</w:t>
      </w:r>
    </w:p>
    <w:p>
      <w:pPr>
        <w:pStyle w:val="FirstParagraph"/>
      </w:pPr>
      <w:r>
        <w:t xml:space="preserve">Zoals elk literatuuronderzoek heeft ook dit onderzoek grenzen, waarmee je bij het lezen rekening kunt houden:</w:t>
      </w:r>
    </w:p>
    <w:p>
      <w:pPr>
        <w:pStyle w:val="BodyText"/>
      </w:pPr>
      <w:r>
        <w:rPr>
          <w:bCs/>
          <w:b/>
        </w:rPr>
        <w:t xml:space="preserve">Treffers zijn niet hetzelfde als zelfstandige studies.</w:t>
      </w:r>
      <w:r>
        <w:t xml:space="preserve"> </w:t>
      </w:r>
      <w:r>
        <w:t xml:space="preserve">Een grote studie wordt vaak in meerdere artikelen gepubliceerd – hoofdresultaat, subgroepen, follow-up, kwaliteit van leven. Elk van deze artikelen is een eigen treffer. Omgekeerd kunnen studies in één artikel zijn samengevat. De aantallen treffers geven daarom de orde van grootte van het onderzoek weer, niet het exacte aantal onafhankelijke studies.</w:t>
      </w:r>
    </w:p>
    <w:p>
      <w:pPr>
        <w:pStyle w:val="BodyText"/>
      </w:pPr>
      <w:r>
        <w:rPr>
          <w:bCs/>
          <w:b/>
        </w:rPr>
        <w:t xml:space="preserve">Publicatietypen zijn niet altijd correct.</w:t>
      </w:r>
      <w:r>
        <w:t xml:space="preserve"> </w:t>
      </w:r>
      <w:r>
        <w:t xml:space="preserve">Het filter voor studies bij mensen berust op de indexering door PubMed. Sommige studies zijn niet als klinische studie gemarkeerd en ontbreken daarom; sommige als klinische studie gemarkeerde artikelen blijken bij nader inzien observationele studies of laboratoriumwerk met menselijk materiaal te zijn. Zeer nieuwe artikelen zijn vaak nog niet volledig geïndexeerd.</w:t>
      </w:r>
    </w:p>
    <w:p>
      <w:pPr>
        <w:pStyle w:val="BodyText"/>
      </w:pPr>
      <w:r>
        <w:rPr>
          <w:bCs/>
          <w:b/>
        </w:rPr>
        <w:t xml:space="preserve">Zoektermen kunnen lacunes hebben.</w:t>
      </w:r>
      <w:r>
        <w:t xml:space="preserve"> </w:t>
      </w:r>
      <w:r>
        <w:t xml:space="preserve">Een zoekterm vindt alleen wat in de titel of samenvatting met de gekozen woorden wordt beschreven. Studies die een stof alleen onder een codenaam of in een andere spelling vermelden, kunnen ontbreken. Omgekeerd kunnen meerduidige afkortingen zoals „KPV” of „SS-31” ook artikelen over heel andere onderwerpen opleveren. Voor de hoofdstukken zijn de treffers daarom doorgenomen en niet ongecontroleerd overgenomen.</w:t>
      </w:r>
    </w:p>
    <w:p>
      <w:pPr>
        <w:pStyle w:val="BodyText"/>
      </w:pPr>
      <w:r>
        <w:rPr>
          <w:bCs/>
          <w:b/>
        </w:rPr>
        <w:t xml:space="preserve">Talen.</w:t>
      </w:r>
      <w:r>
        <w:t xml:space="preserve"> </w:t>
      </w:r>
      <w:r>
        <w:t xml:space="preserve">PubMed bevat overwegend Engelstalige vaktijdschriften. Artikelen die alleen in andere talen en in niet-opgenomen tijdschriften zijn verschenen, ontbreken grotendeels. Dat betreft vooral enkele peptiden die vooral in Rusland of andere landen van Oost-Europa worden onderzocht en gebruikt, zoals Semax, Selank, Epitalon of thymaline. Voor die peptiden is de werkelijke hoeveelheid studies mogelijk groter, maar voor internationale lezers moeilijk controleerbaar.</w:t>
      </w:r>
    </w:p>
    <w:p>
      <w:pPr>
        <w:pStyle w:val="BodyText"/>
      </w:pPr>
      <w:r>
        <w:rPr>
          <w:bCs/>
          <w:b/>
        </w:rPr>
        <w:t xml:space="preserve">Niet-gepubliceerde studies.</w:t>
      </w:r>
      <w:r>
        <w:t xml:space="preserve"> </w:t>
      </w:r>
      <w:r>
        <w:t xml:space="preserve">Studies die nooit zijn gepubliceerd, staan niet in PubMed. Het register ClinicalTrials.gov helpt om zulke lacunes te herkennen, maar omvat niet alle studies wereldwijd.</w:t>
      </w:r>
    </w:p>
    <w:p>
      <w:pPr>
        <w:pStyle w:val="BodyText"/>
      </w:pPr>
      <w:r>
        <w:rPr>
          <w:bCs/>
          <w:b/>
        </w:rPr>
        <w:t xml:space="preserve">Alleen samenvattingen.</w:t>
      </w:r>
      <w:r>
        <w:t xml:space="preserve"> </w:t>
      </w:r>
      <w:r>
        <w:t xml:space="preserve">De analyse berust op de samenvattingen. Die geven de hoofdresultaten weer, maar kunnen beperkingen, bijwerkingen of methodologische zwakke punten verkort weergeven.</w:t>
      </w:r>
    </w:p>
    <w:p>
      <w:pPr>
        <w:pStyle w:val="BodyText"/>
      </w:pPr>
      <w:r>
        <w:rPr>
          <w:bCs/>
          <w:b/>
        </w:rPr>
        <w:t xml:space="preserve">Momentopname.</w:t>
      </w:r>
      <w:r>
        <w:t xml:space="preserve"> </w:t>
      </w:r>
      <w:r>
        <w:t xml:space="preserve">Het onderzoek geeft de stand van oktober 2026 weer. In snel groeiende velden zoals de GLP-1-geneesmiddelen verschijnen elke week nieuwe studies.</w:t>
      </w:r>
    </w:p>
    <w:bookmarkEnd w:id="3010"/>
    <w:bookmarkStart w:id="3011" w:name="kwaliteitscontrole"/>
    <w:p>
      <w:pPr>
        <w:pStyle w:val="Heading3"/>
      </w:pPr>
      <w:r>
        <w:t xml:space="preserve">Kwaliteitscontrole</w:t>
      </w:r>
    </w:p>
    <w:p>
      <w:pPr>
        <w:pStyle w:val="FirstParagraph"/>
      </w:pPr>
      <w:r>
        <w:t xml:space="preserve">De databankzoekopdrachten liepen via de genoemde interfaces met speciaal daarvoor geschreven hulpprogramma’s. Voor de analyse golden bindende regels: elke studie in de tekst wordt geciteerd met PMID of NCT-nummer; elk getal moet afkomstig zijn uit een daadwerkelijk opgevraagde samenvatting of registervermelding; studies mogen alleen worden genoemd als hun vermelding eerst is opgevraagd en gelezen.</w:t>
      </w:r>
    </w:p>
    <w:p>
      <w:pPr>
        <w:pStyle w:val="BodyText"/>
      </w:pPr>
      <w:r>
        <w:t xml:space="preserve">Daarnaast is elk hoofdstuk gecontroleerd met een controleprogramma. Dat vraagt voor elk in de tekst genoemd PMID en NCT-nummer de vermelding in PubMed respectievelijk ClinicalTrials.gov op en meldt een fout als een nummer niet bestaat. Het vergelijkt bovendien de eerste auteur en het jaar van verschijnen, die in de tekst vóór het PMID staan, met de databankvermelding en wijst op afwijkingen. Ten slotte zoekt het naar ontoelaatbare formuleringen zoals beloften van genezing, doseringsaanbevelingen of verwijzingen naar bronnen om middelen te kopen. Een hoofdstuk gold pas als klaar als deze controle zonder fouten doorliep. Daarnaast controleert het programma of een geciteerd artikel inmiddels is ingetrokken; zulke artikelen zijn in de tekst uitdrukkelijk gemarkeerd. Tot slot zijn ongeveer 1.450 tekstpassages met cijfers afzonderlijk met de samenvattingen vergeleken en waar nodig gecorrigeerd.</w:t>
      </w:r>
    </w:p>
    <w:p>
      <w:pPr>
        <w:pStyle w:val="BodyText"/>
      </w:pPr>
      <w:r>
        <w:t xml:space="preserve">Deze controle garandeert dat elke geciteerde bron bestaat en juist is toegeschreven. Ze kan niet volledig uitsluiten dat een resultaat in de tekst verkort of misleidend is weergegeven. Daarom zijn alle bronnen zo vermeld dat je ze zelf kunt opzoeken – hoe dat werkt, staat in de paragraaf „Over dit boek” aan het begin.</w:t>
      </w:r>
    </w:p>
    <w:bookmarkEnd w:id="3011"/>
    <w:bookmarkEnd w:id="3012"/>
    <w:bookmarkStart w:id="3071" w:name="studieregister"/>
    <w:p>
      <w:pPr>
        <w:pStyle w:val="Heading1"/>
      </w:pPr>
      <w:r>
        <w:t xml:space="preserve">Studieregister</w:t>
      </w:r>
    </w:p>
    <w:p>
      <w:pPr>
        <w:pStyle w:val="FirstParagraph"/>
      </w:pPr>
      <w:r>
        <w:t xml:space="preserve">Dit register bevat alle publicaties van klinische studies bij mensen die het onderzoek per peptide in PubMed heeft gevonden (zoekopdracht oktober 2026; filters zie Methodologie). Titels en tijdschriften staan in de oorspronkelijke taal. Elke studie is via haar PMID op te zoeken op pubmed.ncbi.nlm.nih.gov. Niet elke vermelding is een afzonderlijke studie: sommige studies zijn meerdere keren geanalyseerd en gepubliceerd.</w:t>
      </w:r>
      <w:r>
        <w:t xml:space="preserve"> </w:t>
      </w:r>
      <w:r>
        <w:t xml:space="preserve">Totaal: 3.216 vermeldingen.</w:t>
      </w:r>
    </w:p>
    <w:bookmarkStart w:id="3013" w:name="exenatide-437"/>
    <w:p>
      <w:pPr>
        <w:pStyle w:val="Heading2"/>
      </w:pPr>
      <w:r>
        <w:t xml:space="preserve">Exenatide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3"/>
    <w:bookmarkStart w:id="3014"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4"/>
    <w:bookmarkStart w:id="3015"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5"/>
    <w:bookmarkStart w:id="3016" w:name="semaglutide-342"/>
    <w:p>
      <w:pPr>
        <w:pStyle w:val="Heading2"/>
      </w:pPr>
      <w:r>
        <w:t xml:space="preserve">Semaglutide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6"/>
    <w:bookmarkStart w:id="3017" w:name="tirzepatide-144"/>
    <w:p>
      <w:pPr>
        <w:pStyle w:val="Heading2"/>
      </w:pPr>
      <w:r>
        <w:t xml:space="preserve">Tirzepatide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7"/>
    <w:bookmarkStart w:id="3018" w:name="retatrutide-10"/>
    <w:p>
      <w:pPr>
        <w:pStyle w:val="Heading2"/>
      </w:pPr>
      <w:r>
        <w:t xml:space="preserve">Retatrutide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8"/>
    <w:bookmarkStart w:id="3019"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9"/>
    <w:bookmarkStart w:id="3020"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0"/>
    <w:bookmarkStart w:id="3021" w:name="cagrilintide-en-cagrisema-15"/>
    <w:p>
      <w:pPr>
        <w:pStyle w:val="Heading2"/>
      </w:pPr>
      <w:r>
        <w:t xml:space="preserve">Cagrilintide en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1"/>
    <w:bookmarkStart w:id="3022" w:name="amycretine-zenagamtide-4"/>
    <w:p>
      <w:pPr>
        <w:pStyle w:val="Heading2"/>
      </w:pPr>
      <w:r>
        <w:t xml:space="preserve">Amycretine (zenagamtide)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2"/>
    <w:bookmarkStart w:id="3023"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3"/>
    <w:bookmarkStart w:id="3024"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4"/>
    <w:bookmarkStart w:id="3025" w:name="setmelanotide-15"/>
    <w:p>
      <w:pPr>
        <w:pStyle w:val="Heading2"/>
      </w:pPr>
      <w:r>
        <w:t xml:space="preserve">Setmelanotide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5"/>
    <w:bookmarkStart w:id="3026" w:name="aod-9604-0"/>
    <w:p>
      <w:pPr>
        <w:pStyle w:val="Heading2"/>
      </w:pPr>
      <w:r>
        <w:t xml:space="preserve">AOD-9604 (0)</w:t>
      </w:r>
    </w:p>
    <w:p>
      <w:pPr>
        <w:pStyle w:val="FirstParagraph"/>
      </w:pPr>
      <w:r>
        <w:t xml:space="preserve">Geen publicaties van klinische studies bij mensen gevonden.</w:t>
      </w:r>
    </w:p>
    <w:bookmarkEnd w:id="3026"/>
    <w:bookmarkStart w:id="3027" w:name="orforglipron-ter-vergelijking-20"/>
    <w:p>
      <w:pPr>
        <w:pStyle w:val="Heading2"/>
      </w:pPr>
      <w:r>
        <w:t xml:space="preserve">Orforglipron (ter vergelijking)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7"/>
    <w:bookmarkStart w:id="3028" w:name="bpc-157-0"/>
    <w:p>
      <w:pPr>
        <w:pStyle w:val="Heading2"/>
      </w:pPr>
      <w:r>
        <w:t xml:space="preserve">BPC-157 (0)</w:t>
      </w:r>
    </w:p>
    <w:p>
      <w:pPr>
        <w:pStyle w:val="FirstParagraph"/>
      </w:pPr>
      <w:r>
        <w:t xml:space="preserve">Geen publicaties van klinische studies bij mensen gevonden.</w:t>
      </w:r>
    </w:p>
    <w:bookmarkEnd w:id="3028"/>
    <w:bookmarkStart w:id="3029" w:name="tb-500-en-thymosine-bèta-4-9"/>
    <w:p>
      <w:pPr>
        <w:pStyle w:val="Heading2"/>
      </w:pPr>
      <w:r>
        <w:t xml:space="preserve">TB-500 en thymosine bèta-4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9"/>
    <w:bookmarkStart w:id="3030" w:name="thymosine-alfa-1-thymalfasine-90"/>
    <w:p>
      <w:pPr>
        <w:pStyle w:val="Heading2"/>
      </w:pPr>
      <w:r>
        <w:t xml:space="preserve">Thymosine alfa-1 (thymalfasine)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0"/>
    <w:bookmarkStart w:id="3031" w:name="kpv-0"/>
    <w:p>
      <w:pPr>
        <w:pStyle w:val="Heading2"/>
      </w:pPr>
      <w:r>
        <w:t xml:space="preserve">KPV (0)</w:t>
      </w:r>
    </w:p>
    <w:p>
      <w:pPr>
        <w:pStyle w:val="FirstParagraph"/>
      </w:pPr>
      <w:r>
        <w:t xml:space="preserve">Geen publicaties van klinische studies bij mensen gevonden.</w:t>
      </w:r>
    </w:p>
    <w:bookmarkEnd w:id="3031"/>
    <w:bookmarkStart w:id="3032"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2"/>
    <w:bookmarkStart w:id="3033" w:name="ara-290-cibinetide-5"/>
    <w:p>
      <w:pPr>
        <w:pStyle w:val="Heading2"/>
      </w:pPr>
      <w:r>
        <w:t xml:space="preserve">ARA-290 (cibinetide)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3"/>
    <w:bookmarkStart w:id="3034"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4"/>
    <w:bookmarkStart w:id="3035" w:name="thymaline-en-thymogen-17"/>
    <w:p>
      <w:pPr>
        <w:pStyle w:val="Heading2"/>
      </w:pPr>
      <w:r>
        <w:t xml:space="preserve">Thymaline en thymogen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5"/>
    <w:bookmarkStart w:id="3036" w:name="sermoreline-0"/>
    <w:p>
      <w:pPr>
        <w:pStyle w:val="Heading2"/>
      </w:pPr>
      <w:r>
        <w:t xml:space="preserve">Sermoreline (0)</w:t>
      </w:r>
    </w:p>
    <w:p>
      <w:pPr>
        <w:pStyle w:val="FirstParagraph"/>
      </w:pPr>
      <w:r>
        <w:t xml:space="preserve">Geen publicaties van klinische studies bij mensen gevonden.</w:t>
      </w:r>
    </w:p>
    <w:bookmarkEnd w:id="3036"/>
    <w:bookmarkStart w:id="3037" w:name="tesamoreline-23"/>
    <w:p>
      <w:pPr>
        <w:pStyle w:val="Heading2"/>
      </w:pPr>
      <w:r>
        <w:t xml:space="preserve">Tesamoreline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7"/>
    <w:bookmarkStart w:id="3038"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8"/>
    <w:bookmarkStart w:id="3039" w:name="ipamoreline-2"/>
    <w:p>
      <w:pPr>
        <w:pStyle w:val="Heading2"/>
      </w:pPr>
      <w:r>
        <w:t xml:space="preserve">Ipamoreline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9"/>
    <w:bookmarkStart w:id="3040" w:name="ghrp-2-pralmoreline-55"/>
    <w:p>
      <w:pPr>
        <w:pStyle w:val="Heading2"/>
      </w:pPr>
      <w:r>
        <w:t xml:space="preserve">GHRP-2 (pralmoreline)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0"/>
    <w:bookmarkStart w:id="3041"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1"/>
    <w:bookmarkStart w:id="3042" w:name="hexareline-58"/>
    <w:p>
      <w:pPr>
        <w:pStyle w:val="Heading2"/>
      </w:pPr>
      <w:r>
        <w:t xml:space="preserve">Hexareline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2"/>
    <w:bookmarkStart w:id="3043" w:name="macimoreline-4"/>
    <w:p>
      <w:pPr>
        <w:pStyle w:val="Heading2"/>
      </w:pPr>
      <w:r>
        <w:t xml:space="preserve">Macimoreline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3"/>
    <w:bookmarkStart w:id="3044" w:name="mecasermine-igf-1-21"/>
    <w:p>
      <w:pPr>
        <w:pStyle w:val="Heading2"/>
      </w:pPr>
      <w:r>
        <w:t xml:space="preserve">Mecasermine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4"/>
    <w:bookmarkStart w:id="3045" w:name="igf-1-lr3-0"/>
    <w:p>
      <w:pPr>
        <w:pStyle w:val="Heading2"/>
      </w:pPr>
      <w:r>
        <w:t xml:space="preserve">IGF-1 LR3 (0)</w:t>
      </w:r>
    </w:p>
    <w:p>
      <w:pPr>
        <w:pStyle w:val="FirstParagraph"/>
      </w:pPr>
      <w:r>
        <w:t xml:space="preserve">Geen publicaties van klinische studies bij mensen gevonden.</w:t>
      </w:r>
    </w:p>
    <w:bookmarkEnd w:id="3045"/>
    <w:bookmarkStart w:id="3046" w:name="ibutamoren-mk-677-19"/>
    <w:p>
      <w:pPr>
        <w:pStyle w:val="Heading2"/>
      </w:pPr>
      <w:r>
        <w:t xml:space="preserve">Ibutamoren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6"/>
    <w:bookmarkStart w:id="3047"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7"/>
    <w:bookmarkStart w:id="3048"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8"/>
    <w:bookmarkStart w:id="3049"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9"/>
    <w:bookmarkStart w:id="3050" w:name="dihexa-0"/>
    <w:p>
      <w:pPr>
        <w:pStyle w:val="Heading2"/>
      </w:pPr>
      <w:r>
        <w:t xml:space="preserve">Dihexa (0)</w:t>
      </w:r>
    </w:p>
    <w:p>
      <w:pPr>
        <w:pStyle w:val="FirstParagraph"/>
      </w:pPr>
      <w:r>
        <w:t xml:space="preserve">Geen publicaties van klinische studies bij mensen gevonden.</w:t>
      </w:r>
    </w:p>
    <w:bookmarkEnd w:id="3050"/>
    <w:bookmarkStart w:id="3051" w:name="dsip-delta-slaapinducerend-peptide-18"/>
    <w:p>
      <w:pPr>
        <w:pStyle w:val="Heading2"/>
      </w:pPr>
      <w:r>
        <w:t xml:space="preserve">DSIP (delta-slaapinducerend peptide)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1"/>
    <w:bookmarkStart w:id="3052"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2"/>
    <w:bookmarkStart w:id="3053"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3"/>
    <w:bookmarkStart w:id="3054"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4"/>
    <w:bookmarkStart w:id="3055" w:name="humanine-8"/>
    <w:p>
      <w:pPr>
        <w:pStyle w:val="Heading2"/>
      </w:pPr>
      <w:r>
        <w:t xml:space="preserve">Humanine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5"/>
    <w:bookmarkStart w:id="3056" w:name="ss-31-elamipretide-19"/>
    <w:p>
      <w:pPr>
        <w:pStyle w:val="Heading2"/>
      </w:pPr>
      <w:r>
        <w:t xml:space="preserve">SS-31 (elamipretide)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6"/>
    <w:bookmarkStart w:id="3057" w:name="foxo4-dri-0"/>
    <w:p>
      <w:pPr>
        <w:pStyle w:val="Heading2"/>
      </w:pPr>
      <w:r>
        <w:t xml:space="preserve">FOXO4-DRI (0)</w:t>
      </w:r>
    </w:p>
    <w:p>
      <w:pPr>
        <w:pStyle w:val="FirstParagraph"/>
      </w:pPr>
      <w:r>
        <w:t xml:space="preserve">Geen publicaties van klinische studies bij mensen gevonden.</w:t>
      </w:r>
    </w:p>
    <w:bookmarkEnd w:id="3057"/>
    <w:bookmarkStart w:id="3058" w:name="glutathion-161"/>
    <w:p>
      <w:pPr>
        <w:pStyle w:val="Heading2"/>
      </w:pPr>
      <w:r>
        <w:t xml:space="preserve">Glutathion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8"/>
    <w:bookmarkStart w:id="3059" w:name="bremelanotide-pt-141-16"/>
    <w:p>
      <w:pPr>
        <w:pStyle w:val="Heading2"/>
      </w:pPr>
      <w:r>
        <w:t xml:space="preserve">Bremelanotide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9"/>
    <w:bookmarkStart w:id="3060"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0"/>
    <w:bookmarkStart w:id="3061" w:name="afamelanotide-10"/>
    <w:p>
      <w:pPr>
        <w:pStyle w:val="Heading2"/>
      </w:pPr>
      <w:r>
        <w:t xml:space="preserve">Afamelanotide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1"/>
    <w:bookmarkStart w:id="3062" w:name="kisspeptine-37"/>
    <w:p>
      <w:pPr>
        <w:pStyle w:val="Heading2"/>
      </w:pPr>
      <w:r>
        <w:t xml:space="preserve">Kisspeptine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2"/>
    <w:bookmarkStart w:id="3063" w:name="oxytocine-neusspray-349"/>
    <w:p>
      <w:pPr>
        <w:pStyle w:val="Heading2"/>
      </w:pPr>
      <w:r>
        <w:t xml:space="preserve">Oxytocine (neusspray)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3"/>
    <w:bookmarkStart w:id="3064" w:name="gonadoreline-9"/>
    <w:p>
      <w:pPr>
        <w:pStyle w:val="Heading2"/>
      </w:pPr>
      <w:r>
        <w:t xml:space="preserve">Gonadoreline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4"/>
    <w:bookmarkStart w:id="3065" w:name="X7f005e68d9085ff0e730832dc5bf60acee45c04"/>
    <w:p>
      <w:pPr>
        <w:pStyle w:val="Heading2"/>
      </w:pPr>
      <w:r>
        <w:t xml:space="preserve">Collageenpeptiden (collageenhydrolysaat)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5"/>
    <w:bookmarkStart w:id="3066" w:name="lactotripeptiden-vpp-en-ipp-21"/>
    <w:p>
      <w:pPr>
        <w:pStyle w:val="Heading2"/>
      </w:pPr>
      <w:r>
        <w:t xml:space="preserve">Lactotripeptiden (VPP en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6"/>
    <w:bookmarkStart w:id="3067"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7"/>
    <w:bookmarkStart w:id="3068" w:name="ghk-cu-koperpeptide-1"/>
    <w:p>
      <w:pPr>
        <w:pStyle w:val="Heading2"/>
      </w:pPr>
      <w:r>
        <w:t xml:space="preserve">GHK-Cu (koperpeptide)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8"/>
    <w:bookmarkStart w:id="3069" w:name="palmitoyl-pentapeptide-4-matrixyl-1"/>
    <w:p>
      <w:pPr>
        <w:pStyle w:val="Heading2"/>
      </w:pPr>
      <w:r>
        <w:t xml:space="preserve">Palmitoyl-pentapeptide-4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9"/>
    <w:bookmarkStart w:id="3070" w:name="acetyl-hexapeptide-8-argireline-3"/>
    <w:p>
      <w:pPr>
        <w:pStyle w:val="Heading2"/>
      </w:pPr>
      <w:r>
        <w:t xml:space="preserve">Acetyl-hexapeptide-8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0"/>
    <w:bookmarkEnd w:id="3071"/>
    <w:bookmarkStart w:id="3072" w:name="over-de-auteur"/>
    <w:p>
      <w:pPr>
        <w:pStyle w:val="Heading1"/>
      </w:pPr>
      <w:r>
        <w:t xml:space="preserve">Over de auteur</w:t>
      </w:r>
    </w:p>
    <w:p>
      <w:pPr>
        <w:pStyle w:val="FirstParagraph"/>
      </w:pPr>
      <w:r>
        <w:t xml:space="preserve">Josef Gallab houdt zich al meer dan vijf jaar intensief bezig met peptiden, sport en biohacking. Hij is geïnteresseerd in wat gezondheid en prestatievermogen werkelijk vooruithelpt – en wat slechts een belofte blijft.</w:t>
      </w:r>
    </w:p>
    <w:p>
      <w:pPr>
        <w:pStyle w:val="BodyText"/>
      </w:pPr>
      <w:r>
        <w:t xml:space="preserve">De scene, de beloften en de ervaringsverhalen rond veel van de peptiden die in dit boek worden beschreven, kent hij van dichtbij. Juist daarom vindt hij het belangrijk enthousiasme en bewijs zorgvuldig uit elkaar te houden: het potentieel van peptiden serieus te nemen zonder de open vragen te verzwijgen.</w:t>
      </w:r>
    </w:p>
    <w:p>
      <w:pPr>
        <w:pStyle w:val="BodyText"/>
      </w:pPr>
      <w:r>
        <w:t xml:space="preserve">Met</w:t>
      </w:r>
      <w:r>
        <w:t xml:space="preserve"> </w:t>
      </w:r>
      <w:r>
        <w:rPr>
          <w:iCs/>
          <w:i/>
        </w:rPr>
        <w:t xml:space="preserve">Het peptidenhandboek</w:t>
      </w:r>
      <w:r>
        <w:t xml:space="preserve"> </w:t>
      </w:r>
      <w:r>
        <w:t xml:space="preserve">wil hij lezers het gereedschap geven dat hij zelf aan het begin miste – een eerlijk overzicht van wat de studies werkelijk laten zien.</w:t>
      </w:r>
    </w:p>
    <w:bookmarkEnd w:id="30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Ghanizada 2021, PMID 33772845.</w:t>
      </w:r>
    </w:p>
  </w:footnote>
  <w:footnote w:id="781">
    <w:p>
      <w:pPr>
        <w:pStyle w:val="FootnoteText"/>
      </w:pPr>
      <w:r>
        <w:rPr>
          <w:rStyle w:val="FootnoteReference"/>
        </w:rPr>
        <w:footnoteRef/>
      </w:r>
      <w:r>
        <w:t xml:space="preserve"> </w:t>
      </w:r>
      <w:r>
        <w:t xml:space="preserve">Smith 2008, PMID 18753666; Edelman 2006, PMID 17003291.</w:t>
      </w:r>
    </w:p>
  </w:footnote>
  <w:footnote w:id="782">
    <w:p>
      <w:pPr>
        <w:pStyle w:val="FootnoteText"/>
      </w:pPr>
      <w:r>
        <w:rPr>
          <w:rStyle w:val="FootnoteReference"/>
        </w:rPr>
        <w:footnoteRef/>
      </w:r>
      <w:r>
        <w:t xml:space="preserve"> </w:t>
      </w:r>
      <w:r>
        <w:t xml:space="preserve">Edelman 2006, PMID 17003291.</w:t>
      </w:r>
    </w:p>
  </w:footnote>
  <w:footnote w:id="783">
    <w:p>
      <w:pPr>
        <w:pStyle w:val="FootnoteText"/>
      </w:pPr>
      <w:r>
        <w:rPr>
          <w:rStyle w:val="FootnoteReference"/>
        </w:rPr>
        <w:footnoteRef/>
      </w:r>
      <w:r>
        <w:t xml:space="preserve"> </w:t>
      </w:r>
      <w:r>
        <w:t xml:space="preserve">Ghanizada 2021, PMID 33772845.</w:t>
      </w:r>
    </w:p>
  </w:footnote>
  <w:footnote w:id="786">
    <w:p>
      <w:pPr>
        <w:pStyle w:val="FootnoteText"/>
      </w:pPr>
      <w:r>
        <w:rPr>
          <w:rStyle w:val="FootnoteReference"/>
        </w:rPr>
        <w:footnoteRef/>
      </w:r>
      <w:r>
        <w:t xml:space="preserve"> </w:t>
      </w:r>
      <w:r>
        <w:t xml:space="preserve">NCT07340788.</w:t>
      </w:r>
    </w:p>
  </w:footnote>
  <w:footnote w:id="787">
    <w:p>
      <w:pPr>
        <w:pStyle w:val="FootnoteText"/>
      </w:pPr>
      <w:r>
        <w:rPr>
          <w:rStyle w:val="FootnoteReference"/>
        </w:rPr>
        <w:footnoteRef/>
      </w:r>
      <w:r>
        <w:t xml:space="preserve"> </w:t>
      </w:r>
      <w:r>
        <w:t xml:space="preserve">NCT07340775.</w:t>
      </w:r>
    </w:p>
  </w:footnote>
  <w:footnote w:id="788">
    <w:p>
      <w:pPr>
        <w:pStyle w:val="FootnoteText"/>
      </w:pPr>
      <w:r>
        <w:rPr>
          <w:rStyle w:val="FootnoteReference"/>
        </w:rPr>
        <w:footnoteRef/>
      </w:r>
      <w:r>
        <w:t xml:space="preserve"> </w:t>
      </w:r>
      <w:r>
        <w:t xml:space="preserve">NCT07506369.</w:t>
      </w:r>
    </w:p>
  </w:footnote>
  <w:footnote w:id="789">
    <w:p>
      <w:pPr>
        <w:pStyle w:val="FootnoteText"/>
      </w:pPr>
      <w:r>
        <w:rPr>
          <w:rStyle w:val="FootnoteReference"/>
        </w:rPr>
        <w:footnoteRef/>
      </w:r>
      <w:r>
        <w:t xml:space="preserve"> </w:t>
      </w:r>
      <w:r>
        <w:t xml:space="preserve">Odabassian 2025, PMID 41174925.</w:t>
      </w:r>
    </w:p>
  </w:footnote>
  <w:footnote w:id="793">
    <w:p>
      <w:pPr>
        <w:pStyle w:val="FootnoteText"/>
      </w:pPr>
      <w:r>
        <w:rPr>
          <w:rStyle w:val="FootnoteReference"/>
        </w:rPr>
        <w:footnoteRef/>
      </w:r>
      <w:r>
        <w:t xml:space="preserve"> </w:t>
      </w:r>
      <w:r>
        <w:t xml:space="preserve">Markham 2021, PMID 33638809.</w:t>
      </w:r>
    </w:p>
  </w:footnote>
  <w:footnote w:id="796">
    <w:p>
      <w:pPr>
        <w:pStyle w:val="FootnoteText"/>
      </w:pPr>
      <w:r>
        <w:rPr>
          <w:rStyle w:val="FootnoteReference"/>
        </w:rPr>
        <w:footnoteRef/>
      </w:r>
      <w:r>
        <w:t xml:space="preserve"> </w:t>
      </w:r>
      <w:r>
        <w:t xml:space="preserve">Kühnen 2016, PMID 27468060.</w:t>
      </w:r>
    </w:p>
  </w:footnote>
  <w:footnote w:id="797">
    <w:p>
      <w:pPr>
        <w:pStyle w:val="FootnoteText"/>
      </w:pPr>
      <w:r>
        <w:rPr>
          <w:rStyle w:val="FootnoteReference"/>
        </w:rPr>
        <w:footnoteRef/>
      </w:r>
      <w:r>
        <w:t xml:space="preserve"> </w:t>
      </w:r>
      <w:r>
        <w:t xml:space="preserve">Clément 2018, PMID 29736023.</w:t>
      </w:r>
    </w:p>
  </w:footnote>
  <w:footnote w:id="798">
    <w:p>
      <w:pPr>
        <w:pStyle w:val="FootnoteText"/>
      </w:pPr>
      <w:r>
        <w:rPr>
          <w:rStyle w:val="FootnoteReference"/>
        </w:rPr>
        <w:footnoteRef/>
      </w:r>
      <w:r>
        <w:t xml:space="preserve"> </w:t>
      </w:r>
      <w:r>
        <w:t xml:space="preserve">Clément 2020, PMID 33137293.</w:t>
      </w:r>
    </w:p>
  </w:footnote>
  <w:footnote w:id="800">
    <w:p>
      <w:pPr>
        <w:pStyle w:val="FootnoteText"/>
      </w:pPr>
      <w:r>
        <w:rPr>
          <w:rStyle w:val="FootnoteReference"/>
        </w:rPr>
        <w:footnoteRef/>
      </w:r>
      <w:r>
        <w:t xml:space="preserve"> </w:t>
      </w:r>
      <w:r>
        <w:t xml:space="preserve">Haqq 2022, PMID 36356613.</w:t>
      </w:r>
    </w:p>
  </w:footnote>
  <w:footnote w:id="801">
    <w:p>
      <w:pPr>
        <w:pStyle w:val="FootnoteText"/>
      </w:pPr>
      <w:r>
        <w:rPr>
          <w:rStyle w:val="FootnoteReference"/>
        </w:rPr>
        <w:footnoteRef/>
      </w:r>
      <w:r>
        <w:t xml:space="preserve"> </w:t>
      </w:r>
      <w:r>
        <w:t xml:space="preserve">Argente 2026, PMID 41703984.</w:t>
      </w:r>
    </w:p>
  </w:footnote>
  <w:footnote w:id="803">
    <w:p>
      <w:pPr>
        <w:pStyle w:val="FootnoteText"/>
      </w:pPr>
      <w:r>
        <w:rPr>
          <w:rStyle w:val="FootnoteReference"/>
        </w:rPr>
        <w:footnoteRef/>
      </w:r>
      <w:r>
        <w:t xml:space="preserve"> </w:t>
      </w:r>
      <w:r>
        <w:t xml:space="preserve">Argente 2025, PMID 39549719.</w:t>
      </w:r>
    </w:p>
  </w:footnote>
  <w:footnote w:id="805">
    <w:p>
      <w:pPr>
        <w:pStyle w:val="FootnoteText"/>
      </w:pPr>
      <w:r>
        <w:rPr>
          <w:rStyle w:val="FootnoteReference"/>
        </w:rPr>
        <w:footnoteRef/>
      </w:r>
      <w:r>
        <w:t xml:space="preserve"> </w:t>
      </w:r>
      <w:r>
        <w:t xml:space="preserve">Roth 2024, PMID 38697184.</w:t>
      </w:r>
    </w:p>
  </w:footnote>
  <w:footnote w:id="806">
    <w:p>
      <w:pPr>
        <w:pStyle w:val="FootnoteText"/>
      </w:pPr>
      <w:r>
        <w:rPr>
          <w:rStyle w:val="FootnoteReference"/>
        </w:rPr>
        <w:footnoteRef/>
      </w:r>
      <w:r>
        <w:t xml:space="preserve"> </w:t>
      </w:r>
      <w:r>
        <w:t xml:space="preserve">Miller 2026, PMID 42418774.</w:t>
      </w:r>
    </w:p>
  </w:footnote>
  <w:footnote w:id="808">
    <w:p>
      <w:pPr>
        <w:pStyle w:val="FootnoteText"/>
      </w:pPr>
      <w:r>
        <w:rPr>
          <w:rStyle w:val="FootnoteReference"/>
        </w:rPr>
        <w:footnoteRef/>
      </w:r>
      <w:r>
        <w:t xml:space="preserve"> </w:t>
      </w:r>
      <w:r>
        <w:t xml:space="preserve">Collet 2017, PMID 29031731.</w:t>
      </w:r>
    </w:p>
  </w:footnote>
  <w:footnote w:id="809">
    <w:p>
      <w:pPr>
        <w:pStyle w:val="FootnoteText"/>
      </w:pPr>
      <w:r>
        <w:rPr>
          <w:rStyle w:val="FootnoteReference"/>
        </w:rPr>
        <w:footnoteRef/>
      </w:r>
      <w:r>
        <w:t xml:space="preserve"> </w:t>
      </w:r>
      <w:r>
        <w:t xml:space="preserve">NCT05093634.</w:t>
      </w:r>
    </w:p>
  </w:footnote>
  <w:footnote w:id="812">
    <w:p>
      <w:pPr>
        <w:pStyle w:val="FootnoteText"/>
      </w:pPr>
      <w:r>
        <w:rPr>
          <w:rStyle w:val="FootnoteReference"/>
        </w:rPr>
        <w:footnoteRef/>
      </w:r>
      <w:r>
        <w:t xml:space="preserve"> </w:t>
      </w:r>
      <w:r>
        <w:t xml:space="preserve">Collet 2017, PMID 29031731.</w:t>
      </w:r>
    </w:p>
  </w:footnote>
  <w:footnote w:id="814">
    <w:p>
      <w:pPr>
        <w:pStyle w:val="FootnoteText"/>
      </w:pPr>
      <w:r>
        <w:rPr>
          <w:rStyle w:val="FootnoteReference"/>
        </w:rPr>
        <w:footnoteRef/>
      </w:r>
      <w:r>
        <w:t xml:space="preserve"> </w:t>
      </w:r>
      <w:r>
        <w:t xml:space="preserve">Sridharan 2026, PMID 39924461.</w:t>
      </w:r>
    </w:p>
  </w:footnote>
  <w:footnote w:id="815">
    <w:p>
      <w:pPr>
        <w:pStyle w:val="FootnoteText"/>
      </w:pPr>
      <w:r>
        <w:rPr>
          <w:rStyle w:val="FootnoteReference"/>
        </w:rPr>
        <w:footnoteRef/>
      </w:r>
      <w:r>
        <w:t xml:space="preserve"> </w:t>
      </w:r>
      <w:r>
        <w:t xml:space="preserve">Kanti 2021, PMID 34058738.</w:t>
      </w:r>
    </w:p>
  </w:footnote>
  <w:footnote w:id="816">
    <w:p>
      <w:pPr>
        <w:pStyle w:val="FootnoteText"/>
      </w:pPr>
      <w:r>
        <w:rPr>
          <w:rStyle w:val="FootnoteReference"/>
        </w:rPr>
        <w:footnoteRef/>
      </w:r>
      <w:r>
        <w:t xml:space="preserve"> </w:t>
      </w:r>
      <w:r>
        <w:t xml:space="preserve">Sridharan 2026, PMID 39924461.</w:t>
      </w:r>
    </w:p>
  </w:footnote>
  <w:footnote w:id="817">
    <w:p>
      <w:pPr>
        <w:pStyle w:val="FootnoteText"/>
      </w:pPr>
      <w:r>
        <w:rPr>
          <w:rStyle w:val="FootnoteReference"/>
        </w:rPr>
        <w:footnoteRef/>
      </w:r>
      <w:r>
        <w:t xml:space="preserve"> </w:t>
      </w:r>
      <w:r>
        <w:t xml:space="preserve">Miller 2026, PMID 42418774.</w:t>
      </w:r>
    </w:p>
  </w:footnote>
  <w:footnote w:id="818">
    <w:p>
      <w:pPr>
        <w:pStyle w:val="FootnoteText"/>
      </w:pPr>
      <w:r>
        <w:rPr>
          <w:rStyle w:val="FootnoteReference"/>
        </w:rPr>
        <w:footnoteRef/>
      </w:r>
      <w:r>
        <w:t xml:space="preserve"> </w:t>
      </w:r>
      <w:r>
        <w:t xml:space="preserve">Haqq 2022, PMID 36356613.</w:t>
      </w:r>
    </w:p>
  </w:footnote>
  <w:footnote w:id="821">
    <w:p>
      <w:pPr>
        <w:pStyle w:val="FootnoteText"/>
      </w:pPr>
      <w:r>
        <w:rPr>
          <w:rStyle w:val="FootnoteReference"/>
        </w:rPr>
        <w:footnoteRef/>
      </w:r>
      <w:r>
        <w:t xml:space="preserve"> </w:t>
      </w:r>
      <w:r>
        <w:t xml:space="preserve">NCT05774756.</w:t>
      </w:r>
    </w:p>
  </w:footnote>
  <w:footnote w:id="822">
    <w:p>
      <w:pPr>
        <w:pStyle w:val="FootnoteText"/>
      </w:pPr>
      <w:r>
        <w:rPr>
          <w:rStyle w:val="FootnoteReference"/>
        </w:rPr>
        <w:footnoteRef/>
      </w:r>
      <w:r>
        <w:t xml:space="preserve"> </w:t>
      </w:r>
      <w:r>
        <w:t xml:space="preserve">NCT06760546.</w:t>
      </w:r>
    </w:p>
  </w:footnote>
  <w:footnote w:id="823">
    <w:p>
      <w:pPr>
        <w:pStyle w:val="FootnoteText"/>
      </w:pPr>
      <w:r>
        <w:rPr>
          <w:rStyle w:val="FootnoteReference"/>
        </w:rPr>
        <w:footnoteRef/>
      </w:r>
      <w:r>
        <w:t xml:space="preserve"> </w:t>
      </w:r>
      <w:r>
        <w:t xml:space="preserve">NCT06772597.</w:t>
      </w:r>
    </w:p>
  </w:footnote>
  <w:footnote w:id="824">
    <w:p>
      <w:pPr>
        <w:pStyle w:val="FootnoteText"/>
      </w:pPr>
      <w:r>
        <w:rPr>
          <w:rStyle w:val="FootnoteReference"/>
        </w:rPr>
        <w:footnoteRef/>
      </w:r>
      <w:r>
        <w:t xml:space="preserve"> </w:t>
      </w:r>
      <w:r>
        <w:t xml:space="preserve">NCT07674290.</w:t>
      </w:r>
    </w:p>
  </w:footnote>
  <w:footnote w:id="825">
    <w:p>
      <w:pPr>
        <w:pStyle w:val="FootnoteText"/>
      </w:pPr>
      <w:r>
        <w:rPr>
          <w:rStyle w:val="FootnoteReference"/>
        </w:rPr>
        <w:footnoteRef/>
      </w:r>
      <w:r>
        <w:t xml:space="preserve"> </w:t>
      </w:r>
      <w:r>
        <w:t xml:space="preserve">NCT05093634.</w:t>
      </w:r>
    </w:p>
  </w:footnote>
  <w:footnote w:id="826">
    <w:p>
      <w:pPr>
        <w:pStyle w:val="FootnoteText"/>
      </w:pPr>
      <w:r>
        <w:rPr>
          <w:rStyle w:val="FootnoteReference"/>
        </w:rPr>
        <w:footnoteRef/>
      </w:r>
      <w:r>
        <w:t xml:space="preserve"> </w:t>
      </w:r>
      <w:r>
        <w:t xml:space="preserve">NCT04963231.</w:t>
      </w:r>
    </w:p>
  </w:footnote>
  <w:footnote w:id="830">
    <w:p>
      <w:pPr>
        <w:pStyle w:val="FootnoteText"/>
      </w:pPr>
      <w:r>
        <w:rPr>
          <w:rStyle w:val="FootnoteReference"/>
        </w:rPr>
        <w:footnoteRef/>
      </w:r>
      <w:r>
        <w:t xml:space="preserve"> </w:t>
      </w:r>
      <w:r>
        <w:t xml:space="preserve">Cox 2015, PMID 25208511.</w:t>
      </w:r>
    </w:p>
  </w:footnote>
  <w:footnote w:id="832">
    <w:p>
      <w:pPr>
        <w:pStyle w:val="FootnoteText"/>
      </w:pPr>
      <w:r>
        <w:rPr>
          <w:rStyle w:val="FootnoteReference"/>
        </w:rPr>
        <w:footnoteRef/>
      </w:r>
      <w:r>
        <w:t xml:space="preserve"> </w:t>
      </w:r>
      <w:r>
        <w:t xml:space="preserve">Wade 1982, PMID 6751009.</w:t>
      </w:r>
    </w:p>
  </w:footnote>
  <w:footnote w:id="833">
    <w:p>
      <w:pPr>
        <w:pStyle w:val="FootnoteText"/>
      </w:pPr>
      <w:r>
        <w:rPr>
          <w:rStyle w:val="FootnoteReference"/>
        </w:rPr>
        <w:footnoteRef/>
      </w:r>
      <w:r>
        <w:t xml:space="preserve"> </w:t>
      </w:r>
      <w:r>
        <w:t xml:space="preserve">Heffernan 2001, PMID 11673763.</w:t>
      </w:r>
    </w:p>
  </w:footnote>
  <w:footnote w:id="834">
    <w:p>
      <w:pPr>
        <w:pStyle w:val="FootnoteText"/>
      </w:pPr>
      <w:r>
        <w:rPr>
          <w:rStyle w:val="FootnoteReference"/>
        </w:rPr>
        <w:footnoteRef/>
      </w:r>
      <w:r>
        <w:t xml:space="preserve"> </w:t>
      </w:r>
      <w:r>
        <w:t xml:space="preserve">Heffernan 2001, PMID 11713213.</w:t>
      </w:r>
    </w:p>
  </w:footnote>
  <w:footnote w:id="836">
    <w:p>
      <w:pPr>
        <w:pStyle w:val="FootnoteText"/>
      </w:pPr>
      <w:r>
        <w:rPr>
          <w:rStyle w:val="FootnoteReference"/>
        </w:rPr>
        <w:footnoteRef/>
      </w:r>
      <w:r>
        <w:t xml:space="preserve"> </w:t>
      </w:r>
      <w:r>
        <w:t xml:space="preserve">Wilding 2004, PMID 15134286; Halford 2006, PMID 16625817.</w:t>
      </w:r>
    </w:p>
  </w:footnote>
  <w:footnote w:id="838">
    <w:p>
      <w:pPr>
        <w:pStyle w:val="FootnoteText"/>
      </w:pPr>
      <w:r>
        <w:rPr>
          <w:rStyle w:val="FootnoteReference"/>
        </w:rPr>
        <w:footnoteRef/>
      </w:r>
      <w:r>
        <w:t xml:space="preserve"> </w:t>
      </w:r>
      <w:r>
        <w:t xml:space="preserve">Ng 2000, PMID 11146367.</w:t>
      </w:r>
    </w:p>
  </w:footnote>
  <w:footnote w:id="839">
    <w:p>
      <w:pPr>
        <w:pStyle w:val="FootnoteText"/>
      </w:pPr>
      <w:r>
        <w:rPr>
          <w:rStyle w:val="FootnoteReference"/>
        </w:rPr>
        <w:footnoteRef/>
      </w:r>
      <w:r>
        <w:t xml:space="preserve"> </w:t>
      </w:r>
      <w:r>
        <w:t xml:space="preserve">Heffernan 2001, PMID 11673763.</w:t>
      </w:r>
    </w:p>
  </w:footnote>
  <w:footnote w:id="840">
    <w:p>
      <w:pPr>
        <w:pStyle w:val="FootnoteText"/>
      </w:pPr>
      <w:r>
        <w:rPr>
          <w:rStyle w:val="FootnoteReference"/>
        </w:rPr>
        <w:footnoteRef/>
      </w:r>
      <w:r>
        <w:t xml:space="preserve"> </w:t>
      </w:r>
      <w:r>
        <w:t xml:space="preserve">Natera 1994, PMID 7987248.</w:t>
      </w:r>
    </w:p>
  </w:footnote>
  <w:footnote w:id="841">
    <w:p>
      <w:pPr>
        <w:pStyle w:val="FootnoteText"/>
      </w:pPr>
      <w:r>
        <w:rPr>
          <w:rStyle w:val="FootnoteReference"/>
        </w:rPr>
        <w:footnoteRef/>
      </w:r>
      <w:r>
        <w:t xml:space="preserve"> </w:t>
      </w:r>
      <w:r>
        <w:t xml:space="preserve">Kwon 2015, PMID 26275694.</w:t>
      </w:r>
    </w:p>
  </w:footnote>
  <w:footnote w:id="843">
    <w:p>
      <w:pPr>
        <w:pStyle w:val="FootnoteText"/>
      </w:pPr>
      <w:r>
        <w:rPr>
          <w:rStyle w:val="FootnoteReference"/>
        </w:rPr>
        <w:footnoteRef/>
      </w:r>
      <w:r>
        <w:t xml:space="preserve"> </w:t>
      </w:r>
      <w:r>
        <w:t xml:space="preserve">Cox 2015, PMID 25208511.</w:t>
      </w:r>
    </w:p>
  </w:footnote>
  <w:footnote w:id="844">
    <w:p>
      <w:pPr>
        <w:pStyle w:val="FootnoteText"/>
      </w:pPr>
      <w:r>
        <w:rPr>
          <w:rStyle w:val="FootnoteReference"/>
        </w:rPr>
        <w:footnoteRef/>
      </w:r>
      <w:r>
        <w:t xml:space="preserve"> </w:t>
      </w:r>
      <w:r>
        <w:t xml:space="preserve">Vanhee 2014, PMID 24976118.</w:t>
      </w:r>
    </w:p>
  </w:footnote>
  <w:footnote w:id="845">
    <w:p>
      <w:pPr>
        <w:pStyle w:val="FootnoteText"/>
      </w:pPr>
      <w:r>
        <w:rPr>
          <w:rStyle w:val="FootnoteReference"/>
        </w:rPr>
        <w:footnoteRef/>
      </w:r>
      <w:r>
        <w:t xml:space="preserve"> </w:t>
      </w:r>
      <w:r>
        <w:t xml:space="preserve">Mendias 2026, PMID 41966639; Dominikowski 2026, PMID 42395176.</w:t>
      </w:r>
    </w:p>
  </w:footnote>
  <w:footnote w:id="846">
    <w:p>
      <w:pPr>
        <w:pStyle w:val="FootnoteText"/>
      </w:pPr>
      <w:r>
        <w:rPr>
          <w:rStyle w:val="FootnoteReference"/>
        </w:rPr>
        <w:footnoteRef/>
      </w:r>
      <w:r>
        <w:t xml:space="preserve"> </w:t>
      </w:r>
      <w:r>
        <w:t xml:space="preserve">Coutinho 2026, PMID 41880199.</w:t>
      </w:r>
    </w:p>
  </w:footnote>
  <w:footnote w:id="847">
    <w:p>
      <w:pPr>
        <w:pStyle w:val="FootnoteText"/>
      </w:pPr>
      <w:r>
        <w:rPr>
          <w:rStyle w:val="FootnoteReference"/>
        </w:rPr>
        <w:footnoteRef/>
      </w:r>
      <w:r>
        <w:t xml:space="preserve"> </w:t>
      </w:r>
      <w:r>
        <w:t xml:space="preserve">Heffernan 2001, PMID 11673763.</w:t>
      </w:r>
    </w:p>
  </w:footnote>
  <w:footnote w:id="849">
    <w:p>
      <w:pPr>
        <w:pStyle w:val="FootnoteText"/>
      </w:pPr>
      <w:r>
        <w:rPr>
          <w:rStyle w:val="FootnoteReference"/>
        </w:rPr>
        <w:footnoteRef/>
      </w:r>
      <w:r>
        <w:t xml:space="preserve"> </w:t>
      </w:r>
      <w:r>
        <w:t xml:space="preserve">Cox 2015, PMID 25208511.</w:t>
      </w:r>
    </w:p>
  </w:footnote>
  <w:footnote w:id="850">
    <w:p>
      <w:pPr>
        <w:pStyle w:val="FootnoteText"/>
      </w:pPr>
      <w:r>
        <w:rPr>
          <w:rStyle w:val="FootnoteReference"/>
        </w:rPr>
        <w:footnoteRef/>
      </w:r>
      <w:r>
        <w:t xml:space="preserve"> </w:t>
      </w:r>
      <w:r>
        <w:t xml:space="preserve">Orlovius 2013, PMID 24124033.</w:t>
      </w:r>
    </w:p>
  </w:footnote>
  <w:footnote w:id="856">
    <w:p>
      <w:pPr>
        <w:pStyle w:val="FootnoteText"/>
      </w:pPr>
      <w:r>
        <w:rPr>
          <w:rStyle w:val="FootnoteReference"/>
        </w:rPr>
        <w:footnoteRef/>
      </w:r>
      <w:r>
        <w:t xml:space="preserve"> </w:t>
      </w:r>
      <w:r>
        <w:t xml:space="preserve">Rosenstock 2026, PMID 41765029.</w:t>
      </w:r>
    </w:p>
  </w:footnote>
  <w:footnote w:id="858">
    <w:p>
      <w:pPr>
        <w:pStyle w:val="FootnoteText"/>
      </w:pPr>
      <w:r>
        <w:rPr>
          <w:rStyle w:val="FootnoteReference"/>
        </w:rPr>
        <w:footnoteRef/>
      </w:r>
      <w:r>
        <w:t xml:space="preserve"> </w:t>
      </w:r>
      <w:r>
        <w:t xml:space="preserve">Rosenstock 2025, PMID 40808573.</w:t>
      </w:r>
    </w:p>
  </w:footnote>
  <w:footnote w:id="860">
    <w:p>
      <w:pPr>
        <w:pStyle w:val="FootnoteText"/>
      </w:pPr>
      <w:r>
        <w:rPr>
          <w:rStyle w:val="FootnoteReference"/>
        </w:rPr>
        <w:footnoteRef/>
      </w:r>
      <w:r>
        <w:t xml:space="preserve"> </w:t>
      </w:r>
      <w:r>
        <w:t xml:space="preserve">Wharton 2025, PMID 40960239.</w:t>
      </w:r>
    </w:p>
  </w:footnote>
  <w:footnote w:id="861">
    <w:p>
      <w:pPr>
        <w:pStyle w:val="FootnoteText"/>
      </w:pPr>
      <w:r>
        <w:rPr>
          <w:rStyle w:val="FootnoteReference"/>
        </w:rPr>
        <w:footnoteRef/>
      </w:r>
      <w:r>
        <w:t xml:space="preserve"> </w:t>
      </w:r>
      <w:r>
        <w:t xml:space="preserve">Wharton 2023, PMID 37351564.</w:t>
      </w:r>
    </w:p>
  </w:footnote>
  <w:footnote w:id="862">
    <w:p>
      <w:pPr>
        <w:pStyle w:val="FootnoteText"/>
      </w:pPr>
      <w:r>
        <w:rPr>
          <w:rStyle w:val="FootnoteReference"/>
        </w:rPr>
        <w:footnoteRef/>
      </w:r>
      <w:r>
        <w:t xml:space="preserve"> </w:t>
      </w:r>
      <w:r>
        <w:t xml:space="preserve">Horn 2026, PMID 41275875.</w:t>
      </w:r>
    </w:p>
  </w:footnote>
  <w:footnote w:id="863">
    <w:p>
      <w:pPr>
        <w:pStyle w:val="FootnoteText"/>
      </w:pPr>
      <w:r>
        <w:rPr>
          <w:rStyle w:val="FootnoteReference"/>
        </w:rPr>
        <w:footnoteRef/>
      </w:r>
      <w:r>
        <w:t xml:space="preserve"> </w:t>
      </w:r>
      <w:r>
        <w:t xml:space="preserve">Aronne 2026, PMID 42120723.</w:t>
      </w:r>
    </w:p>
  </w:footnote>
  <w:footnote w:id="865">
    <w:p>
      <w:pPr>
        <w:pStyle w:val="FootnoteText"/>
      </w:pPr>
      <w:r>
        <w:rPr>
          <w:rStyle w:val="FootnoteReference"/>
        </w:rPr>
        <w:footnoteRef/>
      </w:r>
      <w:r>
        <w:t xml:space="preserve"> </w:t>
      </w:r>
      <w:r>
        <w:t xml:space="preserve">Rosenstock 2025, PMID 40544435.</w:t>
      </w:r>
    </w:p>
  </w:footnote>
  <w:footnote w:id="866">
    <w:p>
      <w:pPr>
        <w:pStyle w:val="FootnoteText"/>
      </w:pPr>
      <w:r>
        <w:rPr>
          <w:rStyle w:val="FootnoteReference"/>
        </w:rPr>
        <w:footnoteRef/>
      </w:r>
      <w:r>
        <w:t xml:space="preserve"> </w:t>
      </w:r>
      <w:r>
        <w:t xml:space="preserve">Welch 2026, PMID 42259339.</w:t>
      </w:r>
    </w:p>
  </w:footnote>
  <w:footnote w:id="867">
    <w:p>
      <w:pPr>
        <w:pStyle w:val="FootnoteText"/>
      </w:pPr>
      <w:r>
        <w:rPr>
          <w:rStyle w:val="FootnoteReference"/>
        </w:rPr>
        <w:footnoteRef/>
      </w:r>
      <w:r>
        <w:t xml:space="preserve"> </w:t>
      </w:r>
      <w:r>
        <w:t xml:space="preserve">Rosenstock 2026, PMID 41765029.</w:t>
      </w:r>
    </w:p>
  </w:footnote>
  <w:footnote w:id="868">
    <w:p>
      <w:pPr>
        <w:pStyle w:val="FootnoteText"/>
      </w:pPr>
      <w:r>
        <w:rPr>
          <w:rStyle w:val="FootnoteReference"/>
        </w:rPr>
        <w:footnoteRef/>
      </w:r>
      <w:r>
        <w:t xml:space="preserve"> </w:t>
      </w:r>
      <w:r>
        <w:t xml:space="preserve">Klein 2026, PMID 42815506.</w:t>
      </w:r>
    </w:p>
  </w:footnote>
  <w:footnote w:id="871">
    <w:p>
      <w:pPr>
        <w:pStyle w:val="FootnoteText"/>
      </w:pPr>
      <w:r>
        <w:rPr>
          <w:rStyle w:val="FootnoteReference"/>
        </w:rPr>
        <w:footnoteRef/>
      </w:r>
      <w:r>
        <w:t xml:space="preserve"> </w:t>
      </w:r>
      <w:r>
        <w:t xml:space="preserve">NCT05469126, NCT05573230, NCT06370728, NCT06704763.</w:t>
      </w:r>
    </w:p>
  </w:footnote>
  <w:footnote w:id="873">
    <w:p>
      <w:pPr>
        <w:pStyle w:val="FootnoteText"/>
      </w:pPr>
      <w:r>
        <w:rPr>
          <w:rStyle w:val="FootnoteReference"/>
        </w:rPr>
        <w:footnoteRef/>
      </w:r>
      <w:r>
        <w:t xml:space="preserve"> </w:t>
      </w:r>
      <w:r>
        <w:t xml:space="preserve">Klein 2026, PMID 42815506.</w:t>
      </w:r>
    </w:p>
  </w:footnote>
  <w:footnote w:id="874">
    <w:p>
      <w:pPr>
        <w:pStyle w:val="FootnoteText"/>
      </w:pPr>
      <w:r>
        <w:rPr>
          <w:rStyle w:val="FootnoteReference"/>
        </w:rPr>
        <w:footnoteRef/>
      </w:r>
      <w:r>
        <w:t xml:space="preserve"> </w:t>
      </w:r>
      <w:r>
        <w:t xml:space="preserve">Wharton 2025, PMID 40960239.</w:t>
      </w:r>
    </w:p>
  </w:footnote>
  <w:footnote w:id="875">
    <w:p>
      <w:pPr>
        <w:pStyle w:val="FootnoteText"/>
      </w:pPr>
      <w:r>
        <w:rPr>
          <w:rStyle w:val="FootnoteReference"/>
        </w:rPr>
        <w:footnoteRef/>
      </w:r>
      <w:r>
        <w:t xml:space="preserve"> </w:t>
      </w:r>
      <w:r>
        <w:t xml:space="preserve">Rosenstock 2026, PMID 41765029.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Klein 2026, PMID 42815506.</w:t>
      </w:r>
    </w:p>
  </w:footnote>
  <w:footnote w:id="878">
    <w:p>
      <w:pPr>
        <w:pStyle w:val="FootnoteText"/>
      </w:pPr>
      <w:r>
        <w:rPr>
          <w:rStyle w:val="FootnoteReference"/>
        </w:rPr>
        <w:footnoteRef/>
      </w:r>
      <w:r>
        <w:t xml:space="preserve"> </w:t>
      </w:r>
      <w:r>
        <w:t xml:space="preserve">NCT07241390.</w:t>
      </w:r>
    </w:p>
  </w:footnote>
  <w:footnote w:id="879">
    <w:p>
      <w:pPr>
        <w:pStyle w:val="FootnoteText"/>
      </w:pPr>
      <w:r>
        <w:rPr>
          <w:rStyle w:val="FootnoteReference"/>
        </w:rPr>
        <w:footnoteRef/>
      </w:r>
      <w:r>
        <w:t xml:space="preserve"> </w:t>
      </w:r>
      <w:r>
        <w:t xml:space="preserve">Wharton 2026, PMID 42338042.</w:t>
      </w:r>
    </w:p>
  </w:footnote>
  <w:footnote w:id="882">
    <w:p>
      <w:pPr>
        <w:pStyle w:val="FootnoteText"/>
      </w:pPr>
      <w:r>
        <w:rPr>
          <w:rStyle w:val="FootnoteReference"/>
        </w:rPr>
        <w:footnoteRef/>
      </w:r>
      <w:r>
        <w:t xml:space="preserve"> </w:t>
      </w:r>
      <w:r>
        <w:t xml:space="preserve">NCT07223593.</w:t>
      </w:r>
    </w:p>
  </w:footnote>
  <w:footnote w:id="883">
    <w:p>
      <w:pPr>
        <w:pStyle w:val="FootnoteText"/>
      </w:pPr>
      <w:r>
        <w:rPr>
          <w:rStyle w:val="FootnoteReference"/>
        </w:rPr>
        <w:footnoteRef/>
      </w:r>
      <w:r>
        <w:t xml:space="preserve"> </w:t>
      </w:r>
      <w:r>
        <w:t xml:space="preserve">NCT06948422, NCT06948435, NCT06952530.</w:t>
      </w:r>
    </w:p>
  </w:footnote>
  <w:footnote w:id="884">
    <w:p>
      <w:pPr>
        <w:pStyle w:val="FootnoteText"/>
      </w:pPr>
      <w:r>
        <w:rPr>
          <w:rStyle w:val="FootnoteReference"/>
        </w:rPr>
        <w:footnoteRef/>
      </w:r>
      <w:r>
        <w:t xml:space="preserve"> </w:t>
      </w:r>
      <w:r>
        <w:t xml:space="preserve">NCT07153471.</w:t>
      </w:r>
    </w:p>
  </w:footnote>
  <w:footnote w:id="885">
    <w:p>
      <w:pPr>
        <w:pStyle w:val="FootnoteText"/>
      </w:pPr>
      <w:r>
        <w:rPr>
          <w:rStyle w:val="FootnoteReference"/>
        </w:rPr>
        <w:footnoteRef/>
      </w:r>
      <w:r>
        <w:t xml:space="preserve"> </w:t>
      </w:r>
      <w:r>
        <w:t xml:space="preserve">NCT07202884.</w:t>
      </w:r>
    </w:p>
  </w:footnote>
  <w:footnote w:id="886">
    <w:p>
      <w:pPr>
        <w:pStyle w:val="FootnoteText"/>
      </w:pPr>
      <w:r>
        <w:rPr>
          <w:rStyle w:val="FootnoteReference"/>
        </w:rPr>
        <w:footnoteRef/>
      </w:r>
      <w:r>
        <w:t xml:space="preserve"> </w:t>
      </w:r>
      <w:r>
        <w:t xml:space="preserve">NCT06672939.</w:t>
      </w:r>
    </w:p>
  </w:footnote>
  <w:footnote w:id="887">
    <w:p>
      <w:pPr>
        <w:pStyle w:val="FootnoteText"/>
      </w:pPr>
      <w:r>
        <w:rPr>
          <w:rStyle w:val="FootnoteReference"/>
        </w:rPr>
        <w:footnoteRef/>
      </w:r>
      <w:r>
        <w:t xml:space="preserve"> </w:t>
      </w:r>
      <w:r>
        <w:t xml:space="preserve">NCT07668336.</w:t>
      </w:r>
    </w:p>
  </w:footnote>
  <w:footnote w:id="888">
    <w:p>
      <w:pPr>
        <w:pStyle w:val="FootnoteText"/>
      </w:pPr>
      <w:r>
        <w:rPr>
          <w:rStyle w:val="FootnoteReference"/>
        </w:rPr>
        <w:footnoteRef/>
      </w:r>
      <w:r>
        <w:t xml:space="preserve"> </w:t>
      </w:r>
      <w:r>
        <w:t xml:space="preserve">NCT06649045.</w:t>
      </w:r>
    </w:p>
  </w:footnote>
  <w:footnote w:id="896">
    <w:p>
      <w:pPr>
        <w:pStyle w:val="FootnoteText"/>
      </w:pPr>
      <w:r>
        <w:rPr>
          <w:rStyle w:val="FootnoteReference"/>
        </w:rPr>
        <w:footnoteRef/>
      </w:r>
      <w:r>
        <w:t xml:space="preserve"> </w:t>
      </w:r>
      <w:r>
        <w:t xml:space="preserve">Cox 2017, PMID 28035768.</w:t>
      </w:r>
    </w:p>
  </w:footnote>
  <w:footnote w:id="898">
    <w:p>
      <w:pPr>
        <w:pStyle w:val="FootnoteText"/>
      </w:pPr>
      <w:r>
        <w:rPr>
          <w:rStyle w:val="FootnoteReference"/>
        </w:rPr>
        <w:footnoteRef/>
      </w:r>
      <w:r>
        <w:t xml:space="preserve"> </w:t>
      </w:r>
      <w:r>
        <w:t xml:space="preserve">Hsieh 2017, PMID 27847966.</w:t>
      </w:r>
    </w:p>
  </w:footnote>
  <w:footnote w:id="899">
    <w:p>
      <w:pPr>
        <w:pStyle w:val="FootnoteText"/>
      </w:pPr>
      <w:r>
        <w:rPr>
          <w:rStyle w:val="FootnoteReference"/>
        </w:rPr>
        <w:footnoteRef/>
      </w:r>
      <w:r>
        <w:t xml:space="preserve"> </w:t>
      </w:r>
      <w:r>
        <w:t xml:space="preserve">Zhang 2026, PMID 41606641.</w:t>
      </w:r>
    </w:p>
  </w:footnote>
  <w:footnote w:id="900">
    <w:p>
      <w:pPr>
        <w:pStyle w:val="FootnoteText"/>
      </w:pPr>
      <w:r>
        <w:rPr>
          <w:rStyle w:val="FootnoteReference"/>
        </w:rPr>
        <w:footnoteRef/>
      </w:r>
      <w:r>
        <w:t xml:space="preserve"> </w:t>
      </w:r>
      <w:r>
        <w:t xml:space="preserve">Chang 2011, PMID 21030672.</w:t>
      </w:r>
    </w:p>
  </w:footnote>
  <w:footnote w:id="901">
    <w:p>
      <w:pPr>
        <w:pStyle w:val="FootnoteText"/>
      </w:pPr>
      <w:r>
        <w:rPr>
          <w:rStyle w:val="FootnoteReference"/>
        </w:rPr>
        <w:footnoteRef/>
      </w:r>
      <w:r>
        <w:t xml:space="preserve"> </w:t>
      </w:r>
      <w:r>
        <w:t xml:space="preserve">Chang 2014, PMID 25415472.</w:t>
      </w:r>
    </w:p>
  </w:footnote>
  <w:footnote w:id="902">
    <w:p>
      <w:pPr>
        <w:pStyle w:val="FootnoteText"/>
      </w:pPr>
      <w:r>
        <w:rPr>
          <w:rStyle w:val="FootnoteReference"/>
        </w:rPr>
        <w:footnoteRef/>
      </w:r>
      <w:r>
        <w:t xml:space="preserve"> </w:t>
      </w:r>
      <w:r>
        <w:t xml:space="preserve">Sikiric 2025, PMID 40573323.</w:t>
      </w:r>
    </w:p>
  </w:footnote>
  <w:footnote w:id="903">
    <w:p>
      <w:pPr>
        <w:pStyle w:val="FootnoteText"/>
      </w:pPr>
      <w:r>
        <w:rPr>
          <w:rStyle w:val="FootnoteReference"/>
        </w:rPr>
        <w:footnoteRef/>
      </w:r>
      <w:r>
        <w:t xml:space="preserve"> </w:t>
      </w:r>
      <w:r>
        <w:t xml:space="preserve">Mateescu 2026, PMID 42198317.</w:t>
      </w:r>
    </w:p>
  </w:footnote>
  <w:footnote w:id="905">
    <w:p>
      <w:pPr>
        <w:pStyle w:val="FootnoteText"/>
      </w:pPr>
      <w:r>
        <w:rPr>
          <w:rStyle w:val="FootnoteReference"/>
        </w:rPr>
        <w:footnoteRef/>
      </w:r>
      <w:r>
        <w:t xml:space="preserve"> </w:t>
      </w:r>
      <w:r>
        <w:t xml:space="preserve">Poolton 2026, PMID 42885452.</w:t>
      </w:r>
    </w:p>
  </w:footnote>
  <w:footnote w:id="906">
    <w:p>
      <w:pPr>
        <w:pStyle w:val="FootnoteText"/>
      </w:pPr>
      <w:r>
        <w:rPr>
          <w:rStyle w:val="FootnoteReference"/>
        </w:rPr>
        <w:footnoteRef/>
      </w:r>
      <w:r>
        <w:t xml:space="preserve"> </w:t>
      </w:r>
      <w:r>
        <w:t xml:space="preserve">Lee 2021, PMID 34324435.</w:t>
      </w:r>
    </w:p>
  </w:footnote>
  <w:footnote w:id="907">
    <w:p>
      <w:pPr>
        <w:pStyle w:val="FootnoteText"/>
      </w:pPr>
      <w:r>
        <w:rPr>
          <w:rStyle w:val="FootnoteReference"/>
        </w:rPr>
        <w:footnoteRef/>
      </w:r>
      <w:r>
        <w:t xml:space="preserve"> </w:t>
      </w:r>
      <w:r>
        <w:t xml:space="preserve">Lee 2024, PMID 39325560.</w:t>
      </w:r>
    </w:p>
  </w:footnote>
  <w:footnote w:id="908">
    <w:p>
      <w:pPr>
        <w:pStyle w:val="FootnoteText"/>
      </w:pPr>
      <w:r>
        <w:rPr>
          <w:rStyle w:val="FootnoteReference"/>
        </w:rPr>
        <w:footnoteRef/>
      </w:r>
      <w:r>
        <w:t xml:space="preserve"> </w:t>
      </w:r>
      <w:r>
        <w:t xml:space="preserve">Lee 2025, PMID 40131143.</w:t>
      </w:r>
    </w:p>
  </w:footnote>
  <w:footnote w:id="909">
    <w:p>
      <w:pPr>
        <w:pStyle w:val="FootnoteText"/>
      </w:pPr>
      <w:r>
        <w:rPr>
          <w:rStyle w:val="FootnoteReference"/>
        </w:rPr>
        <w:footnoteRef/>
      </w:r>
      <w:r>
        <w:t xml:space="preserve"> </w:t>
      </w:r>
      <w:r>
        <w:t xml:space="preserve">Poolton 2026, PMID 42885452.</w:t>
      </w:r>
    </w:p>
  </w:footnote>
  <w:footnote w:id="910">
    <w:p>
      <w:pPr>
        <w:pStyle w:val="FootnoteText"/>
      </w:pPr>
      <w:r>
        <w:rPr>
          <w:rStyle w:val="FootnoteReference"/>
        </w:rPr>
        <w:footnoteRef/>
      </w:r>
      <w:r>
        <w:t xml:space="preserve"> </w:t>
      </w:r>
      <w:r>
        <w:t xml:space="preserve">Vasireddi 2025, PMID 40756949.</w:t>
      </w:r>
    </w:p>
  </w:footnote>
  <w:footnote w:id="911">
    <w:p>
      <w:pPr>
        <w:pStyle w:val="FootnoteText"/>
      </w:pPr>
      <w:r>
        <w:rPr>
          <w:rStyle w:val="FootnoteReference"/>
        </w:rPr>
        <w:footnoteRef/>
      </w:r>
      <w:r>
        <w:t xml:space="preserve"> </w:t>
      </w:r>
      <w:r>
        <w:t xml:space="preserve">Tham 2026, PMID 42937313; Tewari 2026, PMID 42578445.</w:t>
      </w:r>
    </w:p>
  </w:footnote>
  <w:footnote w:id="913">
    <w:p>
      <w:pPr>
        <w:pStyle w:val="FootnoteText"/>
      </w:pPr>
      <w:r>
        <w:rPr>
          <w:rStyle w:val="FootnoteReference"/>
        </w:rPr>
        <w:footnoteRef/>
      </w:r>
      <w:r>
        <w:t xml:space="preserve"> </w:t>
      </w:r>
      <w:r>
        <w:t xml:space="preserve">Staresinic 2003, PMID 14554208.</w:t>
      </w:r>
    </w:p>
  </w:footnote>
  <w:footnote w:id="914">
    <w:p>
      <w:pPr>
        <w:pStyle w:val="FootnoteText"/>
      </w:pPr>
      <w:r>
        <w:rPr>
          <w:rStyle w:val="FootnoteReference"/>
        </w:rPr>
        <w:footnoteRef/>
      </w:r>
      <w:r>
        <w:t xml:space="preserve"> </w:t>
      </w:r>
      <w:r>
        <w:t xml:space="preserve">Seiwerth 2021, PMID 34267654.</w:t>
      </w:r>
    </w:p>
  </w:footnote>
  <w:footnote w:id="915">
    <w:p>
      <w:pPr>
        <w:pStyle w:val="FootnoteText"/>
      </w:pPr>
      <w:r>
        <w:rPr>
          <w:rStyle w:val="FootnoteReference"/>
        </w:rPr>
        <w:footnoteRef/>
      </w:r>
      <w:r>
        <w:t xml:space="preserve"> </w:t>
      </w:r>
      <w:r>
        <w:t xml:space="preserve">NCT02637284.</w:t>
      </w:r>
    </w:p>
  </w:footnote>
  <w:footnote w:id="918">
    <w:p>
      <w:pPr>
        <w:pStyle w:val="FootnoteText"/>
      </w:pPr>
      <w:r>
        <w:rPr>
          <w:rStyle w:val="FootnoteReference"/>
        </w:rPr>
        <w:footnoteRef/>
      </w:r>
      <w:r>
        <w:t xml:space="preserve"> </w:t>
      </w:r>
      <w:r>
        <w:t xml:space="preserve">Gwyer 2019, PMID 30915550.</w:t>
      </w:r>
    </w:p>
  </w:footnote>
  <w:footnote w:id="919">
    <w:p>
      <w:pPr>
        <w:pStyle w:val="FootnoteText"/>
      </w:pPr>
      <w:r>
        <w:rPr>
          <w:rStyle w:val="FootnoteReference"/>
        </w:rPr>
        <w:footnoteRef/>
      </w:r>
      <w:r>
        <w:t xml:space="preserve"> </w:t>
      </w:r>
      <w:r>
        <w:t xml:space="preserve">Demirtaş 2026, PMID 42794771.</w:t>
      </w:r>
    </w:p>
  </w:footnote>
  <w:footnote w:id="920">
    <w:p>
      <w:pPr>
        <w:pStyle w:val="FootnoteText"/>
      </w:pPr>
      <w:r>
        <w:rPr>
          <w:rStyle w:val="FootnoteReference"/>
        </w:rPr>
        <w:footnoteRef/>
      </w:r>
      <w:r>
        <w:t xml:space="preserve"> </w:t>
      </w:r>
      <w:r>
        <w:t xml:space="preserve">Whitehouse 2025, PMID 40759852.</w:t>
      </w:r>
    </w:p>
  </w:footnote>
  <w:footnote w:id="923">
    <w:p>
      <w:pPr>
        <w:pStyle w:val="FootnoteText"/>
      </w:pPr>
      <w:r>
        <w:rPr>
          <w:rStyle w:val="FootnoteReference"/>
        </w:rPr>
        <w:footnoteRef/>
      </w:r>
      <w:r>
        <w:t xml:space="preserve"> </w:t>
      </w:r>
      <w:r>
        <w:t xml:space="preserve">He 2022, PMID 36588717.</w:t>
      </w:r>
    </w:p>
  </w:footnote>
  <w:footnote w:id="924">
    <w:p>
      <w:pPr>
        <w:pStyle w:val="FootnoteText"/>
      </w:pPr>
      <w:r>
        <w:rPr>
          <w:rStyle w:val="FootnoteReference"/>
        </w:rPr>
        <w:footnoteRef/>
      </w:r>
      <w:r>
        <w:t xml:space="preserve"> </w:t>
      </w:r>
      <w:r>
        <w:t xml:space="preserve">Xu 2020, PMID 32334036.</w:t>
      </w:r>
    </w:p>
  </w:footnote>
  <w:footnote w:id="927">
    <w:p>
      <w:pPr>
        <w:pStyle w:val="FootnoteText"/>
      </w:pPr>
      <w:r>
        <w:rPr>
          <w:rStyle w:val="FootnoteReference"/>
        </w:rPr>
        <w:footnoteRef/>
      </w:r>
      <w:r>
        <w:t xml:space="preserve"> </w:t>
      </w:r>
      <w:r>
        <w:t xml:space="preserve">Poolton 2026, PMID 42885452.</w:t>
      </w:r>
    </w:p>
  </w:footnote>
  <w:footnote w:id="929">
    <w:p>
      <w:pPr>
        <w:pStyle w:val="FootnoteText"/>
      </w:pPr>
      <w:r>
        <w:rPr>
          <w:rStyle w:val="FootnoteReference"/>
        </w:rPr>
        <w:footnoteRef/>
      </w:r>
      <w:r>
        <w:t xml:space="preserve"> </w:t>
      </w:r>
      <w:r>
        <w:t xml:space="preserve">Hsieh 2017, PMID 27847966.</w:t>
      </w:r>
    </w:p>
  </w:footnote>
  <w:footnote w:id="930">
    <w:p>
      <w:pPr>
        <w:pStyle w:val="FootnoteText"/>
      </w:pPr>
      <w:r>
        <w:rPr>
          <w:rStyle w:val="FootnoteReference"/>
        </w:rPr>
        <w:footnoteRef/>
      </w:r>
      <w:r>
        <w:t xml:space="preserve"> </w:t>
      </w:r>
      <w:r>
        <w:t xml:space="preserve">Moiz 2026, PMID 42757290.</w:t>
      </w:r>
    </w:p>
  </w:footnote>
  <w:footnote w:id="931">
    <w:p>
      <w:pPr>
        <w:pStyle w:val="FootnoteText"/>
      </w:pPr>
      <w:r>
        <w:rPr>
          <w:rStyle w:val="FootnoteReference"/>
        </w:rPr>
        <w:footnoteRef/>
      </w:r>
      <w:r>
        <w:t xml:space="preserve"> </w:t>
      </w:r>
      <w:r>
        <w:t xml:space="preserve">Sikiric 2025, PMID 40573323.</w:t>
      </w:r>
    </w:p>
  </w:footnote>
  <w:footnote w:id="933">
    <w:p>
      <w:pPr>
        <w:pStyle w:val="FootnoteText"/>
      </w:pPr>
      <w:r>
        <w:rPr>
          <w:rStyle w:val="FootnoteReference"/>
        </w:rPr>
        <w:footnoteRef/>
      </w:r>
      <w:r>
        <w:t xml:space="preserve"> </w:t>
      </w:r>
      <w:r>
        <w:t xml:space="preserve">Tham 2026, PMID 42937313; Mendias 2026, PMID 41966639.</w:t>
      </w:r>
    </w:p>
  </w:footnote>
  <w:footnote w:id="934">
    <w:p>
      <w:pPr>
        <w:pStyle w:val="FootnoteText"/>
      </w:pPr>
      <w:r>
        <w:rPr>
          <w:rStyle w:val="FootnoteReference"/>
        </w:rPr>
        <w:footnoteRef/>
      </w:r>
      <w:r>
        <w:t xml:space="preserve"> </w:t>
      </w:r>
      <w:r>
        <w:t xml:space="preserve">Cox 2017, PMID 28035768.</w:t>
      </w:r>
    </w:p>
  </w:footnote>
  <w:footnote w:id="936">
    <w:p>
      <w:pPr>
        <w:pStyle w:val="FootnoteText"/>
      </w:pPr>
      <w:r>
        <w:rPr>
          <w:rStyle w:val="FootnoteReference"/>
        </w:rPr>
        <w:footnoteRef/>
      </w:r>
      <w:r>
        <w:t xml:space="preserve"> </w:t>
      </w:r>
      <w:r>
        <w:t xml:space="preserve">Sikiric 2025, PMID 40573323.</w:t>
      </w:r>
    </w:p>
  </w:footnote>
  <w:footnote w:id="937">
    <w:p>
      <w:pPr>
        <w:pStyle w:val="FootnoteText"/>
      </w:pPr>
      <w:r>
        <w:rPr>
          <w:rStyle w:val="FootnoteReference"/>
        </w:rPr>
        <w:footnoteRef/>
      </w:r>
      <w:r>
        <w:t xml:space="preserve"> </w:t>
      </w:r>
      <w:r>
        <w:t xml:space="preserve">Mendias 2026, PMID 41966639.</w:t>
      </w:r>
    </w:p>
  </w:footnote>
  <w:footnote w:id="940">
    <w:p>
      <w:pPr>
        <w:pStyle w:val="FootnoteText"/>
      </w:pPr>
      <w:r>
        <w:rPr>
          <w:rStyle w:val="FootnoteReference"/>
        </w:rPr>
        <w:footnoteRef/>
      </w:r>
      <w:r>
        <w:t xml:space="preserve"> </w:t>
      </w:r>
      <w:r>
        <w:t xml:space="preserve">Willis 2026, PMID 42752426.</w:t>
      </w:r>
    </w:p>
  </w:footnote>
  <w:footnote w:id="941">
    <w:p>
      <w:pPr>
        <w:pStyle w:val="FootnoteText"/>
      </w:pPr>
      <w:r>
        <w:rPr>
          <w:rStyle w:val="FootnoteReference"/>
        </w:rPr>
        <w:footnoteRef/>
      </w:r>
      <w:r>
        <w:t xml:space="preserve"> </w:t>
      </w:r>
      <w:r>
        <w:t xml:space="preserve">Józwiak 2025, PMID 40005999.</w:t>
      </w:r>
    </w:p>
  </w:footnote>
  <w:footnote w:id="942">
    <w:p>
      <w:pPr>
        <w:pStyle w:val="FootnoteText"/>
      </w:pPr>
      <w:r>
        <w:rPr>
          <w:rStyle w:val="FootnoteReference"/>
        </w:rPr>
        <w:footnoteRef/>
      </w:r>
      <w:r>
        <w:t xml:space="preserve"> </w:t>
      </w:r>
      <w:r>
        <w:t xml:space="preserve">Tian 2023, PMID 37959764.</w:t>
      </w:r>
    </w:p>
  </w:footnote>
  <w:footnote w:id="944">
    <w:p>
      <w:pPr>
        <w:pStyle w:val="FootnoteText"/>
      </w:pPr>
      <w:r>
        <w:rPr>
          <w:rStyle w:val="FootnoteReference"/>
        </w:rPr>
        <w:footnoteRef/>
      </w:r>
      <w:r>
        <w:t xml:space="preserve"> </w:t>
      </w:r>
      <w:r>
        <w:t xml:space="preserve">NCT07437547.</w:t>
      </w:r>
    </w:p>
  </w:footnote>
  <w:footnote w:id="945">
    <w:p>
      <w:pPr>
        <w:pStyle w:val="FootnoteText"/>
      </w:pPr>
      <w:r>
        <w:rPr>
          <w:rStyle w:val="FootnoteReference"/>
        </w:rPr>
        <w:footnoteRef/>
      </w:r>
      <w:r>
        <w:t xml:space="preserve"> </w:t>
      </w:r>
      <w:r>
        <w:t xml:space="preserve">NCT07487363.</w:t>
      </w:r>
    </w:p>
  </w:footnote>
  <w:footnote w:id="946">
    <w:p>
      <w:pPr>
        <w:pStyle w:val="FootnoteText"/>
      </w:pPr>
      <w:r>
        <w:rPr>
          <w:rStyle w:val="FootnoteReference"/>
        </w:rPr>
        <w:footnoteRef/>
      </w:r>
      <w:r>
        <w:t xml:space="preserve"> </w:t>
      </w:r>
      <w:r>
        <w:t xml:space="preserve">NCT07803250.</w:t>
      </w:r>
    </w:p>
  </w:footnote>
  <w:footnote w:id="947">
    <w:p>
      <w:pPr>
        <w:pStyle w:val="FootnoteText"/>
      </w:pPr>
      <w:r>
        <w:rPr>
          <w:rStyle w:val="FootnoteReference"/>
        </w:rPr>
        <w:footnoteRef/>
      </w:r>
      <w:r>
        <w:t xml:space="preserve"> </w:t>
      </w:r>
      <w:r>
        <w:t xml:space="preserve">NCT07752381.</w:t>
      </w:r>
    </w:p>
  </w:footnote>
  <w:footnote w:id="948">
    <w:p>
      <w:pPr>
        <w:pStyle w:val="FootnoteText"/>
      </w:pPr>
      <w:r>
        <w:rPr>
          <w:rStyle w:val="FootnoteReference"/>
        </w:rPr>
        <w:footnoteRef/>
      </w:r>
      <w:r>
        <w:t xml:space="preserve"> </w:t>
      </w:r>
      <w:r>
        <w:t xml:space="preserve">Mateescu 2026, PMID 42198317.</w:t>
      </w:r>
    </w:p>
  </w:footnote>
  <w:footnote w:id="950">
    <w:p>
      <w:pPr>
        <w:pStyle w:val="FootnoteText"/>
      </w:pPr>
      <w:r>
        <w:rPr>
          <w:rStyle w:val="FootnoteReference"/>
        </w:rPr>
        <w:footnoteRef/>
      </w:r>
      <w:r>
        <w:t xml:space="preserve"> </w:t>
      </w:r>
      <w:r>
        <w:t xml:space="preserve">Poolton 2026, PMID 42885452.</w:t>
      </w:r>
    </w:p>
  </w:footnote>
  <w:footnote w:id="951">
    <w:p>
      <w:pPr>
        <w:pStyle w:val="FootnoteText"/>
      </w:pPr>
      <w:r>
        <w:rPr>
          <w:rStyle w:val="FootnoteReference"/>
        </w:rPr>
        <w:footnoteRef/>
      </w:r>
      <w:r>
        <w:t xml:space="preserve"> </w:t>
      </w:r>
      <w:r>
        <w:t xml:space="preserve">NCT07803250.</w:t>
      </w:r>
    </w:p>
  </w:footnote>
  <w:footnote w:id="954">
    <w:p>
      <w:pPr>
        <w:pStyle w:val="FootnoteText"/>
      </w:pPr>
      <w:r>
        <w:rPr>
          <w:rStyle w:val="FootnoteReference"/>
        </w:rPr>
        <w:footnoteRef/>
      </w:r>
      <w:r>
        <w:t xml:space="preserve"> </w:t>
      </w:r>
      <w:r>
        <w:t xml:space="preserve">Esposito 2012, PMID 22962027.</w:t>
      </w:r>
    </w:p>
  </w:footnote>
  <w:footnote w:id="956">
    <w:p>
      <w:pPr>
        <w:pStyle w:val="FootnoteText"/>
      </w:pPr>
      <w:r>
        <w:rPr>
          <w:rStyle w:val="FootnoteReference"/>
        </w:rPr>
        <w:footnoteRef/>
      </w:r>
      <w:r>
        <w:t xml:space="preserve"> </w:t>
      </w:r>
      <w:r>
        <w:t xml:space="preserve">Sosne 2010, PMID 20179146.</w:t>
      </w:r>
    </w:p>
  </w:footnote>
  <w:footnote w:id="957">
    <w:p>
      <w:pPr>
        <w:pStyle w:val="FootnoteText"/>
      </w:pPr>
      <w:r>
        <w:rPr>
          <w:rStyle w:val="FootnoteReference"/>
        </w:rPr>
        <w:footnoteRef/>
      </w:r>
      <w:r>
        <w:t xml:space="preserve"> </w:t>
      </w:r>
      <w:r>
        <w:t xml:space="preserve">Philp 2003, PMID 14500546.</w:t>
      </w:r>
    </w:p>
  </w:footnote>
  <w:footnote w:id="958">
    <w:p>
      <w:pPr>
        <w:pStyle w:val="FootnoteText"/>
      </w:pPr>
      <w:r>
        <w:rPr>
          <w:rStyle w:val="FootnoteReference"/>
        </w:rPr>
        <w:footnoteRef/>
      </w:r>
      <w:r>
        <w:t xml:space="preserve"> </w:t>
      </w:r>
      <w:r>
        <w:t xml:space="preserve">Rahaman 2024, PMID 38382158.</w:t>
      </w:r>
    </w:p>
  </w:footnote>
  <w:footnote w:id="959">
    <w:p>
      <w:pPr>
        <w:pStyle w:val="FootnoteText"/>
      </w:pPr>
      <w:r>
        <w:rPr>
          <w:rStyle w:val="FootnoteReference"/>
        </w:rPr>
        <w:footnoteRef/>
      </w:r>
      <w:r>
        <w:t xml:space="preserve"> </w:t>
      </w:r>
      <w:r>
        <w:t xml:space="preserve">Tham 2026, PMID 42937313.</w:t>
      </w:r>
    </w:p>
  </w:footnote>
  <w:footnote w:id="961">
    <w:p>
      <w:pPr>
        <w:pStyle w:val="FootnoteText"/>
      </w:pPr>
      <w:r>
        <w:rPr>
          <w:rStyle w:val="FootnoteReference"/>
        </w:rPr>
        <w:footnoteRef/>
      </w:r>
      <w:r>
        <w:t xml:space="preserve"> </w:t>
      </w:r>
      <w:r>
        <w:t xml:space="preserve">Sosne 2015, PMID 25826322.</w:t>
      </w:r>
    </w:p>
  </w:footnote>
  <w:footnote w:id="962">
    <w:p>
      <w:pPr>
        <w:pStyle w:val="FootnoteText"/>
      </w:pPr>
      <w:r>
        <w:rPr>
          <w:rStyle w:val="FootnoteReference"/>
        </w:rPr>
        <w:footnoteRef/>
      </w:r>
      <w:r>
        <w:t xml:space="preserve"> </w:t>
      </w:r>
      <w:r>
        <w:t xml:space="preserve">Sosne 2015, PMID 26056426.</w:t>
      </w:r>
    </w:p>
  </w:footnote>
  <w:footnote w:id="963">
    <w:p>
      <w:pPr>
        <w:pStyle w:val="FootnoteText"/>
      </w:pPr>
      <w:r>
        <w:rPr>
          <w:rStyle w:val="FootnoteReference"/>
        </w:rPr>
        <w:footnoteRef/>
      </w:r>
      <w:r>
        <w:t xml:space="preserve"> </w:t>
      </w:r>
      <w:r>
        <w:t xml:space="preserve">NCT02974907; NCT03937882.</w:t>
      </w:r>
    </w:p>
  </w:footnote>
  <w:footnote w:id="964">
    <w:p>
      <w:pPr>
        <w:pStyle w:val="FootnoteText"/>
      </w:pPr>
      <w:r>
        <w:rPr>
          <w:rStyle w:val="FootnoteReference"/>
        </w:rPr>
        <w:footnoteRef/>
      </w:r>
      <w:r>
        <w:t xml:space="preserve"> </w:t>
      </w:r>
      <w:r>
        <w:t xml:space="preserve">Sosne 2022, PMID 36613994.</w:t>
      </w:r>
    </w:p>
  </w:footnote>
  <w:footnote w:id="965">
    <w:p>
      <w:pPr>
        <w:pStyle w:val="FootnoteText"/>
      </w:pPr>
      <w:r>
        <w:rPr>
          <w:rStyle w:val="FootnoteReference"/>
        </w:rPr>
        <w:footnoteRef/>
      </w:r>
      <w:r>
        <w:t xml:space="preserve"> </w:t>
      </w:r>
      <w:r>
        <w:t xml:space="preserve">Kruoch 2025, PMID 41347649.</w:t>
      </w:r>
    </w:p>
  </w:footnote>
  <w:footnote w:id="967">
    <w:p>
      <w:pPr>
        <w:pStyle w:val="FootnoteText"/>
      </w:pPr>
      <w:r>
        <w:rPr>
          <w:rStyle w:val="FootnoteReference"/>
        </w:rPr>
        <w:footnoteRef/>
      </w:r>
      <w:r>
        <w:t xml:space="preserve"> </w:t>
      </w:r>
      <w:r>
        <w:t xml:space="preserve">Zhang 2025, PMID 41229390.</w:t>
      </w:r>
    </w:p>
  </w:footnote>
  <w:footnote w:id="969">
    <w:p>
      <w:pPr>
        <w:pStyle w:val="FootnoteText"/>
      </w:pPr>
      <w:r>
        <w:rPr>
          <w:rStyle w:val="FootnoteReference"/>
        </w:rPr>
        <w:footnoteRef/>
      </w:r>
      <w:r>
        <w:t xml:space="preserve"> </w:t>
      </w:r>
      <w:r>
        <w:t xml:space="preserve">Guarnera 2010, PMID 20536470.</w:t>
      </w:r>
    </w:p>
  </w:footnote>
  <w:footnote w:id="970">
    <w:p>
      <w:pPr>
        <w:pStyle w:val="FootnoteText"/>
      </w:pPr>
      <w:r>
        <w:rPr>
          <w:rStyle w:val="FootnoteReference"/>
        </w:rPr>
        <w:footnoteRef/>
      </w:r>
      <w:r>
        <w:t xml:space="preserve"> </w:t>
      </w:r>
      <w:r>
        <w:t xml:space="preserve">NCT00311766.</w:t>
      </w:r>
    </w:p>
  </w:footnote>
  <w:footnote w:id="972">
    <w:p>
      <w:pPr>
        <w:pStyle w:val="FootnoteText"/>
      </w:pPr>
      <w:r>
        <w:rPr>
          <w:rStyle w:val="FootnoteReference"/>
        </w:rPr>
        <w:footnoteRef/>
      </w:r>
      <w:r>
        <w:t xml:space="preserve"> </w:t>
      </w:r>
      <w:r>
        <w:t xml:space="preserve">NCT07487363.</w:t>
      </w:r>
    </w:p>
  </w:footnote>
  <w:footnote w:id="973">
    <w:p>
      <w:pPr>
        <w:pStyle w:val="FootnoteText"/>
      </w:pPr>
      <w:r>
        <w:rPr>
          <w:rStyle w:val="FootnoteReference"/>
        </w:rPr>
        <w:footnoteRef/>
      </w:r>
      <w:r>
        <w:t xml:space="preserve"> </w:t>
      </w:r>
      <w:r>
        <w:t xml:space="preserve">Lee 2021, PMID 34324435.</w:t>
      </w:r>
    </w:p>
  </w:footnote>
  <w:footnote w:id="976">
    <w:p>
      <w:pPr>
        <w:pStyle w:val="FootnoteText"/>
      </w:pPr>
      <w:r>
        <w:rPr>
          <w:rStyle w:val="FootnoteReference"/>
        </w:rPr>
        <w:footnoteRef/>
      </w:r>
      <w:r>
        <w:t xml:space="preserve"> </w:t>
      </w:r>
      <w:r>
        <w:t xml:space="preserve">Bock-Marquette 2004, PMID 15565145.</w:t>
      </w:r>
    </w:p>
  </w:footnote>
  <w:footnote w:id="977">
    <w:p>
      <w:pPr>
        <w:pStyle w:val="FootnoteText"/>
      </w:pPr>
      <w:r>
        <w:rPr>
          <w:rStyle w:val="FootnoteReference"/>
        </w:rPr>
        <w:footnoteRef/>
      </w:r>
      <w:r>
        <w:t xml:space="preserve"> </w:t>
      </w:r>
      <w:r>
        <w:t xml:space="preserve">Smart 2007, PMID 17108969.</w:t>
      </w:r>
    </w:p>
  </w:footnote>
  <w:footnote w:id="978">
    <w:p>
      <w:pPr>
        <w:pStyle w:val="FootnoteText"/>
      </w:pPr>
      <w:r>
        <w:rPr>
          <w:rStyle w:val="FootnoteReference"/>
        </w:rPr>
        <w:footnoteRef/>
      </w:r>
      <w:r>
        <w:t xml:space="preserve"> </w:t>
      </w:r>
      <w:r>
        <w:t xml:space="preserve">Kispert 2012, PMID 22019445.</w:t>
      </w:r>
    </w:p>
  </w:footnote>
  <w:footnote w:id="979">
    <w:p>
      <w:pPr>
        <w:pStyle w:val="FootnoteText"/>
      </w:pPr>
      <w:r>
        <w:rPr>
          <w:rStyle w:val="FootnoteReference"/>
        </w:rPr>
        <w:footnoteRef/>
      </w:r>
      <w:r>
        <w:t xml:space="preserve"> </w:t>
      </w:r>
      <w:r>
        <w:t xml:space="preserve">Tao 2024, PMID 38757041.</w:t>
      </w:r>
    </w:p>
  </w:footnote>
  <w:footnote w:id="980">
    <w:p>
      <w:pPr>
        <w:pStyle w:val="FootnoteText"/>
      </w:pPr>
      <w:r>
        <w:rPr>
          <w:rStyle w:val="FootnoteReference"/>
        </w:rPr>
        <w:footnoteRef/>
      </w:r>
      <w:r>
        <w:t xml:space="preserve"> </w:t>
      </w:r>
      <w:r>
        <w:t xml:space="preserve">Brady 2014, PMID 25042765.</w:t>
      </w:r>
    </w:p>
  </w:footnote>
  <w:footnote w:id="981">
    <w:p>
      <w:pPr>
        <w:pStyle w:val="FootnoteText"/>
      </w:pPr>
      <w:r>
        <w:rPr>
          <w:rStyle w:val="FootnoteReference"/>
        </w:rPr>
        <w:footnoteRef/>
      </w:r>
      <w:r>
        <w:t xml:space="preserve"> </w:t>
      </w:r>
      <w:r>
        <w:t xml:space="preserve">Tham 2026, PMID 42937313.</w:t>
      </w:r>
    </w:p>
  </w:footnote>
  <w:footnote w:id="982">
    <w:p>
      <w:pPr>
        <w:pStyle w:val="FootnoteText"/>
      </w:pPr>
      <w:r>
        <w:rPr>
          <w:rStyle w:val="FootnoteReference"/>
        </w:rPr>
        <w:footnoteRef/>
      </w:r>
      <w:r>
        <w:t xml:space="preserve"> </w:t>
      </w:r>
      <w:r>
        <w:t xml:space="preserve">Biçer 2026, PMID 42542926.</w:t>
      </w:r>
    </w:p>
  </w:footnote>
  <w:footnote w:id="984">
    <w:p>
      <w:pPr>
        <w:pStyle w:val="FootnoteText"/>
      </w:pPr>
      <w:r>
        <w:rPr>
          <w:rStyle w:val="FootnoteReference"/>
        </w:rPr>
        <w:footnoteRef/>
      </w:r>
      <w:r>
        <w:t xml:space="preserve"> </w:t>
      </w:r>
      <w:r>
        <w:t xml:space="preserve">Ruff 2010, PMID 20536472.</w:t>
      </w:r>
    </w:p>
  </w:footnote>
  <w:footnote w:id="985">
    <w:p>
      <w:pPr>
        <w:pStyle w:val="FootnoteText"/>
      </w:pPr>
      <w:r>
        <w:rPr>
          <w:rStyle w:val="FootnoteReference"/>
        </w:rPr>
        <w:footnoteRef/>
      </w:r>
      <w:r>
        <w:t xml:space="preserve"> </w:t>
      </w:r>
      <w:r>
        <w:t xml:space="preserve">Wang 2021, PMID 34346165.</w:t>
      </w:r>
    </w:p>
  </w:footnote>
  <w:footnote w:id="987">
    <w:p>
      <w:pPr>
        <w:pStyle w:val="FootnoteText"/>
      </w:pPr>
      <w:r>
        <w:rPr>
          <w:rStyle w:val="FootnoteReference"/>
        </w:rPr>
        <w:footnoteRef/>
      </w:r>
      <w:r>
        <w:t xml:space="preserve"> </w:t>
      </w:r>
      <w:r>
        <w:t xml:space="preserve">Wang 2016, PMID 27596300.</w:t>
      </w:r>
    </w:p>
  </w:footnote>
  <w:footnote w:id="988">
    <w:p>
      <w:pPr>
        <w:pStyle w:val="FootnoteText"/>
      </w:pPr>
      <w:r>
        <w:rPr>
          <w:rStyle w:val="FootnoteReference"/>
        </w:rPr>
        <w:footnoteRef/>
      </w:r>
      <w:r>
        <w:t xml:space="preserve"> </w:t>
      </w:r>
      <w:r>
        <w:t xml:space="preserve">Larsson 2007, PMID 17495241.</w:t>
      </w:r>
    </w:p>
  </w:footnote>
  <w:footnote w:id="990">
    <w:p>
      <w:pPr>
        <w:pStyle w:val="FootnoteText"/>
      </w:pPr>
      <w:r>
        <w:rPr>
          <w:rStyle w:val="FootnoteReference"/>
        </w:rPr>
        <w:footnoteRef/>
      </w:r>
      <w:r>
        <w:t xml:space="preserve"> </w:t>
      </w:r>
      <w:r>
        <w:t xml:space="preserve">Delcourt 2023, PMID 36482504.</w:t>
      </w:r>
    </w:p>
  </w:footnote>
  <w:footnote w:id="991">
    <w:p>
      <w:pPr>
        <w:pStyle w:val="FootnoteText"/>
      </w:pPr>
      <w:r>
        <w:rPr>
          <w:rStyle w:val="FootnoteReference"/>
        </w:rPr>
        <w:footnoteRef/>
      </w:r>
      <w:r>
        <w:t xml:space="preserve"> </w:t>
      </w:r>
      <w:r>
        <w:t xml:space="preserve">Ho 2012, PMID 23084823.</w:t>
      </w:r>
    </w:p>
  </w:footnote>
  <w:footnote w:id="994">
    <w:p>
      <w:pPr>
        <w:pStyle w:val="FootnoteText"/>
      </w:pPr>
      <w:r>
        <w:rPr>
          <w:rStyle w:val="FootnoteReference"/>
        </w:rPr>
        <w:footnoteRef/>
      </w:r>
      <w:r>
        <w:t xml:space="preserve"> </w:t>
      </w:r>
      <w:r>
        <w:t xml:space="preserve">Willis 2026, PMID 42752426.</w:t>
      </w:r>
    </w:p>
  </w:footnote>
  <w:footnote w:id="995">
    <w:p>
      <w:pPr>
        <w:pStyle w:val="FootnoteText"/>
      </w:pPr>
      <w:r>
        <w:rPr>
          <w:rStyle w:val="FootnoteReference"/>
        </w:rPr>
        <w:footnoteRef/>
      </w:r>
      <w:r>
        <w:t xml:space="preserve"> </w:t>
      </w:r>
      <w:r>
        <w:t xml:space="preserve">Delcourt 2025, PMID 39314109.</w:t>
      </w:r>
    </w:p>
  </w:footnote>
  <w:footnote w:id="997">
    <w:p>
      <w:pPr>
        <w:pStyle w:val="FootnoteText"/>
      </w:pPr>
      <w:r>
        <w:rPr>
          <w:rStyle w:val="FootnoteReference"/>
        </w:rPr>
        <w:footnoteRef/>
      </w:r>
      <w:r>
        <w:t xml:space="preserve"> </w:t>
      </w:r>
      <w:r>
        <w:t xml:space="preserve">NCT05555589.</w:t>
      </w:r>
    </w:p>
  </w:footnote>
  <w:footnote w:id="998">
    <w:p>
      <w:pPr>
        <w:pStyle w:val="FootnoteText"/>
      </w:pPr>
      <w:r>
        <w:rPr>
          <w:rStyle w:val="FootnoteReference"/>
        </w:rPr>
        <w:footnoteRef/>
      </w:r>
      <w:r>
        <w:t xml:space="preserve"> </w:t>
      </w:r>
      <w:r>
        <w:t xml:space="preserve">NCT07586865.</w:t>
      </w:r>
    </w:p>
  </w:footnote>
  <w:footnote w:id="999">
    <w:p>
      <w:pPr>
        <w:pStyle w:val="FootnoteText"/>
      </w:pPr>
      <w:r>
        <w:rPr>
          <w:rStyle w:val="FootnoteReference"/>
        </w:rPr>
        <w:footnoteRef/>
      </w:r>
      <w:r>
        <w:t xml:space="preserve"> </w:t>
      </w:r>
      <w:r>
        <w:t xml:space="preserve">NCT05485818; NCT05984134.</w:t>
      </w:r>
    </w:p>
  </w:footnote>
  <w:footnote w:id="1001">
    <w:p>
      <w:pPr>
        <w:pStyle w:val="FootnoteText"/>
      </w:pPr>
      <w:r>
        <w:rPr>
          <w:rStyle w:val="FootnoteReference"/>
        </w:rPr>
        <w:footnoteRef/>
      </w:r>
      <w:r>
        <w:t xml:space="preserve"> </w:t>
      </w:r>
      <w:r>
        <w:t xml:space="preserve">Zhang 2025, PMID 41229390.</w:t>
      </w:r>
    </w:p>
  </w:footnote>
  <w:footnote w:id="1004">
    <w:p>
      <w:pPr>
        <w:pStyle w:val="FootnoteText"/>
      </w:pPr>
      <w:r>
        <w:rPr>
          <w:rStyle w:val="FootnoteReference"/>
        </w:rPr>
        <w:footnoteRef/>
      </w:r>
      <w:r>
        <w:t xml:space="preserve"> </w:t>
      </w:r>
      <w:r>
        <w:t xml:space="preserve">Iino 2005, PMID 15850471.</w:t>
      </w:r>
    </w:p>
  </w:footnote>
  <w:footnote w:id="1005">
    <w:p>
      <w:pPr>
        <w:pStyle w:val="FootnoteText"/>
      </w:pPr>
      <w:r>
        <w:rPr>
          <w:rStyle w:val="FootnoteReference"/>
        </w:rPr>
        <w:footnoteRef/>
      </w:r>
      <w:r>
        <w:t xml:space="preserve"> </w:t>
      </w:r>
      <w:r>
        <w:t xml:space="preserve">Dinetz 2024, PMID 38308608.</w:t>
      </w:r>
    </w:p>
  </w:footnote>
  <w:footnote w:id="1007">
    <w:p>
      <w:pPr>
        <w:pStyle w:val="FootnoteText"/>
      </w:pPr>
      <w:r>
        <w:rPr>
          <w:rStyle w:val="FootnoteReference"/>
        </w:rPr>
        <w:footnoteRef/>
      </w:r>
      <w:r>
        <w:t xml:space="preserve"> </w:t>
      </w:r>
      <w:r>
        <w:t xml:space="preserve">Garaci 2007, PMID 17600290.</w:t>
      </w:r>
    </w:p>
  </w:footnote>
  <w:footnote w:id="1008">
    <w:p>
      <w:pPr>
        <w:pStyle w:val="FootnoteText"/>
      </w:pPr>
      <w:r>
        <w:rPr>
          <w:rStyle w:val="FootnoteReference"/>
        </w:rPr>
        <w:footnoteRef/>
      </w:r>
      <w:r>
        <w:t xml:space="preserve"> </w:t>
      </w:r>
      <w:r>
        <w:t xml:space="preserve">Ancell 2001, PMID 11381492.</w:t>
      </w:r>
    </w:p>
  </w:footnote>
  <w:footnote w:id="1010">
    <w:p>
      <w:pPr>
        <w:pStyle w:val="FootnoteText"/>
      </w:pPr>
      <w:r>
        <w:rPr>
          <w:rStyle w:val="FootnoteReference"/>
        </w:rPr>
        <w:footnoteRef/>
      </w:r>
      <w:r>
        <w:t xml:space="preserve"> </w:t>
      </w:r>
      <w:r>
        <w:t xml:space="preserve">Dinetz 2024, PMID 38308608.</w:t>
      </w:r>
    </w:p>
  </w:footnote>
  <w:footnote w:id="1012">
    <w:p>
      <w:pPr>
        <w:pStyle w:val="FootnoteText"/>
      </w:pPr>
      <w:r>
        <w:rPr>
          <w:rStyle w:val="FootnoteReference"/>
        </w:rPr>
        <w:footnoteRef/>
      </w:r>
      <w:r>
        <w:t xml:space="preserve"> </w:t>
      </w:r>
      <w:r>
        <w:t xml:space="preserve">Chien 1998, PMID 9581695.</w:t>
      </w:r>
    </w:p>
  </w:footnote>
  <w:footnote w:id="1013">
    <w:p>
      <w:pPr>
        <w:pStyle w:val="FootnoteText"/>
      </w:pPr>
      <w:r>
        <w:rPr>
          <w:rStyle w:val="FootnoteReference"/>
        </w:rPr>
        <w:footnoteRef/>
      </w:r>
      <w:r>
        <w:t xml:space="preserve"> </w:t>
      </w:r>
      <w:r>
        <w:t xml:space="preserve">Mutchnick 1999, PMID 10607256.</w:t>
      </w:r>
    </w:p>
  </w:footnote>
  <w:footnote w:id="1014">
    <w:p>
      <w:pPr>
        <w:pStyle w:val="FootnoteText"/>
      </w:pPr>
      <w:r>
        <w:rPr>
          <w:rStyle w:val="FootnoteReference"/>
        </w:rPr>
        <w:footnoteRef/>
      </w:r>
      <w:r>
        <w:t xml:space="preserve"> </w:t>
      </w:r>
      <w:r>
        <w:t xml:space="preserve">Yang 2008, PMID 18078676.</w:t>
      </w:r>
    </w:p>
  </w:footnote>
  <w:footnote w:id="1015">
    <w:p>
      <w:pPr>
        <w:pStyle w:val="FootnoteText"/>
      </w:pPr>
      <w:r>
        <w:rPr>
          <w:rStyle w:val="FootnoteReference"/>
        </w:rPr>
        <w:footnoteRef/>
      </w:r>
      <w:r>
        <w:t xml:space="preserve"> </w:t>
      </w:r>
      <w:r>
        <w:t xml:space="preserve">Wu 2018, PMID 30063860.</w:t>
      </w:r>
    </w:p>
  </w:footnote>
  <w:footnote w:id="1016">
    <w:p>
      <w:pPr>
        <w:pStyle w:val="FootnoteText"/>
      </w:pPr>
      <w:r>
        <w:rPr>
          <w:rStyle w:val="FootnoteReference"/>
        </w:rPr>
        <w:footnoteRef/>
      </w:r>
      <w:r>
        <w:t xml:space="preserve"> </w:t>
      </w:r>
      <w:r>
        <w:t xml:space="preserve">Peng 2020, PMID 33076834.</w:t>
      </w:r>
    </w:p>
  </w:footnote>
  <w:footnote w:id="1017">
    <w:p>
      <w:pPr>
        <w:pStyle w:val="FootnoteText"/>
      </w:pPr>
      <w:r>
        <w:rPr>
          <w:rStyle w:val="FootnoteReference"/>
        </w:rPr>
        <w:footnoteRef/>
      </w:r>
      <w:r>
        <w:t xml:space="preserve"> </w:t>
      </w:r>
      <w:r>
        <w:t xml:space="preserve">Chen 2022, PMID 35616850.</w:t>
      </w:r>
    </w:p>
  </w:footnote>
  <w:footnote w:id="1018">
    <w:p>
      <w:pPr>
        <w:pStyle w:val="FootnoteText"/>
      </w:pPr>
      <w:r>
        <w:rPr>
          <w:rStyle w:val="FootnoteReference"/>
        </w:rPr>
        <w:footnoteRef/>
      </w:r>
      <w:r>
        <w:t xml:space="preserve"> </w:t>
      </w:r>
      <w:r>
        <w:t xml:space="preserve">Sherman 1998, PMID 9537454; Andreone 2004, PMID 14738560.</w:t>
      </w:r>
    </w:p>
  </w:footnote>
  <w:footnote w:id="1020">
    <w:p>
      <w:pPr>
        <w:pStyle w:val="FootnoteText"/>
      </w:pPr>
      <w:r>
        <w:rPr>
          <w:rStyle w:val="FootnoteReference"/>
        </w:rPr>
        <w:footnoteRef/>
      </w:r>
      <w:r>
        <w:t xml:space="preserve"> </w:t>
      </w:r>
      <w:r>
        <w:t xml:space="preserve">Wu 2013, PMID 23327199.</w:t>
      </w:r>
    </w:p>
  </w:footnote>
  <w:footnote w:id="1021">
    <w:p>
      <w:pPr>
        <w:pStyle w:val="FootnoteText"/>
      </w:pPr>
      <w:r>
        <w:rPr>
          <w:rStyle w:val="FootnoteReference"/>
        </w:rPr>
        <w:footnoteRef/>
      </w:r>
      <w:r>
        <w:t xml:space="preserve"> </w:t>
      </w:r>
      <w:r>
        <w:t xml:space="preserve">Wu 2025, PMID 39814420.</w:t>
      </w:r>
    </w:p>
  </w:footnote>
  <w:footnote w:id="1022">
    <w:p>
      <w:pPr>
        <w:pStyle w:val="FootnoteText"/>
      </w:pPr>
      <w:r>
        <w:rPr>
          <w:rStyle w:val="FootnoteReference"/>
        </w:rPr>
        <w:footnoteRef/>
      </w:r>
      <w:r>
        <w:t xml:space="preserve"> </w:t>
      </w:r>
      <w:r>
        <w:t xml:space="preserve">Gu 2025, PMID 40969554.</w:t>
      </w:r>
    </w:p>
  </w:footnote>
  <w:footnote w:id="1023">
    <w:p>
      <w:pPr>
        <w:pStyle w:val="FootnoteText"/>
      </w:pPr>
      <w:r>
        <w:rPr>
          <w:rStyle w:val="FootnoteReference"/>
        </w:rPr>
        <w:footnoteRef/>
      </w:r>
      <w:r>
        <w:t xml:space="preserve"> </w:t>
      </w:r>
      <w:r>
        <w:t xml:space="preserve">Luo 2026, PMID 42205841.</w:t>
      </w:r>
    </w:p>
  </w:footnote>
  <w:footnote w:id="1025">
    <w:p>
      <w:pPr>
        <w:pStyle w:val="FootnoteText"/>
      </w:pPr>
      <w:r>
        <w:rPr>
          <w:rStyle w:val="FootnoteReference"/>
        </w:rPr>
        <w:footnoteRef/>
      </w:r>
      <w:r>
        <w:t xml:space="preserve"> </w:t>
      </w:r>
      <w:r>
        <w:t xml:space="preserve">Liu 2020, PMID 32442287.</w:t>
      </w:r>
    </w:p>
  </w:footnote>
  <w:footnote w:id="1026">
    <w:p>
      <w:pPr>
        <w:pStyle w:val="FootnoteText"/>
      </w:pPr>
      <w:r>
        <w:rPr>
          <w:rStyle w:val="FootnoteReference"/>
        </w:rPr>
        <w:footnoteRef/>
      </w:r>
      <w:r>
        <w:t xml:space="preserve"> </w:t>
      </w:r>
      <w:r>
        <w:t xml:space="preserve">Liu 2021, PMID 34408744.</w:t>
      </w:r>
    </w:p>
  </w:footnote>
  <w:footnote w:id="1027">
    <w:p>
      <w:pPr>
        <w:pStyle w:val="FootnoteText"/>
      </w:pPr>
      <w:r>
        <w:rPr>
          <w:rStyle w:val="FootnoteReference"/>
        </w:rPr>
        <w:footnoteRef/>
      </w:r>
      <w:r>
        <w:t xml:space="preserve"> </w:t>
      </w:r>
      <w:r>
        <w:t xml:space="preserve">Shehadeh 2023, PMID 36056913.</w:t>
      </w:r>
    </w:p>
  </w:footnote>
  <w:footnote w:id="1028">
    <w:p>
      <w:pPr>
        <w:pStyle w:val="FootnoteText"/>
      </w:pPr>
      <w:r>
        <w:rPr>
          <w:rStyle w:val="FootnoteReference"/>
        </w:rPr>
        <w:footnoteRef/>
      </w:r>
      <w:r>
        <w:t xml:space="preserve"> </w:t>
      </w:r>
      <w:r>
        <w:t xml:space="preserve">Shang 2023, PMID 36527881.</w:t>
      </w:r>
    </w:p>
  </w:footnote>
  <w:footnote w:id="1029">
    <w:p>
      <w:pPr>
        <w:pStyle w:val="FootnoteText"/>
      </w:pPr>
      <w:r>
        <w:rPr>
          <w:rStyle w:val="FootnoteReference"/>
        </w:rPr>
        <w:footnoteRef/>
      </w:r>
      <w:r>
        <w:t xml:space="preserve"> </w:t>
      </w:r>
      <w:r>
        <w:t xml:space="preserve">Soeroto 2023, PMID 37845598.</w:t>
      </w:r>
    </w:p>
  </w:footnote>
  <w:footnote w:id="1031">
    <w:p>
      <w:pPr>
        <w:pStyle w:val="FootnoteText"/>
      </w:pPr>
      <w:r>
        <w:rPr>
          <w:rStyle w:val="FootnoteReference"/>
        </w:rPr>
        <w:footnoteRef/>
      </w:r>
      <w:r>
        <w:t xml:space="preserve"> </w:t>
      </w:r>
      <w:r>
        <w:t xml:space="preserve">Maio 2010, PMID 20194853.</w:t>
      </w:r>
    </w:p>
  </w:footnote>
  <w:footnote w:id="1032">
    <w:p>
      <w:pPr>
        <w:pStyle w:val="FootnoteText"/>
      </w:pPr>
      <w:r>
        <w:rPr>
          <w:rStyle w:val="FootnoteReference"/>
        </w:rPr>
        <w:footnoteRef/>
      </w:r>
      <w:r>
        <w:t xml:space="preserve"> </w:t>
      </w:r>
      <w:r>
        <w:t xml:space="preserve">Kim 2026, PMID 42797537.</w:t>
      </w:r>
    </w:p>
  </w:footnote>
  <w:footnote w:id="1033">
    <w:p>
      <w:pPr>
        <w:pStyle w:val="FootnoteText"/>
      </w:pPr>
      <w:r>
        <w:rPr>
          <w:rStyle w:val="FootnoteReference"/>
        </w:rPr>
        <w:footnoteRef/>
      </w:r>
      <w:r>
        <w:t xml:space="preserve"> </w:t>
      </w:r>
      <w:r>
        <w:t xml:space="preserve">Xu 2026, PMID 41749205.</w:t>
      </w:r>
    </w:p>
  </w:footnote>
  <w:footnote w:id="1035">
    <w:p>
      <w:pPr>
        <w:pStyle w:val="FootnoteText"/>
      </w:pPr>
      <w:r>
        <w:rPr>
          <w:rStyle w:val="FootnoteReference"/>
        </w:rPr>
        <w:footnoteRef/>
      </w:r>
      <w:r>
        <w:t xml:space="preserve"> </w:t>
      </w:r>
      <w:r>
        <w:t xml:space="preserve">Gravenstein 1989, PMID 2642497.</w:t>
      </w:r>
    </w:p>
  </w:footnote>
  <w:footnote w:id="1036">
    <w:p>
      <w:pPr>
        <w:pStyle w:val="FootnoteText"/>
      </w:pPr>
      <w:r>
        <w:rPr>
          <w:rStyle w:val="FootnoteReference"/>
        </w:rPr>
        <w:footnoteRef/>
      </w:r>
      <w:r>
        <w:t xml:space="preserve"> </w:t>
      </w:r>
      <w:r>
        <w:t xml:space="preserve">Tuthill 2023, PMID 36881981.</w:t>
      </w:r>
    </w:p>
  </w:footnote>
  <w:footnote w:id="1037">
    <w:p>
      <w:pPr>
        <w:pStyle w:val="FootnoteText"/>
      </w:pPr>
      <w:r>
        <w:rPr>
          <w:rStyle w:val="FootnoteReference"/>
        </w:rPr>
        <w:footnoteRef/>
      </w:r>
      <w:r>
        <w:t xml:space="preserve"> </w:t>
      </w:r>
      <w:r>
        <w:t xml:space="preserve">NCT06821100.</w:t>
      </w:r>
    </w:p>
  </w:footnote>
  <w:footnote w:id="1040">
    <w:p>
      <w:pPr>
        <w:pStyle w:val="FootnoteText"/>
      </w:pPr>
      <w:r>
        <w:rPr>
          <w:rStyle w:val="FootnoteReference"/>
        </w:rPr>
        <w:footnoteRef/>
      </w:r>
      <w:r>
        <w:t xml:space="preserve"> </w:t>
      </w:r>
      <w:r>
        <w:t xml:space="preserve">Garaci 2007, PMID 17600290.</w:t>
      </w:r>
    </w:p>
  </w:footnote>
  <w:footnote w:id="1042">
    <w:p>
      <w:pPr>
        <w:pStyle w:val="FootnoteText"/>
      </w:pPr>
      <w:r>
        <w:rPr>
          <w:rStyle w:val="FootnoteReference"/>
        </w:rPr>
        <w:footnoteRef/>
      </w:r>
      <w:r>
        <w:t xml:space="preserve"> </w:t>
      </w:r>
      <w:r>
        <w:t xml:space="preserve">Ancell 2001, PMID 11381492.</w:t>
      </w:r>
    </w:p>
  </w:footnote>
  <w:footnote w:id="1043">
    <w:p>
      <w:pPr>
        <w:pStyle w:val="FootnoteText"/>
      </w:pPr>
      <w:r>
        <w:rPr>
          <w:rStyle w:val="FootnoteReference"/>
        </w:rPr>
        <w:footnoteRef/>
      </w:r>
      <w:r>
        <w:t xml:space="preserve"> </w:t>
      </w:r>
      <w:r>
        <w:t xml:space="preserve">Wu 2025, PMID 39814420.</w:t>
      </w:r>
    </w:p>
  </w:footnote>
  <w:footnote w:id="1044">
    <w:p>
      <w:pPr>
        <w:pStyle w:val="FootnoteText"/>
      </w:pPr>
      <w:r>
        <w:rPr>
          <w:rStyle w:val="FootnoteReference"/>
        </w:rPr>
        <w:footnoteRef/>
      </w:r>
      <w:r>
        <w:t xml:space="preserve"> </w:t>
      </w:r>
      <w:r>
        <w:t xml:space="preserve">Iino 2005, PMID 15850471.</w:t>
      </w:r>
    </w:p>
  </w:footnote>
  <w:footnote w:id="1046">
    <w:p>
      <w:pPr>
        <w:pStyle w:val="FootnoteText"/>
      </w:pPr>
      <w:r>
        <w:rPr>
          <w:rStyle w:val="FootnoteReference"/>
        </w:rPr>
        <w:footnoteRef/>
      </w:r>
      <w:r>
        <w:t xml:space="preserve"> </w:t>
      </w:r>
      <w:r>
        <w:t xml:space="preserve">Wu 2025, PMID 39814420.</w:t>
      </w:r>
    </w:p>
  </w:footnote>
  <w:footnote w:id="1047">
    <w:p>
      <w:pPr>
        <w:pStyle w:val="FootnoteText"/>
      </w:pPr>
      <w:r>
        <w:rPr>
          <w:rStyle w:val="FootnoteReference"/>
        </w:rPr>
        <w:footnoteRef/>
      </w:r>
      <w:r>
        <w:t xml:space="preserve"> </w:t>
      </w:r>
      <w:r>
        <w:t xml:space="preserve">Liu 2021, PMID 34408744.</w:t>
      </w:r>
    </w:p>
  </w:footnote>
  <w:footnote w:id="1048">
    <w:p>
      <w:pPr>
        <w:pStyle w:val="FootnoteText"/>
      </w:pPr>
      <w:r>
        <w:rPr>
          <w:rStyle w:val="FootnoteReference"/>
        </w:rPr>
        <w:footnoteRef/>
      </w:r>
      <w:r>
        <w:t xml:space="preserve"> </w:t>
      </w:r>
      <w:r>
        <w:t xml:space="preserve">Kim 2026, PMID 42797537.</w:t>
      </w:r>
    </w:p>
  </w:footnote>
  <w:footnote w:id="1051">
    <w:p>
      <w:pPr>
        <w:pStyle w:val="FootnoteText"/>
      </w:pPr>
      <w:r>
        <w:rPr>
          <w:rStyle w:val="FootnoteReference"/>
        </w:rPr>
        <w:footnoteRef/>
      </w:r>
      <w:r>
        <w:t xml:space="preserve"> </w:t>
      </w:r>
      <w:r>
        <w:t xml:space="preserve">Dinetz 2024, PMID 38308608.</w:t>
      </w:r>
    </w:p>
  </w:footnote>
  <w:footnote w:id="1052">
    <w:p>
      <w:pPr>
        <w:pStyle w:val="FootnoteText"/>
      </w:pPr>
      <w:r>
        <w:rPr>
          <w:rStyle w:val="FootnoteReference"/>
        </w:rPr>
        <w:footnoteRef/>
      </w:r>
      <w:r>
        <w:t xml:space="preserve"> </w:t>
      </w:r>
      <w:r>
        <w:t xml:space="preserve">Willis 2026, PMID 42752426.</w:t>
      </w:r>
    </w:p>
  </w:footnote>
  <w:footnote w:id="1054">
    <w:p>
      <w:pPr>
        <w:pStyle w:val="FootnoteText"/>
      </w:pPr>
      <w:r>
        <w:rPr>
          <w:rStyle w:val="FootnoteReference"/>
        </w:rPr>
        <w:footnoteRef/>
      </w:r>
      <w:r>
        <w:t xml:space="preserve"> </w:t>
      </w:r>
      <w:r>
        <w:t xml:space="preserve">NCT05086614.</w:t>
      </w:r>
    </w:p>
  </w:footnote>
  <w:footnote w:id="1055">
    <w:p>
      <w:pPr>
        <w:pStyle w:val="FootnoteText"/>
      </w:pPr>
      <w:r>
        <w:rPr>
          <w:rStyle w:val="FootnoteReference"/>
        </w:rPr>
        <w:footnoteRef/>
      </w:r>
      <w:r>
        <w:t xml:space="preserve"> </w:t>
      </w:r>
      <w:r>
        <w:t xml:space="preserve">NCT07884201.</w:t>
      </w:r>
    </w:p>
  </w:footnote>
  <w:footnote w:id="1056">
    <w:p>
      <w:pPr>
        <w:pStyle w:val="FootnoteText"/>
      </w:pPr>
      <w:r>
        <w:rPr>
          <w:rStyle w:val="FootnoteReference"/>
        </w:rPr>
        <w:footnoteRef/>
      </w:r>
      <w:r>
        <w:t xml:space="preserve"> </w:t>
      </w:r>
      <w:r>
        <w:t xml:space="preserve">NCT07866118.</w:t>
      </w:r>
    </w:p>
  </w:footnote>
  <w:footnote w:id="1057">
    <w:p>
      <w:pPr>
        <w:pStyle w:val="FootnoteText"/>
      </w:pPr>
      <w:r>
        <w:rPr>
          <w:rStyle w:val="FootnoteReference"/>
        </w:rPr>
        <w:footnoteRef/>
      </w:r>
      <w:r>
        <w:t xml:space="preserve"> </w:t>
      </w:r>
      <w:r>
        <w:t xml:space="preserve">NCT06821100.</w:t>
      </w:r>
    </w:p>
  </w:footnote>
  <w:footnote w:id="1059">
    <w:p>
      <w:pPr>
        <w:pStyle w:val="FootnoteText"/>
      </w:pPr>
      <w:r>
        <w:rPr>
          <w:rStyle w:val="FootnoteReference"/>
        </w:rPr>
        <w:footnoteRef/>
      </w:r>
      <w:r>
        <w:t xml:space="preserve"> </w:t>
      </w:r>
      <w:r>
        <w:t xml:space="preserve">Wu 2025, PMID 39814420.</w:t>
      </w:r>
    </w:p>
  </w:footnote>
  <w:footnote w:id="1060">
    <w:p>
      <w:pPr>
        <w:pStyle w:val="FootnoteText"/>
      </w:pPr>
      <w:r>
        <w:rPr>
          <w:rStyle w:val="FootnoteReference"/>
        </w:rPr>
        <w:footnoteRef/>
      </w:r>
      <w:r>
        <w:t xml:space="preserve"> </w:t>
      </w:r>
      <w:r>
        <w:t xml:space="preserve">Ke 2022, PMID 35713670.</w:t>
      </w:r>
    </w:p>
  </w:footnote>
  <w:footnote w:id="1061">
    <w:p>
      <w:pPr>
        <w:pStyle w:val="FootnoteText"/>
      </w:pPr>
      <w:r>
        <w:rPr>
          <w:rStyle w:val="FootnoteReference"/>
        </w:rPr>
        <w:footnoteRef/>
      </w:r>
      <w:r>
        <w:t xml:space="preserve"> </w:t>
      </w:r>
      <w:r>
        <w:t xml:space="preserve">Wu 2018, PMID 30063860.</w:t>
      </w:r>
    </w:p>
  </w:footnote>
  <w:footnote w:id="1064">
    <w:p>
      <w:pPr>
        <w:pStyle w:val="FootnoteText"/>
      </w:pPr>
      <w:r>
        <w:rPr>
          <w:rStyle w:val="FootnoteReference"/>
        </w:rPr>
        <w:footnoteRef/>
      </w:r>
      <w:r>
        <w:t xml:space="preserve"> </w:t>
      </w:r>
      <w:r>
        <w:t xml:space="preserve">Cutuli 2000, PMID 10670585.</w:t>
      </w:r>
    </w:p>
  </w:footnote>
  <w:footnote w:id="1066">
    <w:p>
      <w:pPr>
        <w:pStyle w:val="FootnoteText"/>
      </w:pPr>
      <w:r>
        <w:rPr>
          <w:rStyle w:val="FootnoteReference"/>
        </w:rPr>
        <w:footnoteRef/>
      </w:r>
      <w:r>
        <w:t xml:space="preserve"> </w:t>
      </w:r>
      <w:r>
        <w:t xml:space="preserve">Catania 1998, PMID 9700761.</w:t>
      </w:r>
    </w:p>
  </w:footnote>
  <w:footnote w:id="1067">
    <w:p>
      <w:pPr>
        <w:pStyle w:val="FootnoteText"/>
      </w:pPr>
      <w:r>
        <w:rPr>
          <w:rStyle w:val="FootnoteReference"/>
        </w:rPr>
        <w:footnoteRef/>
      </w:r>
      <w:r>
        <w:t xml:space="preserve"> </w:t>
      </w:r>
      <w:r>
        <w:t xml:space="preserve">Getting 2003, PMID 12750433.</w:t>
      </w:r>
    </w:p>
  </w:footnote>
  <w:footnote w:id="1068">
    <w:p>
      <w:pPr>
        <w:pStyle w:val="FootnoteText"/>
      </w:pPr>
      <w:r>
        <w:rPr>
          <w:rStyle w:val="FootnoteReference"/>
        </w:rPr>
        <w:footnoteRef/>
      </w:r>
      <w:r>
        <w:t xml:space="preserve"> </w:t>
      </w:r>
      <w:r>
        <w:t xml:space="preserve">Dalmasso 2008, PMID 18061177.</w:t>
      </w:r>
    </w:p>
  </w:footnote>
  <w:footnote w:id="1069">
    <w:p>
      <w:pPr>
        <w:pStyle w:val="FootnoteText"/>
      </w:pPr>
      <w:r>
        <w:rPr>
          <w:rStyle w:val="FootnoteReference"/>
        </w:rPr>
        <w:footnoteRef/>
      </w:r>
      <w:r>
        <w:t xml:space="preserve"> </w:t>
      </w:r>
      <w:r>
        <w:t xml:space="preserve">Cutuli 2000, PMID 10670585.</w:t>
      </w:r>
    </w:p>
  </w:footnote>
  <w:footnote w:id="1071">
    <w:p>
      <w:pPr>
        <w:pStyle w:val="FootnoteText"/>
      </w:pPr>
      <w:r>
        <w:rPr>
          <w:rStyle w:val="FootnoteReference"/>
        </w:rPr>
        <w:footnoteRef/>
      </w:r>
      <w:r>
        <w:t xml:space="preserve"> </w:t>
      </w:r>
      <w:r>
        <w:t xml:space="preserve">Catania 1998, PMID 9700761.</w:t>
      </w:r>
    </w:p>
  </w:footnote>
  <w:footnote w:id="1072">
    <w:p>
      <w:pPr>
        <w:pStyle w:val="FootnoteText"/>
      </w:pPr>
      <w:r>
        <w:rPr>
          <w:rStyle w:val="FootnoteReference"/>
        </w:rPr>
        <w:footnoteRef/>
      </w:r>
      <w:r>
        <w:t xml:space="preserve"> </w:t>
      </w:r>
      <w:r>
        <w:t xml:space="preserve">Elliott 2004, PMID 15102092.</w:t>
      </w:r>
    </w:p>
  </w:footnote>
  <w:footnote w:id="1073">
    <w:p>
      <w:pPr>
        <w:pStyle w:val="FootnoteText"/>
      </w:pPr>
      <w:r>
        <w:rPr>
          <w:rStyle w:val="FootnoteReference"/>
        </w:rPr>
        <w:footnoteRef/>
      </w:r>
      <w:r>
        <w:t xml:space="preserve"> </w:t>
      </w:r>
      <w:r>
        <w:t xml:space="preserve">Pawar 2017, PMID 28343991.</w:t>
      </w:r>
    </w:p>
  </w:footnote>
  <w:footnote w:id="1074">
    <w:p>
      <w:pPr>
        <w:pStyle w:val="FootnoteText"/>
      </w:pPr>
      <w:r>
        <w:rPr>
          <w:rStyle w:val="FootnoteReference"/>
        </w:rPr>
        <w:footnoteRef/>
      </w:r>
      <w:r>
        <w:t xml:space="preserve"> </w:t>
      </w:r>
      <w:r>
        <w:t xml:space="preserve">Gatti 2006, PMID 16413580.</w:t>
      </w:r>
    </w:p>
  </w:footnote>
  <w:footnote w:id="1078">
    <w:p>
      <w:pPr>
        <w:pStyle w:val="FootnoteText"/>
      </w:pPr>
      <w:r>
        <w:rPr>
          <w:rStyle w:val="FootnoteReference"/>
        </w:rPr>
        <w:footnoteRef/>
      </w:r>
      <w:r>
        <w:t xml:space="preserve"> </w:t>
      </w:r>
      <w:r>
        <w:t xml:space="preserve">Cutuli 2000, PMID 10670585.</w:t>
      </w:r>
    </w:p>
  </w:footnote>
  <w:footnote w:id="1079">
    <w:p>
      <w:pPr>
        <w:pStyle w:val="FootnoteText"/>
      </w:pPr>
      <w:r>
        <w:rPr>
          <w:rStyle w:val="FootnoteReference"/>
        </w:rPr>
        <w:footnoteRef/>
      </w:r>
      <w:r>
        <w:t xml:space="preserve"> </w:t>
      </w:r>
      <w:r>
        <w:t xml:space="preserve">Coutinho 2026, PMID 41880199.</w:t>
      </w:r>
    </w:p>
  </w:footnote>
  <w:footnote w:id="1084">
    <w:p>
      <w:pPr>
        <w:pStyle w:val="FootnoteText"/>
      </w:pPr>
      <w:r>
        <w:rPr>
          <w:rStyle w:val="FootnoteReference"/>
        </w:rPr>
        <w:footnoteRef/>
      </w:r>
      <w:r>
        <w:t xml:space="preserve"> </w:t>
      </w:r>
      <w:r>
        <w:t xml:space="preserve">Dalmasso 2008, PMID 18061177; Kannengiesser 2008, PMID 18092346.</w:t>
      </w:r>
    </w:p>
  </w:footnote>
  <w:footnote w:id="1087">
    <w:p>
      <w:pPr>
        <w:pStyle w:val="FootnoteText"/>
      </w:pPr>
      <w:r>
        <w:rPr>
          <w:rStyle w:val="FootnoteReference"/>
        </w:rPr>
        <w:footnoteRef/>
      </w:r>
      <w:r>
        <w:t xml:space="preserve"> </w:t>
      </w:r>
      <w:r>
        <w:t xml:space="preserve">Gombart 2005, PMID 15985530.</w:t>
      </w:r>
    </w:p>
  </w:footnote>
  <w:footnote w:id="1089">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Lande 2007, PMID 17873860.</w:t>
      </w:r>
    </w:p>
  </w:footnote>
  <w:footnote w:id="1091">
    <w:p>
      <w:pPr>
        <w:pStyle w:val="FootnoteText"/>
      </w:pPr>
      <w:r>
        <w:rPr>
          <w:rStyle w:val="FootnoteReference"/>
        </w:rPr>
        <w:footnoteRef/>
      </w:r>
      <w:r>
        <w:t xml:space="preserve"> </w:t>
      </w:r>
      <w:r>
        <w:t xml:space="preserve">Lande 2014, PMID 25470744.</w:t>
      </w:r>
    </w:p>
  </w:footnote>
  <w:footnote w:id="1092">
    <w:p>
      <w:pPr>
        <w:pStyle w:val="FootnoteText"/>
      </w:pPr>
      <w:r>
        <w:rPr>
          <w:rStyle w:val="FootnoteReference"/>
        </w:rPr>
        <w:footnoteRef/>
      </w:r>
      <w:r>
        <w:t xml:space="preserve"> </w:t>
      </w:r>
      <w:r>
        <w:t xml:space="preserve">Yamasaki 2007, PMID 17676051.</w:t>
      </w:r>
    </w:p>
  </w:footnote>
  <w:footnote w:id="1094">
    <w:p>
      <w:pPr>
        <w:pStyle w:val="FootnoteText"/>
      </w:pPr>
      <w:r>
        <w:rPr>
          <w:rStyle w:val="FootnoteReference"/>
        </w:rPr>
        <w:footnoteRef/>
      </w:r>
      <w:r>
        <w:t xml:space="preserve"> </w:t>
      </w:r>
      <w:r>
        <w:t xml:space="preserve">Grönberg 2014, PMID 25041740.</w:t>
      </w:r>
    </w:p>
  </w:footnote>
  <w:footnote w:id="1095">
    <w:p>
      <w:pPr>
        <w:pStyle w:val="FootnoteText"/>
      </w:pPr>
      <w:r>
        <w:rPr>
          <w:rStyle w:val="FootnoteReference"/>
        </w:rPr>
        <w:footnoteRef/>
      </w:r>
      <w:r>
        <w:t xml:space="preserve"> </w:t>
      </w:r>
      <w:r>
        <w:t xml:space="preserve">Mahlapuu 2021, PMID 34687253.</w:t>
      </w:r>
    </w:p>
  </w:footnote>
  <w:footnote w:id="1096">
    <w:p>
      <w:pPr>
        <w:pStyle w:val="FootnoteText"/>
      </w:pPr>
      <w:r>
        <w:rPr>
          <w:rStyle w:val="FootnoteReference"/>
        </w:rPr>
        <w:footnoteRef/>
      </w:r>
      <w:r>
        <w:t xml:space="preserve"> </w:t>
      </w:r>
      <w:r>
        <w:t xml:space="preserve">Miranda 2023, PMID 37480520.</w:t>
      </w:r>
    </w:p>
  </w:footnote>
  <w:footnote w:id="1097">
    <w:p>
      <w:pPr>
        <w:pStyle w:val="FootnoteText"/>
      </w:pPr>
      <w:r>
        <w:rPr>
          <w:rStyle w:val="FootnoteReference"/>
        </w:rPr>
        <w:footnoteRef/>
      </w:r>
      <w:r>
        <w:t xml:space="preserve"> </w:t>
      </w:r>
      <w:r>
        <w:t xml:space="preserve">Zhao 2023, PMID 37605995.</w:t>
      </w:r>
    </w:p>
  </w:footnote>
  <w:footnote w:id="1099">
    <w:p>
      <w:pPr>
        <w:pStyle w:val="FootnoteText"/>
      </w:pPr>
      <w:r>
        <w:rPr>
          <w:rStyle w:val="FootnoteReference"/>
        </w:rPr>
        <w:footnoteRef/>
      </w:r>
      <w:r>
        <w:t xml:space="preserve"> </w:t>
      </w:r>
      <w:r>
        <w:t xml:space="preserve">Majewski 2017, PMID 28956425.</w:t>
      </w:r>
    </w:p>
  </w:footnote>
  <w:footnote w:id="1100">
    <w:p>
      <w:pPr>
        <w:pStyle w:val="FootnoteText"/>
      </w:pPr>
      <w:r>
        <w:rPr>
          <w:rStyle w:val="FootnoteReference"/>
        </w:rPr>
        <w:footnoteRef/>
      </w:r>
      <w:r>
        <w:t xml:space="preserve"> </w:t>
      </w:r>
      <w:r>
        <w:t xml:space="preserve">Savonius 2018, PMID 28827496.</w:t>
      </w:r>
    </w:p>
  </w:footnote>
  <w:footnote w:id="1101">
    <w:p>
      <w:pPr>
        <w:pStyle w:val="FootnoteText"/>
      </w:pPr>
      <w:r>
        <w:rPr>
          <w:rStyle w:val="FootnoteReference"/>
        </w:rPr>
        <w:footnoteRef/>
      </w:r>
      <w:r>
        <w:t xml:space="preserve"> </w:t>
      </w:r>
      <w:r>
        <w:t xml:space="preserve">Quraishi 2015, PMID 26086941.</w:t>
      </w:r>
    </w:p>
  </w:footnote>
  <w:footnote w:id="1103">
    <w:p>
      <w:pPr>
        <w:pStyle w:val="FootnoteText"/>
      </w:pPr>
      <w:r>
        <w:rPr>
          <w:rStyle w:val="FootnoteReference"/>
        </w:rPr>
        <w:footnoteRef/>
      </w:r>
      <w:r>
        <w:t xml:space="preserve"> </w:t>
      </w:r>
      <w:r>
        <w:t xml:space="preserve">Mily 2015, PMID 26394045.</w:t>
      </w:r>
    </w:p>
  </w:footnote>
  <w:footnote w:id="1106">
    <w:p>
      <w:pPr>
        <w:pStyle w:val="FootnoteText"/>
      </w:pPr>
      <w:r>
        <w:rPr>
          <w:rStyle w:val="FootnoteReference"/>
        </w:rPr>
        <w:footnoteRef/>
      </w:r>
      <w:r>
        <w:t xml:space="preserve"> </w:t>
      </w:r>
      <w:r>
        <w:t xml:space="preserve">Chen 2018, PMID 29843147.</w:t>
      </w:r>
    </w:p>
  </w:footnote>
  <w:footnote w:id="1107">
    <w:p>
      <w:pPr>
        <w:pStyle w:val="FootnoteText"/>
      </w:pPr>
      <w:r>
        <w:rPr>
          <w:rStyle w:val="FootnoteReference"/>
        </w:rPr>
        <w:footnoteRef/>
      </w:r>
      <w:r>
        <w:t xml:space="preserve"> </w:t>
      </w:r>
      <w:r>
        <w:t xml:space="preserve">Gombart 2005, PMID 15985530.</w:t>
      </w:r>
    </w:p>
  </w:footnote>
  <w:footnote w:id="1109">
    <w:p>
      <w:pPr>
        <w:pStyle w:val="FootnoteText"/>
      </w:pPr>
      <w:r>
        <w:rPr>
          <w:rStyle w:val="FootnoteReference"/>
        </w:rPr>
        <w:footnoteRef/>
      </w:r>
      <w:r>
        <w:t xml:space="preserve"> </w:t>
      </w:r>
      <w:r>
        <w:t xml:space="preserve">Grönberg 2014, PMID 25041740; Mahlapuu 2021, PMID 34687253.</w:t>
      </w:r>
    </w:p>
  </w:footnote>
  <w:footnote w:id="1110">
    <w:p>
      <w:pPr>
        <w:pStyle w:val="FootnoteText"/>
      </w:pPr>
      <w:r>
        <w:rPr>
          <w:rStyle w:val="FootnoteReference"/>
        </w:rPr>
        <w:footnoteRef/>
      </w:r>
      <w:r>
        <w:t xml:space="preserve"> </w:t>
      </w:r>
      <w:r>
        <w:t xml:space="preserve">Dolkar 2018, PMID 29665030.</w:t>
      </w:r>
    </w:p>
  </w:footnote>
  <w:footnote w:id="1112">
    <w:p>
      <w:pPr>
        <w:pStyle w:val="FootnoteText"/>
      </w:pPr>
      <w:r>
        <w:rPr>
          <w:rStyle w:val="FootnoteReference"/>
        </w:rPr>
        <w:footnoteRef/>
      </w:r>
      <w:r>
        <w:t xml:space="preserve"> </w:t>
      </w:r>
      <w:r>
        <w:t xml:space="preserve">Lande 2007, PMID 17873860; Lande 2014, PMID 25470744.</w:t>
      </w:r>
    </w:p>
  </w:footnote>
  <w:footnote w:id="1113">
    <w:p>
      <w:pPr>
        <w:pStyle w:val="FootnoteText"/>
      </w:pPr>
      <w:r>
        <w:rPr>
          <w:rStyle w:val="FootnoteReference"/>
        </w:rPr>
        <w:footnoteRef/>
      </w:r>
      <w:r>
        <w:t xml:space="preserve"> </w:t>
      </w:r>
      <w:r>
        <w:t xml:space="preserve">Yamasaki 2007, PMID 17676051.</w:t>
      </w:r>
    </w:p>
  </w:footnote>
  <w:footnote w:id="1114">
    <w:p>
      <w:pPr>
        <w:pStyle w:val="FootnoteText"/>
      </w:pPr>
      <w:r>
        <w:rPr>
          <w:rStyle w:val="FootnoteReference"/>
        </w:rPr>
        <w:footnoteRef/>
      </w:r>
      <w:r>
        <w:t xml:space="preserve"> </w:t>
      </w:r>
      <w:r>
        <w:t xml:space="preserve">Chen 2018, PMID 29843147.</w:t>
      </w:r>
    </w:p>
  </w:footnote>
  <w:footnote w:id="1119">
    <w:p>
      <w:pPr>
        <w:pStyle w:val="FootnoteText"/>
      </w:pPr>
      <w:r>
        <w:rPr>
          <w:rStyle w:val="FootnoteReference"/>
        </w:rPr>
        <w:footnoteRef/>
      </w:r>
      <w:r>
        <w:t xml:space="preserve"> </w:t>
      </w:r>
      <w:r>
        <w:t xml:space="preserve">Mahlapuu 2021, PMID 34687253.</w:t>
      </w:r>
    </w:p>
  </w:footnote>
  <w:footnote w:id="1122">
    <w:p>
      <w:pPr>
        <w:pStyle w:val="FootnoteText"/>
      </w:pPr>
      <w:r>
        <w:rPr>
          <w:rStyle w:val="FootnoteReference"/>
        </w:rPr>
        <w:footnoteRef/>
      </w:r>
      <w:r>
        <w:t xml:space="preserve"> </w:t>
      </w:r>
      <w:r>
        <w:t xml:space="preserve">Winicki 2022, PMID 36741836.</w:t>
      </w:r>
    </w:p>
  </w:footnote>
  <w:footnote w:id="1123">
    <w:p>
      <w:pPr>
        <w:pStyle w:val="FootnoteText"/>
      </w:pPr>
      <w:r>
        <w:rPr>
          <w:rStyle w:val="FootnoteReference"/>
        </w:rPr>
        <w:footnoteRef/>
      </w:r>
      <w:r>
        <w:t xml:space="preserve"> </w:t>
      </w:r>
      <w:r>
        <w:t xml:space="preserve">Thomas 2017, PMID 28941172.</w:t>
      </w:r>
    </w:p>
  </w:footnote>
  <w:footnote w:id="1125">
    <w:p>
      <w:pPr>
        <w:pStyle w:val="FootnoteText"/>
      </w:pPr>
      <w:r>
        <w:rPr>
          <w:rStyle w:val="FootnoteReference"/>
        </w:rPr>
        <w:footnoteRef/>
      </w:r>
      <w:r>
        <w:t xml:space="preserve"> </w:t>
      </w:r>
      <w:r>
        <w:t xml:space="preserve">Swartjes 2014, PMID 24529189.</w:t>
      </w:r>
    </w:p>
  </w:footnote>
  <w:footnote w:id="1126">
    <w:p>
      <w:pPr>
        <w:pStyle w:val="FootnoteText"/>
      </w:pPr>
      <w:r>
        <w:rPr>
          <w:rStyle w:val="FootnoteReference"/>
        </w:rPr>
        <w:footnoteRef/>
      </w:r>
      <w:r>
        <w:t xml:space="preserve"> </w:t>
      </w:r>
      <w:r>
        <w:t xml:space="preserve">Thomas 2017, PMID 28941172.</w:t>
      </w:r>
    </w:p>
  </w:footnote>
  <w:footnote w:id="1128">
    <w:p>
      <w:pPr>
        <w:pStyle w:val="FootnoteText"/>
      </w:pPr>
      <w:r>
        <w:rPr>
          <w:rStyle w:val="FootnoteReference"/>
        </w:rPr>
        <w:footnoteRef/>
      </w:r>
      <w:r>
        <w:t xml:space="preserve"> </w:t>
      </w:r>
      <w:r>
        <w:t xml:space="preserve">Heij 2012, PMID 23168581.</w:t>
      </w:r>
    </w:p>
  </w:footnote>
  <w:footnote w:id="1129">
    <w:p>
      <w:pPr>
        <w:pStyle w:val="FootnoteText"/>
      </w:pPr>
      <w:r>
        <w:rPr>
          <w:rStyle w:val="FootnoteReference"/>
        </w:rPr>
        <w:footnoteRef/>
      </w:r>
      <w:r>
        <w:t xml:space="preserve"> </w:t>
      </w:r>
      <w:r>
        <w:t xml:space="preserve">Culver 2017, PMID 28475703.</w:t>
      </w:r>
    </w:p>
  </w:footnote>
  <w:footnote w:id="1130">
    <w:p>
      <w:pPr>
        <w:pStyle w:val="FootnoteText"/>
      </w:pPr>
      <w:r>
        <w:rPr>
          <w:rStyle w:val="FootnoteReference"/>
        </w:rPr>
        <w:footnoteRef/>
      </w:r>
      <w:r>
        <w:t xml:space="preserve"> </w:t>
      </w:r>
      <w:r>
        <w:t xml:space="preserve">van Velzen 2014, PMID 24555851.</w:t>
      </w:r>
    </w:p>
  </w:footnote>
  <w:footnote w:id="1132">
    <w:p>
      <w:pPr>
        <w:pStyle w:val="FootnoteText"/>
      </w:pPr>
      <w:r>
        <w:rPr>
          <w:rStyle w:val="FootnoteReference"/>
        </w:rPr>
        <w:footnoteRef/>
      </w:r>
      <w:r>
        <w:t xml:space="preserve"> </w:t>
      </w:r>
      <w:r>
        <w:t xml:space="preserve">Brines 2015, PMID 25387363.</w:t>
      </w:r>
    </w:p>
  </w:footnote>
  <w:footnote w:id="1133">
    <w:p>
      <w:pPr>
        <w:pStyle w:val="FootnoteText"/>
      </w:pPr>
      <w:r>
        <w:rPr>
          <w:rStyle w:val="FootnoteReference"/>
        </w:rPr>
        <w:footnoteRef/>
      </w:r>
      <w:r>
        <w:t xml:space="preserve"> </w:t>
      </w:r>
      <w:r>
        <w:t xml:space="preserve">NCT01933529.</w:t>
      </w:r>
    </w:p>
  </w:footnote>
  <w:footnote w:id="1134">
    <w:p>
      <w:pPr>
        <w:pStyle w:val="FootnoteText"/>
      </w:pPr>
      <w:r>
        <w:rPr>
          <w:rStyle w:val="FootnoteReference"/>
        </w:rPr>
        <w:footnoteRef/>
      </w:r>
      <w:r>
        <w:t xml:space="preserve"> </w:t>
      </w:r>
      <w:r>
        <w:t xml:space="preserve">Lois 2020, PMID 32674280.</w:t>
      </w:r>
    </w:p>
  </w:footnote>
  <w:footnote w:id="1137">
    <w:p>
      <w:pPr>
        <w:pStyle w:val="FootnoteText"/>
      </w:pPr>
      <w:r>
        <w:rPr>
          <w:rStyle w:val="FootnoteReference"/>
        </w:rPr>
        <w:footnoteRef/>
      </w:r>
      <w:r>
        <w:t xml:space="preserve"> </w:t>
      </w:r>
      <w:r>
        <w:t xml:space="preserve">Swartjes 2014, PMID 24529189; Pulman 2013, PMID 23262243.</w:t>
      </w:r>
    </w:p>
  </w:footnote>
  <w:footnote w:id="1138">
    <w:p>
      <w:pPr>
        <w:pStyle w:val="FootnoteText"/>
      </w:pPr>
      <w:r>
        <w:rPr>
          <w:rStyle w:val="FootnoteReference"/>
        </w:rPr>
        <w:footnoteRef/>
      </w:r>
      <w:r>
        <w:t xml:space="preserve"> </w:t>
      </w:r>
      <w:r>
        <w:t xml:space="preserve">van Rijt 2013, PMID 23302512.</w:t>
      </w:r>
    </w:p>
  </w:footnote>
  <w:footnote w:id="1139">
    <w:p>
      <w:pPr>
        <w:pStyle w:val="FootnoteText"/>
      </w:pPr>
      <w:r>
        <w:rPr>
          <w:rStyle w:val="FootnoteReference"/>
        </w:rPr>
        <w:footnoteRef/>
      </w:r>
      <w:r>
        <w:t xml:space="preserve"> </w:t>
      </w:r>
      <w:r>
        <w:t xml:space="preserve">Muller 2016, PMID 26736179.</w:t>
      </w:r>
    </w:p>
  </w:footnote>
  <w:footnote w:id="1140">
    <w:p>
      <w:pPr>
        <w:pStyle w:val="FootnoteText"/>
      </w:pPr>
      <w:r>
        <w:rPr>
          <w:rStyle w:val="FootnoteReference"/>
        </w:rPr>
        <w:footnoteRef/>
      </w:r>
      <w:r>
        <w:t xml:space="preserve"> </w:t>
      </w:r>
      <w:r>
        <w:t xml:space="preserve">Al-Onaizi 2022, PMID 34343617.</w:t>
      </w:r>
    </w:p>
  </w:footnote>
  <w:footnote w:id="1141">
    <w:p>
      <w:pPr>
        <w:pStyle w:val="FootnoteText"/>
      </w:pPr>
      <w:r>
        <w:rPr>
          <w:rStyle w:val="FootnoteReference"/>
        </w:rPr>
        <w:footnoteRef/>
      </w:r>
      <w:r>
        <w:t xml:space="preserve"> </w:t>
      </w:r>
      <w:r>
        <w:t xml:space="preserve">Winicki 2022, PMID 36741836.</w:t>
      </w:r>
    </w:p>
  </w:footnote>
  <w:footnote w:id="1143">
    <w:p>
      <w:pPr>
        <w:pStyle w:val="FootnoteText"/>
      </w:pPr>
      <w:r>
        <w:rPr>
          <w:rStyle w:val="FootnoteReference"/>
        </w:rPr>
        <w:footnoteRef/>
      </w:r>
      <w:r>
        <w:t xml:space="preserve"> </w:t>
      </w:r>
      <w:r>
        <w:t xml:space="preserve">Heij 2012, PMID 23168581; Brines 2015, PMID 25387363.</w:t>
      </w:r>
    </w:p>
  </w:footnote>
  <w:footnote w:id="1144">
    <w:p>
      <w:pPr>
        <w:pStyle w:val="FootnoteText"/>
      </w:pPr>
      <w:r>
        <w:rPr>
          <w:rStyle w:val="FootnoteReference"/>
        </w:rPr>
        <w:footnoteRef/>
      </w:r>
      <w:r>
        <w:t xml:space="preserve"> </w:t>
      </w:r>
      <w:r>
        <w:t xml:space="preserve">Lois 2020, PMID 32674280.</w:t>
      </w:r>
    </w:p>
  </w:footnote>
  <w:footnote w:id="1149">
    <w:p>
      <w:pPr>
        <w:pStyle w:val="FootnoteText"/>
      </w:pPr>
      <w:r>
        <w:rPr>
          <w:rStyle w:val="FootnoteReference"/>
        </w:rPr>
        <w:footnoteRef/>
      </w:r>
      <w:r>
        <w:t xml:space="preserve"> </w:t>
      </w:r>
      <w:r>
        <w:t xml:space="preserve">NCT02039687.</w:t>
      </w:r>
    </w:p>
  </w:footnote>
  <w:footnote w:id="1150">
    <w:p>
      <w:pPr>
        <w:pStyle w:val="FootnoteText"/>
      </w:pPr>
      <w:r>
        <w:rPr>
          <w:rStyle w:val="FootnoteReference"/>
        </w:rPr>
        <w:footnoteRef/>
      </w:r>
      <w:r>
        <w:t xml:space="preserve"> </w:t>
      </w:r>
      <w:r>
        <w:t xml:space="preserve">NCT06626971.</w:t>
      </w:r>
    </w:p>
  </w:footnote>
  <w:footnote w:id="1152">
    <w:p>
      <w:pPr>
        <w:pStyle w:val="FootnoteText"/>
      </w:pPr>
      <w:r>
        <w:rPr>
          <w:rStyle w:val="FootnoteReference"/>
        </w:rPr>
        <w:footnoteRef/>
      </w:r>
      <w:r>
        <w:t xml:space="preserve"> </w:t>
      </w:r>
      <w:r>
        <w:t xml:space="preserve">Culver 2017, PMID 28475703.</w:t>
      </w:r>
    </w:p>
  </w:footnote>
  <w:footnote w:id="1155">
    <w:p>
      <w:pPr>
        <w:pStyle w:val="FootnoteText"/>
      </w:pPr>
      <w:r>
        <w:rPr>
          <w:rStyle w:val="FootnoteReference"/>
        </w:rPr>
        <w:footnoteRef/>
      </w:r>
      <w:r>
        <w:t xml:space="preserve"> </w:t>
      </w:r>
      <w:r>
        <w:t xml:space="preserve">Gopalakrishnan 2012, PMID 22401908.</w:t>
      </w:r>
    </w:p>
  </w:footnote>
  <w:footnote w:id="1157">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Slifer 2021, PMID 33881350.</w:t>
      </w:r>
    </w:p>
  </w:footnote>
  <w:footnote w:id="1160">
    <w:p>
      <w:pPr>
        <w:pStyle w:val="FootnoteText"/>
      </w:pPr>
      <w:r>
        <w:rPr>
          <w:rStyle w:val="FootnoteReference"/>
        </w:rPr>
        <w:footnoteRef/>
      </w:r>
      <w:r>
        <w:t xml:space="preserve"> </w:t>
      </w:r>
      <w:r>
        <w:t xml:space="preserve">Hoilat 2022, PMID 34339872.</w:t>
      </w:r>
    </w:p>
  </w:footnote>
  <w:footnote w:id="1161">
    <w:p>
      <w:pPr>
        <w:pStyle w:val="FootnoteText"/>
      </w:pPr>
      <w:r>
        <w:rPr>
          <w:rStyle w:val="FootnoteReference"/>
        </w:rPr>
        <w:footnoteRef/>
      </w:r>
      <w:r>
        <w:t xml:space="preserve"> </w:t>
      </w:r>
      <w:r>
        <w:t xml:space="preserve">Leffler 2012, PMID 22825365; Kelly 2013, PMID 23163616.</w:t>
      </w:r>
    </w:p>
  </w:footnote>
  <w:footnote w:id="1162">
    <w:p>
      <w:pPr>
        <w:pStyle w:val="FootnoteText"/>
      </w:pPr>
      <w:r>
        <w:rPr>
          <w:rStyle w:val="FootnoteReference"/>
        </w:rPr>
        <w:footnoteRef/>
      </w:r>
      <w:r>
        <w:t xml:space="preserve"> </w:t>
      </w:r>
      <w:r>
        <w:t xml:space="preserve">Kelly 2013, PMID 23163616.</w:t>
      </w:r>
    </w:p>
  </w:footnote>
  <w:footnote w:id="1163">
    <w:p>
      <w:pPr>
        <w:pStyle w:val="FootnoteText"/>
      </w:pPr>
      <w:r>
        <w:rPr>
          <w:rStyle w:val="FootnoteReference"/>
        </w:rPr>
        <w:footnoteRef/>
      </w:r>
      <w:r>
        <w:t xml:space="preserve"> </w:t>
      </w:r>
      <w:r>
        <w:t xml:space="preserve">Leffler 2015, PMID 25683116.</w:t>
      </w:r>
    </w:p>
  </w:footnote>
  <w:footnote w:id="1164">
    <w:p>
      <w:pPr>
        <w:pStyle w:val="FootnoteText"/>
      </w:pPr>
      <w:r>
        <w:rPr>
          <w:rStyle w:val="FootnoteReference"/>
        </w:rPr>
        <w:footnoteRef/>
      </w:r>
      <w:r>
        <w:t xml:space="preserve"> </w:t>
      </w:r>
      <w:r>
        <w:t xml:space="preserve">Hoilat 2022, PMID 34339872.</w:t>
      </w:r>
    </w:p>
  </w:footnote>
  <w:footnote w:id="1166">
    <w:p>
      <w:pPr>
        <w:pStyle w:val="FootnoteText"/>
      </w:pPr>
      <w:r>
        <w:rPr>
          <w:rStyle w:val="FootnoteReference"/>
        </w:rPr>
        <w:footnoteRef/>
      </w:r>
      <w:r>
        <w:t xml:space="preserve"> </w:t>
      </w:r>
      <w:r>
        <w:t xml:space="preserve">NCT03569007.</w:t>
      </w:r>
    </w:p>
  </w:footnote>
  <w:footnote w:id="1167">
    <w:p>
      <w:pPr>
        <w:pStyle w:val="FootnoteText"/>
      </w:pPr>
      <w:r>
        <w:rPr>
          <w:rStyle w:val="FootnoteReference"/>
        </w:rPr>
        <w:footnoteRef/>
      </w:r>
      <w:r>
        <w:t xml:space="preserve"> </w:t>
      </w:r>
      <w:r>
        <w:t xml:space="preserve">D’heedene 2024, PMID 38648685.</w:t>
      </w:r>
    </w:p>
  </w:footnote>
  <w:footnote w:id="1168">
    <w:p>
      <w:pPr>
        <w:pStyle w:val="FootnoteText"/>
      </w:pPr>
      <w:r>
        <w:rPr>
          <w:rStyle w:val="FootnoteReference"/>
        </w:rPr>
        <w:footnoteRef/>
      </w:r>
      <w:r>
        <w:t xml:space="preserve"> </w:t>
      </w:r>
      <w:r>
        <w:t xml:space="preserve">Girbal-González 2025, PMID 41010485.</w:t>
      </w:r>
    </w:p>
  </w:footnote>
  <w:footnote w:id="1170">
    <w:p>
      <w:pPr>
        <w:pStyle w:val="FootnoteText"/>
      </w:pPr>
      <w:r>
        <w:rPr>
          <w:rStyle w:val="FootnoteReference"/>
        </w:rPr>
        <w:footnoteRef/>
      </w:r>
      <w:r>
        <w:t xml:space="preserve"> </w:t>
      </w:r>
      <w:r>
        <w:t xml:space="preserve">Yonker 2022, PMID 35211683.</w:t>
      </w:r>
    </w:p>
  </w:footnote>
  <w:footnote w:id="1171">
    <w:p>
      <w:pPr>
        <w:pStyle w:val="FootnoteText"/>
      </w:pPr>
      <w:r>
        <w:rPr>
          <w:rStyle w:val="FootnoteReference"/>
        </w:rPr>
        <w:footnoteRef/>
      </w:r>
      <w:r>
        <w:t xml:space="preserve"> </w:t>
      </w:r>
      <w:r>
        <w:t xml:space="preserve">Yonker 2025, PMID 40737433.</w:t>
      </w:r>
    </w:p>
  </w:footnote>
  <w:footnote w:id="1172">
    <w:p>
      <w:pPr>
        <w:pStyle w:val="FootnoteText"/>
      </w:pPr>
      <w:r>
        <w:rPr>
          <w:rStyle w:val="FootnoteReference"/>
        </w:rPr>
        <w:footnoteRef/>
      </w:r>
      <w:r>
        <w:t xml:space="preserve"> </w:t>
      </w:r>
      <w:r>
        <w:t xml:space="preserve">NCT05022303.</w:t>
      </w:r>
    </w:p>
  </w:footnote>
  <w:footnote w:id="1173">
    <w:p>
      <w:pPr>
        <w:pStyle w:val="FootnoteText"/>
      </w:pPr>
      <w:r>
        <w:rPr>
          <w:rStyle w:val="FootnoteReference"/>
        </w:rPr>
        <w:footnoteRef/>
      </w:r>
      <w:r>
        <w:t xml:space="preserve"> </w:t>
      </w:r>
      <w:r>
        <w:t xml:space="preserve">NCT05747534.</w:t>
      </w:r>
    </w:p>
  </w:footnote>
  <w:footnote w:id="1176">
    <w:p>
      <w:pPr>
        <w:pStyle w:val="FootnoteText"/>
      </w:pPr>
      <w:r>
        <w:rPr>
          <w:rStyle w:val="FootnoteReference"/>
        </w:rPr>
        <w:footnoteRef/>
      </w:r>
      <w:r>
        <w:t xml:space="preserve"> </w:t>
      </w:r>
      <w:r>
        <w:t xml:space="preserve">Tajik 2020, PMID 32332732.</w:t>
      </w:r>
    </w:p>
  </w:footnote>
  <w:footnote w:id="1177">
    <w:p>
      <w:pPr>
        <w:pStyle w:val="FootnoteText"/>
      </w:pPr>
      <w:r>
        <w:rPr>
          <w:rStyle w:val="FootnoteReference"/>
        </w:rPr>
        <w:footnoteRef/>
      </w:r>
      <w:r>
        <w:t xml:space="preserve"> </w:t>
      </w:r>
      <w:r>
        <w:t xml:space="preserve">Slifer 2021, PMID 33881350.</w:t>
      </w:r>
    </w:p>
  </w:footnote>
  <w:footnote w:id="1178">
    <w:p>
      <w:pPr>
        <w:pStyle w:val="FootnoteText"/>
      </w:pPr>
      <w:r>
        <w:rPr>
          <w:rStyle w:val="FootnoteReference"/>
        </w:rPr>
        <w:footnoteRef/>
      </w:r>
      <w:r>
        <w:t xml:space="preserve"> </w:t>
      </w:r>
      <w:r>
        <w:t xml:space="preserve">Karahan 2024, PMID 38441784; Caliskan 2021, PMID 34791921.</w:t>
      </w:r>
    </w:p>
  </w:footnote>
  <w:footnote w:id="1180">
    <w:p>
      <w:pPr>
        <w:pStyle w:val="FootnoteText"/>
      </w:pPr>
      <w:r>
        <w:rPr>
          <w:rStyle w:val="FootnoteReference"/>
        </w:rPr>
        <w:footnoteRef/>
      </w:r>
      <w:r>
        <w:t xml:space="preserve"> </w:t>
      </w:r>
      <w:r>
        <w:t xml:space="preserve">Leffler 2012, PMID 22825365.</w:t>
      </w:r>
    </w:p>
  </w:footnote>
  <w:footnote w:id="1181">
    <w:p>
      <w:pPr>
        <w:pStyle w:val="FootnoteText"/>
      </w:pPr>
      <w:r>
        <w:rPr>
          <w:rStyle w:val="FootnoteReference"/>
        </w:rPr>
        <w:footnoteRef/>
      </w:r>
      <w:r>
        <w:t xml:space="preserve"> </w:t>
      </w:r>
      <w:r>
        <w:t xml:space="preserve">Leffler 2015, PMID 25683116.</w:t>
      </w:r>
    </w:p>
  </w:footnote>
  <w:footnote w:id="1182">
    <w:p>
      <w:pPr>
        <w:pStyle w:val="FootnoteText"/>
      </w:pPr>
      <w:r>
        <w:rPr>
          <w:rStyle w:val="FootnoteReference"/>
        </w:rPr>
        <w:footnoteRef/>
      </w:r>
      <w:r>
        <w:t xml:space="preserve"> </w:t>
      </w:r>
      <w:r>
        <w:t xml:space="preserve">Hoilat 2022, PMID 34339872.</w:t>
      </w:r>
    </w:p>
  </w:footnote>
  <w:footnote w:id="1187">
    <w:p>
      <w:pPr>
        <w:pStyle w:val="FootnoteText"/>
      </w:pPr>
      <w:r>
        <w:rPr>
          <w:rStyle w:val="FootnoteReference"/>
        </w:rPr>
        <w:footnoteRef/>
      </w:r>
      <w:r>
        <w:t xml:space="preserve"> </w:t>
      </w:r>
      <w:r>
        <w:t xml:space="preserve">NCT05747534.</w:t>
      </w:r>
    </w:p>
  </w:footnote>
  <w:footnote w:id="1188">
    <w:p>
      <w:pPr>
        <w:pStyle w:val="FootnoteText"/>
      </w:pPr>
      <w:r>
        <w:rPr>
          <w:rStyle w:val="FootnoteReference"/>
        </w:rPr>
        <w:footnoteRef/>
      </w:r>
      <w:r>
        <w:t xml:space="preserve"> </w:t>
      </w:r>
      <w:r>
        <w:t xml:space="preserve">D’heedene 2024, PMID 38648685.</w:t>
      </w:r>
    </w:p>
  </w:footnote>
  <w:footnote w:id="1190">
    <w:p>
      <w:pPr>
        <w:pStyle w:val="FootnoteText"/>
      </w:pPr>
      <w:r>
        <w:rPr>
          <w:rStyle w:val="FootnoteReference"/>
        </w:rPr>
        <w:footnoteRef/>
      </w:r>
      <w:r>
        <w:t xml:space="preserve"> </w:t>
      </w:r>
      <w:r>
        <w:t xml:space="preserve">Leffler 2015, PMID 25683116.</w:t>
      </w:r>
    </w:p>
  </w:footnote>
  <w:footnote w:id="1193">
    <w:p>
      <w:pPr>
        <w:pStyle w:val="FootnoteText"/>
      </w:pPr>
      <w:r>
        <w:rPr>
          <w:rStyle w:val="FootnoteReference"/>
        </w:rPr>
        <w:footnoteRef/>
      </w:r>
      <w:r>
        <w:t xml:space="preserve"> </w:t>
      </w:r>
      <w:r>
        <w:t xml:space="preserve">Morozov 1997, PMID 9637345.</w:t>
      </w:r>
    </w:p>
  </w:footnote>
  <w:footnote w:id="1194">
    <w:p>
      <w:pPr>
        <w:pStyle w:val="FootnoteText"/>
      </w:pPr>
      <w:r>
        <w:rPr>
          <w:rStyle w:val="FootnoteReference"/>
        </w:rPr>
        <w:footnoteRef/>
      </w:r>
      <w:r>
        <w:t xml:space="preserve"> </w:t>
      </w:r>
      <w:r>
        <w:t xml:space="preserve">Linkova 2023, PMID 37686182.</w:t>
      </w:r>
    </w:p>
  </w:footnote>
  <w:footnote w:id="1195">
    <w:p>
      <w:pPr>
        <w:pStyle w:val="FootnoteText"/>
      </w:pPr>
      <w:r>
        <w:rPr>
          <w:rStyle w:val="FootnoteReference"/>
        </w:rPr>
        <w:footnoteRef/>
      </w:r>
      <w:r>
        <w:t xml:space="preserve"> </w:t>
      </w:r>
      <w:r>
        <w:t xml:space="preserve">Anisimov 2000, PMID 11707921.</w:t>
      </w:r>
    </w:p>
  </w:footnote>
  <w:footnote w:id="1197">
    <w:p>
      <w:pPr>
        <w:pStyle w:val="FootnoteText"/>
      </w:pPr>
      <w:r>
        <w:rPr>
          <w:rStyle w:val="FootnoteReference"/>
        </w:rPr>
        <w:footnoteRef/>
      </w:r>
      <w:r>
        <w:t xml:space="preserve"> </w:t>
      </w:r>
      <w:r>
        <w:t xml:space="preserve">Morozov 1997, PMID 9637345.</w:t>
      </w:r>
    </w:p>
  </w:footnote>
  <w:footnote w:id="1198">
    <w:p>
      <w:pPr>
        <w:pStyle w:val="FootnoteText"/>
      </w:pPr>
      <w:r>
        <w:rPr>
          <w:rStyle w:val="FootnoteReference"/>
        </w:rPr>
        <w:footnoteRef/>
      </w:r>
      <w:r>
        <w:t xml:space="preserve"> </w:t>
      </w:r>
      <w:r>
        <w:t xml:space="preserve">Khavinson 2002, PMID 12374906.</w:t>
      </w:r>
    </w:p>
  </w:footnote>
  <w:footnote w:id="1199">
    <w:p>
      <w:pPr>
        <w:pStyle w:val="FootnoteText"/>
      </w:pPr>
      <w:r>
        <w:rPr>
          <w:rStyle w:val="FootnoteReference"/>
        </w:rPr>
        <w:footnoteRef/>
      </w:r>
      <w:r>
        <w:t xml:space="preserve"> </w:t>
      </w:r>
      <w:r>
        <w:t xml:space="preserve">Linkova 2023, PMID 37686182.</w:t>
      </w:r>
    </w:p>
  </w:footnote>
  <w:footnote w:id="1201">
    <w:p>
      <w:pPr>
        <w:pStyle w:val="FootnoteText"/>
      </w:pPr>
      <w:r>
        <w:rPr>
          <w:rStyle w:val="FootnoteReference"/>
        </w:rPr>
        <w:footnoteRef/>
      </w:r>
      <w:r>
        <w:t xml:space="preserve"> </w:t>
      </w:r>
      <w:r>
        <w:t xml:space="preserve">Khavinson 2003, PMID 14523363.</w:t>
      </w:r>
    </w:p>
  </w:footnote>
  <w:footnote w:id="1203">
    <w:p>
      <w:pPr>
        <w:pStyle w:val="FootnoteText"/>
      </w:pPr>
      <w:r>
        <w:rPr>
          <w:rStyle w:val="FootnoteReference"/>
        </w:rPr>
        <w:footnoteRef/>
      </w:r>
      <w:r>
        <w:t xml:space="preserve"> </w:t>
      </w:r>
      <w:r>
        <w:t xml:space="preserve">Kuznik 2022, PMID 36169363.</w:t>
      </w:r>
    </w:p>
  </w:footnote>
  <w:footnote w:id="1204">
    <w:p>
      <w:pPr>
        <w:pStyle w:val="FootnoteText"/>
      </w:pPr>
      <w:r>
        <w:rPr>
          <w:rStyle w:val="FootnoteReference"/>
        </w:rPr>
        <w:footnoteRef/>
      </w:r>
      <w:r>
        <w:t xml:space="preserve"> </w:t>
      </w:r>
      <w:r>
        <w:t xml:space="preserve">Khavinson 2021, PMID 33575961.</w:t>
      </w:r>
    </w:p>
  </w:footnote>
  <w:footnote w:id="1206">
    <w:p>
      <w:pPr>
        <w:pStyle w:val="FootnoteText"/>
      </w:pPr>
      <w:r>
        <w:rPr>
          <w:rStyle w:val="FootnoteReference"/>
        </w:rPr>
        <w:footnoteRef/>
      </w:r>
      <w:r>
        <w:t xml:space="preserve"> </w:t>
      </w:r>
      <w:r>
        <w:t xml:space="preserve">Smirnov 2011, PMID 21957588.</w:t>
      </w:r>
    </w:p>
  </w:footnote>
  <w:footnote w:id="1210">
    <w:p>
      <w:pPr>
        <w:pStyle w:val="FootnoteText"/>
      </w:pPr>
      <w:r>
        <w:rPr>
          <w:rStyle w:val="FootnoteReference"/>
        </w:rPr>
        <w:footnoteRef/>
      </w:r>
      <w:r>
        <w:t xml:space="preserve"> </w:t>
      </w:r>
      <w:r>
        <w:t xml:space="preserve">Anisimov 2000, PMID 11707921.</w:t>
      </w:r>
    </w:p>
  </w:footnote>
  <w:footnote w:id="1211">
    <w:p>
      <w:pPr>
        <w:pStyle w:val="FootnoteText"/>
      </w:pPr>
      <w:r>
        <w:rPr>
          <w:rStyle w:val="FootnoteReference"/>
        </w:rPr>
        <w:footnoteRef/>
      </w:r>
      <w:r>
        <w:t xml:space="preserve"> </w:t>
      </w:r>
      <w:r>
        <w:t xml:space="preserve">Khavinson 2020, PMID 33237528.</w:t>
      </w:r>
    </w:p>
  </w:footnote>
  <w:footnote w:id="1219">
    <w:p>
      <w:pPr>
        <w:pStyle w:val="FootnoteText"/>
      </w:pPr>
      <w:r>
        <w:rPr>
          <w:rStyle w:val="FootnoteReference"/>
        </w:rPr>
        <w:footnoteRef/>
      </w:r>
      <w:r>
        <w:t xml:space="preserve"> </w:t>
      </w:r>
      <w:r>
        <w:t xml:space="preserve">Khavinson 2003, PMID 14523363.</w:t>
      </w:r>
    </w:p>
  </w:footnote>
  <w:footnote w:id="1223">
    <w:p>
      <w:pPr>
        <w:pStyle w:val="FootnoteText"/>
      </w:pPr>
      <w:r>
        <w:rPr>
          <w:rStyle w:val="FootnoteReference"/>
        </w:rPr>
        <w:footnoteRef/>
      </w:r>
      <w:r>
        <w:t xml:space="preserve"> </w:t>
      </w:r>
      <w:r>
        <w:t xml:space="preserve">Kojima 1999, PMID 10604470.</w:t>
      </w:r>
    </w:p>
  </w:footnote>
  <w:footnote w:id="1225">
    <w:p>
      <w:pPr>
        <w:pStyle w:val="FootnoteText"/>
      </w:pPr>
      <w:r>
        <w:rPr>
          <w:rStyle w:val="FootnoteReference"/>
        </w:rPr>
        <w:footnoteRef/>
      </w:r>
      <w:r>
        <w:t xml:space="preserve"> </w:t>
      </w:r>
      <w:r>
        <w:t xml:space="preserve">Liu 2008, PMID 18347346.</w:t>
      </w:r>
    </w:p>
  </w:footnote>
  <w:footnote w:id="1226">
    <w:p>
      <w:pPr>
        <w:pStyle w:val="FootnoteText"/>
      </w:pPr>
      <w:r>
        <w:rPr>
          <w:rStyle w:val="FootnoteReference"/>
        </w:rPr>
        <w:footnoteRef/>
      </w:r>
      <w:r>
        <w:t xml:space="preserve"> </w:t>
      </w:r>
      <w:r>
        <w:t xml:space="preserve">Liu 2007, PMID 17227934.</w:t>
      </w:r>
    </w:p>
  </w:footnote>
  <w:footnote w:id="1228">
    <w:p>
      <w:pPr>
        <w:pStyle w:val="FootnoteText"/>
      </w:pPr>
      <w:r>
        <w:rPr>
          <w:rStyle w:val="FootnoteReference"/>
        </w:rPr>
        <w:footnoteRef/>
      </w:r>
      <w:r>
        <w:t xml:space="preserve"> </w:t>
      </w:r>
      <w:r>
        <w:t xml:space="preserve">Renehan 2004, PMID 15110491.</w:t>
      </w:r>
    </w:p>
  </w:footnote>
  <w:footnote w:id="1229">
    <w:p>
      <w:pPr>
        <w:pStyle w:val="FootnoteText"/>
      </w:pPr>
      <w:r>
        <w:rPr>
          <w:rStyle w:val="FootnoteReference"/>
        </w:rPr>
        <w:footnoteRef/>
      </w:r>
      <w:r>
        <w:t xml:space="preserve"> </w:t>
      </w:r>
      <w:r>
        <w:t xml:space="preserve">Murphy 2020, PMID 32169310; Murphy 2020, PMID 31884074.</w:t>
      </w:r>
    </w:p>
  </w:footnote>
  <w:footnote w:id="1230">
    <w:p>
      <w:pPr>
        <w:pStyle w:val="FootnoteText"/>
      </w:pPr>
      <w:r>
        <w:rPr>
          <w:rStyle w:val="FootnoteReference"/>
        </w:rPr>
        <w:footnoteRef/>
      </w:r>
      <w:r>
        <w:t xml:space="preserve"> </w:t>
      </w:r>
      <w:r>
        <w:t xml:space="preserve">Dal 2018, PMID 29590449.</w:t>
      </w:r>
    </w:p>
  </w:footnote>
  <w:footnote w:id="1231">
    <w:p>
      <w:pPr>
        <w:pStyle w:val="FootnoteText"/>
      </w:pPr>
      <w:r>
        <w:rPr>
          <w:rStyle w:val="FootnoteReference"/>
        </w:rPr>
        <w:footnoteRef/>
      </w:r>
      <w:r>
        <w:t xml:space="preserve"> </w:t>
      </w:r>
      <w:r>
        <w:t xml:space="preserve">Guevara-Aguirre 2011, PMID 21325617.</w:t>
      </w:r>
    </w:p>
  </w:footnote>
  <w:footnote w:id="1232">
    <w:p>
      <w:pPr>
        <w:pStyle w:val="FootnoteText"/>
      </w:pPr>
      <w:r>
        <w:rPr>
          <w:rStyle w:val="FootnoteReference"/>
        </w:rPr>
        <w:footnoteRef/>
      </w:r>
      <w:r>
        <w:t xml:space="preserve"> </w:t>
      </w:r>
      <w:r>
        <w:t xml:space="preserve">Swerdlow 2017, PMID 28187225.</w:t>
      </w:r>
    </w:p>
  </w:footnote>
  <w:footnote w:id="1233">
    <w:p>
      <w:pPr>
        <w:pStyle w:val="FootnoteText"/>
      </w:pPr>
      <w:r>
        <w:rPr>
          <w:rStyle w:val="FootnoteReference"/>
        </w:rPr>
        <w:footnoteRef/>
      </w:r>
      <w:r>
        <w:t xml:space="preserve"> </w:t>
      </w:r>
      <w:r>
        <w:t xml:space="preserve">Child 2015, PMID 25810462.</w:t>
      </w:r>
    </w:p>
  </w:footnote>
  <w:footnote w:id="1237">
    <w:p>
      <w:pPr>
        <w:pStyle w:val="FootnoteText"/>
      </w:pPr>
      <w:r>
        <w:rPr>
          <w:rStyle w:val="FootnoteReference"/>
        </w:rPr>
        <w:footnoteRef/>
      </w:r>
      <w:r>
        <w:t xml:space="preserve"> </w:t>
      </w:r>
      <w:r>
        <w:t xml:space="preserve">Prakash 1999, PMID 18031173.</w:t>
      </w:r>
    </w:p>
  </w:footnote>
  <w:footnote w:id="1239">
    <w:p>
      <w:pPr>
        <w:pStyle w:val="FootnoteText"/>
      </w:pPr>
      <w:r>
        <w:rPr>
          <w:rStyle w:val="FootnoteReference"/>
        </w:rPr>
        <w:footnoteRef/>
      </w:r>
      <w:r>
        <w:t xml:space="preserve"> </w:t>
      </w:r>
      <w:r>
        <w:t xml:space="preserve">Esposito 2003, PMID 14499707.</w:t>
      </w:r>
    </w:p>
  </w:footnote>
  <w:footnote w:id="1241">
    <w:p>
      <w:pPr>
        <w:pStyle w:val="FootnoteText"/>
      </w:pPr>
      <w:r>
        <w:rPr>
          <w:rStyle w:val="FootnoteReference"/>
        </w:rPr>
        <w:footnoteRef/>
      </w:r>
      <w:r>
        <w:t xml:space="preserve"> </w:t>
      </w:r>
      <w:r>
        <w:t xml:space="preserve">Thorner 1996, PMID 8772599.</w:t>
      </w:r>
    </w:p>
  </w:footnote>
  <w:footnote w:id="1242">
    <w:p>
      <w:pPr>
        <w:pStyle w:val="FootnoteText"/>
      </w:pPr>
      <w:r>
        <w:rPr>
          <w:rStyle w:val="FootnoteReference"/>
        </w:rPr>
        <w:footnoteRef/>
      </w:r>
      <w:r>
        <w:t xml:space="preserve"> </w:t>
      </w:r>
      <w:r>
        <w:t xml:space="preserve">Ross 1987, PMID 2879138.</w:t>
      </w:r>
    </w:p>
  </w:footnote>
  <w:footnote w:id="1243">
    <w:p>
      <w:pPr>
        <w:pStyle w:val="FootnoteText"/>
      </w:pPr>
      <w:r>
        <w:rPr>
          <w:rStyle w:val="FootnoteReference"/>
        </w:rPr>
        <w:footnoteRef/>
      </w:r>
      <w:r>
        <w:t xml:space="preserve"> </w:t>
      </w:r>
      <w:r>
        <w:t xml:space="preserve">Neyzi 1993, PMID 8329826.</w:t>
      </w:r>
    </w:p>
  </w:footnote>
  <w:footnote w:id="1244">
    <w:p>
      <w:pPr>
        <w:pStyle w:val="FootnoteText"/>
      </w:pPr>
      <w:r>
        <w:rPr>
          <w:rStyle w:val="FootnoteReference"/>
        </w:rPr>
        <w:footnoteRef/>
      </w:r>
      <w:r>
        <w:t xml:space="preserve"> </w:t>
      </w:r>
      <w:r>
        <w:t xml:space="preserve">Prakash 1999, PMID 18031173.</w:t>
      </w:r>
    </w:p>
  </w:footnote>
  <w:footnote w:id="1245">
    <w:p>
      <w:pPr>
        <w:pStyle w:val="FootnoteText"/>
      </w:pPr>
      <w:r>
        <w:rPr>
          <w:rStyle w:val="FootnoteReference"/>
        </w:rPr>
        <w:footnoteRef/>
      </w:r>
      <w:r>
        <w:t xml:space="preserve"> </w:t>
      </w:r>
      <w:r>
        <w:t xml:space="preserve">Kirk 1994, PMID 7955460.</w:t>
      </w:r>
    </w:p>
  </w:footnote>
  <w:footnote w:id="1247">
    <w:p>
      <w:pPr>
        <w:pStyle w:val="FootnoteText"/>
      </w:pPr>
      <w:r>
        <w:rPr>
          <w:rStyle w:val="FootnoteReference"/>
        </w:rPr>
        <w:footnoteRef/>
      </w:r>
      <w:r>
        <w:t xml:space="preserve"> </w:t>
      </w:r>
      <w:r>
        <w:t xml:space="preserve">Khorram 1997, PMID 9141536.</w:t>
      </w:r>
    </w:p>
  </w:footnote>
  <w:footnote w:id="1248">
    <w:p>
      <w:pPr>
        <w:pStyle w:val="FootnoteText"/>
      </w:pPr>
      <w:r>
        <w:rPr>
          <w:rStyle w:val="FootnoteReference"/>
        </w:rPr>
        <w:footnoteRef/>
      </w:r>
      <w:r>
        <w:t xml:space="preserve"> </w:t>
      </w:r>
      <w:r>
        <w:t xml:space="preserve">Khorram 1997, PMID 9360512.</w:t>
      </w:r>
    </w:p>
  </w:footnote>
  <w:footnote w:id="1249">
    <w:p>
      <w:pPr>
        <w:pStyle w:val="FootnoteText"/>
      </w:pPr>
      <w:r>
        <w:rPr>
          <w:rStyle w:val="FootnoteReference"/>
        </w:rPr>
        <w:footnoteRef/>
      </w:r>
      <w:r>
        <w:t xml:space="preserve"> </w:t>
      </w:r>
      <w:r>
        <w:t xml:space="preserve">Vittone 1997, PMID 9005976.</w:t>
      </w:r>
    </w:p>
  </w:footnote>
  <w:footnote w:id="1250">
    <w:p>
      <w:pPr>
        <w:pStyle w:val="FootnoteText"/>
      </w:pPr>
      <w:r>
        <w:rPr>
          <w:rStyle w:val="FootnoteReference"/>
        </w:rPr>
        <w:footnoteRef/>
      </w:r>
      <w:r>
        <w:t xml:space="preserve"> </w:t>
      </w:r>
      <w:r>
        <w:t xml:space="preserve">NCT00807365, NCT01410799.</w:t>
      </w:r>
    </w:p>
  </w:footnote>
  <w:footnote w:id="1252">
    <w:p>
      <w:pPr>
        <w:pStyle w:val="FootnoteText"/>
      </w:pPr>
      <w:r>
        <w:rPr>
          <w:rStyle w:val="FootnoteReference"/>
        </w:rPr>
        <w:footnoteRef/>
      </w:r>
      <w:r>
        <w:t xml:space="preserve"> </w:t>
      </w:r>
      <w:r>
        <w:t xml:space="preserve">Prakash 1999, PMID 18031173.</w:t>
      </w:r>
    </w:p>
  </w:footnote>
  <w:footnote w:id="1253">
    <w:p>
      <w:pPr>
        <w:pStyle w:val="FootnoteText"/>
      </w:pPr>
      <w:r>
        <w:rPr>
          <w:rStyle w:val="FootnoteReference"/>
        </w:rPr>
        <w:footnoteRef/>
      </w:r>
      <w:r>
        <w:t xml:space="preserve"> </w:t>
      </w:r>
      <w:r>
        <w:t xml:space="preserve">Garcia 2013, PMID 23559086.</w:t>
      </w:r>
    </w:p>
  </w:footnote>
  <w:footnote w:id="1255">
    <w:p>
      <w:pPr>
        <w:pStyle w:val="FootnoteText"/>
      </w:pPr>
      <w:r>
        <w:rPr>
          <w:rStyle w:val="FootnoteReference"/>
        </w:rPr>
        <w:footnoteRef/>
      </w:r>
      <w:r>
        <w:t xml:space="preserve"> </w:t>
      </w:r>
      <w:r>
        <w:t xml:space="preserve">Sigalos 2017, PMID 28830317.</w:t>
      </w:r>
    </w:p>
  </w:footnote>
  <w:footnote w:id="1258">
    <w:p>
      <w:pPr>
        <w:pStyle w:val="FootnoteText"/>
      </w:pPr>
      <w:r>
        <w:rPr>
          <w:rStyle w:val="FootnoteReference"/>
        </w:rPr>
        <w:footnoteRef/>
      </w:r>
      <w:r>
        <w:t xml:space="preserve"> </w:t>
      </w:r>
      <w:r>
        <w:t xml:space="preserve">Esposito 2003, PMID 14499707.</w:t>
      </w:r>
    </w:p>
  </w:footnote>
  <w:footnote w:id="1259">
    <w:p>
      <w:pPr>
        <w:pStyle w:val="FootnoteText"/>
      </w:pPr>
      <w:r>
        <w:rPr>
          <w:rStyle w:val="FootnoteReference"/>
        </w:rPr>
        <w:footnoteRef/>
      </w:r>
      <w:r>
        <w:t xml:space="preserve"> </w:t>
      </w:r>
      <w:r>
        <w:t xml:space="preserve">Chang 2021, PMID 33842627.</w:t>
      </w:r>
    </w:p>
  </w:footnote>
  <w:footnote w:id="1261">
    <w:p>
      <w:pPr>
        <w:pStyle w:val="FootnoteText"/>
      </w:pPr>
      <w:r>
        <w:rPr>
          <w:rStyle w:val="FootnoteReference"/>
        </w:rPr>
        <w:footnoteRef/>
      </w:r>
      <w:r>
        <w:t xml:space="preserve"> </w:t>
      </w:r>
      <w:r>
        <w:t xml:space="preserve">Prakash 1999, PMID 18031173.</w:t>
      </w:r>
    </w:p>
  </w:footnote>
  <w:footnote w:id="1262">
    <w:p>
      <w:pPr>
        <w:pStyle w:val="FootnoteText"/>
      </w:pPr>
      <w:r>
        <w:rPr>
          <w:rStyle w:val="FootnoteReference"/>
        </w:rPr>
        <w:footnoteRef/>
      </w:r>
      <w:r>
        <w:t xml:space="preserve"> </w:t>
      </w:r>
      <w:r>
        <w:t xml:space="preserve">Ross 1987, PMID 2879138.</w:t>
      </w:r>
    </w:p>
  </w:footnote>
  <w:footnote w:id="1263">
    <w:p>
      <w:pPr>
        <w:pStyle w:val="FootnoteText"/>
      </w:pPr>
      <w:r>
        <w:rPr>
          <w:rStyle w:val="FootnoteReference"/>
        </w:rPr>
        <w:footnoteRef/>
      </w:r>
      <w:r>
        <w:t xml:space="preserve"> </w:t>
      </w:r>
      <w:r>
        <w:t xml:space="preserve">Kirk 1994, PMID 7955460; Khorram 1997, PMID 9141536.</w:t>
      </w:r>
    </w:p>
  </w:footnote>
  <w:footnote w:id="1264">
    <w:p>
      <w:pPr>
        <w:pStyle w:val="FootnoteText"/>
      </w:pPr>
      <w:r>
        <w:rPr>
          <w:rStyle w:val="FootnoteReference"/>
        </w:rPr>
        <w:footnoteRef/>
      </w:r>
      <w:r>
        <w:t xml:space="preserve"> </w:t>
      </w:r>
      <w:r>
        <w:t xml:space="preserve">Perez 2026, PMID 42465868.</w:t>
      </w:r>
    </w:p>
  </w:footnote>
  <w:footnote w:id="1265">
    <w:p>
      <w:pPr>
        <w:pStyle w:val="FootnoteText"/>
      </w:pPr>
      <w:r>
        <w:rPr>
          <w:rStyle w:val="FootnoteReference"/>
        </w:rPr>
        <w:footnoteRef/>
      </w:r>
      <w:r>
        <w:t xml:space="preserve"> </w:t>
      </w:r>
      <w:r>
        <w:t xml:space="preserve">Venhuis 2016, PMID 26456392.</w:t>
      </w:r>
    </w:p>
  </w:footnote>
  <w:footnote w:id="1267">
    <w:p>
      <w:pPr>
        <w:pStyle w:val="FootnoteText"/>
      </w:pPr>
      <w:r>
        <w:rPr>
          <w:rStyle w:val="FootnoteReference"/>
        </w:rPr>
        <w:footnoteRef/>
      </w:r>
      <w:r>
        <w:t xml:space="preserve"> </w:t>
      </w:r>
      <w:r>
        <w:t xml:space="preserve">Garcia 2013, PMID 23559086.</w:t>
      </w:r>
    </w:p>
  </w:footnote>
  <w:footnote w:id="1268">
    <w:p>
      <w:pPr>
        <w:pStyle w:val="FootnoteText"/>
      </w:pPr>
      <w:r>
        <w:rPr>
          <w:rStyle w:val="FootnoteReference"/>
        </w:rPr>
        <w:footnoteRef/>
      </w:r>
      <w:r>
        <w:t xml:space="preserve"> </w:t>
      </w:r>
      <w:r>
        <w:t xml:space="preserve">Willis 2026, PMID 42752426.</w:t>
      </w:r>
    </w:p>
  </w:footnote>
  <w:footnote w:id="1269">
    <w:p>
      <w:pPr>
        <w:pStyle w:val="FootnoteText"/>
      </w:pPr>
      <w:r>
        <w:rPr>
          <w:rStyle w:val="FootnoteReference"/>
        </w:rPr>
        <w:footnoteRef/>
      </w:r>
      <w:r>
        <w:t xml:space="preserve"> </w:t>
      </w:r>
      <w:r>
        <w:t xml:space="preserve">Memdouh 2021, PMID 34665524.</w:t>
      </w:r>
    </w:p>
  </w:footnote>
  <w:footnote w:id="1274">
    <w:p>
      <w:pPr>
        <w:pStyle w:val="FootnoteText"/>
      </w:pPr>
      <w:r>
        <w:rPr>
          <w:rStyle w:val="FootnoteReference"/>
        </w:rPr>
        <w:footnoteRef/>
      </w:r>
      <w:r>
        <w:t xml:space="preserve"> </w:t>
      </w:r>
      <w:r>
        <w:t xml:space="preserve">Falutz 2010, PMID 20101189.</w:t>
      </w:r>
    </w:p>
  </w:footnote>
  <w:footnote w:id="1275">
    <w:p>
      <w:pPr>
        <w:pStyle w:val="FootnoteText"/>
      </w:pPr>
      <w:r>
        <w:rPr>
          <w:rStyle w:val="FootnoteReference"/>
        </w:rPr>
        <w:footnoteRef/>
      </w:r>
      <w:r>
        <w:t xml:space="preserve"> </w:t>
      </w:r>
      <w:r>
        <w:t xml:space="preserve">FDA-goedkeuring beschreven bij Traynor 2010, PMID 21115997.</w:t>
      </w:r>
    </w:p>
  </w:footnote>
  <w:footnote w:id="1278">
    <w:p>
      <w:pPr>
        <w:pStyle w:val="FootnoteText"/>
      </w:pPr>
      <w:r>
        <w:rPr>
          <w:rStyle w:val="FootnoteReference"/>
        </w:rPr>
        <w:footnoteRef/>
      </w:r>
      <w:r>
        <w:t xml:space="preserve"> </w:t>
      </w:r>
      <w:r>
        <w:t xml:space="preserve">Falutz 2007, PMID 18057338.</w:t>
      </w:r>
    </w:p>
  </w:footnote>
  <w:footnote w:id="1279">
    <w:p>
      <w:pPr>
        <w:pStyle w:val="FootnoteText"/>
      </w:pPr>
      <w:r>
        <w:rPr>
          <w:rStyle w:val="FootnoteReference"/>
        </w:rPr>
        <w:footnoteRef/>
      </w:r>
      <w:r>
        <w:t xml:space="preserve"> </w:t>
      </w:r>
      <w:r>
        <w:t xml:space="preserve">Falutz 2008, PMID 18690162.</w:t>
      </w:r>
    </w:p>
  </w:footnote>
  <w:footnote w:id="1280">
    <w:p>
      <w:pPr>
        <w:pStyle w:val="FootnoteText"/>
      </w:pPr>
      <w:r>
        <w:rPr>
          <w:rStyle w:val="FootnoteReference"/>
        </w:rPr>
        <w:footnoteRef/>
      </w:r>
      <w:r>
        <w:t xml:space="preserve"> </w:t>
      </w:r>
      <w:r>
        <w:t xml:space="preserve">Falutz 2010, PMID 20101189.</w:t>
      </w:r>
    </w:p>
  </w:footnote>
  <w:footnote w:id="1281">
    <w:p>
      <w:pPr>
        <w:pStyle w:val="FootnoteText"/>
      </w:pPr>
      <w:r>
        <w:rPr>
          <w:rStyle w:val="FootnoteReference"/>
        </w:rPr>
        <w:footnoteRef/>
      </w:r>
      <w:r>
        <w:t xml:space="preserve"> </w:t>
      </w:r>
      <w:r>
        <w:t xml:space="preserve">Falutz 2010, PMID 20554713.</w:t>
      </w:r>
    </w:p>
  </w:footnote>
  <w:footnote w:id="1282">
    <w:p>
      <w:pPr>
        <w:pStyle w:val="FootnoteText"/>
      </w:pPr>
      <w:r>
        <w:rPr>
          <w:rStyle w:val="FootnoteReference"/>
        </w:rPr>
        <w:footnoteRef/>
      </w:r>
      <w:r>
        <w:t xml:space="preserve"> </w:t>
      </w:r>
      <w:r>
        <w:t xml:space="preserve">Stanley 2012, PMID 22495074.</w:t>
      </w:r>
    </w:p>
  </w:footnote>
  <w:footnote w:id="1284">
    <w:p>
      <w:pPr>
        <w:pStyle w:val="FootnoteText"/>
      </w:pPr>
      <w:r>
        <w:rPr>
          <w:rStyle w:val="FootnoteReference"/>
        </w:rPr>
        <w:footnoteRef/>
      </w:r>
      <w:r>
        <w:t xml:space="preserve"> </w:t>
      </w:r>
      <w:r>
        <w:t xml:space="preserve">Stanley 2014, PMID 25038357.</w:t>
      </w:r>
    </w:p>
  </w:footnote>
  <w:footnote w:id="1285">
    <w:p>
      <w:pPr>
        <w:pStyle w:val="FootnoteText"/>
      </w:pPr>
      <w:r>
        <w:rPr>
          <w:rStyle w:val="FootnoteReference"/>
        </w:rPr>
        <w:footnoteRef/>
      </w:r>
      <w:r>
        <w:t xml:space="preserve"> </w:t>
      </w:r>
      <w:r>
        <w:t xml:space="preserve">Stanley 2019, PMID 31611038.</w:t>
      </w:r>
    </w:p>
  </w:footnote>
  <w:footnote w:id="1287">
    <w:p>
      <w:pPr>
        <w:pStyle w:val="FootnoteText"/>
      </w:pPr>
      <w:r>
        <w:rPr>
          <w:rStyle w:val="FootnoteReference"/>
        </w:rPr>
        <w:footnoteRef/>
      </w:r>
      <w:r>
        <w:t xml:space="preserve"> </w:t>
      </w:r>
      <w:r>
        <w:t xml:space="preserve">Makimura 2012, PMID 23015655.</w:t>
      </w:r>
    </w:p>
  </w:footnote>
  <w:footnote w:id="1288">
    <w:p>
      <w:pPr>
        <w:pStyle w:val="FootnoteText"/>
      </w:pPr>
      <w:r>
        <w:rPr>
          <w:rStyle w:val="FootnoteReference"/>
        </w:rPr>
        <w:footnoteRef/>
      </w:r>
      <w:r>
        <w:t xml:space="preserve"> </w:t>
      </w:r>
      <w:r>
        <w:t xml:space="preserve">Clemmons 2017, PMID 28617838.</w:t>
      </w:r>
    </w:p>
  </w:footnote>
  <w:footnote w:id="1289">
    <w:p>
      <w:pPr>
        <w:pStyle w:val="FootnoteText"/>
      </w:pPr>
      <w:r>
        <w:rPr>
          <w:rStyle w:val="FootnoteReference"/>
        </w:rPr>
        <w:footnoteRef/>
      </w:r>
      <w:r>
        <w:t xml:space="preserve"> </w:t>
      </w:r>
      <w:r>
        <w:t xml:space="preserve">Baker 2012, PMID 22869065.</w:t>
      </w:r>
    </w:p>
  </w:footnote>
  <w:footnote w:id="1290">
    <w:p>
      <w:pPr>
        <w:pStyle w:val="FootnoteText"/>
      </w:pPr>
      <w:r>
        <w:rPr>
          <w:rStyle w:val="FootnoteReference"/>
        </w:rPr>
        <w:footnoteRef/>
      </w:r>
      <w:r>
        <w:t xml:space="preserve"> </w:t>
      </w:r>
      <w:r>
        <w:t xml:space="preserve">Ellis 2025, PMID 39813152.</w:t>
      </w:r>
    </w:p>
  </w:footnote>
  <w:footnote w:id="1292">
    <w:p>
      <w:pPr>
        <w:pStyle w:val="FootnoteText"/>
      </w:pPr>
      <w:r>
        <w:rPr>
          <w:rStyle w:val="FootnoteReference"/>
        </w:rPr>
        <w:footnoteRef/>
      </w:r>
      <w:r>
        <w:t xml:space="preserve"> </w:t>
      </w:r>
      <w:r>
        <w:t xml:space="preserve">Ditta 2026, PMID 42538058.</w:t>
      </w:r>
    </w:p>
  </w:footnote>
  <w:footnote w:id="1293">
    <w:p>
      <w:pPr>
        <w:pStyle w:val="FootnoteText"/>
      </w:pPr>
      <w:r>
        <w:rPr>
          <w:rStyle w:val="FootnoteReference"/>
        </w:rPr>
        <w:footnoteRef/>
      </w:r>
      <w:r>
        <w:t xml:space="preserve"> </w:t>
      </w:r>
      <w:r>
        <w:t xml:space="preserve">Badran 2026, PMID 41545261.</w:t>
      </w:r>
    </w:p>
  </w:footnote>
  <w:footnote w:id="1296">
    <w:p>
      <w:pPr>
        <w:pStyle w:val="FootnoteText"/>
      </w:pPr>
      <w:r>
        <w:rPr>
          <w:rStyle w:val="FootnoteReference"/>
        </w:rPr>
        <w:footnoteRef/>
      </w:r>
      <w:r>
        <w:t xml:space="preserve"> </w:t>
      </w:r>
      <w:r>
        <w:t xml:space="preserve">Tuffaha 2016, PMID 27192539.</w:t>
      </w:r>
    </w:p>
  </w:footnote>
  <w:footnote w:id="1297">
    <w:p>
      <w:pPr>
        <w:pStyle w:val="FootnoteText"/>
      </w:pPr>
      <w:r>
        <w:rPr>
          <w:rStyle w:val="FootnoteReference"/>
        </w:rPr>
        <w:footnoteRef/>
      </w:r>
      <w:r>
        <w:t xml:space="preserve"> </w:t>
      </w:r>
      <w:r>
        <w:t xml:space="preserve">NCT03150511.</w:t>
      </w:r>
    </w:p>
  </w:footnote>
  <w:footnote w:id="1298">
    <w:p>
      <w:pPr>
        <w:pStyle w:val="FootnoteText"/>
      </w:pPr>
      <w:r>
        <w:rPr>
          <w:rStyle w:val="FootnoteReference"/>
        </w:rPr>
        <w:footnoteRef/>
      </w:r>
      <w:r>
        <w:t xml:space="preserve"> </w:t>
      </w:r>
      <w:r>
        <w:t xml:space="preserve">Fourman 2020, PMID 32701508.</w:t>
      </w:r>
    </w:p>
  </w:footnote>
  <w:footnote w:id="1300">
    <w:p>
      <w:pPr>
        <w:pStyle w:val="FootnoteText"/>
      </w:pPr>
      <w:r>
        <w:rPr>
          <w:rStyle w:val="FootnoteReference"/>
        </w:rPr>
        <w:footnoteRef/>
      </w:r>
      <w:r>
        <w:t xml:space="preserve"> </w:t>
      </w:r>
      <w:r>
        <w:t xml:space="preserve">Stanley 2019, PMID 31611038.</w:t>
      </w:r>
    </w:p>
  </w:footnote>
  <w:footnote w:id="1301">
    <w:p>
      <w:pPr>
        <w:pStyle w:val="FootnoteText"/>
      </w:pPr>
      <w:r>
        <w:rPr>
          <w:rStyle w:val="FootnoteReference"/>
        </w:rPr>
        <w:footnoteRef/>
      </w:r>
      <w:r>
        <w:t xml:space="preserve"> </w:t>
      </w:r>
      <w:r>
        <w:t xml:space="preserve">Badran 2026, PMID 41545261.</w:t>
      </w:r>
    </w:p>
  </w:footnote>
  <w:footnote w:id="1302">
    <w:p>
      <w:pPr>
        <w:pStyle w:val="FootnoteText"/>
      </w:pPr>
      <w:r>
        <w:rPr>
          <w:rStyle w:val="FootnoteReference"/>
        </w:rPr>
        <w:footnoteRef/>
      </w:r>
      <w:r>
        <w:t xml:space="preserve"> </w:t>
      </w:r>
      <w:r>
        <w:t xml:space="preserve">Stanley 2014, PMID 25038357.</w:t>
      </w:r>
    </w:p>
  </w:footnote>
  <w:footnote w:id="1303">
    <w:p>
      <w:pPr>
        <w:pStyle w:val="FootnoteText"/>
      </w:pPr>
      <w:r>
        <w:rPr>
          <w:rStyle w:val="FootnoteReference"/>
        </w:rPr>
        <w:footnoteRef/>
      </w:r>
      <w:r>
        <w:t xml:space="preserve"> </w:t>
      </w:r>
      <w:r>
        <w:t xml:space="preserve">Stanley 2012, PMID 22495074.</w:t>
      </w:r>
    </w:p>
  </w:footnote>
  <w:footnote w:id="1304">
    <w:p>
      <w:pPr>
        <w:pStyle w:val="FootnoteText"/>
      </w:pPr>
      <w:r>
        <w:rPr>
          <w:rStyle w:val="FootnoteReference"/>
        </w:rPr>
        <w:footnoteRef/>
      </w:r>
      <w:r>
        <w:t xml:space="preserve"> </w:t>
      </w:r>
      <w:r>
        <w:t xml:space="preserve">Falutz 2007, PMID 18057338.</w:t>
      </w:r>
    </w:p>
  </w:footnote>
  <w:footnote w:id="1305">
    <w:p>
      <w:pPr>
        <w:pStyle w:val="FootnoteText"/>
      </w:pPr>
      <w:r>
        <w:rPr>
          <w:rStyle w:val="FootnoteReference"/>
        </w:rPr>
        <w:footnoteRef/>
      </w:r>
      <w:r>
        <w:t xml:space="preserve"> </w:t>
      </w:r>
      <w:r>
        <w:t xml:space="preserve">Falutz 2008, PMID 18690162.</w:t>
      </w:r>
    </w:p>
  </w:footnote>
  <w:footnote w:id="1306">
    <w:p>
      <w:pPr>
        <w:pStyle w:val="FootnoteText"/>
      </w:pPr>
      <w:r>
        <w:rPr>
          <w:rStyle w:val="FootnoteReference"/>
        </w:rPr>
        <w:footnoteRef/>
      </w:r>
      <w:r>
        <w:t xml:space="preserve"> </w:t>
      </w:r>
      <w:r>
        <w:t xml:space="preserve">NCT01579695.</w:t>
      </w:r>
    </w:p>
  </w:footnote>
  <w:footnote w:id="1307">
    <w:p>
      <w:pPr>
        <w:pStyle w:val="FootnoteText"/>
      </w:pPr>
      <w:r>
        <w:rPr>
          <w:rStyle w:val="FootnoteReference"/>
        </w:rPr>
        <w:footnoteRef/>
      </w:r>
      <w:r>
        <w:t xml:space="preserve"> </w:t>
      </w:r>
      <w:r>
        <w:t xml:space="preserve">NCT01591902.</w:t>
      </w:r>
    </w:p>
  </w:footnote>
  <w:footnote w:id="1309">
    <w:p>
      <w:pPr>
        <w:pStyle w:val="FootnoteText"/>
      </w:pPr>
      <w:r>
        <w:rPr>
          <w:rStyle w:val="FootnoteReference"/>
        </w:rPr>
        <w:footnoteRef/>
      </w:r>
      <w:r>
        <w:t xml:space="preserve"> </w:t>
      </w:r>
      <w:r>
        <w:t xml:space="preserve">Memdouh 2021, PMID 34665524.</w:t>
      </w:r>
    </w:p>
  </w:footnote>
  <w:footnote w:id="1314">
    <w:p>
      <w:pPr>
        <w:pStyle w:val="FootnoteText"/>
      </w:pPr>
      <w:r>
        <w:rPr>
          <w:rStyle w:val="FootnoteReference"/>
        </w:rPr>
        <w:footnoteRef/>
      </w:r>
      <w:r>
        <w:t xml:space="preserve"> </w:t>
      </w:r>
      <w:r>
        <w:t xml:space="preserve">Jetté 2005, PMID 15817669.</w:t>
      </w:r>
    </w:p>
  </w:footnote>
  <w:footnote w:id="1316">
    <w:p>
      <w:pPr>
        <w:pStyle w:val="FootnoteText"/>
      </w:pPr>
      <w:r>
        <w:rPr>
          <w:rStyle w:val="FootnoteReference"/>
        </w:rPr>
        <w:footnoteRef/>
      </w:r>
      <w:r>
        <w:t xml:space="preserve"> </w:t>
      </w:r>
      <w:r>
        <w:t xml:space="preserve">Jetté 2005, PMID 15817669.</w:t>
      </w:r>
    </w:p>
  </w:footnote>
  <w:footnote w:id="1318">
    <w:p>
      <w:pPr>
        <w:pStyle w:val="FootnoteText"/>
      </w:pPr>
      <w:r>
        <w:rPr>
          <w:rStyle w:val="FootnoteReference"/>
        </w:rPr>
        <w:footnoteRef/>
      </w:r>
      <w:r>
        <w:t xml:space="preserve"> </w:t>
      </w:r>
      <w:r>
        <w:t xml:space="preserve">Teichman 2006, PMID 16352683.</w:t>
      </w:r>
    </w:p>
  </w:footnote>
  <w:footnote w:id="1319">
    <w:p>
      <w:pPr>
        <w:pStyle w:val="FootnoteText"/>
      </w:pPr>
      <w:r>
        <w:rPr>
          <w:rStyle w:val="FootnoteReference"/>
        </w:rPr>
        <w:footnoteRef/>
      </w:r>
      <w:r>
        <w:t xml:space="preserve"> </w:t>
      </w:r>
      <w:r>
        <w:t xml:space="preserve">Ionescu 2006, PMID 17018654.</w:t>
      </w:r>
    </w:p>
  </w:footnote>
  <w:footnote w:id="1320">
    <w:p>
      <w:pPr>
        <w:pStyle w:val="FootnoteText"/>
      </w:pPr>
      <w:r>
        <w:rPr>
          <w:rStyle w:val="FootnoteReference"/>
        </w:rPr>
        <w:footnoteRef/>
      </w:r>
      <w:r>
        <w:t xml:space="preserve"> </w:t>
      </w:r>
      <w:r>
        <w:t xml:space="preserve">Sackmann-Sala 2009, PMID 19386527.</w:t>
      </w:r>
    </w:p>
  </w:footnote>
  <w:footnote w:id="1321">
    <w:p>
      <w:pPr>
        <w:pStyle w:val="FootnoteText"/>
      </w:pPr>
      <w:r>
        <w:rPr>
          <w:rStyle w:val="FootnoteReference"/>
        </w:rPr>
        <w:footnoteRef/>
      </w:r>
      <w:r>
        <w:t xml:space="preserve"> </w:t>
      </w:r>
      <w:r>
        <w:t xml:space="preserve">NCT00267527.</w:t>
      </w:r>
    </w:p>
  </w:footnote>
  <w:footnote w:id="1324">
    <w:p>
      <w:pPr>
        <w:pStyle w:val="FootnoteText"/>
      </w:pPr>
      <w:r>
        <w:rPr>
          <w:rStyle w:val="FootnoteReference"/>
        </w:rPr>
        <w:footnoteRef/>
      </w:r>
      <w:r>
        <w:t xml:space="preserve"> </w:t>
      </w:r>
      <w:r>
        <w:t xml:space="preserve">Jetté 2005, PMID 15817669.</w:t>
      </w:r>
    </w:p>
  </w:footnote>
  <w:footnote w:id="1325">
    <w:p>
      <w:pPr>
        <w:pStyle w:val="FootnoteText"/>
      </w:pPr>
      <w:r>
        <w:rPr>
          <w:rStyle w:val="FootnoteReference"/>
        </w:rPr>
        <w:footnoteRef/>
      </w:r>
      <w:r>
        <w:t xml:space="preserve"> </w:t>
      </w:r>
      <w:r>
        <w:t xml:space="preserve">Alba 2006, PMID 16822960.</w:t>
      </w:r>
    </w:p>
  </w:footnote>
  <w:footnote w:id="1327">
    <w:p>
      <w:pPr>
        <w:pStyle w:val="FootnoteText"/>
      </w:pPr>
      <w:r>
        <w:rPr>
          <w:rStyle w:val="FootnoteReference"/>
        </w:rPr>
        <w:footnoteRef/>
      </w:r>
      <w:r>
        <w:t xml:space="preserve"> </w:t>
      </w:r>
      <w:r>
        <w:t xml:space="preserve">Teichman 2006, PMID 16352683.</w:t>
      </w:r>
    </w:p>
  </w:footnote>
  <w:footnote w:id="1328">
    <w:p>
      <w:pPr>
        <w:pStyle w:val="FootnoteText"/>
      </w:pPr>
      <w:r>
        <w:rPr>
          <w:rStyle w:val="FootnoteReference"/>
        </w:rPr>
        <w:footnoteRef/>
      </w:r>
      <w:r>
        <w:t xml:space="preserve"> </w:t>
      </w:r>
      <w:r>
        <w:t xml:space="preserve">Henninge 2010, PMID 21204297.</w:t>
      </w:r>
    </w:p>
  </w:footnote>
  <w:footnote w:id="1329">
    <w:p>
      <w:pPr>
        <w:pStyle w:val="FootnoteText"/>
      </w:pPr>
      <w:r>
        <w:rPr>
          <w:rStyle w:val="FootnoteReference"/>
        </w:rPr>
        <w:footnoteRef/>
      </w:r>
      <w:r>
        <w:t xml:space="preserve"> </w:t>
      </w:r>
      <w:r>
        <w:t xml:space="preserve">Gajda 2019, PMID 30136411.</w:t>
      </w:r>
    </w:p>
  </w:footnote>
  <w:footnote w:id="1330">
    <w:p>
      <w:pPr>
        <w:pStyle w:val="FootnoteText"/>
      </w:pPr>
      <w:r>
        <w:rPr>
          <w:rStyle w:val="FootnoteReference"/>
        </w:rPr>
        <w:footnoteRef/>
      </w:r>
      <w:r>
        <w:t xml:space="preserve"> </w:t>
      </w:r>
      <w:r>
        <w:t xml:space="preserve">Van Hout 2016, PMID 26771670.</w:t>
      </w:r>
    </w:p>
  </w:footnote>
  <w:footnote w:id="1332">
    <w:p>
      <w:pPr>
        <w:pStyle w:val="FootnoteText"/>
      </w:pPr>
      <w:r>
        <w:rPr>
          <w:rStyle w:val="FootnoteReference"/>
        </w:rPr>
        <w:footnoteRef/>
      </w:r>
      <w:r>
        <w:t xml:space="preserve"> </w:t>
      </w:r>
      <w:r>
        <w:t xml:space="preserve">Willis 2026, PMID 42752426.</w:t>
      </w:r>
    </w:p>
  </w:footnote>
  <w:footnote w:id="1333">
    <w:p>
      <w:pPr>
        <w:pStyle w:val="FootnoteText"/>
      </w:pPr>
      <w:r>
        <w:rPr>
          <w:rStyle w:val="FootnoteReference"/>
        </w:rPr>
        <w:footnoteRef/>
      </w:r>
      <w:r>
        <w:t xml:space="preserve"> </w:t>
      </w:r>
      <w:r>
        <w:t xml:space="preserve">Memdouh 2021, PMID 34665524.</w:t>
      </w:r>
    </w:p>
  </w:footnote>
  <w:footnote w:id="1334">
    <w:p>
      <w:pPr>
        <w:pStyle w:val="FootnoteText"/>
      </w:pPr>
      <w:r>
        <w:rPr>
          <w:rStyle w:val="FootnoteReference"/>
        </w:rPr>
        <w:footnoteRef/>
      </w:r>
      <w:r>
        <w:t xml:space="preserve"> </w:t>
      </w:r>
      <w:r>
        <w:t xml:space="preserve">Timms 2019, PMID 30938069.</w:t>
      </w:r>
    </w:p>
  </w:footnote>
  <w:footnote w:id="1339">
    <w:p>
      <w:pPr>
        <w:pStyle w:val="FootnoteText"/>
      </w:pPr>
      <w:r>
        <w:rPr>
          <w:rStyle w:val="FootnoteReference"/>
        </w:rPr>
        <w:footnoteRef/>
      </w:r>
      <w:r>
        <w:t xml:space="preserve"> </w:t>
      </w:r>
      <w:r>
        <w:t xml:space="preserve">Raun 1998, PMID 9849822.</w:t>
      </w:r>
    </w:p>
  </w:footnote>
  <w:footnote w:id="1341">
    <w:p>
      <w:pPr>
        <w:pStyle w:val="FootnoteText"/>
      </w:pPr>
      <w:r>
        <w:rPr>
          <w:rStyle w:val="FootnoteReference"/>
        </w:rPr>
        <w:footnoteRef/>
      </w:r>
      <w:r>
        <w:t xml:space="preserve"> </w:t>
      </w:r>
      <w:r>
        <w:t xml:space="preserve">Kojima 1999, PMID 10604470.</w:t>
      </w:r>
    </w:p>
  </w:footnote>
  <w:footnote w:id="1342">
    <w:p>
      <w:pPr>
        <w:pStyle w:val="FootnoteText"/>
      </w:pPr>
      <w:r>
        <w:rPr>
          <w:rStyle w:val="FootnoteReference"/>
        </w:rPr>
        <w:footnoteRef/>
      </w:r>
      <w:r>
        <w:t xml:space="preserve"> </w:t>
      </w:r>
      <w:r>
        <w:t xml:space="preserve">Raun 1998, PMID 9849822.</w:t>
      </w:r>
    </w:p>
  </w:footnote>
  <w:footnote w:id="1344">
    <w:p>
      <w:pPr>
        <w:pStyle w:val="FootnoteText"/>
      </w:pPr>
      <w:r>
        <w:rPr>
          <w:rStyle w:val="FootnoteReference"/>
        </w:rPr>
        <w:footnoteRef/>
      </w:r>
      <w:r>
        <w:t xml:space="preserve"> </w:t>
      </w:r>
      <w:r>
        <w:t xml:space="preserve">NCT07717866.</w:t>
      </w:r>
    </w:p>
  </w:footnote>
  <w:footnote w:id="1345">
    <w:p>
      <w:pPr>
        <w:pStyle w:val="FootnoteText"/>
      </w:pPr>
      <w:r>
        <w:rPr>
          <w:rStyle w:val="FootnoteReference"/>
        </w:rPr>
        <w:footnoteRef/>
      </w:r>
      <w:r>
        <w:t xml:space="preserve"> </w:t>
      </w:r>
      <w:r>
        <w:t xml:space="preserve">Gobburu 1999, PMID 10496658.</w:t>
      </w:r>
    </w:p>
  </w:footnote>
  <w:footnote w:id="1346">
    <w:p>
      <w:pPr>
        <w:pStyle w:val="FootnoteText"/>
      </w:pPr>
      <w:r>
        <w:rPr>
          <w:rStyle w:val="FootnoteReference"/>
        </w:rPr>
        <w:footnoteRef/>
      </w:r>
      <w:r>
        <w:t xml:space="preserve"> </w:t>
      </w:r>
      <w:r>
        <w:t xml:space="preserve">Beck 2014, PMID 25331030.</w:t>
      </w:r>
    </w:p>
  </w:footnote>
  <w:footnote w:id="1347">
    <w:p>
      <w:pPr>
        <w:pStyle w:val="FootnoteText"/>
      </w:pPr>
      <w:r>
        <w:rPr>
          <w:rStyle w:val="FootnoteReference"/>
        </w:rPr>
        <w:footnoteRef/>
      </w:r>
      <w:r>
        <w:t xml:space="preserve"> </w:t>
      </w:r>
      <w:r>
        <w:t xml:space="preserve">NCT01280344.</w:t>
      </w:r>
    </w:p>
  </w:footnote>
  <w:footnote w:id="1349">
    <w:p>
      <w:pPr>
        <w:pStyle w:val="FootnoteText"/>
      </w:pPr>
      <w:r>
        <w:rPr>
          <w:rStyle w:val="FootnoteReference"/>
        </w:rPr>
        <w:footnoteRef/>
      </w:r>
      <w:r>
        <w:t xml:space="preserve"> </w:t>
      </w:r>
      <w:r>
        <w:t xml:space="preserve">Venkova 2009, PMID 19289567.</w:t>
      </w:r>
    </w:p>
  </w:footnote>
  <w:footnote w:id="1350">
    <w:p>
      <w:pPr>
        <w:pStyle w:val="FootnoteText"/>
      </w:pPr>
      <w:r>
        <w:rPr>
          <w:rStyle w:val="FootnoteReference"/>
        </w:rPr>
        <w:footnoteRef/>
      </w:r>
      <w:r>
        <w:t xml:space="preserve"> </w:t>
      </w:r>
      <w:r>
        <w:t xml:space="preserve">Johansen 1999, PMID 10373343.</w:t>
      </w:r>
    </w:p>
  </w:footnote>
  <w:footnote w:id="1351">
    <w:p>
      <w:pPr>
        <w:pStyle w:val="FootnoteText"/>
      </w:pPr>
      <w:r>
        <w:rPr>
          <w:rStyle w:val="FootnoteReference"/>
        </w:rPr>
        <w:footnoteRef/>
      </w:r>
      <w:r>
        <w:t xml:space="preserve"> </w:t>
      </w:r>
      <w:r>
        <w:t xml:space="preserve">Raun 1998, PMID 9849822.</w:t>
      </w:r>
    </w:p>
  </w:footnote>
  <w:footnote w:id="1353">
    <w:p>
      <w:pPr>
        <w:pStyle w:val="FootnoteText"/>
      </w:pPr>
      <w:r>
        <w:rPr>
          <w:rStyle w:val="FootnoteReference"/>
        </w:rPr>
        <w:footnoteRef/>
      </w:r>
      <w:r>
        <w:t xml:space="preserve"> </w:t>
      </w:r>
      <w:r>
        <w:t xml:space="preserve">Beck 2014, PMID 25331030.</w:t>
      </w:r>
    </w:p>
  </w:footnote>
  <w:footnote w:id="1354">
    <w:p>
      <w:pPr>
        <w:pStyle w:val="FootnoteText"/>
      </w:pPr>
      <w:r>
        <w:rPr>
          <w:rStyle w:val="FootnoteReference"/>
        </w:rPr>
        <w:footnoteRef/>
      </w:r>
      <w:r>
        <w:t xml:space="preserve"> </w:t>
      </w:r>
      <w:r>
        <w:t xml:space="preserve">Krug 2018, PMID 29864719; Gajda 2019, PMID 30136411.</w:t>
      </w:r>
    </w:p>
  </w:footnote>
  <w:footnote w:id="1356">
    <w:p>
      <w:pPr>
        <w:pStyle w:val="FootnoteText"/>
      </w:pPr>
      <w:r>
        <w:rPr>
          <w:rStyle w:val="FootnoteReference"/>
        </w:rPr>
        <w:footnoteRef/>
      </w:r>
      <w:r>
        <w:t xml:space="preserve"> </w:t>
      </w:r>
      <w:r>
        <w:t xml:space="preserve">Willis 2026, PMID 42752426.</w:t>
      </w:r>
    </w:p>
  </w:footnote>
  <w:footnote w:id="1357">
    <w:p>
      <w:pPr>
        <w:pStyle w:val="FootnoteText"/>
      </w:pPr>
      <w:r>
        <w:rPr>
          <w:rStyle w:val="FootnoteReference"/>
        </w:rPr>
        <w:footnoteRef/>
      </w:r>
      <w:r>
        <w:t xml:space="preserve"> </w:t>
      </w:r>
      <w:r>
        <w:t xml:space="preserve">Semenistaya 2015, PMID 25869809.</w:t>
      </w:r>
    </w:p>
  </w:footnote>
  <w:footnote w:id="1362">
    <w:p>
      <w:pPr>
        <w:pStyle w:val="FootnoteText"/>
      </w:pPr>
      <w:r>
        <w:rPr>
          <w:rStyle w:val="FootnoteReference"/>
        </w:rPr>
        <w:footnoteRef/>
      </w:r>
      <w:r>
        <w:t xml:space="preserve"> </w:t>
      </w:r>
      <w:r>
        <w:t xml:space="preserve">Doi 2004, PMID 15646370.</w:t>
      </w:r>
    </w:p>
  </w:footnote>
  <w:footnote w:id="1363">
    <w:p>
      <w:pPr>
        <w:pStyle w:val="FootnoteText"/>
      </w:pPr>
      <w:r>
        <w:rPr>
          <w:rStyle w:val="FootnoteReference"/>
        </w:rPr>
        <w:footnoteRef/>
      </w:r>
      <w:r>
        <w:t xml:space="preserve"> </w:t>
      </w:r>
      <w:r>
        <w:t xml:space="preserve">anoniem stofprofiel in Drugs R D 2004, PMID 15230633.</w:t>
      </w:r>
    </w:p>
  </w:footnote>
  <w:footnote w:id="1365">
    <w:p>
      <w:pPr>
        <w:pStyle w:val="FootnoteText"/>
      </w:pPr>
      <w:r>
        <w:rPr>
          <w:rStyle w:val="FootnoteReference"/>
        </w:rPr>
        <w:footnoteRef/>
      </w:r>
      <w:r>
        <w:t xml:space="preserve"> </w:t>
      </w:r>
      <w:r>
        <w:t xml:space="preserve">Kojima 1999, PMID 10604470.</w:t>
      </w:r>
    </w:p>
  </w:footnote>
  <w:footnote w:id="1366">
    <w:p>
      <w:pPr>
        <w:pStyle w:val="FootnoteText"/>
      </w:pPr>
      <w:r>
        <w:rPr>
          <w:rStyle w:val="FootnoteReference"/>
        </w:rPr>
        <w:footnoteRef/>
      </w:r>
      <w:r>
        <w:t xml:space="preserve"> </w:t>
      </w:r>
      <w:r>
        <w:t xml:space="preserve">Doi 2004, PMID 15646370.</w:t>
      </w:r>
    </w:p>
  </w:footnote>
  <w:footnote w:id="1368">
    <w:p>
      <w:pPr>
        <w:pStyle w:val="FootnoteText"/>
      </w:pPr>
      <w:r>
        <w:rPr>
          <w:rStyle w:val="FootnoteReference"/>
        </w:rPr>
        <w:footnoteRef/>
      </w:r>
      <w:r>
        <w:t xml:space="preserve"> </w:t>
      </w:r>
      <w:r>
        <w:t xml:space="preserve">Chihara 2007, PMID 17609397.</w:t>
      </w:r>
    </w:p>
  </w:footnote>
  <w:footnote w:id="1369">
    <w:p>
      <w:pPr>
        <w:pStyle w:val="FootnoteText"/>
      </w:pPr>
      <w:r>
        <w:rPr>
          <w:rStyle w:val="FootnoteReference"/>
        </w:rPr>
        <w:footnoteRef/>
      </w:r>
      <w:r>
        <w:t xml:space="preserve"> </w:t>
      </w:r>
      <w:r>
        <w:t xml:space="preserve">Kinoshita 2013, PMID 23079545.</w:t>
      </w:r>
    </w:p>
  </w:footnote>
  <w:footnote w:id="1370">
    <w:p>
      <w:pPr>
        <w:pStyle w:val="FootnoteText"/>
      </w:pPr>
      <w:r>
        <w:rPr>
          <w:rStyle w:val="FootnoteReference"/>
        </w:rPr>
        <w:footnoteRef/>
      </w:r>
      <w:r>
        <w:t xml:space="preserve"> </w:t>
      </w:r>
      <w:r>
        <w:t xml:space="preserve">Arimura 2016, PMID 27020037.</w:t>
      </w:r>
    </w:p>
  </w:footnote>
  <w:footnote w:id="1371">
    <w:p>
      <w:pPr>
        <w:pStyle w:val="FootnoteText"/>
      </w:pPr>
      <w:r>
        <w:rPr>
          <w:rStyle w:val="FootnoteReference"/>
        </w:rPr>
        <w:footnoteRef/>
      </w:r>
      <w:r>
        <w:t xml:space="preserve"> </w:t>
      </w:r>
      <w:r>
        <w:t xml:space="preserve">Hayakawa 2018, PMID 30324179.</w:t>
      </w:r>
    </w:p>
  </w:footnote>
  <w:footnote w:id="1373">
    <w:p>
      <w:pPr>
        <w:pStyle w:val="FootnoteText"/>
      </w:pPr>
      <w:r>
        <w:rPr>
          <w:rStyle w:val="FootnoteReference"/>
        </w:rPr>
        <w:footnoteRef/>
      </w:r>
      <w:r>
        <w:t xml:space="preserve"> </w:t>
      </w:r>
      <w:r>
        <w:t xml:space="preserve">Mericq 1998, PMID 9661608.</w:t>
      </w:r>
    </w:p>
  </w:footnote>
  <w:footnote w:id="1374">
    <w:p>
      <w:pPr>
        <w:pStyle w:val="FootnoteText"/>
      </w:pPr>
      <w:r>
        <w:rPr>
          <w:rStyle w:val="FootnoteReference"/>
        </w:rPr>
        <w:footnoteRef/>
      </w:r>
      <w:r>
        <w:t xml:space="preserve"> </w:t>
      </w:r>
      <w:r>
        <w:t xml:space="preserve">Pihoker 1997, PMID 9390009.</w:t>
      </w:r>
    </w:p>
  </w:footnote>
  <w:footnote w:id="1375">
    <w:p>
      <w:pPr>
        <w:pStyle w:val="FootnoteText"/>
      </w:pPr>
      <w:r>
        <w:rPr>
          <w:rStyle w:val="FootnoteReference"/>
        </w:rPr>
        <w:footnoteRef/>
      </w:r>
      <w:r>
        <w:t xml:space="preserve"> </w:t>
      </w:r>
      <w:r>
        <w:t xml:space="preserve">Mericq 2003, PMID 14513874.</w:t>
      </w:r>
    </w:p>
  </w:footnote>
  <w:footnote w:id="1376">
    <w:p>
      <w:pPr>
        <w:pStyle w:val="FootnoteText"/>
      </w:pPr>
      <w:r>
        <w:rPr>
          <w:rStyle w:val="FootnoteReference"/>
        </w:rPr>
        <w:footnoteRef/>
      </w:r>
      <w:r>
        <w:t xml:space="preserve"> </w:t>
      </w:r>
      <w:r>
        <w:t xml:space="preserve">anoniem stofprofiel in Drugs R D 2004, PMID 15230633.</w:t>
      </w:r>
    </w:p>
  </w:footnote>
  <w:footnote w:id="1378">
    <w:p>
      <w:pPr>
        <w:pStyle w:val="FootnoteText"/>
      </w:pPr>
      <w:r>
        <w:rPr>
          <w:rStyle w:val="FootnoteReference"/>
        </w:rPr>
        <w:footnoteRef/>
      </w:r>
      <w:r>
        <w:t xml:space="preserve"> </w:t>
      </w:r>
      <w:r>
        <w:t xml:space="preserve">Laferrère 2006, PMID 16861611.</w:t>
      </w:r>
    </w:p>
  </w:footnote>
  <w:footnote w:id="1379">
    <w:p>
      <w:pPr>
        <w:pStyle w:val="FootnoteText"/>
      </w:pPr>
      <w:r>
        <w:rPr>
          <w:rStyle w:val="FootnoteReference"/>
        </w:rPr>
        <w:footnoteRef/>
      </w:r>
      <w:r>
        <w:t xml:space="preserve"> </w:t>
      </w:r>
      <w:r>
        <w:t xml:space="preserve">Van den Berghe 1999, PMID 10199772.</w:t>
      </w:r>
    </w:p>
  </w:footnote>
  <w:footnote w:id="1382">
    <w:p>
      <w:pPr>
        <w:pStyle w:val="FootnoteText"/>
      </w:pPr>
      <w:r>
        <w:rPr>
          <w:rStyle w:val="FootnoteReference"/>
        </w:rPr>
        <w:footnoteRef/>
      </w:r>
      <w:r>
        <w:t xml:space="preserve"> </w:t>
      </w:r>
      <w:r>
        <w:t xml:space="preserve">Doi 2004, PMID 15646370.</w:t>
      </w:r>
    </w:p>
  </w:footnote>
  <w:footnote w:id="1383">
    <w:p>
      <w:pPr>
        <w:pStyle w:val="FootnoteText"/>
      </w:pPr>
      <w:r>
        <w:rPr>
          <w:rStyle w:val="FootnoteReference"/>
        </w:rPr>
        <w:footnoteRef/>
      </w:r>
      <w:r>
        <w:t xml:space="preserve"> </w:t>
      </w:r>
      <w:r>
        <w:t xml:space="preserve">Raun 1998, PMID 9849822.</w:t>
      </w:r>
    </w:p>
  </w:footnote>
  <w:footnote w:id="1385">
    <w:p>
      <w:pPr>
        <w:pStyle w:val="FootnoteText"/>
      </w:pPr>
      <w:r>
        <w:rPr>
          <w:rStyle w:val="FootnoteReference"/>
        </w:rPr>
        <w:footnoteRef/>
      </w:r>
      <w:r>
        <w:t xml:space="preserve"> </w:t>
      </w:r>
      <w:r>
        <w:t xml:space="preserve">Mericq 2003, PMID 14513874; Laferrère 2006, PMID 16861611.</w:t>
      </w:r>
    </w:p>
  </w:footnote>
  <w:footnote w:id="1386">
    <w:p>
      <w:pPr>
        <w:pStyle w:val="FootnoteText"/>
      </w:pPr>
      <w:r>
        <w:rPr>
          <w:rStyle w:val="FootnoteReference"/>
        </w:rPr>
        <w:footnoteRef/>
      </w:r>
      <w:r>
        <w:t xml:space="preserve"> </w:t>
      </w:r>
      <w:r>
        <w:t xml:space="preserve">Arimura 2016, PMID 27020037.</w:t>
      </w:r>
    </w:p>
  </w:footnote>
  <w:footnote w:id="1387">
    <w:p>
      <w:pPr>
        <w:pStyle w:val="FootnoteText"/>
      </w:pPr>
      <w:r>
        <w:rPr>
          <w:rStyle w:val="FootnoteReference"/>
        </w:rPr>
        <w:footnoteRef/>
      </w:r>
      <w:r>
        <w:t xml:space="preserve"> </w:t>
      </w:r>
      <w:r>
        <w:t xml:space="preserve">Sigalos 2018, PMID 28400207.</w:t>
      </w:r>
    </w:p>
  </w:footnote>
  <w:footnote w:id="1388">
    <w:p>
      <w:pPr>
        <w:pStyle w:val="FootnoteText"/>
      </w:pPr>
      <w:r>
        <w:rPr>
          <w:rStyle w:val="FootnoteReference"/>
        </w:rPr>
        <w:footnoteRef/>
      </w:r>
      <w:r>
        <w:t xml:space="preserve"> </w:t>
      </w:r>
      <w:r>
        <w:t xml:space="preserve">Krug 2018, PMID 29864719; Gajda 2019, PMID 30136411.</w:t>
      </w:r>
    </w:p>
  </w:footnote>
  <w:footnote w:id="1390">
    <w:p>
      <w:pPr>
        <w:pStyle w:val="FootnoteText"/>
      </w:pPr>
      <w:r>
        <w:rPr>
          <w:rStyle w:val="FootnoteReference"/>
        </w:rPr>
        <w:footnoteRef/>
      </w:r>
      <w:r>
        <w:t xml:space="preserve"> </w:t>
      </w:r>
      <w:r>
        <w:t xml:space="preserve">Semenistaya 2015, PMID 25869809.</w:t>
      </w:r>
    </w:p>
  </w:footnote>
  <w:footnote w:id="1395">
    <w:p>
      <w:pPr>
        <w:pStyle w:val="FootnoteText"/>
      </w:pPr>
      <w:r>
        <w:rPr>
          <w:rStyle w:val="FootnoteReference"/>
        </w:rPr>
        <w:footnoteRef/>
      </w:r>
      <w:r>
        <w:t xml:space="preserve"> </w:t>
      </w:r>
      <w:r>
        <w:t xml:space="preserve">Bowers 1984, PMID 6714155.</w:t>
      </w:r>
    </w:p>
  </w:footnote>
  <w:footnote w:id="1397">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Kojima 1999, PMID 10604470.</w:t>
      </w:r>
    </w:p>
  </w:footnote>
  <w:footnote w:id="1400">
    <w:p>
      <w:pPr>
        <w:pStyle w:val="FootnoteText"/>
      </w:pPr>
      <w:r>
        <w:rPr>
          <w:rStyle w:val="FootnoteReference"/>
        </w:rPr>
        <w:footnoteRef/>
      </w:r>
      <w:r>
        <w:t xml:space="preserve"> </w:t>
      </w:r>
      <w:r>
        <w:t xml:space="preserve">Popovic 2000, PMID 11030292.</w:t>
      </w:r>
    </w:p>
  </w:footnote>
  <w:footnote w:id="1401">
    <w:p>
      <w:pPr>
        <w:pStyle w:val="FootnoteText"/>
      </w:pPr>
      <w:r>
        <w:rPr>
          <w:rStyle w:val="FootnoteReference"/>
        </w:rPr>
        <w:footnoteRef/>
      </w:r>
      <w:r>
        <w:t xml:space="preserve"> </w:t>
      </w:r>
      <w:r>
        <w:t xml:space="preserve">Petersenn 2002, PMID 11980622.</w:t>
      </w:r>
    </w:p>
  </w:footnote>
  <w:footnote w:id="1402">
    <w:p>
      <w:pPr>
        <w:pStyle w:val="FootnoteText"/>
      </w:pPr>
      <w:r>
        <w:rPr>
          <w:rStyle w:val="FootnoteReference"/>
        </w:rPr>
        <w:footnoteRef/>
      </w:r>
      <w:r>
        <w:t xml:space="preserve"> </w:t>
      </w:r>
      <w:r>
        <w:t xml:space="preserve">Leal-Cerro 1995, PMID 7788011.</w:t>
      </w:r>
    </w:p>
  </w:footnote>
  <w:footnote w:id="1403">
    <w:p>
      <w:pPr>
        <w:pStyle w:val="FootnoteText"/>
      </w:pPr>
      <w:r>
        <w:rPr>
          <w:rStyle w:val="FootnoteReference"/>
        </w:rPr>
        <w:footnoteRef/>
      </w:r>
      <w:r>
        <w:t xml:space="preserve"> </w:t>
      </w:r>
      <w:r>
        <w:t xml:space="preserve">Alaioubi 2010, PMID 19946832.</w:t>
      </w:r>
    </w:p>
  </w:footnote>
  <w:footnote w:id="1405">
    <w:p>
      <w:pPr>
        <w:pStyle w:val="FootnoteText"/>
      </w:pPr>
      <w:r>
        <w:rPr>
          <w:rStyle w:val="FootnoteReference"/>
        </w:rPr>
        <w:footnoteRef/>
      </w:r>
      <w:r>
        <w:t xml:space="preserve"> </w:t>
      </w:r>
      <w:r>
        <w:t xml:space="preserve">Cabrales 2013, PMID 23099431.</w:t>
      </w:r>
    </w:p>
  </w:footnote>
  <w:footnote w:id="1406">
    <w:p>
      <w:pPr>
        <w:pStyle w:val="FootnoteText"/>
      </w:pPr>
      <w:r>
        <w:rPr>
          <w:rStyle w:val="FootnoteReference"/>
        </w:rPr>
        <w:footnoteRef/>
      </w:r>
      <w:r>
        <w:t xml:space="preserve"> </w:t>
      </w:r>
      <w:r>
        <w:t xml:space="preserve">Frieboes 1995, PMID 7617137.</w:t>
      </w:r>
    </w:p>
  </w:footnote>
  <w:footnote w:id="1407">
    <w:p>
      <w:pPr>
        <w:pStyle w:val="FootnoteText"/>
      </w:pPr>
      <w:r>
        <w:rPr>
          <w:rStyle w:val="FootnoteReference"/>
        </w:rPr>
        <w:footnoteRef/>
      </w:r>
      <w:r>
        <w:t xml:space="preserve"> </w:t>
      </w:r>
      <w:r>
        <w:t xml:space="preserve">Micic 1995, PMID 7734029.</w:t>
      </w:r>
    </w:p>
  </w:footnote>
  <w:footnote w:id="1408">
    <w:p>
      <w:pPr>
        <w:pStyle w:val="FootnoteText"/>
      </w:pPr>
      <w:r>
        <w:rPr>
          <w:rStyle w:val="FootnoteReference"/>
        </w:rPr>
        <w:footnoteRef/>
      </w:r>
      <w:r>
        <w:t xml:space="preserve"> </w:t>
      </w:r>
      <w:r>
        <w:t xml:space="preserve">Bellone 1995, PMID 7581965.</w:t>
      </w:r>
    </w:p>
  </w:footnote>
  <w:footnote w:id="1411">
    <w:p>
      <w:pPr>
        <w:pStyle w:val="FootnoteText"/>
      </w:pPr>
      <w:r>
        <w:rPr>
          <w:rStyle w:val="FootnoteReference"/>
        </w:rPr>
        <w:footnoteRef/>
      </w:r>
      <w:r>
        <w:t xml:space="preserve"> </w:t>
      </w:r>
      <w:r>
        <w:t xml:space="preserve">Berlanga-Acosta 2024, PMID 38873418.</w:t>
      </w:r>
    </w:p>
  </w:footnote>
  <w:footnote w:id="1412">
    <w:p>
      <w:pPr>
        <w:pStyle w:val="FootnoteText"/>
      </w:pPr>
      <w:r>
        <w:rPr>
          <w:rStyle w:val="FootnoteReference"/>
        </w:rPr>
        <w:footnoteRef/>
      </w:r>
      <w:r>
        <w:t xml:space="preserve"> </w:t>
      </w:r>
      <w:r>
        <w:t xml:space="preserve">Cibrián 2006, PMID 16417467.</w:t>
      </w:r>
    </w:p>
  </w:footnote>
  <w:footnote w:id="1413">
    <w:p>
      <w:pPr>
        <w:pStyle w:val="FootnoteText"/>
      </w:pPr>
      <w:r>
        <w:rPr>
          <w:rStyle w:val="FootnoteReference"/>
        </w:rPr>
        <w:footnoteRef/>
      </w:r>
      <w:r>
        <w:t xml:space="preserve"> </w:t>
      </w:r>
      <w:r>
        <w:t xml:space="preserve">del Barco 2011, PMID 21697595.</w:t>
      </w:r>
    </w:p>
  </w:footnote>
  <w:footnote w:id="1415">
    <w:p>
      <w:pPr>
        <w:pStyle w:val="FootnoteText"/>
      </w:pPr>
      <w:r>
        <w:rPr>
          <w:rStyle w:val="FootnoteReference"/>
        </w:rPr>
        <w:footnoteRef/>
      </w:r>
      <w:r>
        <w:t xml:space="preserve"> </w:t>
      </w:r>
      <w:r>
        <w:t xml:space="preserve">Petersenn 2002, PMID 11980622.</w:t>
      </w:r>
    </w:p>
  </w:footnote>
  <w:footnote w:id="1416">
    <w:p>
      <w:pPr>
        <w:pStyle w:val="FootnoteText"/>
      </w:pPr>
      <w:r>
        <w:rPr>
          <w:rStyle w:val="FootnoteReference"/>
        </w:rPr>
        <w:footnoteRef/>
      </w:r>
      <w:r>
        <w:t xml:space="preserve"> </w:t>
      </w:r>
      <w:r>
        <w:t xml:space="preserve">Frieboes 1995, PMID 7617137.</w:t>
      </w:r>
    </w:p>
  </w:footnote>
  <w:footnote w:id="1417">
    <w:p>
      <w:pPr>
        <w:pStyle w:val="FootnoteText"/>
      </w:pPr>
      <w:r>
        <w:rPr>
          <w:rStyle w:val="FootnoteReference"/>
        </w:rPr>
        <w:footnoteRef/>
      </w:r>
      <w:r>
        <w:t xml:space="preserve"> </w:t>
      </w:r>
      <w:r>
        <w:t xml:space="preserve">Perez 2026, PMID 42465868.</w:t>
      </w:r>
    </w:p>
  </w:footnote>
  <w:footnote w:id="1418">
    <w:p>
      <w:pPr>
        <w:pStyle w:val="FootnoteText"/>
      </w:pPr>
      <w:r>
        <w:rPr>
          <w:rStyle w:val="FootnoteReference"/>
        </w:rPr>
        <w:footnoteRef/>
      </w:r>
      <w:r>
        <w:t xml:space="preserve"> </w:t>
      </w:r>
      <w:r>
        <w:t xml:space="preserve">Krug 2018, PMID 29864719.</w:t>
      </w:r>
    </w:p>
  </w:footnote>
  <w:footnote w:id="1420">
    <w:p>
      <w:pPr>
        <w:pStyle w:val="FootnoteText"/>
      </w:pPr>
      <w:r>
        <w:rPr>
          <w:rStyle w:val="FootnoteReference"/>
        </w:rPr>
        <w:footnoteRef/>
      </w:r>
      <w:r>
        <w:t xml:space="preserve"> </w:t>
      </w:r>
      <w:r>
        <w:t xml:space="preserve">Semenistaya 2015, PMID 25869809.</w:t>
      </w:r>
    </w:p>
  </w:footnote>
  <w:footnote w:id="1425">
    <w:p>
      <w:pPr>
        <w:pStyle w:val="FootnoteText"/>
      </w:pPr>
      <w:r>
        <w:rPr>
          <w:rStyle w:val="FootnoteReference"/>
        </w:rPr>
        <w:footnoteRef/>
      </w:r>
      <w:r>
        <w:t xml:space="preserve"> </w:t>
      </w:r>
      <w:r>
        <w:t xml:space="preserve">Imbimbo 1994, PMID 7957536.</w:t>
      </w:r>
    </w:p>
  </w:footnote>
  <w:footnote w:id="1426">
    <w:p>
      <w:pPr>
        <w:pStyle w:val="FootnoteText"/>
      </w:pPr>
      <w:r>
        <w:rPr>
          <w:rStyle w:val="FootnoteReference"/>
        </w:rPr>
        <w:footnoteRef/>
      </w:r>
      <w:r>
        <w:t xml:space="preserve"> </w:t>
      </w:r>
      <w:r>
        <w:t xml:space="preserve">Mao 2014, PMID 25278975.</w:t>
      </w:r>
    </w:p>
  </w:footnote>
  <w:footnote w:id="1428">
    <w:p>
      <w:pPr>
        <w:pStyle w:val="FootnoteText"/>
      </w:pPr>
      <w:r>
        <w:rPr>
          <w:rStyle w:val="FootnoteReference"/>
        </w:rPr>
        <w:footnoteRef/>
      </w:r>
      <w:r>
        <w:t xml:space="preserve"> </w:t>
      </w:r>
      <w:r>
        <w:t xml:space="preserve">Loche 1995, PMID 7673411.</w:t>
      </w:r>
    </w:p>
  </w:footnote>
  <w:footnote w:id="1430">
    <w:p>
      <w:pPr>
        <w:pStyle w:val="FootnoteText"/>
      </w:pPr>
      <w:r>
        <w:rPr>
          <w:rStyle w:val="FootnoteReference"/>
        </w:rPr>
        <w:footnoteRef/>
      </w:r>
      <w:r>
        <w:t xml:space="preserve"> </w:t>
      </w:r>
      <w:r>
        <w:t xml:space="preserve">Imbimbo 1994, PMID 7957536.</w:t>
      </w:r>
    </w:p>
  </w:footnote>
  <w:footnote w:id="1431">
    <w:p>
      <w:pPr>
        <w:pStyle w:val="FootnoteText"/>
      </w:pPr>
      <w:r>
        <w:rPr>
          <w:rStyle w:val="FootnoteReference"/>
        </w:rPr>
        <w:footnoteRef/>
      </w:r>
      <w:r>
        <w:t xml:space="preserve"> </w:t>
      </w:r>
      <w:r>
        <w:t xml:space="preserve">Massoud 1996, PMID 8954038.</w:t>
      </w:r>
    </w:p>
  </w:footnote>
  <w:footnote w:id="1432">
    <w:p>
      <w:pPr>
        <w:pStyle w:val="FootnoteText"/>
      </w:pPr>
      <w:r>
        <w:rPr>
          <w:rStyle w:val="FootnoteReference"/>
        </w:rPr>
        <w:footnoteRef/>
      </w:r>
      <w:r>
        <w:t xml:space="preserve"> </w:t>
      </w:r>
      <w:r>
        <w:t xml:space="preserve">Korbonits 1999, PMID 10404825.</w:t>
      </w:r>
    </w:p>
  </w:footnote>
  <w:footnote w:id="1434">
    <w:p>
      <w:pPr>
        <w:pStyle w:val="FootnoteText"/>
      </w:pPr>
      <w:r>
        <w:rPr>
          <w:rStyle w:val="FootnoteReference"/>
        </w:rPr>
        <w:footnoteRef/>
      </w:r>
      <w:r>
        <w:t xml:space="preserve"> </w:t>
      </w:r>
      <w:r>
        <w:t xml:space="preserve">Rahim 1998, PMID 9589671.</w:t>
      </w:r>
    </w:p>
  </w:footnote>
  <w:footnote w:id="1435">
    <w:p>
      <w:pPr>
        <w:pStyle w:val="FootnoteText"/>
      </w:pPr>
      <w:r>
        <w:rPr>
          <w:rStyle w:val="FootnoteReference"/>
        </w:rPr>
        <w:footnoteRef/>
      </w:r>
      <w:r>
        <w:t xml:space="preserve"> </w:t>
      </w:r>
      <w:r>
        <w:t xml:space="preserve">Rahim 1999, PMID 10341859.</w:t>
      </w:r>
    </w:p>
  </w:footnote>
  <w:footnote w:id="1436">
    <w:p>
      <w:pPr>
        <w:pStyle w:val="FootnoteText"/>
      </w:pPr>
      <w:r>
        <w:rPr>
          <w:rStyle w:val="FootnoteReference"/>
        </w:rPr>
        <w:footnoteRef/>
      </w:r>
      <w:r>
        <w:t xml:space="preserve"> </w:t>
      </w:r>
      <w:r>
        <w:t xml:space="preserve">Laron 1995, PMID 8548949.</w:t>
      </w:r>
    </w:p>
  </w:footnote>
  <w:footnote w:id="1437">
    <w:p>
      <w:pPr>
        <w:pStyle w:val="FootnoteText"/>
      </w:pPr>
      <w:r>
        <w:rPr>
          <w:rStyle w:val="FootnoteReference"/>
        </w:rPr>
        <w:footnoteRef/>
      </w:r>
      <w:r>
        <w:t xml:space="preserve"> </w:t>
      </w:r>
      <w:r>
        <w:t xml:space="preserve">Klinger 1996, PMID 8766941.</w:t>
      </w:r>
    </w:p>
  </w:footnote>
  <w:footnote w:id="1439">
    <w:p>
      <w:pPr>
        <w:pStyle w:val="FootnoteText"/>
      </w:pPr>
      <w:r>
        <w:rPr>
          <w:rStyle w:val="FootnoteReference"/>
        </w:rPr>
        <w:footnoteRef/>
      </w:r>
      <w:r>
        <w:t xml:space="preserve"> </w:t>
      </w:r>
      <w:r>
        <w:t xml:space="preserve">Bisi 1999, PMID 10528131.</w:t>
      </w:r>
    </w:p>
  </w:footnote>
  <w:footnote w:id="1440">
    <w:p>
      <w:pPr>
        <w:pStyle w:val="FootnoteText"/>
      </w:pPr>
      <w:r>
        <w:rPr>
          <w:rStyle w:val="FootnoteReference"/>
        </w:rPr>
        <w:footnoteRef/>
      </w:r>
      <w:r>
        <w:t xml:space="preserve"> </w:t>
      </w:r>
      <w:r>
        <w:t xml:space="preserve">Broglio 2001, PMID 11322491.</w:t>
      </w:r>
    </w:p>
  </w:footnote>
  <w:footnote w:id="1441">
    <w:p>
      <w:pPr>
        <w:pStyle w:val="FootnoteText"/>
      </w:pPr>
      <w:r>
        <w:rPr>
          <w:rStyle w:val="FootnoteReference"/>
        </w:rPr>
        <w:footnoteRef/>
      </w:r>
      <w:r>
        <w:t xml:space="preserve"> </w:t>
      </w:r>
      <w:r>
        <w:t xml:space="preserve">Broglio 2002, PMID 12144941.</w:t>
      </w:r>
    </w:p>
  </w:footnote>
  <w:footnote w:id="1444">
    <w:p>
      <w:pPr>
        <w:pStyle w:val="FootnoteText"/>
      </w:pPr>
      <w:r>
        <w:rPr>
          <w:rStyle w:val="FootnoteReference"/>
        </w:rPr>
        <w:footnoteRef/>
      </w:r>
      <w:r>
        <w:t xml:space="preserve"> </w:t>
      </w:r>
      <w:r>
        <w:t xml:space="preserve">Tivesten 2000, PMID 10614623.</w:t>
      </w:r>
    </w:p>
  </w:footnote>
  <w:footnote w:id="1445">
    <w:p>
      <w:pPr>
        <w:pStyle w:val="FootnoteText"/>
      </w:pPr>
      <w:r>
        <w:rPr>
          <w:rStyle w:val="FootnoteReference"/>
        </w:rPr>
        <w:footnoteRef/>
      </w:r>
      <w:r>
        <w:t xml:space="preserve"> </w:t>
      </w:r>
      <w:r>
        <w:t xml:space="preserve">McDonald 2018, PMID 29756411.</w:t>
      </w:r>
    </w:p>
  </w:footnote>
  <w:footnote w:id="1446">
    <w:p>
      <w:pPr>
        <w:pStyle w:val="FootnoteText"/>
      </w:pPr>
      <w:r>
        <w:rPr>
          <w:rStyle w:val="FootnoteReference"/>
        </w:rPr>
        <w:footnoteRef/>
      </w:r>
      <w:r>
        <w:t xml:space="preserve"> </w:t>
      </w:r>
      <w:r>
        <w:t xml:space="preserve">Mao 2014, PMID 25278975.</w:t>
      </w:r>
    </w:p>
  </w:footnote>
  <w:footnote w:id="1448">
    <w:p>
      <w:pPr>
        <w:pStyle w:val="FootnoteText"/>
      </w:pPr>
      <w:r>
        <w:rPr>
          <w:rStyle w:val="FootnoteReference"/>
        </w:rPr>
        <w:footnoteRef/>
      </w:r>
      <w:r>
        <w:t xml:space="preserve"> </w:t>
      </w:r>
      <w:r>
        <w:t xml:space="preserve">Massoud 1996, PMID 8954038; Korbonits 1999, PMID 10404825.</w:t>
      </w:r>
    </w:p>
  </w:footnote>
  <w:footnote w:id="1449">
    <w:p>
      <w:pPr>
        <w:pStyle w:val="FootnoteText"/>
      </w:pPr>
      <w:r>
        <w:rPr>
          <w:rStyle w:val="FootnoteReference"/>
        </w:rPr>
        <w:footnoteRef/>
      </w:r>
      <w:r>
        <w:t xml:space="preserve"> </w:t>
      </w:r>
      <w:r>
        <w:t xml:space="preserve">Korbonits 1999, PMID 10404825.</w:t>
      </w:r>
    </w:p>
  </w:footnote>
  <w:footnote w:id="1450">
    <w:p>
      <w:pPr>
        <w:pStyle w:val="FootnoteText"/>
      </w:pPr>
      <w:r>
        <w:rPr>
          <w:rStyle w:val="FootnoteReference"/>
        </w:rPr>
        <w:footnoteRef/>
      </w:r>
      <w:r>
        <w:t xml:space="preserve"> </w:t>
      </w:r>
      <w:r>
        <w:t xml:space="preserve">Rahim 1998, PMID 9589671; Klinger 1996, PMID 8766941.</w:t>
      </w:r>
    </w:p>
  </w:footnote>
  <w:footnote w:id="1451">
    <w:p>
      <w:pPr>
        <w:pStyle w:val="FootnoteText"/>
      </w:pPr>
      <w:r>
        <w:rPr>
          <w:rStyle w:val="FootnoteReference"/>
        </w:rPr>
        <w:footnoteRef/>
      </w:r>
      <w:r>
        <w:t xml:space="preserve"> </w:t>
      </w:r>
      <w:r>
        <w:t xml:space="preserve">Laron 1995, PMID 8548949.</w:t>
      </w:r>
    </w:p>
  </w:footnote>
  <w:footnote w:id="1453">
    <w:p>
      <w:pPr>
        <w:pStyle w:val="FootnoteText"/>
      </w:pPr>
      <w:r>
        <w:rPr>
          <w:rStyle w:val="FootnoteReference"/>
        </w:rPr>
        <w:footnoteRef/>
      </w:r>
      <w:r>
        <w:t xml:space="preserve"> </w:t>
      </w:r>
      <w:r>
        <w:t xml:space="preserve">Semenistaya 2015, PMID 25869809.</w:t>
      </w:r>
    </w:p>
  </w:footnote>
  <w:footnote w:id="1458">
    <w:p>
      <w:pPr>
        <w:pStyle w:val="FootnoteText"/>
      </w:pPr>
      <w:r>
        <w:rPr>
          <w:rStyle w:val="FootnoteReference"/>
        </w:rPr>
        <w:footnoteRef/>
      </w:r>
      <w:r>
        <w:t xml:space="preserve"> </w:t>
      </w:r>
      <w:r>
        <w:t xml:space="preserve">Piccoli 2007, PMID 17284637.</w:t>
      </w:r>
    </w:p>
  </w:footnote>
  <w:footnote w:id="1461">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Klaus 2020, PMID 32325373.</w:t>
      </w:r>
    </w:p>
  </w:footnote>
  <w:footnote w:id="1464">
    <w:p>
      <w:pPr>
        <w:pStyle w:val="FootnoteText"/>
      </w:pPr>
      <w:r>
        <w:rPr>
          <w:rStyle w:val="FootnoteReference"/>
        </w:rPr>
        <w:footnoteRef/>
      </w:r>
      <w:r>
        <w:t xml:space="preserve"> </w:t>
      </w:r>
      <w:r>
        <w:t xml:space="preserve">Garcia 2013, PMID 23559086.</w:t>
      </w:r>
    </w:p>
  </w:footnote>
  <w:footnote w:id="1465">
    <w:p>
      <w:pPr>
        <w:pStyle w:val="FootnoteText"/>
      </w:pPr>
      <w:r>
        <w:rPr>
          <w:rStyle w:val="FootnoteReference"/>
        </w:rPr>
        <w:footnoteRef/>
      </w:r>
      <w:r>
        <w:t xml:space="preserve"> </w:t>
      </w:r>
      <w:r>
        <w:t xml:space="preserve">Garcia 2018, PMID 29860473; NCT02558829.</w:t>
      </w:r>
    </w:p>
  </w:footnote>
  <w:footnote w:id="1466">
    <w:p>
      <w:pPr>
        <w:pStyle w:val="FootnoteText"/>
      </w:pPr>
      <w:r>
        <w:rPr>
          <w:rStyle w:val="FootnoteReference"/>
        </w:rPr>
        <w:footnoteRef/>
      </w:r>
      <w:r>
        <w:t xml:space="preserve"> </w:t>
      </w:r>
      <w:r>
        <w:t xml:space="preserve">Garcia 2021, PMID 33320108.</w:t>
      </w:r>
    </w:p>
  </w:footnote>
  <w:footnote w:id="1468">
    <w:p>
      <w:pPr>
        <w:pStyle w:val="FootnoteText"/>
      </w:pPr>
      <w:r>
        <w:rPr>
          <w:rStyle w:val="FootnoteReference"/>
        </w:rPr>
        <w:footnoteRef/>
      </w:r>
      <w:r>
        <w:t xml:space="preserve"> </w:t>
      </w:r>
      <w:r>
        <w:t xml:space="preserve">Yadav 2026, PMID 41793495.</w:t>
      </w:r>
    </w:p>
  </w:footnote>
  <w:footnote w:id="1470">
    <w:p>
      <w:pPr>
        <w:pStyle w:val="FootnoteText"/>
      </w:pPr>
      <w:r>
        <w:rPr>
          <w:rStyle w:val="FootnoteReference"/>
        </w:rPr>
        <w:footnoteRef/>
      </w:r>
      <w:r>
        <w:t xml:space="preserve"> </w:t>
      </w:r>
      <w:r>
        <w:t xml:space="preserve">Csákváry 2021, PMID 34438400.</w:t>
      </w:r>
    </w:p>
  </w:footnote>
  <w:footnote w:id="1471">
    <w:p>
      <w:pPr>
        <w:pStyle w:val="FootnoteText"/>
      </w:pPr>
      <w:r>
        <w:rPr>
          <w:rStyle w:val="FootnoteReference"/>
        </w:rPr>
        <w:footnoteRef/>
      </w:r>
      <w:r>
        <w:t xml:space="preserve"> </w:t>
      </w:r>
      <w:r>
        <w:t xml:space="preserve">NCT04786873.</w:t>
      </w:r>
    </w:p>
  </w:footnote>
  <w:footnote w:id="1472">
    <w:p>
      <w:pPr>
        <w:pStyle w:val="FootnoteText"/>
      </w:pPr>
      <w:r>
        <w:rPr>
          <w:rStyle w:val="FootnoteReference"/>
        </w:rPr>
        <w:footnoteRef/>
      </w:r>
      <w:r>
        <w:t xml:space="preserve"> </w:t>
      </w:r>
      <w:r>
        <w:t xml:space="preserve">Herodes 2023, PMID 36860137.</w:t>
      </w:r>
    </w:p>
  </w:footnote>
  <w:footnote w:id="1475">
    <w:p>
      <w:pPr>
        <w:pStyle w:val="FootnoteText"/>
      </w:pPr>
      <w:r>
        <w:rPr>
          <w:rStyle w:val="FootnoteReference"/>
        </w:rPr>
        <w:footnoteRef/>
      </w:r>
      <w:r>
        <w:t xml:space="preserve"> </w:t>
      </w:r>
      <w:r>
        <w:t xml:space="preserve">Buckinx 2021, PMID 34157194.</w:t>
      </w:r>
    </w:p>
  </w:footnote>
  <w:footnote w:id="1476">
    <w:p>
      <w:pPr>
        <w:pStyle w:val="FootnoteText"/>
      </w:pPr>
      <w:r>
        <w:rPr>
          <w:rStyle w:val="FootnoteReference"/>
        </w:rPr>
        <w:footnoteRef/>
      </w:r>
      <w:r>
        <w:t xml:space="preserve"> </w:t>
      </w:r>
      <w:r>
        <w:t xml:space="preserve">Wang 2025, PMID 40542284.</w:t>
      </w:r>
    </w:p>
  </w:footnote>
  <w:footnote w:id="1478">
    <w:p>
      <w:pPr>
        <w:pStyle w:val="FootnoteText"/>
      </w:pPr>
      <w:r>
        <w:rPr>
          <w:rStyle w:val="FootnoteReference"/>
        </w:rPr>
        <w:footnoteRef/>
      </w:r>
      <w:r>
        <w:t xml:space="preserve"> </w:t>
      </w:r>
      <w:r>
        <w:t xml:space="preserve">Garcia 2018, PMID 29860473.</w:t>
      </w:r>
    </w:p>
  </w:footnote>
  <w:footnote w:id="1479">
    <w:p>
      <w:pPr>
        <w:pStyle w:val="FootnoteText"/>
      </w:pPr>
      <w:r>
        <w:rPr>
          <w:rStyle w:val="FootnoteReference"/>
        </w:rPr>
        <w:footnoteRef/>
      </w:r>
      <w:r>
        <w:t xml:space="preserve"> </w:t>
      </w:r>
      <w:r>
        <w:t xml:space="preserve">Klaus 2020, PMID 32325373.</w:t>
      </w:r>
    </w:p>
  </w:footnote>
  <w:footnote w:id="1480">
    <w:p>
      <w:pPr>
        <w:pStyle w:val="FootnoteText"/>
      </w:pPr>
      <w:r>
        <w:rPr>
          <w:rStyle w:val="FootnoteReference"/>
        </w:rPr>
        <w:footnoteRef/>
      </w:r>
      <w:r>
        <w:t xml:space="preserve"> </w:t>
      </w:r>
      <w:r>
        <w:t xml:space="preserve">Lissy 2021, PMID 32961034.</w:t>
      </w:r>
    </w:p>
  </w:footnote>
  <w:footnote w:id="1481">
    <w:p>
      <w:pPr>
        <w:pStyle w:val="FootnoteText"/>
      </w:pPr>
      <w:r>
        <w:rPr>
          <w:rStyle w:val="FootnoteReference"/>
        </w:rPr>
        <w:footnoteRef/>
      </w:r>
      <w:r>
        <w:t xml:space="preserve"> </w:t>
      </w:r>
      <w:r>
        <w:t xml:space="preserve">Yadav 2026, PMID 41793495.</w:t>
      </w:r>
    </w:p>
  </w:footnote>
  <w:footnote w:id="1483">
    <w:p>
      <w:pPr>
        <w:pStyle w:val="FootnoteText"/>
      </w:pPr>
      <w:r>
        <w:rPr>
          <w:rStyle w:val="FootnoteReference"/>
        </w:rPr>
        <w:footnoteRef/>
      </w:r>
      <w:r>
        <w:t xml:space="preserve"> </w:t>
      </w:r>
      <w:r>
        <w:t xml:space="preserve">Lange 2021, PMID 33458843.</w:t>
      </w:r>
    </w:p>
  </w:footnote>
  <w:footnote w:id="1485">
    <w:p>
      <w:pPr>
        <w:pStyle w:val="FootnoteText"/>
      </w:pPr>
      <w:r>
        <w:rPr>
          <w:rStyle w:val="FootnoteReference"/>
        </w:rPr>
        <w:footnoteRef/>
      </w:r>
      <w:r>
        <w:t xml:space="preserve"> </w:t>
      </w:r>
      <w:r>
        <w:t xml:space="preserve">NCT04786873.</w:t>
      </w:r>
    </w:p>
  </w:footnote>
  <w:footnote w:id="1486">
    <w:p>
      <w:pPr>
        <w:pStyle w:val="FootnoteText"/>
      </w:pPr>
      <w:r>
        <w:rPr>
          <w:rStyle w:val="FootnoteReference"/>
        </w:rPr>
        <w:footnoteRef/>
      </w:r>
      <w:r>
        <w:t xml:space="preserve"> </w:t>
      </w:r>
      <w:r>
        <w:t xml:space="preserve">NCT03844217.</w:t>
      </w:r>
    </w:p>
  </w:footnote>
  <w:footnote w:id="1491">
    <w:p>
      <w:pPr>
        <w:pStyle w:val="FootnoteText"/>
      </w:pPr>
      <w:r>
        <w:rPr>
          <w:rStyle w:val="FootnoteReference"/>
        </w:rPr>
        <w:footnoteRef/>
      </w:r>
      <w:r>
        <w:t xml:space="preserve"> </w:t>
      </w:r>
      <w:r>
        <w:t xml:space="preserve">Saavedra 2026, PMID 42341624.</w:t>
      </w:r>
    </w:p>
  </w:footnote>
  <w:footnote w:id="1493">
    <w:p>
      <w:pPr>
        <w:pStyle w:val="FootnoteText"/>
      </w:pPr>
      <w:r>
        <w:rPr>
          <w:rStyle w:val="FootnoteReference"/>
        </w:rPr>
        <w:footnoteRef/>
      </w:r>
      <w:r>
        <w:t xml:space="preserve"> </w:t>
      </w:r>
      <w:r>
        <w:t xml:space="preserve">Chernausek 2007, PMID 17192294.</w:t>
      </w:r>
    </w:p>
  </w:footnote>
  <w:footnote w:id="1494">
    <w:p>
      <w:pPr>
        <w:pStyle w:val="FootnoteText"/>
      </w:pPr>
      <w:r>
        <w:rPr>
          <w:rStyle w:val="FootnoteReference"/>
        </w:rPr>
        <w:footnoteRef/>
      </w:r>
      <w:r>
        <w:t xml:space="preserve"> </w:t>
      </w:r>
      <w:r>
        <w:t xml:space="preserve">NCT00903110.</w:t>
      </w:r>
    </w:p>
  </w:footnote>
  <w:footnote w:id="1495">
    <w:p>
      <w:pPr>
        <w:pStyle w:val="FootnoteText"/>
      </w:pPr>
      <w:r>
        <w:rPr>
          <w:rStyle w:val="FootnoteReference"/>
        </w:rPr>
        <w:footnoteRef/>
      </w:r>
      <w:r>
        <w:t xml:space="preserve"> </w:t>
      </w:r>
      <w:r>
        <w:t xml:space="preserve">Bang 2021, PMID 33434161.</w:t>
      </w:r>
    </w:p>
  </w:footnote>
  <w:footnote w:id="1496">
    <w:p>
      <w:pPr>
        <w:pStyle w:val="FootnoteText"/>
      </w:pPr>
      <w:r>
        <w:rPr>
          <w:rStyle w:val="FootnoteReference"/>
        </w:rPr>
        <w:footnoteRef/>
      </w:r>
      <w:r>
        <w:t xml:space="preserve"> </w:t>
      </w:r>
      <w:r>
        <w:t xml:space="preserve">Ramon-Krauel 2026, PMID 40626687.</w:t>
      </w:r>
    </w:p>
  </w:footnote>
  <w:footnote w:id="1497">
    <w:p>
      <w:pPr>
        <w:pStyle w:val="FootnoteText"/>
      </w:pPr>
      <w:r>
        <w:rPr>
          <w:rStyle w:val="FootnoteReference"/>
        </w:rPr>
        <w:footnoteRef/>
      </w:r>
      <w:r>
        <w:t xml:space="preserve"> </w:t>
      </w:r>
      <w:r>
        <w:t xml:space="preserve">Bang 2023, PMID 37579214.</w:t>
      </w:r>
    </w:p>
  </w:footnote>
  <w:footnote w:id="1499">
    <w:p>
      <w:pPr>
        <w:pStyle w:val="FootnoteText"/>
      </w:pPr>
      <w:r>
        <w:rPr>
          <w:rStyle w:val="FootnoteReference"/>
        </w:rPr>
        <w:footnoteRef/>
      </w:r>
      <w:r>
        <w:t xml:space="preserve"> </w:t>
      </w:r>
      <w:r>
        <w:t xml:space="preserve">Sorenson 2008, PMID 19029516.</w:t>
      </w:r>
    </w:p>
  </w:footnote>
  <w:footnote w:id="1500">
    <w:p>
      <w:pPr>
        <w:pStyle w:val="FootnoteText"/>
      </w:pPr>
      <w:r>
        <w:rPr>
          <w:rStyle w:val="FootnoteReference"/>
        </w:rPr>
        <w:footnoteRef/>
      </w:r>
      <w:r>
        <w:t xml:space="preserve"> </w:t>
      </w:r>
      <w:r>
        <w:t xml:space="preserve">Rutter 2020, PMID 32108355.</w:t>
      </w:r>
    </w:p>
  </w:footnote>
  <w:footnote w:id="1501">
    <w:p>
      <w:pPr>
        <w:pStyle w:val="FootnoteText"/>
      </w:pPr>
      <w:r>
        <w:rPr>
          <w:rStyle w:val="FootnoteReference"/>
        </w:rPr>
        <w:footnoteRef/>
      </w:r>
      <w:r>
        <w:t xml:space="preserve"> </w:t>
      </w:r>
      <w:r>
        <w:t xml:space="preserve">Ribeiro 2025, PMID 41174329.</w:t>
      </w:r>
    </w:p>
  </w:footnote>
  <w:footnote w:id="1502">
    <w:p>
      <w:pPr>
        <w:pStyle w:val="FootnoteText"/>
      </w:pPr>
      <w:r>
        <w:rPr>
          <w:rStyle w:val="FootnoteReference"/>
        </w:rPr>
        <w:footnoteRef/>
      </w:r>
      <w:r>
        <w:t xml:space="preserve"> </w:t>
      </w:r>
      <w:r>
        <w:t xml:space="preserve">Ley 2019, PMID 30471715.</w:t>
      </w:r>
    </w:p>
  </w:footnote>
  <w:footnote w:id="1503">
    <w:p>
      <w:pPr>
        <w:pStyle w:val="FootnoteText"/>
      </w:pPr>
      <w:r>
        <w:rPr>
          <w:rStyle w:val="FootnoteReference"/>
        </w:rPr>
        <w:footnoteRef/>
      </w:r>
      <w:r>
        <w:t xml:space="preserve"> </w:t>
      </w:r>
      <w:r>
        <w:t xml:space="preserve">NCT03253263.</w:t>
      </w:r>
    </w:p>
  </w:footnote>
  <w:footnote w:id="1504">
    <w:p>
      <w:pPr>
        <w:pStyle w:val="FootnoteText"/>
      </w:pPr>
      <w:r>
        <w:rPr>
          <w:rStyle w:val="FootnoteReference"/>
        </w:rPr>
        <w:footnoteRef/>
      </w:r>
      <w:r>
        <w:t xml:space="preserve"> </w:t>
      </w:r>
      <w:r>
        <w:t xml:space="preserve">Haines 2021, PMID 34355814.</w:t>
      </w:r>
    </w:p>
  </w:footnote>
  <w:footnote w:id="1505">
    <w:p>
      <w:pPr>
        <w:pStyle w:val="FootnoteText"/>
      </w:pPr>
      <w:r>
        <w:rPr>
          <w:rStyle w:val="FootnoteReference"/>
        </w:rPr>
        <w:footnoteRef/>
      </w:r>
      <w:r>
        <w:t xml:space="preserve"> </w:t>
      </w:r>
      <w:r>
        <w:t xml:space="preserve">Mauras 2000, PMID 10999782.</w:t>
      </w:r>
    </w:p>
  </w:footnote>
  <w:footnote w:id="1506">
    <w:p>
      <w:pPr>
        <w:pStyle w:val="FootnoteText"/>
      </w:pPr>
      <w:r>
        <w:rPr>
          <w:rStyle w:val="FootnoteReference"/>
        </w:rPr>
        <w:footnoteRef/>
      </w:r>
      <w:r>
        <w:t xml:space="preserve"> </w:t>
      </w:r>
      <w:r>
        <w:t xml:space="preserve">Guha 2021, PMID 33249593.</w:t>
      </w:r>
    </w:p>
  </w:footnote>
  <w:footnote w:id="1509">
    <w:p>
      <w:pPr>
        <w:pStyle w:val="FootnoteText"/>
      </w:pPr>
      <w:r>
        <w:rPr>
          <w:rStyle w:val="FootnoteReference"/>
        </w:rPr>
        <w:footnoteRef/>
      </w:r>
      <w:r>
        <w:t xml:space="preserve"> </w:t>
      </w:r>
      <w:r>
        <w:t xml:space="preserve">Guevara-Aguirre 2011, PMID 21325617.</w:t>
      </w:r>
    </w:p>
  </w:footnote>
  <w:footnote w:id="1510">
    <w:p>
      <w:pPr>
        <w:pStyle w:val="FootnoteText"/>
      </w:pPr>
      <w:r>
        <w:rPr>
          <w:rStyle w:val="FootnoteReference"/>
        </w:rPr>
        <w:footnoteRef/>
      </w:r>
      <w:r>
        <w:t xml:space="preserve"> </w:t>
      </w:r>
      <w:r>
        <w:t xml:space="preserve">Guevara-Aguirre 2015, PMID 25316432.</w:t>
      </w:r>
    </w:p>
  </w:footnote>
  <w:footnote w:id="1512">
    <w:p>
      <w:pPr>
        <w:pStyle w:val="FootnoteText"/>
      </w:pPr>
      <w:r>
        <w:rPr>
          <w:rStyle w:val="FootnoteReference"/>
        </w:rPr>
        <w:footnoteRef/>
      </w:r>
      <w:r>
        <w:t xml:space="preserve"> </w:t>
      </w:r>
      <w:r>
        <w:t xml:space="preserve">Chernausek 2007, PMID 17192294; Bang 2023, PMID 37579214.</w:t>
      </w:r>
    </w:p>
  </w:footnote>
  <w:footnote w:id="1513">
    <w:p>
      <w:pPr>
        <w:pStyle w:val="FootnoteText"/>
      </w:pPr>
      <w:r>
        <w:rPr>
          <w:rStyle w:val="FootnoteReference"/>
        </w:rPr>
        <w:footnoteRef/>
      </w:r>
      <w:r>
        <w:t xml:space="preserve"> </w:t>
      </w:r>
      <w:r>
        <w:t xml:space="preserve">Chernausek 2007, PMID 17192294.</w:t>
      </w:r>
    </w:p>
  </w:footnote>
  <w:footnote w:id="1514">
    <w:p>
      <w:pPr>
        <w:pStyle w:val="FootnoteText"/>
      </w:pPr>
      <w:r>
        <w:rPr>
          <w:rStyle w:val="FootnoteReference"/>
        </w:rPr>
        <w:footnoteRef/>
      </w:r>
      <w:r>
        <w:t xml:space="preserve"> </w:t>
      </w:r>
      <w:r>
        <w:t xml:space="preserve">Ley 2019, PMID 30471715.</w:t>
      </w:r>
    </w:p>
  </w:footnote>
  <w:footnote w:id="1515">
    <w:p>
      <w:pPr>
        <w:pStyle w:val="FootnoteText"/>
      </w:pPr>
      <w:r>
        <w:rPr>
          <w:rStyle w:val="FootnoteReference"/>
        </w:rPr>
        <w:footnoteRef/>
      </w:r>
      <w:r>
        <w:t xml:space="preserve"> </w:t>
      </w:r>
      <w:r>
        <w:t xml:space="preserve">Renehan 2004, PMID 15110491.</w:t>
      </w:r>
    </w:p>
  </w:footnote>
  <w:footnote w:id="1516">
    <w:p>
      <w:pPr>
        <w:pStyle w:val="FootnoteText"/>
      </w:pPr>
      <w:r>
        <w:rPr>
          <w:rStyle w:val="FootnoteReference"/>
        </w:rPr>
        <w:footnoteRef/>
      </w:r>
      <w:r>
        <w:t xml:space="preserve"> </w:t>
      </w:r>
      <w:r>
        <w:t xml:space="preserve">Murphy 2020, PMID 32169310.</w:t>
      </w:r>
    </w:p>
  </w:footnote>
  <w:footnote w:id="1517">
    <w:p>
      <w:pPr>
        <w:pStyle w:val="FootnoteText"/>
      </w:pPr>
      <w:r>
        <w:rPr>
          <w:rStyle w:val="FootnoteReference"/>
        </w:rPr>
        <w:footnoteRef/>
      </w:r>
      <w:r>
        <w:t xml:space="preserve"> </w:t>
      </w:r>
      <w:r>
        <w:t xml:space="preserve">Murphy 2020, PMID 31884074.</w:t>
      </w:r>
    </w:p>
  </w:footnote>
  <w:footnote w:id="1518">
    <w:p>
      <w:pPr>
        <w:pStyle w:val="FootnoteText"/>
      </w:pPr>
      <w:r>
        <w:rPr>
          <w:rStyle w:val="FootnoteReference"/>
        </w:rPr>
        <w:footnoteRef/>
      </w:r>
      <w:r>
        <w:t xml:space="preserve"> </w:t>
      </w:r>
      <w:r>
        <w:t xml:space="preserve">Watts 2023, PMID 35726641.</w:t>
      </w:r>
    </w:p>
  </w:footnote>
  <w:footnote w:id="1519">
    <w:p>
      <w:pPr>
        <w:pStyle w:val="FootnoteText"/>
      </w:pPr>
      <w:r>
        <w:rPr>
          <w:rStyle w:val="FootnoteReference"/>
        </w:rPr>
        <w:footnoteRef/>
      </w:r>
      <w:r>
        <w:t xml:space="preserve"> </w:t>
      </w:r>
      <w:r>
        <w:t xml:space="preserve">Murphy 2020, PMID 32169310; Murphy 2020, PMID 31884074.</w:t>
      </w:r>
    </w:p>
  </w:footnote>
  <w:footnote w:id="1520">
    <w:p>
      <w:pPr>
        <w:pStyle w:val="FootnoteText"/>
      </w:pPr>
      <w:r>
        <w:rPr>
          <w:rStyle w:val="FootnoteReference"/>
        </w:rPr>
        <w:footnoteRef/>
      </w:r>
      <w:r>
        <w:t xml:space="preserve"> </w:t>
      </w:r>
      <w:r>
        <w:t xml:space="preserve">Guevara-Aguirre 2011, PMID 21325617.</w:t>
      </w:r>
    </w:p>
  </w:footnote>
  <w:footnote w:id="1521">
    <w:p>
      <w:pPr>
        <w:pStyle w:val="FootnoteText"/>
      </w:pPr>
      <w:r>
        <w:rPr>
          <w:rStyle w:val="FootnoteReference"/>
        </w:rPr>
        <w:footnoteRef/>
      </w:r>
      <w:r>
        <w:t xml:space="preserve"> </w:t>
      </w:r>
      <w:r>
        <w:t xml:space="preserve">NCT00903110.</w:t>
      </w:r>
    </w:p>
  </w:footnote>
  <w:footnote w:id="1523">
    <w:p>
      <w:pPr>
        <w:pStyle w:val="FootnoteText"/>
      </w:pPr>
      <w:r>
        <w:rPr>
          <w:rStyle w:val="FootnoteReference"/>
        </w:rPr>
        <w:footnoteRef/>
      </w:r>
      <w:r>
        <w:t xml:space="preserve"> </w:t>
      </w:r>
      <w:r>
        <w:t xml:space="preserve">Saavedra 2026, PMID 42341624.</w:t>
      </w:r>
    </w:p>
  </w:footnote>
  <w:footnote w:id="1524">
    <w:p>
      <w:pPr>
        <w:pStyle w:val="FootnoteText"/>
      </w:pPr>
      <w:r>
        <w:rPr>
          <w:rStyle w:val="FootnoteReference"/>
        </w:rPr>
        <w:footnoteRef/>
      </w:r>
      <w:r>
        <w:t xml:space="preserve"> </w:t>
      </w:r>
      <w:r>
        <w:t xml:space="preserve">Guha 2013, PMID 23934394.</w:t>
      </w:r>
    </w:p>
  </w:footnote>
  <w:footnote w:id="1526">
    <w:p>
      <w:pPr>
        <w:pStyle w:val="FootnoteText"/>
      </w:pPr>
      <w:r>
        <w:rPr>
          <w:rStyle w:val="FootnoteReference"/>
        </w:rPr>
        <w:footnoteRef/>
      </w:r>
      <w:r>
        <w:t xml:space="preserve"> </w:t>
      </w:r>
      <w:r>
        <w:t xml:space="preserve">NCT00903110.</w:t>
      </w:r>
    </w:p>
  </w:footnote>
  <w:footnote w:id="1530">
    <w:p>
      <w:pPr>
        <w:pStyle w:val="FootnoteText"/>
      </w:pPr>
      <w:r>
        <w:rPr>
          <w:rStyle w:val="FootnoteReference"/>
        </w:rPr>
        <w:footnoteRef/>
      </w:r>
      <w:r>
        <w:t xml:space="preserve"> </w:t>
      </w:r>
      <w:r>
        <w:t xml:space="preserve">Bastian 1993, PMID 7693845; Tomas 1993, PMID 7683875.</w:t>
      </w:r>
    </w:p>
  </w:footnote>
  <w:footnote w:id="1532">
    <w:p>
      <w:pPr>
        <w:pStyle w:val="FootnoteText"/>
      </w:pPr>
      <w:r>
        <w:rPr>
          <w:rStyle w:val="FootnoteReference"/>
        </w:rPr>
        <w:footnoteRef/>
      </w:r>
      <w:r>
        <w:t xml:space="preserve"> </w:t>
      </w:r>
      <w:r>
        <w:t xml:space="preserve">Devi 2001, PMID 11735239.</w:t>
      </w:r>
    </w:p>
  </w:footnote>
  <w:footnote w:id="1533">
    <w:p>
      <w:pPr>
        <w:pStyle w:val="FootnoteText"/>
      </w:pPr>
      <w:r>
        <w:rPr>
          <w:rStyle w:val="FootnoteReference"/>
        </w:rPr>
        <w:footnoteRef/>
      </w:r>
      <w:r>
        <w:t xml:space="preserve"> </w:t>
      </w:r>
      <w:r>
        <w:t xml:space="preserve">Bastian 1993, PMID 7693845.</w:t>
      </w:r>
    </w:p>
  </w:footnote>
  <w:footnote w:id="1534">
    <w:p>
      <w:pPr>
        <w:pStyle w:val="FootnoteText"/>
      </w:pPr>
      <w:r>
        <w:rPr>
          <w:rStyle w:val="FootnoteReference"/>
        </w:rPr>
        <w:footnoteRef/>
      </w:r>
      <w:r>
        <w:t xml:space="preserve"> </w:t>
      </w:r>
      <w:r>
        <w:t xml:space="preserve">Tomas 1993, PMID 7683875.</w:t>
      </w:r>
    </w:p>
  </w:footnote>
  <w:footnote w:id="1536">
    <w:p>
      <w:pPr>
        <w:pStyle w:val="FootnoteText"/>
      </w:pPr>
      <w:r>
        <w:rPr>
          <w:rStyle w:val="FootnoteReference"/>
        </w:rPr>
        <w:footnoteRef/>
      </w:r>
      <w:r>
        <w:t xml:space="preserve"> </w:t>
      </w:r>
      <w:r>
        <w:t xml:space="preserve">Kohler 2010, PMID 20675162.</w:t>
      </w:r>
    </w:p>
  </w:footnote>
  <w:footnote w:id="1537">
    <w:p>
      <w:pPr>
        <w:pStyle w:val="FootnoteText"/>
      </w:pPr>
      <w:r>
        <w:rPr>
          <w:rStyle w:val="FootnoteReference"/>
        </w:rPr>
        <w:footnoteRef/>
      </w:r>
      <w:r>
        <w:t xml:space="preserve"> </w:t>
      </w:r>
      <w:r>
        <w:t xml:space="preserve">Mongongu 2021, PMID 33587816.</w:t>
      </w:r>
    </w:p>
  </w:footnote>
  <w:footnote w:id="1538">
    <w:p>
      <w:pPr>
        <w:pStyle w:val="FootnoteText"/>
      </w:pPr>
      <w:r>
        <w:rPr>
          <w:rStyle w:val="FootnoteReference"/>
        </w:rPr>
        <w:footnoteRef/>
      </w:r>
      <w:r>
        <w:t xml:space="preserve"> </w:t>
      </w:r>
      <w:r>
        <w:t xml:space="preserve">Guha 2013, PMID 23934394.</w:t>
      </w:r>
    </w:p>
  </w:footnote>
  <w:footnote w:id="1540">
    <w:p>
      <w:pPr>
        <w:pStyle w:val="FootnoteText"/>
      </w:pPr>
      <w:r>
        <w:rPr>
          <w:rStyle w:val="FootnoteReference"/>
        </w:rPr>
        <w:footnoteRef/>
      </w:r>
      <w:r>
        <w:t xml:space="preserve"> </w:t>
      </w:r>
      <w:r>
        <w:t xml:space="preserve">Bastian 1993, PMID 7693845.</w:t>
      </w:r>
    </w:p>
  </w:footnote>
  <w:footnote w:id="1541">
    <w:p>
      <w:pPr>
        <w:pStyle w:val="FootnoteText"/>
      </w:pPr>
      <w:r>
        <w:rPr>
          <w:rStyle w:val="FootnoteReference"/>
        </w:rPr>
        <w:footnoteRef/>
      </w:r>
      <w:r>
        <w:t xml:space="preserve"> </w:t>
      </w:r>
      <w:r>
        <w:t xml:space="preserve">Tomas 1993, PMID 7683875.</w:t>
      </w:r>
    </w:p>
  </w:footnote>
  <w:footnote w:id="1542">
    <w:p>
      <w:pPr>
        <w:pStyle w:val="FootnoteText"/>
      </w:pPr>
      <w:r>
        <w:rPr>
          <w:rStyle w:val="FootnoteReference"/>
        </w:rPr>
        <w:footnoteRef/>
      </w:r>
      <w:r>
        <w:t xml:space="preserve"> </w:t>
      </w:r>
      <w:r>
        <w:t xml:space="preserve">Dunaiski 1997, PMID 9488001.</w:t>
      </w:r>
    </w:p>
  </w:footnote>
  <w:footnote w:id="1543">
    <w:p>
      <w:pPr>
        <w:pStyle w:val="FootnoteText"/>
      </w:pPr>
      <w:r>
        <w:rPr>
          <w:rStyle w:val="FootnoteReference"/>
        </w:rPr>
        <w:footnoteRef/>
      </w:r>
      <w:r>
        <w:t xml:space="preserve"> </w:t>
      </w:r>
      <w:r>
        <w:t xml:space="preserve">Conlon 1995, PMID 7561636.</w:t>
      </w:r>
    </w:p>
  </w:footnote>
  <w:footnote w:id="1544">
    <w:p>
      <w:pPr>
        <w:pStyle w:val="FootnoteText"/>
      </w:pPr>
      <w:r>
        <w:rPr>
          <w:rStyle w:val="FootnoteReference"/>
        </w:rPr>
        <w:footnoteRef/>
      </w:r>
      <w:r>
        <w:t xml:space="preserve"> </w:t>
      </w:r>
      <w:r>
        <w:t xml:space="preserve">White 2023, PMID 37114757.</w:t>
      </w:r>
    </w:p>
  </w:footnote>
  <w:footnote w:id="1545">
    <w:p>
      <w:pPr>
        <w:pStyle w:val="FootnoteText"/>
      </w:pPr>
      <w:r>
        <w:rPr>
          <w:rStyle w:val="FootnoteReference"/>
        </w:rPr>
        <w:footnoteRef/>
      </w:r>
      <w:r>
        <w:t xml:space="preserve"> </w:t>
      </w:r>
      <w:r>
        <w:t xml:space="preserve">White 2025, PMID 39679943.</w:t>
      </w:r>
    </w:p>
  </w:footnote>
  <w:footnote w:id="1546">
    <w:p>
      <w:pPr>
        <w:pStyle w:val="FootnoteText"/>
      </w:pPr>
      <w:r>
        <w:rPr>
          <w:rStyle w:val="FootnoteReference"/>
        </w:rPr>
        <w:footnoteRef/>
      </w:r>
      <w:r>
        <w:t xml:space="preserve"> </w:t>
      </w:r>
      <w:r>
        <w:t xml:space="preserve">Engel 2025, PMID 39610283.</w:t>
      </w:r>
    </w:p>
  </w:footnote>
  <w:footnote w:id="1548">
    <w:p>
      <w:pPr>
        <w:pStyle w:val="FootnoteText"/>
      </w:pPr>
      <w:r>
        <w:rPr>
          <w:rStyle w:val="FootnoteReference"/>
        </w:rPr>
        <w:footnoteRef/>
      </w:r>
      <w:r>
        <w:t xml:space="preserve"> </w:t>
      </w:r>
      <w:r>
        <w:t xml:space="preserve">Chernausek 2007, PMID 17192294.</w:t>
      </w:r>
    </w:p>
  </w:footnote>
  <w:footnote w:id="1549">
    <w:p>
      <w:pPr>
        <w:pStyle w:val="FootnoteText"/>
      </w:pPr>
      <w:r>
        <w:rPr>
          <w:rStyle w:val="FootnoteReference"/>
        </w:rPr>
        <w:footnoteRef/>
      </w:r>
      <w:r>
        <w:t xml:space="preserve"> </w:t>
      </w:r>
      <w:r>
        <w:t xml:space="preserve">Dunaiski 1997, PMID 9488001; White 2023, PMID 37114757.</w:t>
      </w:r>
    </w:p>
  </w:footnote>
  <w:footnote w:id="1550">
    <w:p>
      <w:pPr>
        <w:pStyle w:val="FootnoteText"/>
      </w:pPr>
      <w:r>
        <w:rPr>
          <w:rStyle w:val="FootnoteReference"/>
        </w:rPr>
        <w:footnoteRef/>
      </w:r>
      <w:r>
        <w:t xml:space="preserve"> </w:t>
      </w:r>
      <w:r>
        <w:t xml:space="preserve">Conlon 1995, PMID 7561636.</w:t>
      </w:r>
    </w:p>
  </w:footnote>
  <w:footnote w:id="1551">
    <w:p>
      <w:pPr>
        <w:pStyle w:val="FootnoteText"/>
      </w:pPr>
      <w:r>
        <w:rPr>
          <w:rStyle w:val="FootnoteReference"/>
        </w:rPr>
        <w:footnoteRef/>
      </w:r>
      <w:r>
        <w:t xml:space="preserve"> </w:t>
      </w:r>
      <w:r>
        <w:t xml:space="preserve">Renehan 2004, PMID 15110491; Murphy 2020, PMID 32169310; Watts 2023, PMID 35726641.</w:t>
      </w:r>
    </w:p>
  </w:footnote>
  <w:footnote w:id="1552">
    <w:p>
      <w:pPr>
        <w:pStyle w:val="FootnoteText"/>
      </w:pPr>
      <w:r>
        <w:rPr>
          <w:rStyle w:val="FootnoteReference"/>
        </w:rPr>
        <w:footnoteRef/>
      </w:r>
      <w:r>
        <w:t xml:space="preserve"> </w:t>
      </w:r>
      <w:r>
        <w:t xml:space="preserve">Guevara-Aguirre 2011, PMID 21325617.</w:t>
      </w:r>
    </w:p>
  </w:footnote>
  <w:footnote w:id="1553">
    <w:p>
      <w:pPr>
        <w:pStyle w:val="FootnoteText"/>
      </w:pPr>
      <w:r>
        <w:rPr>
          <w:rStyle w:val="FootnoteReference"/>
        </w:rPr>
        <w:footnoteRef/>
      </w:r>
      <w:r>
        <w:t xml:space="preserve"> </w:t>
      </w:r>
      <w:r>
        <w:t xml:space="preserve">Kohler 2010, PMID 20675162; Mongongu 2021, PMID 33587816.</w:t>
      </w:r>
    </w:p>
  </w:footnote>
  <w:footnote w:id="1555">
    <w:p>
      <w:pPr>
        <w:pStyle w:val="FootnoteText"/>
      </w:pPr>
      <w:r>
        <w:rPr>
          <w:rStyle w:val="FootnoteReference"/>
        </w:rPr>
        <w:footnoteRef/>
      </w:r>
      <w:r>
        <w:t xml:space="preserve"> </w:t>
      </w:r>
      <w:r>
        <w:t xml:space="preserve">Mongongu 2021, PMID 33587816.</w:t>
      </w:r>
    </w:p>
  </w:footnote>
  <w:footnote w:id="1560">
    <w:p>
      <w:pPr>
        <w:pStyle w:val="FootnoteText"/>
      </w:pPr>
      <w:r>
        <w:rPr>
          <w:rStyle w:val="FootnoteReference"/>
        </w:rPr>
        <w:footnoteRef/>
      </w:r>
      <w:r>
        <w:t xml:space="preserve"> </w:t>
      </w:r>
      <w:r>
        <w:t xml:space="preserve">Bright 2022, PMID 35354138.</w:t>
      </w:r>
    </w:p>
  </w:footnote>
  <w:footnote w:id="1562">
    <w:p>
      <w:pPr>
        <w:pStyle w:val="FootnoteText"/>
      </w:pPr>
      <w:r>
        <w:rPr>
          <w:rStyle w:val="FootnoteReference"/>
        </w:rPr>
        <w:footnoteRef/>
      </w:r>
      <w:r>
        <w:t xml:space="preserve"> </w:t>
      </w:r>
      <w:r>
        <w:t xml:space="preserve">Chapman 1996, PMID 8954023.</w:t>
      </w:r>
    </w:p>
  </w:footnote>
  <w:footnote w:id="1564">
    <w:p>
      <w:pPr>
        <w:pStyle w:val="FootnoteText"/>
      </w:pPr>
      <w:r>
        <w:rPr>
          <w:rStyle w:val="FootnoteReference"/>
        </w:rPr>
        <w:footnoteRef/>
      </w:r>
      <w:r>
        <w:t xml:space="preserve"> </w:t>
      </w:r>
      <w:r>
        <w:t xml:space="preserve">Nass 2008, PMID 18981485.</w:t>
      </w:r>
    </w:p>
  </w:footnote>
  <w:footnote w:id="1566">
    <w:p>
      <w:pPr>
        <w:pStyle w:val="FootnoteText"/>
      </w:pPr>
      <w:r>
        <w:rPr>
          <w:rStyle w:val="FootnoteReference"/>
        </w:rPr>
        <w:footnoteRef/>
      </w:r>
      <w:r>
        <w:t xml:space="preserve"> </w:t>
      </w:r>
      <w:r>
        <w:t xml:space="preserve">Bach 2004, PMID 15066065.</w:t>
      </w:r>
    </w:p>
  </w:footnote>
  <w:footnote w:id="1567">
    <w:p>
      <w:pPr>
        <w:pStyle w:val="FootnoteText"/>
      </w:pPr>
      <w:r>
        <w:rPr>
          <w:rStyle w:val="FootnoteReference"/>
        </w:rPr>
        <w:footnoteRef/>
      </w:r>
      <w:r>
        <w:t xml:space="preserve"> </w:t>
      </w:r>
      <w:r>
        <w:t xml:space="preserve">Adunsky 2011, PMID 21067829.</w:t>
      </w:r>
    </w:p>
  </w:footnote>
  <w:footnote w:id="1569">
    <w:p>
      <w:pPr>
        <w:pStyle w:val="FootnoteText"/>
      </w:pPr>
      <w:r>
        <w:rPr>
          <w:rStyle w:val="FootnoteReference"/>
        </w:rPr>
        <w:footnoteRef/>
      </w:r>
      <w:r>
        <w:t xml:space="preserve"> </w:t>
      </w:r>
      <w:r>
        <w:t xml:space="preserve">Sevigny 2008, PMID 19015485.</w:t>
      </w:r>
    </w:p>
  </w:footnote>
  <w:footnote w:id="1571">
    <w:p>
      <w:pPr>
        <w:pStyle w:val="FootnoteText"/>
      </w:pPr>
      <w:r>
        <w:rPr>
          <w:rStyle w:val="FootnoteReference"/>
        </w:rPr>
        <w:footnoteRef/>
      </w:r>
      <w:r>
        <w:t xml:space="preserve"> </w:t>
      </w:r>
      <w:r>
        <w:t xml:space="preserve">Svensson 1998, PMID 9467542.</w:t>
      </w:r>
    </w:p>
  </w:footnote>
  <w:footnote w:id="1572">
    <w:p>
      <w:pPr>
        <w:pStyle w:val="FootnoteText"/>
      </w:pPr>
      <w:r>
        <w:rPr>
          <w:rStyle w:val="FootnoteReference"/>
        </w:rPr>
        <w:footnoteRef/>
      </w:r>
      <w:r>
        <w:t xml:space="preserve"> </w:t>
      </w:r>
      <w:r>
        <w:t xml:space="preserve">Murphy 2001, PMID 11238495.</w:t>
      </w:r>
    </w:p>
  </w:footnote>
  <w:footnote w:id="1573">
    <w:p>
      <w:pPr>
        <w:pStyle w:val="FootnoteText"/>
      </w:pPr>
      <w:r>
        <w:rPr>
          <w:rStyle w:val="FootnoteReference"/>
        </w:rPr>
        <w:footnoteRef/>
      </w:r>
      <w:r>
        <w:t xml:space="preserve"> </w:t>
      </w:r>
      <w:r>
        <w:t xml:space="preserve">Copinschi 1997, PMID 9349662.</w:t>
      </w:r>
    </w:p>
  </w:footnote>
  <w:footnote w:id="1574">
    <w:p>
      <w:pPr>
        <w:pStyle w:val="FootnoteText"/>
      </w:pPr>
      <w:r>
        <w:rPr>
          <w:rStyle w:val="FootnoteReference"/>
        </w:rPr>
        <w:footnoteRef/>
      </w:r>
      <w:r>
        <w:t xml:space="preserve"> </w:t>
      </w:r>
      <w:r>
        <w:t xml:space="preserve">Campbell 2018, PMID 28340044.</w:t>
      </w:r>
    </w:p>
  </w:footnote>
  <w:footnote w:id="1575">
    <w:p>
      <w:pPr>
        <w:pStyle w:val="FootnoteText"/>
      </w:pPr>
      <w:r>
        <w:rPr>
          <w:rStyle w:val="FootnoteReference"/>
        </w:rPr>
        <w:footnoteRef/>
      </w:r>
      <w:r>
        <w:t xml:space="preserve"> </w:t>
      </w:r>
      <w:r>
        <w:t xml:space="preserve">Codner 2001, PMID 11452249.</w:t>
      </w:r>
    </w:p>
  </w:footnote>
  <w:footnote w:id="1576">
    <w:p>
      <w:pPr>
        <w:pStyle w:val="FootnoteText"/>
      </w:pPr>
      <w:r>
        <w:rPr>
          <w:rStyle w:val="FootnoteReference"/>
        </w:rPr>
        <w:footnoteRef/>
      </w:r>
      <w:r>
        <w:t xml:space="preserve"> </w:t>
      </w:r>
      <w:r>
        <w:t xml:space="preserve">Bright 2022, PMID 35354138.</w:t>
      </w:r>
    </w:p>
  </w:footnote>
  <w:footnote w:id="1579">
    <w:p>
      <w:pPr>
        <w:pStyle w:val="FootnoteText"/>
      </w:pPr>
      <w:r>
        <w:rPr>
          <w:rStyle w:val="FootnoteReference"/>
        </w:rPr>
        <w:footnoteRef/>
      </w:r>
      <w:r>
        <w:t xml:space="preserve"> </w:t>
      </w:r>
      <w:r>
        <w:t xml:space="preserve">Jeong 2018, PMID 29912176.</w:t>
      </w:r>
    </w:p>
  </w:footnote>
  <w:footnote w:id="1580">
    <w:p>
      <w:pPr>
        <w:pStyle w:val="FootnoteText"/>
      </w:pPr>
      <w:r>
        <w:rPr>
          <w:rStyle w:val="FootnoteReference"/>
        </w:rPr>
        <w:footnoteRef/>
      </w:r>
      <w:r>
        <w:t xml:space="preserve"> </w:t>
      </w:r>
      <w:r>
        <w:t xml:space="preserve">Liu 2021, PMID 34737341.</w:t>
      </w:r>
    </w:p>
  </w:footnote>
  <w:footnote w:id="1582">
    <w:p>
      <w:pPr>
        <w:pStyle w:val="FootnoteText"/>
      </w:pPr>
      <w:r>
        <w:rPr>
          <w:rStyle w:val="FootnoteReference"/>
        </w:rPr>
        <w:footnoteRef/>
      </w:r>
      <w:r>
        <w:t xml:space="preserve"> </w:t>
      </w:r>
      <w:r>
        <w:t xml:space="preserve">Adunsky 2011, PMID 21067829.</w:t>
      </w:r>
    </w:p>
  </w:footnote>
  <w:footnote w:id="1583">
    <w:p>
      <w:pPr>
        <w:pStyle w:val="FootnoteText"/>
      </w:pPr>
      <w:r>
        <w:rPr>
          <w:rStyle w:val="FootnoteReference"/>
        </w:rPr>
        <w:footnoteRef/>
      </w:r>
      <w:r>
        <w:t xml:space="preserve"> </w:t>
      </w:r>
      <w:r>
        <w:t xml:space="preserve">Nass 2008, PMID 18981485; Chapman 1996, PMID 8954023.</w:t>
      </w:r>
    </w:p>
  </w:footnote>
  <w:footnote w:id="1584">
    <w:p>
      <w:pPr>
        <w:pStyle w:val="FootnoteText"/>
      </w:pPr>
      <w:r>
        <w:rPr>
          <w:rStyle w:val="FootnoteReference"/>
        </w:rPr>
        <w:footnoteRef/>
      </w:r>
      <w:r>
        <w:t xml:space="preserve"> </w:t>
      </w:r>
      <w:r>
        <w:t xml:space="preserve">Svensson 1998, PMID 9467542.</w:t>
      </w:r>
    </w:p>
  </w:footnote>
  <w:footnote w:id="1585">
    <w:p>
      <w:pPr>
        <w:pStyle w:val="FootnoteText"/>
      </w:pPr>
      <w:r>
        <w:rPr>
          <w:rStyle w:val="FootnoteReference"/>
        </w:rPr>
        <w:footnoteRef/>
      </w:r>
      <w:r>
        <w:t xml:space="preserve"> </w:t>
      </w:r>
      <w:r>
        <w:t xml:space="preserve">Nass 2008, PMID 18981485.</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Cobani 2025, PMID 40675653.</w:t>
      </w:r>
    </w:p>
  </w:footnote>
  <w:footnote w:id="1588">
    <w:p>
      <w:pPr>
        <w:pStyle w:val="FootnoteText"/>
      </w:pPr>
      <w:r>
        <w:rPr>
          <w:rStyle w:val="FootnoteReference"/>
        </w:rPr>
        <w:footnoteRef/>
      </w:r>
      <w:r>
        <w:t xml:space="preserve"> </w:t>
      </w:r>
      <w:r>
        <w:t xml:space="preserve">Chong 2024, PMID 39145153.</w:t>
      </w:r>
    </w:p>
  </w:footnote>
  <w:footnote w:id="1589">
    <w:p>
      <w:pPr>
        <w:pStyle w:val="FootnoteText"/>
      </w:pPr>
      <w:r>
        <w:rPr>
          <w:rStyle w:val="FootnoteReference"/>
        </w:rPr>
        <w:footnoteRef/>
      </w:r>
      <w:r>
        <w:t xml:space="preserve"> </w:t>
      </w:r>
      <w:r>
        <w:t xml:space="preserve">Sigalos 2018, PMID 28400207.</w:t>
      </w:r>
    </w:p>
  </w:footnote>
  <w:footnote w:id="1590">
    <w:p>
      <w:pPr>
        <w:pStyle w:val="FootnoteText"/>
      </w:pPr>
      <w:r>
        <w:rPr>
          <w:rStyle w:val="FootnoteReference"/>
        </w:rPr>
        <w:footnoteRef/>
      </w:r>
      <w:r>
        <w:t xml:space="preserve"> </w:t>
      </w:r>
      <w:r>
        <w:t xml:space="preserve">Van Wagoner 2017, PMID 29183075.</w:t>
      </w:r>
    </w:p>
  </w:footnote>
  <w:footnote w:id="1591">
    <w:p>
      <w:pPr>
        <w:pStyle w:val="FootnoteText"/>
      </w:pPr>
      <w:r>
        <w:rPr>
          <w:rStyle w:val="FootnoteReference"/>
        </w:rPr>
        <w:footnoteRef/>
      </w:r>
      <w:r>
        <w:t xml:space="preserve"> </w:t>
      </w:r>
      <w:r>
        <w:t xml:space="preserve">Barrios 2025, PMID 40551438.</w:t>
      </w:r>
    </w:p>
  </w:footnote>
  <w:footnote w:id="1593">
    <w:p>
      <w:pPr>
        <w:pStyle w:val="FootnoteText"/>
      </w:pPr>
      <w:r>
        <w:rPr>
          <w:rStyle w:val="FootnoteReference"/>
        </w:rPr>
        <w:footnoteRef/>
      </w:r>
      <w:r>
        <w:t xml:space="preserve"> </w:t>
      </w:r>
      <w:r>
        <w:t xml:space="preserve">Viljanto 2023, PMID 36354265.</w:t>
      </w:r>
    </w:p>
  </w:footnote>
  <w:footnote w:id="1595">
    <w:p>
      <w:pPr>
        <w:pStyle w:val="FootnoteText"/>
      </w:pPr>
      <w:r>
        <w:rPr>
          <w:rStyle w:val="FootnoteReference"/>
        </w:rPr>
        <w:footnoteRef/>
      </w:r>
      <w:r>
        <w:t xml:space="preserve"> </w:t>
      </w:r>
      <w:r>
        <w:t xml:space="preserve">NCT04614337.</w:t>
      </w:r>
    </w:p>
  </w:footnote>
  <w:footnote w:id="1596">
    <w:p>
      <w:pPr>
        <w:pStyle w:val="FootnoteText"/>
      </w:pPr>
      <w:r>
        <w:rPr>
          <w:rStyle w:val="FootnoteReference"/>
        </w:rPr>
        <w:footnoteRef/>
      </w:r>
      <w:r>
        <w:t xml:space="preserve"> </w:t>
      </w:r>
      <w:r>
        <w:t xml:space="preserve">NCT06948214.</w:t>
      </w:r>
    </w:p>
  </w:footnote>
  <w:footnote w:id="1597">
    <w:p>
      <w:pPr>
        <w:pStyle w:val="FootnoteText"/>
      </w:pPr>
      <w:r>
        <w:rPr>
          <w:rStyle w:val="FootnoteReference"/>
        </w:rPr>
        <w:footnoteRef/>
      </w:r>
      <w:r>
        <w:t xml:space="preserve"> </w:t>
      </w:r>
      <w:r>
        <w:t xml:space="preserve">NCT07129759.</w:t>
      </w:r>
    </w:p>
  </w:footnote>
  <w:footnote w:id="1598">
    <w:p>
      <w:pPr>
        <w:pStyle w:val="FootnoteText"/>
      </w:pPr>
      <w:r>
        <w:rPr>
          <w:rStyle w:val="FootnoteReference"/>
        </w:rPr>
        <w:footnoteRef/>
      </w:r>
      <w:r>
        <w:t xml:space="preserve"> </w:t>
      </w:r>
      <w:r>
        <w:t xml:space="preserve">NCT07754045.</w:t>
      </w:r>
    </w:p>
  </w:footnote>
  <w:footnote w:id="1609">
    <w:p>
      <w:pPr>
        <w:pStyle w:val="FootnoteText"/>
      </w:pPr>
      <w:r>
        <w:rPr>
          <w:rStyle w:val="FootnoteReference"/>
        </w:rPr>
        <w:footnoteRef/>
      </w:r>
      <w:r>
        <w:t xml:space="preserve"> </w:t>
      </w:r>
      <w:r>
        <w:t xml:space="preserve">Dolotov 2006, PMID 16635254.</w:t>
      </w:r>
    </w:p>
  </w:footnote>
  <w:footnote w:id="1610">
    <w:p>
      <w:pPr>
        <w:pStyle w:val="FootnoteText"/>
      </w:pPr>
      <w:r>
        <w:rPr>
          <w:rStyle w:val="FootnoteReference"/>
        </w:rPr>
        <w:footnoteRef/>
      </w:r>
      <w:r>
        <w:t xml:space="preserve"> </w:t>
      </w:r>
      <w:r>
        <w:t xml:space="preserve">Medvedeva 2014, PMID 24661604.</w:t>
      </w:r>
    </w:p>
  </w:footnote>
  <w:footnote w:id="1612">
    <w:p>
      <w:pPr>
        <w:pStyle w:val="FootnoteText"/>
      </w:pPr>
      <w:r>
        <w:rPr>
          <w:rStyle w:val="FootnoteReference"/>
        </w:rPr>
        <w:footnoteRef/>
      </w:r>
      <w:r>
        <w:t xml:space="preserve"> </w:t>
      </w:r>
      <w:r>
        <w:t xml:space="preserve">Gusev 1997, PMID 11517472.</w:t>
      </w:r>
    </w:p>
  </w:footnote>
  <w:footnote w:id="1613">
    <w:p>
      <w:pPr>
        <w:pStyle w:val="FootnoteText"/>
      </w:pPr>
      <w:r>
        <w:rPr>
          <w:rStyle w:val="FootnoteReference"/>
        </w:rPr>
        <w:footnoteRef/>
      </w:r>
      <w:r>
        <w:t xml:space="preserve"> </w:t>
      </w:r>
      <w:r>
        <w:t xml:space="preserve">Miasoedova 1999, PMID 10358912.</w:t>
      </w:r>
    </w:p>
  </w:footnote>
  <w:footnote w:id="1614">
    <w:p>
      <w:pPr>
        <w:pStyle w:val="FootnoteText"/>
      </w:pPr>
      <w:r>
        <w:rPr>
          <w:rStyle w:val="FootnoteReference"/>
        </w:rPr>
        <w:footnoteRef/>
      </w:r>
      <w:r>
        <w:t xml:space="preserve"> </w:t>
      </w:r>
      <w:r>
        <w:t xml:space="preserve">Gusev 2018, PMID 29798983.</w:t>
      </w:r>
    </w:p>
  </w:footnote>
  <w:footnote w:id="1616">
    <w:p>
      <w:pPr>
        <w:pStyle w:val="FootnoteText"/>
      </w:pPr>
      <w:r>
        <w:rPr>
          <w:rStyle w:val="FootnoteReference"/>
        </w:rPr>
        <w:footnoteRef/>
      </w:r>
      <w:r>
        <w:t xml:space="preserve"> </w:t>
      </w:r>
      <w:r>
        <w:t xml:space="preserve">Serdiuk 2007, PMID 18379501.</w:t>
      </w:r>
    </w:p>
  </w:footnote>
  <w:footnote w:id="1617">
    <w:p>
      <w:pPr>
        <w:pStyle w:val="FootnoteText"/>
      </w:pPr>
      <w:r>
        <w:rPr>
          <w:rStyle w:val="FootnoteReference"/>
        </w:rPr>
        <w:footnoteRef/>
      </w:r>
      <w:r>
        <w:t xml:space="preserve"> </w:t>
      </w:r>
      <w:r>
        <w:t xml:space="preserve">Polunin 2000, PMID 10741256.</w:t>
      </w:r>
    </w:p>
  </w:footnote>
  <w:footnote w:id="1618">
    <w:p>
      <w:pPr>
        <w:pStyle w:val="FootnoteText"/>
      </w:pPr>
      <w:r>
        <w:rPr>
          <w:rStyle w:val="FootnoteReference"/>
        </w:rPr>
        <w:footnoteRef/>
      </w:r>
      <w:r>
        <w:t xml:space="preserve"> </w:t>
      </w:r>
      <w:r>
        <w:t xml:space="preserve">Alekseeva 1999, PMID 10199046.</w:t>
      </w:r>
    </w:p>
  </w:footnote>
  <w:footnote w:id="1619">
    <w:p>
      <w:pPr>
        <w:pStyle w:val="FootnoteText"/>
      </w:pPr>
      <w:r>
        <w:rPr>
          <w:rStyle w:val="FootnoteReference"/>
        </w:rPr>
        <w:footnoteRef/>
      </w:r>
      <w:r>
        <w:t xml:space="preserve"> </w:t>
      </w:r>
      <w:r>
        <w:t xml:space="preserve">Ivanikov 2002, PMID 12459874.</w:t>
      </w:r>
    </w:p>
  </w:footnote>
  <w:footnote w:id="1621">
    <w:p>
      <w:pPr>
        <w:pStyle w:val="FootnoteText"/>
      </w:pPr>
      <w:r>
        <w:rPr>
          <w:rStyle w:val="FootnoteReference"/>
        </w:rPr>
        <w:footnoteRef/>
      </w:r>
      <w:r>
        <w:t xml:space="preserve"> </w:t>
      </w:r>
      <w:r>
        <w:t xml:space="preserve">Asmarin 1997, PMID 9173745.</w:t>
      </w:r>
    </w:p>
  </w:footnote>
  <w:footnote w:id="1624">
    <w:p>
      <w:pPr>
        <w:pStyle w:val="FootnoteText"/>
      </w:pPr>
      <w:r>
        <w:rPr>
          <w:rStyle w:val="FootnoteReference"/>
        </w:rPr>
        <w:footnoteRef/>
      </w:r>
      <w:r>
        <w:t xml:space="preserve"> </w:t>
      </w:r>
      <w:r>
        <w:t xml:space="preserve">Medvedeva 2014, PMID 24661604.</w:t>
      </w:r>
    </w:p>
  </w:footnote>
  <w:footnote w:id="1625">
    <w:p>
      <w:pPr>
        <w:pStyle w:val="FootnoteText"/>
      </w:pPr>
      <w:r>
        <w:rPr>
          <w:rStyle w:val="FootnoteReference"/>
        </w:rPr>
        <w:footnoteRef/>
      </w:r>
      <w:r>
        <w:t xml:space="preserve"> </w:t>
      </w:r>
      <w:r>
        <w:t xml:space="preserve">Levitskaya 2004, PMID 15341218.</w:t>
      </w:r>
    </w:p>
  </w:footnote>
  <w:footnote w:id="1626">
    <w:p>
      <w:pPr>
        <w:pStyle w:val="FootnoteText"/>
      </w:pPr>
      <w:r>
        <w:rPr>
          <w:rStyle w:val="FootnoteReference"/>
        </w:rPr>
        <w:footnoteRef/>
      </w:r>
      <w:r>
        <w:t xml:space="preserve"> </w:t>
      </w:r>
      <w:r>
        <w:t xml:space="preserve">Radchenko 2025, PMID 41479572.</w:t>
      </w:r>
    </w:p>
  </w:footnote>
  <w:footnote w:id="1627">
    <w:p>
      <w:pPr>
        <w:pStyle w:val="FootnoteText"/>
      </w:pPr>
      <w:r>
        <w:rPr>
          <w:rStyle w:val="FootnoteReference"/>
        </w:rPr>
        <w:footnoteRef/>
      </w:r>
      <w:r>
        <w:t xml:space="preserve"> </w:t>
      </w:r>
      <w:r>
        <w:t xml:space="preserve">Tomasello 2025, PMID 40496623.</w:t>
      </w:r>
    </w:p>
  </w:footnote>
  <w:footnote w:id="1629">
    <w:p>
      <w:pPr>
        <w:pStyle w:val="FootnoteText"/>
      </w:pPr>
      <w:r>
        <w:rPr>
          <w:rStyle w:val="FootnoteReference"/>
        </w:rPr>
        <w:footnoteRef/>
      </w:r>
      <w:r>
        <w:t xml:space="preserve"> </w:t>
      </w:r>
      <w:r>
        <w:t xml:space="preserve">Gusev 2005, PMID 15792140.</w:t>
      </w:r>
    </w:p>
  </w:footnote>
  <w:footnote w:id="1630">
    <w:p>
      <w:pPr>
        <w:pStyle w:val="FootnoteText"/>
      </w:pPr>
      <w:r>
        <w:rPr>
          <w:rStyle w:val="FootnoteReference"/>
        </w:rPr>
        <w:footnoteRef/>
      </w:r>
      <w:r>
        <w:t xml:space="preserve"> </w:t>
      </w:r>
      <w:r>
        <w:t xml:space="preserve">Alekseeva 1999, PMID 10199046.</w:t>
      </w:r>
    </w:p>
  </w:footnote>
  <w:footnote w:id="1631">
    <w:p>
      <w:pPr>
        <w:pStyle w:val="FootnoteText"/>
      </w:pPr>
      <w:r>
        <w:rPr>
          <w:rStyle w:val="FootnoteReference"/>
        </w:rPr>
        <w:footnoteRef/>
      </w:r>
      <w:r>
        <w:t xml:space="preserve"> </w:t>
      </w:r>
      <w:r>
        <w:t xml:space="preserve">Vanhee 2020, PMID 31667971.</w:t>
      </w:r>
    </w:p>
  </w:footnote>
  <w:footnote w:id="1638">
    <w:p>
      <w:pPr>
        <w:pStyle w:val="FootnoteText"/>
      </w:pPr>
      <w:r>
        <w:rPr>
          <w:rStyle w:val="FootnoteReference"/>
        </w:rPr>
        <w:footnoteRef/>
      </w:r>
      <w:r>
        <w:t xml:space="preserve"> </w:t>
      </w:r>
      <w:r>
        <w:t xml:space="preserve">Zozulya 2001, PMID 11550013.</w:t>
      </w:r>
    </w:p>
  </w:footnote>
  <w:footnote w:id="1639">
    <w:p>
      <w:pPr>
        <w:pStyle w:val="FootnoteText"/>
      </w:pPr>
      <w:r>
        <w:rPr>
          <w:rStyle w:val="FootnoteReference"/>
        </w:rPr>
        <w:footnoteRef/>
      </w:r>
      <w:r>
        <w:t xml:space="preserve"> </w:t>
      </w:r>
      <w:r>
        <w:t xml:space="preserve">Volkova 2016, PMID 26924987.</w:t>
      </w:r>
    </w:p>
  </w:footnote>
  <w:footnote w:id="1640">
    <w:p>
      <w:pPr>
        <w:pStyle w:val="FootnoteText"/>
      </w:pPr>
      <w:r>
        <w:rPr>
          <w:rStyle w:val="FootnoteReference"/>
        </w:rPr>
        <w:footnoteRef/>
      </w:r>
      <w:r>
        <w:t xml:space="preserve"> </w:t>
      </w:r>
      <w:r>
        <w:t xml:space="preserve">Ershov 2009, PMID 19882898.</w:t>
      </w:r>
    </w:p>
  </w:footnote>
  <w:footnote w:id="1642">
    <w:p>
      <w:pPr>
        <w:pStyle w:val="FootnoteText"/>
      </w:pPr>
      <w:r>
        <w:rPr>
          <w:rStyle w:val="FootnoteReference"/>
        </w:rPr>
        <w:footnoteRef/>
      </w:r>
      <w:r>
        <w:t xml:space="preserve"> </w:t>
      </w:r>
      <w:r>
        <w:t xml:space="preserve">Zozulia 2008, PMID 18454096.</w:t>
      </w:r>
    </w:p>
  </w:footnote>
  <w:footnote w:id="1643">
    <w:p>
      <w:pPr>
        <w:pStyle w:val="FootnoteText"/>
      </w:pPr>
      <w:r>
        <w:rPr>
          <w:rStyle w:val="FootnoteReference"/>
        </w:rPr>
        <w:footnoteRef/>
      </w:r>
      <w:r>
        <w:t xml:space="preserve"> </w:t>
      </w:r>
      <w:r>
        <w:t xml:space="preserve">Medvedev 2014, PMID 25176261.</w:t>
      </w:r>
    </w:p>
  </w:footnote>
  <w:footnote w:id="1644">
    <w:p>
      <w:pPr>
        <w:pStyle w:val="FootnoteText"/>
      </w:pPr>
      <w:r>
        <w:rPr>
          <w:rStyle w:val="FootnoteReference"/>
        </w:rPr>
        <w:footnoteRef/>
      </w:r>
      <w:r>
        <w:t xml:space="preserve"> </w:t>
      </w:r>
      <w:r>
        <w:t xml:space="preserve">Medvedev 2015, PMID 26356395.</w:t>
      </w:r>
    </w:p>
  </w:footnote>
  <w:footnote w:id="1646">
    <w:p>
      <w:pPr>
        <w:pStyle w:val="FootnoteText"/>
      </w:pPr>
      <w:r>
        <w:rPr>
          <w:rStyle w:val="FootnoteReference"/>
        </w:rPr>
        <w:footnoteRef/>
      </w:r>
      <w:r>
        <w:t xml:space="preserve"> </w:t>
      </w:r>
      <w:r>
        <w:t xml:space="preserve">Uchakina 2008, PMID 18577961.</w:t>
      </w:r>
    </w:p>
  </w:footnote>
  <w:footnote w:id="1647">
    <w:p>
      <w:pPr>
        <w:pStyle w:val="FootnoteText"/>
      </w:pPr>
      <w:r>
        <w:rPr>
          <w:rStyle w:val="FootnoteReference"/>
        </w:rPr>
        <w:footnoteRef/>
      </w:r>
      <w:r>
        <w:t xml:space="preserve"> </w:t>
      </w:r>
      <w:r>
        <w:t xml:space="preserve">Panikratova 2020, PMID 32342318.</w:t>
      </w:r>
    </w:p>
  </w:footnote>
  <w:footnote w:id="1650">
    <w:p>
      <w:pPr>
        <w:pStyle w:val="FootnoteText"/>
      </w:pPr>
      <w:r>
        <w:rPr>
          <w:rStyle w:val="FootnoteReference"/>
        </w:rPr>
        <w:footnoteRef/>
      </w:r>
      <w:r>
        <w:t xml:space="preserve"> </w:t>
      </w:r>
      <w:r>
        <w:t xml:space="preserve">Kolik 2019, PMID 31625062.</w:t>
      </w:r>
    </w:p>
  </w:footnote>
  <w:footnote w:id="1651">
    <w:p>
      <w:pPr>
        <w:pStyle w:val="FootnoteText"/>
      </w:pPr>
      <w:r>
        <w:rPr>
          <w:rStyle w:val="FootnoteReference"/>
        </w:rPr>
        <w:footnoteRef/>
      </w:r>
      <w:r>
        <w:t xml:space="preserve"> </w:t>
      </w:r>
      <w:r>
        <w:t xml:space="preserve">Volkova 2016, PMID 26924987.</w:t>
      </w:r>
    </w:p>
  </w:footnote>
  <w:footnote w:id="1652">
    <w:p>
      <w:pPr>
        <w:pStyle w:val="FootnoteText"/>
      </w:pPr>
      <w:r>
        <w:rPr>
          <w:rStyle w:val="FootnoteReference"/>
        </w:rPr>
        <w:footnoteRef/>
      </w:r>
      <w:r>
        <w:t xml:space="preserve"> </w:t>
      </w:r>
      <w:r>
        <w:t xml:space="preserve">Ershov 2009, PMID 19882898.</w:t>
      </w:r>
    </w:p>
  </w:footnote>
  <w:footnote w:id="1654">
    <w:p>
      <w:pPr>
        <w:pStyle w:val="FootnoteText"/>
      </w:pPr>
      <w:r>
        <w:rPr>
          <w:rStyle w:val="FootnoteReference"/>
        </w:rPr>
        <w:footnoteRef/>
      </w:r>
      <w:r>
        <w:t xml:space="preserve"> </w:t>
      </w:r>
      <w:r>
        <w:t xml:space="preserve">Vanhee 2020, PMID 31667971.</w:t>
      </w:r>
    </w:p>
  </w:footnote>
  <w:footnote w:id="1662">
    <w:p>
      <w:pPr>
        <w:pStyle w:val="FootnoteText"/>
      </w:pPr>
      <w:r>
        <w:rPr>
          <w:rStyle w:val="FootnoteReference"/>
        </w:rPr>
        <w:footnoteRef/>
      </w:r>
      <w:r>
        <w:t xml:space="preserve"> </w:t>
      </w:r>
      <w:r>
        <w:t xml:space="preserve">Hong 2009, PMID 19765131.</w:t>
      </w:r>
    </w:p>
  </w:footnote>
  <w:footnote w:id="1663">
    <w:p>
      <w:pPr>
        <w:pStyle w:val="FootnoteText"/>
      </w:pPr>
      <w:r>
        <w:rPr>
          <w:rStyle w:val="FootnoteReference"/>
        </w:rPr>
        <w:footnoteRef/>
      </w:r>
      <w:r>
        <w:t xml:space="preserve"> </w:t>
      </w:r>
      <w:r>
        <w:t xml:space="preserve">NCT00868283.</w:t>
      </w:r>
    </w:p>
  </w:footnote>
  <w:footnote w:id="1664">
    <w:p>
      <w:pPr>
        <w:pStyle w:val="FootnoteText"/>
      </w:pPr>
      <w:r>
        <w:rPr>
          <w:rStyle w:val="FootnoteReference"/>
        </w:rPr>
        <w:footnoteRef/>
      </w:r>
      <w:r>
        <w:t xml:space="preserve"> </w:t>
      </w:r>
      <w:r>
        <w:t xml:space="preserve">Heiss 2012, PMID 22282884.</w:t>
      </w:r>
    </w:p>
  </w:footnote>
  <w:footnote w:id="1665">
    <w:p>
      <w:pPr>
        <w:pStyle w:val="FootnoteText"/>
      </w:pPr>
      <w:r>
        <w:rPr>
          <w:rStyle w:val="FootnoteReference"/>
        </w:rPr>
        <w:footnoteRef/>
      </w:r>
      <w:r>
        <w:t xml:space="preserve"> </w:t>
      </w:r>
      <w:r>
        <w:t xml:space="preserve">Lang 2013, PMID 23009193.</w:t>
      </w:r>
    </w:p>
  </w:footnote>
  <w:footnote w:id="1666">
    <w:p>
      <w:pPr>
        <w:pStyle w:val="FootnoteText"/>
      </w:pPr>
      <w:r>
        <w:rPr>
          <w:rStyle w:val="FootnoteReference"/>
        </w:rPr>
        <w:footnoteRef/>
      </w:r>
      <w:r>
        <w:t xml:space="preserve"> </w:t>
      </w:r>
      <w:r>
        <w:t xml:space="preserve">Khasanova 2023, PMID 36973684.</w:t>
      </w:r>
    </w:p>
  </w:footnote>
  <w:footnote w:id="1667">
    <w:p>
      <w:pPr>
        <w:pStyle w:val="FootnoteText"/>
      </w:pPr>
      <w:r>
        <w:rPr>
          <w:rStyle w:val="FootnoteReference"/>
        </w:rPr>
        <w:footnoteRef/>
      </w:r>
      <w:r>
        <w:t xml:space="preserve"> </w:t>
      </w:r>
      <w:r>
        <w:t xml:space="preserve">Staszewski 2025, PMID 40325343.</w:t>
      </w:r>
    </w:p>
  </w:footnote>
  <w:footnote w:id="1669">
    <w:p>
      <w:pPr>
        <w:pStyle w:val="FootnoteText"/>
      </w:pPr>
      <w:r>
        <w:rPr>
          <w:rStyle w:val="FootnoteReference"/>
        </w:rPr>
        <w:footnoteRef/>
      </w:r>
      <w:r>
        <w:t xml:space="preserve"> </w:t>
      </w:r>
      <w:r>
        <w:t xml:space="preserve">Muresanu 2016, PMID 26564102.</w:t>
      </w:r>
    </w:p>
  </w:footnote>
  <w:footnote w:id="1670">
    <w:p>
      <w:pPr>
        <w:pStyle w:val="FootnoteText"/>
      </w:pPr>
      <w:r>
        <w:rPr>
          <w:rStyle w:val="FootnoteReference"/>
        </w:rPr>
        <w:footnoteRef/>
      </w:r>
      <w:r>
        <w:t xml:space="preserve"> </w:t>
      </w:r>
      <w:r>
        <w:t xml:space="preserve">Guekht 2017, PMID 28707130.</w:t>
      </w:r>
    </w:p>
  </w:footnote>
  <w:footnote w:id="1671">
    <w:p>
      <w:pPr>
        <w:pStyle w:val="FootnoteText"/>
      </w:pPr>
      <w:r>
        <w:rPr>
          <w:rStyle w:val="FootnoteReference"/>
        </w:rPr>
        <w:footnoteRef/>
      </w:r>
      <w:r>
        <w:t xml:space="preserve"> </w:t>
      </w:r>
      <w:r>
        <w:t xml:space="preserve">Stan 2017, PMID 29362596.</w:t>
      </w:r>
    </w:p>
  </w:footnote>
  <w:footnote w:id="1672">
    <w:p>
      <w:pPr>
        <w:pStyle w:val="FootnoteText"/>
      </w:pPr>
      <w:r>
        <w:rPr>
          <w:rStyle w:val="FootnoteReference"/>
        </w:rPr>
        <w:footnoteRef/>
      </w:r>
      <w:r>
        <w:t xml:space="preserve"> </w:t>
      </w:r>
      <w:r>
        <w:t xml:space="preserve">Chang 2016, PMID 26934986.</w:t>
      </w:r>
    </w:p>
  </w:footnote>
  <w:footnote w:id="1673">
    <w:p>
      <w:pPr>
        <w:pStyle w:val="FootnoteText"/>
      </w:pPr>
      <w:r>
        <w:rPr>
          <w:rStyle w:val="FootnoteReference"/>
        </w:rPr>
        <w:footnoteRef/>
      </w:r>
      <w:r>
        <w:t xml:space="preserve"> </w:t>
      </w:r>
      <w:r>
        <w:t xml:space="preserve">Homberg 2025, PMID 39957612.</w:t>
      </w:r>
    </w:p>
  </w:footnote>
  <w:footnote w:id="1674">
    <w:p>
      <w:pPr>
        <w:pStyle w:val="FootnoteText"/>
      </w:pPr>
      <w:r>
        <w:rPr>
          <w:rStyle w:val="FootnoteReference"/>
        </w:rPr>
        <w:footnoteRef/>
      </w:r>
      <w:r>
        <w:t xml:space="preserve"> </w:t>
      </w:r>
      <w:r>
        <w:t xml:space="preserve">Beghi 2021, PMID 34152062.</w:t>
      </w:r>
    </w:p>
  </w:footnote>
  <w:footnote w:id="1676">
    <w:p>
      <w:pPr>
        <w:pStyle w:val="FootnoteText"/>
      </w:pPr>
      <w:r>
        <w:rPr>
          <w:rStyle w:val="FootnoteReference"/>
        </w:rPr>
        <w:footnoteRef/>
      </w:r>
      <w:r>
        <w:t xml:space="preserve"> </w:t>
      </w:r>
      <w:r>
        <w:t xml:space="preserve">Ziganshina 2020, PMID 32662068.</w:t>
      </w:r>
    </w:p>
  </w:footnote>
  <w:footnote w:id="1677">
    <w:p>
      <w:pPr>
        <w:pStyle w:val="FootnoteText"/>
      </w:pPr>
      <w:r>
        <w:rPr>
          <w:rStyle w:val="FootnoteReference"/>
        </w:rPr>
        <w:footnoteRef/>
      </w:r>
      <w:r>
        <w:t xml:space="preserve"> </w:t>
      </w:r>
      <w:r>
        <w:t xml:space="preserve">Ziganshina 2023, PMID 37818733.</w:t>
      </w:r>
    </w:p>
  </w:footnote>
  <w:footnote w:id="1678">
    <w:p>
      <w:pPr>
        <w:pStyle w:val="FootnoteText"/>
      </w:pPr>
      <w:r>
        <w:rPr>
          <w:rStyle w:val="FootnoteReference"/>
        </w:rPr>
        <w:footnoteRef/>
      </w:r>
      <w:r>
        <w:t xml:space="preserve"> </w:t>
      </w:r>
      <w:r>
        <w:t xml:space="preserve">Bornstein 2018, PMID 29248999.</w:t>
      </w:r>
    </w:p>
  </w:footnote>
  <w:footnote w:id="1679">
    <w:p>
      <w:pPr>
        <w:pStyle w:val="FootnoteText"/>
      </w:pPr>
      <w:r>
        <w:rPr>
          <w:rStyle w:val="FootnoteReference"/>
        </w:rPr>
        <w:footnoteRef/>
      </w:r>
      <w:r>
        <w:t xml:space="preserve"> </w:t>
      </w:r>
      <w:r>
        <w:t xml:space="preserve">Strilciuc 2021, PMID 34959697.</w:t>
      </w:r>
    </w:p>
  </w:footnote>
  <w:footnote w:id="1681">
    <w:p>
      <w:pPr>
        <w:pStyle w:val="FootnoteText"/>
      </w:pPr>
      <w:r>
        <w:rPr>
          <w:rStyle w:val="FootnoteReference"/>
        </w:rPr>
        <w:footnoteRef/>
      </w:r>
      <w:r>
        <w:t xml:space="preserve"> </w:t>
      </w:r>
      <w:r>
        <w:t xml:space="preserve">Vosko 2025, PMID 40851188; NCT03480698.</w:t>
      </w:r>
    </w:p>
  </w:footnote>
  <w:footnote w:id="1683">
    <w:p>
      <w:pPr>
        <w:pStyle w:val="FootnoteText"/>
      </w:pPr>
      <w:r>
        <w:rPr>
          <w:rStyle w:val="FootnoteReference"/>
        </w:rPr>
        <w:footnoteRef/>
      </w:r>
      <w:r>
        <w:t xml:space="preserve"> </w:t>
      </w:r>
      <w:r>
        <w:t xml:space="preserve">Bajenaru 2010, PMID 20968198.</w:t>
      </w:r>
    </w:p>
  </w:footnote>
  <w:footnote w:id="1684">
    <w:p>
      <w:pPr>
        <w:pStyle w:val="FootnoteText"/>
      </w:pPr>
      <w:r>
        <w:rPr>
          <w:rStyle w:val="FootnoteReference"/>
        </w:rPr>
        <w:footnoteRef/>
      </w:r>
      <w:r>
        <w:t xml:space="preserve"> </w:t>
      </w:r>
      <w:r>
        <w:t xml:space="preserve">Woo 2020, PMID 33143640; NCT01787123.</w:t>
      </w:r>
    </w:p>
  </w:footnote>
  <w:footnote w:id="1685">
    <w:p>
      <w:pPr>
        <w:pStyle w:val="FootnoteText"/>
      </w:pPr>
      <w:r>
        <w:rPr>
          <w:rStyle w:val="FootnoteReference"/>
        </w:rPr>
        <w:footnoteRef/>
      </w:r>
      <w:r>
        <w:t xml:space="preserve"> </w:t>
      </w:r>
      <w:r>
        <w:t xml:space="preserve">Kobayashi 2025, PMID 41180520.</w:t>
      </w:r>
    </w:p>
  </w:footnote>
  <w:footnote w:id="1687">
    <w:p>
      <w:pPr>
        <w:pStyle w:val="FootnoteText"/>
      </w:pPr>
      <w:r>
        <w:rPr>
          <w:rStyle w:val="FootnoteReference"/>
        </w:rPr>
        <w:footnoteRef/>
      </w:r>
      <w:r>
        <w:t xml:space="preserve"> </w:t>
      </w:r>
      <w:r>
        <w:t xml:space="preserve">Ghaffarpasand 2019, PMID 30643411; Jarosz 2023, PMID 36979317.</w:t>
      </w:r>
    </w:p>
  </w:footnote>
  <w:footnote w:id="1689">
    <w:p>
      <w:pPr>
        <w:pStyle w:val="FootnoteText"/>
      </w:pPr>
      <w:r>
        <w:rPr>
          <w:rStyle w:val="FootnoteReference"/>
        </w:rPr>
        <w:footnoteRef/>
      </w:r>
      <w:r>
        <w:t xml:space="preserve"> </w:t>
      </w:r>
      <w:r>
        <w:t xml:space="preserve">Panisset 2002, PMID 12111446.</w:t>
      </w:r>
    </w:p>
  </w:footnote>
  <w:footnote w:id="1690">
    <w:p>
      <w:pPr>
        <w:pStyle w:val="FootnoteText"/>
      </w:pPr>
      <w:r>
        <w:rPr>
          <w:rStyle w:val="FootnoteReference"/>
        </w:rPr>
        <w:footnoteRef/>
      </w:r>
      <w:r>
        <w:t xml:space="preserve"> </w:t>
      </w:r>
      <w:r>
        <w:t xml:space="preserve">Alvarez 2011, PMID 21679156.</w:t>
      </w:r>
    </w:p>
  </w:footnote>
  <w:footnote w:id="1691">
    <w:p>
      <w:pPr>
        <w:pStyle w:val="FootnoteText"/>
      </w:pPr>
      <w:r>
        <w:rPr>
          <w:rStyle w:val="FootnoteReference"/>
        </w:rPr>
        <w:footnoteRef/>
      </w:r>
      <w:r>
        <w:t xml:space="preserve"> </w:t>
      </w:r>
      <w:r>
        <w:t xml:space="preserve">Gauthier 2015, PMID 25832905.</w:t>
      </w:r>
    </w:p>
  </w:footnote>
  <w:footnote w:id="1692">
    <w:p>
      <w:pPr>
        <w:pStyle w:val="FootnoteText"/>
      </w:pPr>
      <w:r>
        <w:rPr>
          <w:rStyle w:val="FootnoteReference"/>
        </w:rPr>
        <w:footnoteRef/>
      </w:r>
      <w:r>
        <w:t xml:space="preserve"> </w:t>
      </w:r>
      <w:r>
        <w:t xml:space="preserve">Guekht 2011, PMID 20656516.</w:t>
      </w:r>
    </w:p>
  </w:footnote>
  <w:footnote w:id="1693">
    <w:p>
      <w:pPr>
        <w:pStyle w:val="FootnoteText"/>
      </w:pPr>
      <w:r>
        <w:rPr>
          <w:rStyle w:val="FootnoteReference"/>
        </w:rPr>
        <w:footnoteRef/>
      </w:r>
      <w:r>
        <w:t xml:space="preserve"> </w:t>
      </w:r>
      <w:r>
        <w:t xml:space="preserve">Cui 2019, PMID 31710397.</w:t>
      </w:r>
    </w:p>
  </w:footnote>
  <w:footnote w:id="1695">
    <w:p>
      <w:pPr>
        <w:pStyle w:val="FootnoteText"/>
      </w:pPr>
      <w:r>
        <w:rPr>
          <w:rStyle w:val="FootnoteReference"/>
        </w:rPr>
        <w:footnoteRef/>
      </w:r>
      <w:r>
        <w:t xml:space="preserve"> </w:t>
      </w:r>
      <w:r>
        <w:t xml:space="preserve">Funke 1998, PMID 9700674.</w:t>
      </w:r>
    </w:p>
  </w:footnote>
  <w:footnote w:id="1698">
    <w:p>
      <w:pPr>
        <w:pStyle w:val="FootnoteText"/>
      </w:pPr>
      <w:r>
        <w:rPr>
          <w:rStyle w:val="FootnoteReference"/>
        </w:rPr>
        <w:footnoteRef/>
      </w:r>
      <w:r>
        <w:t xml:space="preserve"> </w:t>
      </w:r>
      <w:r>
        <w:t xml:space="preserve">Zhang 2016, PMID 26763925.</w:t>
      </w:r>
    </w:p>
  </w:footnote>
  <w:footnote w:id="1699">
    <w:p>
      <w:pPr>
        <w:pStyle w:val="FootnoteText"/>
      </w:pPr>
      <w:r>
        <w:rPr>
          <w:rStyle w:val="FootnoteReference"/>
        </w:rPr>
        <w:footnoteRef/>
      </w:r>
      <w:r>
        <w:t xml:space="preserve"> </w:t>
      </w:r>
      <w:r>
        <w:t xml:space="preserve">Zhang 2019, PMID 30499355.</w:t>
      </w:r>
    </w:p>
  </w:footnote>
  <w:footnote w:id="1700">
    <w:p>
      <w:pPr>
        <w:pStyle w:val="FootnoteText"/>
      </w:pPr>
      <w:r>
        <w:rPr>
          <w:rStyle w:val="FootnoteReference"/>
        </w:rPr>
        <w:footnoteRef/>
      </w:r>
      <w:r>
        <w:t xml:space="preserve"> </w:t>
      </w:r>
      <w:r>
        <w:t xml:space="preserve">Kastberger 2024, PMID 38062874.</w:t>
      </w:r>
    </w:p>
  </w:footnote>
  <w:footnote w:id="1702">
    <w:p>
      <w:pPr>
        <w:pStyle w:val="FootnoteText"/>
      </w:pPr>
      <w:r>
        <w:rPr>
          <w:rStyle w:val="FootnoteReference"/>
        </w:rPr>
        <w:footnoteRef/>
      </w:r>
      <w:r>
        <w:t xml:space="preserve"> </w:t>
      </w:r>
      <w:r>
        <w:t xml:space="preserve">Panisset 2002, PMID 12111446.</w:t>
      </w:r>
    </w:p>
  </w:footnote>
  <w:footnote w:id="1703">
    <w:p>
      <w:pPr>
        <w:pStyle w:val="FootnoteText"/>
      </w:pPr>
      <w:r>
        <w:rPr>
          <w:rStyle w:val="FootnoteReference"/>
        </w:rPr>
        <w:footnoteRef/>
      </w:r>
      <w:r>
        <w:t xml:space="preserve"> </w:t>
      </w:r>
      <w:r>
        <w:t xml:space="preserve">Strilciuc 2021, PMID 34959697.</w:t>
      </w:r>
    </w:p>
  </w:footnote>
  <w:footnote w:id="1704">
    <w:p>
      <w:pPr>
        <w:pStyle w:val="FootnoteText"/>
      </w:pPr>
      <w:r>
        <w:rPr>
          <w:rStyle w:val="FootnoteReference"/>
        </w:rPr>
        <w:footnoteRef/>
      </w:r>
      <w:r>
        <w:t xml:space="preserve"> </w:t>
      </w:r>
      <w:r>
        <w:t xml:space="preserve">Trimmel 2024, PMID 39055722.</w:t>
      </w:r>
    </w:p>
  </w:footnote>
  <w:footnote w:id="1707">
    <w:p>
      <w:pPr>
        <w:pStyle w:val="FootnoteText"/>
      </w:pPr>
      <w:r>
        <w:rPr>
          <w:rStyle w:val="FootnoteReference"/>
        </w:rPr>
        <w:footnoteRef/>
      </w:r>
      <w:r>
        <w:t xml:space="preserve"> </w:t>
      </w:r>
      <w:r>
        <w:t xml:space="preserve">NCT05755997.</w:t>
      </w:r>
    </w:p>
  </w:footnote>
  <w:footnote w:id="1708">
    <w:p>
      <w:pPr>
        <w:pStyle w:val="FootnoteText"/>
      </w:pPr>
      <w:r>
        <w:rPr>
          <w:rStyle w:val="FootnoteReference"/>
        </w:rPr>
        <w:footnoteRef/>
      </w:r>
      <w:r>
        <w:t xml:space="preserve"> </w:t>
      </w:r>
      <w:r>
        <w:t xml:space="preserve">NCT06897176.</w:t>
      </w:r>
    </w:p>
  </w:footnote>
  <w:footnote w:id="1709">
    <w:p>
      <w:pPr>
        <w:pStyle w:val="FootnoteText"/>
      </w:pPr>
      <w:r>
        <w:rPr>
          <w:rStyle w:val="FootnoteReference"/>
        </w:rPr>
        <w:footnoteRef/>
      </w:r>
      <w:r>
        <w:t xml:space="preserve"> </w:t>
      </w:r>
      <w:r>
        <w:t xml:space="preserve">NCT06339411.</w:t>
      </w:r>
    </w:p>
  </w:footnote>
  <w:footnote w:id="1714">
    <w:p>
      <w:pPr>
        <w:pStyle w:val="FootnoteText"/>
      </w:pPr>
      <w:r>
        <w:rPr>
          <w:rStyle w:val="FootnoteReference"/>
        </w:rPr>
        <w:footnoteRef/>
      </w:r>
      <w:r>
        <w:t xml:space="preserve"> </w:t>
      </w:r>
      <w:r>
        <w:t xml:space="preserve">McCoy 2013, PMID 23055539.</w:t>
      </w:r>
    </w:p>
  </w:footnote>
  <w:footnote w:id="1715">
    <w:p>
      <w:pPr>
        <w:pStyle w:val="FootnoteText"/>
      </w:pPr>
      <w:r>
        <w:rPr>
          <w:rStyle w:val="FootnoteReference"/>
        </w:rPr>
        <w:footnoteRef/>
      </w:r>
      <w:r>
        <w:t xml:space="preserve"> </w:t>
      </w:r>
      <w:r>
        <w:t xml:space="preserve">Benoist 2014, PMID 25187433.</w:t>
      </w:r>
    </w:p>
  </w:footnote>
  <w:footnote w:id="1717">
    <w:p>
      <w:pPr>
        <w:pStyle w:val="FootnoteText"/>
      </w:pPr>
      <w:r>
        <w:rPr>
          <w:rStyle w:val="FootnoteReference"/>
        </w:rPr>
        <w:footnoteRef/>
      </w:r>
      <w:r>
        <w:t xml:space="preserve"> </w:t>
      </w:r>
      <w:r>
        <w:t xml:space="preserve">NCT04488419.</w:t>
      </w:r>
    </w:p>
  </w:footnote>
  <w:footnote w:id="1718">
    <w:p>
      <w:pPr>
        <w:pStyle w:val="FootnoteText"/>
      </w:pPr>
      <w:r>
        <w:rPr>
          <w:rStyle w:val="FootnoteReference"/>
        </w:rPr>
        <w:footnoteRef/>
      </w:r>
      <w:r>
        <w:t xml:space="preserve"> </w:t>
      </w:r>
      <w:r>
        <w:t xml:space="preserve">Porsteinsson 2025, PMID 41393340.</w:t>
      </w:r>
    </w:p>
  </w:footnote>
  <w:footnote w:id="1719">
    <w:p>
      <w:pPr>
        <w:pStyle w:val="FootnoteText"/>
      </w:pPr>
      <w:r>
        <w:rPr>
          <w:rStyle w:val="FootnoteReference"/>
        </w:rPr>
        <w:footnoteRef/>
      </w:r>
      <w:r>
        <w:t xml:space="preserve"> </w:t>
      </w:r>
      <w:r>
        <w:t xml:space="preserve">NCT04831281.</w:t>
      </w:r>
    </w:p>
  </w:footnote>
  <w:footnote w:id="1722">
    <w:p>
      <w:pPr>
        <w:pStyle w:val="FootnoteText"/>
      </w:pPr>
      <w:r>
        <w:rPr>
          <w:rStyle w:val="FootnoteReference"/>
        </w:rPr>
        <w:footnoteRef/>
      </w:r>
      <w:r>
        <w:t xml:space="preserve"> </w:t>
      </w:r>
      <w:r>
        <w:t xml:space="preserve">McCoy 2013, PMID 23055539.</w:t>
      </w:r>
    </w:p>
  </w:footnote>
  <w:footnote w:id="1723">
    <w:p>
      <w:pPr>
        <w:pStyle w:val="FootnoteText"/>
      </w:pPr>
      <w:r>
        <w:rPr>
          <w:rStyle w:val="FootnoteReference"/>
        </w:rPr>
        <w:footnoteRef/>
      </w:r>
      <w:r>
        <w:t xml:space="preserve"> </w:t>
      </w:r>
      <w:r>
        <w:t xml:space="preserve">Sun 2021, PMID 34827486.</w:t>
      </w:r>
    </w:p>
  </w:footnote>
  <w:footnote w:id="1724">
    <w:p>
      <w:pPr>
        <w:pStyle w:val="FootnoteText"/>
      </w:pPr>
      <w:r>
        <w:rPr>
          <w:rStyle w:val="FootnoteReference"/>
        </w:rPr>
        <w:footnoteRef/>
      </w:r>
      <w:r>
        <w:t xml:space="preserve"> </w:t>
      </w:r>
      <w:r>
        <w:t xml:space="preserve">Wells 2024, PMID 38489193.</w:t>
      </w:r>
    </w:p>
  </w:footnote>
  <w:footnote w:id="1725">
    <w:p>
      <w:pPr>
        <w:pStyle w:val="FootnoteText"/>
      </w:pPr>
      <w:r>
        <w:rPr>
          <w:rStyle w:val="FootnoteReference"/>
        </w:rPr>
        <w:footnoteRef/>
      </w:r>
      <w:r>
        <w:t xml:space="preserve"> </w:t>
      </w:r>
      <w:r>
        <w:t xml:space="preserve">Uribe 2015, PMID 25674052.</w:t>
      </w:r>
    </w:p>
  </w:footnote>
  <w:footnote w:id="1726">
    <w:p>
      <w:pPr>
        <w:pStyle w:val="FootnoteText"/>
      </w:pPr>
      <w:r>
        <w:rPr>
          <w:rStyle w:val="FootnoteReference"/>
        </w:rPr>
        <w:footnoteRef/>
      </w:r>
      <w:r>
        <w:t xml:space="preserve"> </w:t>
      </w:r>
      <w:r>
        <w:t xml:space="preserve">Pan 2022, PMID 35410439.</w:t>
      </w:r>
    </w:p>
  </w:footnote>
  <w:footnote w:id="1727">
    <w:p>
      <w:pPr>
        <w:pStyle w:val="FootnoteText"/>
      </w:pPr>
      <w:r>
        <w:rPr>
          <w:rStyle w:val="FootnoteReference"/>
        </w:rPr>
        <w:footnoteRef/>
      </w:r>
      <w:r>
        <w:t xml:space="preserve"> </w:t>
      </w:r>
      <w:r>
        <w:t xml:space="preserve">Ho 2018, PMID 29733881.</w:t>
      </w:r>
    </w:p>
  </w:footnote>
  <w:footnote w:id="1729">
    <w:p>
      <w:pPr>
        <w:pStyle w:val="FootnoteText"/>
      </w:pPr>
      <w:r>
        <w:rPr>
          <w:rStyle w:val="FootnoteReference"/>
        </w:rPr>
        <w:footnoteRef/>
      </w:r>
      <w:r>
        <w:t xml:space="preserve"> </w:t>
      </w:r>
      <w:r>
        <w:t xml:space="preserve">Wright 2015, PMID 25649658.</w:t>
      </w:r>
    </w:p>
  </w:footnote>
  <w:footnote w:id="1736">
    <w:p>
      <w:pPr>
        <w:pStyle w:val="FootnoteText"/>
      </w:pPr>
      <w:r>
        <w:rPr>
          <w:rStyle w:val="FootnoteReference"/>
        </w:rPr>
        <w:footnoteRef/>
      </w:r>
      <w:r>
        <w:t xml:space="preserve"> </w:t>
      </w:r>
      <w:r>
        <w:t xml:space="preserve">Monnier 1977, PMID 862769.</w:t>
      </w:r>
    </w:p>
  </w:footnote>
  <w:footnote w:id="1737">
    <w:p>
      <w:pPr>
        <w:pStyle w:val="FootnoteText"/>
      </w:pPr>
      <w:r>
        <w:rPr>
          <w:rStyle w:val="FootnoteReference"/>
        </w:rPr>
        <w:footnoteRef/>
      </w:r>
      <w:r>
        <w:t xml:space="preserve"> </w:t>
      </w:r>
      <w:r>
        <w:t xml:space="preserve">Kovalzon 2006, PMID 16539679.</w:t>
      </w:r>
    </w:p>
  </w:footnote>
  <w:footnote w:id="1738">
    <w:p>
      <w:pPr>
        <w:pStyle w:val="FootnoteText"/>
      </w:pPr>
      <w:r>
        <w:rPr>
          <w:rStyle w:val="FootnoteReference"/>
        </w:rPr>
        <w:footnoteRef/>
      </w:r>
      <w:r>
        <w:t xml:space="preserve"> </w:t>
      </w:r>
      <w:r>
        <w:t xml:space="preserve">Zlokovic 1988, PMID 3420012.</w:t>
      </w:r>
    </w:p>
  </w:footnote>
  <w:footnote w:id="1740">
    <w:p>
      <w:pPr>
        <w:pStyle w:val="FootnoteText"/>
      </w:pPr>
      <w:r>
        <w:rPr>
          <w:rStyle w:val="FootnoteReference"/>
        </w:rPr>
        <w:footnoteRef/>
      </w:r>
      <w:r>
        <w:t xml:space="preserve"> </w:t>
      </w:r>
      <w:r>
        <w:t xml:space="preserve">Schneider-Helmert 1981, PMID 6895513.</w:t>
      </w:r>
    </w:p>
  </w:footnote>
  <w:footnote w:id="1741">
    <w:p>
      <w:pPr>
        <w:pStyle w:val="FootnoteText"/>
      </w:pPr>
      <w:r>
        <w:rPr>
          <w:rStyle w:val="FootnoteReference"/>
        </w:rPr>
        <w:footnoteRef/>
      </w:r>
      <w:r>
        <w:t xml:space="preserve"> </w:t>
      </w:r>
      <w:r>
        <w:t xml:space="preserve">Schneider-Helmert 1987, PMID 3622582.</w:t>
      </w:r>
    </w:p>
  </w:footnote>
  <w:footnote w:id="1742">
    <w:p>
      <w:pPr>
        <w:pStyle w:val="FootnoteText"/>
      </w:pPr>
      <w:r>
        <w:rPr>
          <w:rStyle w:val="FootnoteReference"/>
        </w:rPr>
        <w:footnoteRef/>
      </w:r>
      <w:r>
        <w:t xml:space="preserve"> </w:t>
      </w:r>
      <w:r>
        <w:t xml:space="preserve">Monti 1987, PMID 3583493.</w:t>
      </w:r>
    </w:p>
  </w:footnote>
  <w:footnote w:id="1743">
    <w:p>
      <w:pPr>
        <w:pStyle w:val="FootnoteText"/>
      </w:pPr>
      <w:r>
        <w:rPr>
          <w:rStyle w:val="FootnoteReference"/>
        </w:rPr>
        <w:footnoteRef/>
      </w:r>
      <w:r>
        <w:t xml:space="preserve"> </w:t>
      </w:r>
      <w:r>
        <w:t xml:space="preserve">Bes 1992, PMID 1299794.</w:t>
      </w:r>
    </w:p>
  </w:footnote>
  <w:footnote w:id="1745">
    <w:p>
      <w:pPr>
        <w:pStyle w:val="FootnoteText"/>
      </w:pPr>
      <w:r>
        <w:rPr>
          <w:rStyle w:val="FootnoteReference"/>
        </w:rPr>
        <w:footnoteRef/>
      </w:r>
      <w:r>
        <w:t xml:space="preserve"> </w:t>
      </w:r>
      <w:r>
        <w:t xml:space="preserve">Dick 1984, PMID 6548969.</w:t>
      </w:r>
    </w:p>
  </w:footnote>
  <w:footnote w:id="1746">
    <w:p>
      <w:pPr>
        <w:pStyle w:val="FootnoteText"/>
      </w:pPr>
      <w:r>
        <w:rPr>
          <w:rStyle w:val="FootnoteReference"/>
        </w:rPr>
        <w:footnoteRef/>
      </w:r>
      <w:r>
        <w:t xml:space="preserve"> </w:t>
      </w:r>
      <w:r>
        <w:t xml:space="preserve">Backmund 1998, PMID 9617990.</w:t>
      </w:r>
    </w:p>
  </w:footnote>
  <w:footnote w:id="1747">
    <w:p>
      <w:pPr>
        <w:pStyle w:val="FootnoteText"/>
      </w:pPr>
      <w:r>
        <w:rPr>
          <w:rStyle w:val="FootnoteReference"/>
        </w:rPr>
        <w:footnoteRef/>
      </w:r>
      <w:r>
        <w:t xml:space="preserve"> </w:t>
      </w:r>
      <w:r>
        <w:t xml:space="preserve">Larbig 1984, PMID 6548970.</w:t>
      </w:r>
    </w:p>
  </w:footnote>
  <w:footnote w:id="1748">
    <w:p>
      <w:pPr>
        <w:pStyle w:val="FootnoteText"/>
      </w:pPr>
      <w:r>
        <w:rPr>
          <w:rStyle w:val="FootnoteReference"/>
        </w:rPr>
        <w:footnoteRef/>
      </w:r>
      <w:r>
        <w:t xml:space="preserve"> </w:t>
      </w:r>
      <w:r>
        <w:t xml:space="preserve">Schneider-Helmert 1984, PMID 6548968.</w:t>
      </w:r>
    </w:p>
  </w:footnote>
  <w:footnote w:id="1749">
    <w:p>
      <w:pPr>
        <w:pStyle w:val="FootnoteText"/>
      </w:pPr>
      <w:r>
        <w:rPr>
          <w:rStyle w:val="FootnoteReference"/>
        </w:rPr>
        <w:footnoteRef/>
      </w:r>
      <w:r>
        <w:t xml:space="preserve"> </w:t>
      </w:r>
      <w:r>
        <w:t xml:space="preserve">Kresiun 2014, PMID 25739189.</w:t>
      </w:r>
    </w:p>
  </w:footnote>
  <w:footnote w:id="1751">
    <w:p>
      <w:pPr>
        <w:pStyle w:val="FootnoteText"/>
      </w:pPr>
      <w:r>
        <w:rPr>
          <w:rStyle w:val="FootnoteReference"/>
        </w:rPr>
        <w:footnoteRef/>
      </w:r>
      <w:r>
        <w:t xml:space="preserve"> </w:t>
      </w:r>
      <w:r>
        <w:t xml:space="preserve">Bjartell 1989, PMID 2554357.</w:t>
      </w:r>
    </w:p>
  </w:footnote>
  <w:footnote w:id="1752">
    <w:p>
      <w:pPr>
        <w:pStyle w:val="FootnoteText"/>
      </w:pPr>
      <w:r>
        <w:rPr>
          <w:rStyle w:val="FootnoteReference"/>
        </w:rPr>
        <w:footnoteRef/>
      </w:r>
      <w:r>
        <w:t xml:space="preserve"> </w:t>
      </w:r>
      <w:r>
        <w:t xml:space="preserve">Späth-Schwalbe 1995, PMID 7777652.</w:t>
      </w:r>
    </w:p>
  </w:footnote>
  <w:footnote w:id="1753">
    <w:p>
      <w:pPr>
        <w:pStyle w:val="FootnoteText"/>
      </w:pPr>
      <w:r>
        <w:rPr>
          <w:rStyle w:val="FootnoteReference"/>
        </w:rPr>
        <w:footnoteRef/>
      </w:r>
      <w:r>
        <w:t xml:space="preserve"> </w:t>
      </w:r>
      <w:r>
        <w:t xml:space="preserve">Giusti 1993, PMID 8475226.</w:t>
      </w:r>
    </w:p>
  </w:footnote>
  <w:footnote w:id="1754">
    <w:p>
      <w:pPr>
        <w:pStyle w:val="FootnoteText"/>
      </w:pPr>
      <w:r>
        <w:rPr>
          <w:rStyle w:val="FootnoteReference"/>
        </w:rPr>
        <w:footnoteRef/>
      </w:r>
      <w:r>
        <w:t xml:space="preserve"> </w:t>
      </w:r>
      <w:r>
        <w:t xml:space="preserve">Pomfrett 2009, PMID 19142086.</w:t>
      </w:r>
    </w:p>
  </w:footnote>
  <w:footnote w:id="1757">
    <w:p>
      <w:pPr>
        <w:pStyle w:val="FootnoteText"/>
      </w:pPr>
      <w:r>
        <w:rPr>
          <w:rStyle w:val="FootnoteReference"/>
        </w:rPr>
        <w:footnoteRef/>
      </w:r>
      <w:r>
        <w:t xml:space="preserve"> </w:t>
      </w:r>
      <w:r>
        <w:t xml:space="preserve">Kovalzon 2006, PMID 16539679.</w:t>
      </w:r>
    </w:p>
  </w:footnote>
  <w:footnote w:id="1758">
    <w:p>
      <w:pPr>
        <w:pStyle w:val="FootnoteText"/>
      </w:pPr>
      <w:r>
        <w:rPr>
          <w:rStyle w:val="FootnoteReference"/>
        </w:rPr>
        <w:footnoteRef/>
      </w:r>
      <w:r>
        <w:t xml:space="preserve"> </w:t>
      </w:r>
      <w:r>
        <w:t xml:space="preserve">Voĭtenkov 2009, PMID 20405733.</w:t>
      </w:r>
    </w:p>
  </w:footnote>
  <w:footnote w:id="1760">
    <w:p>
      <w:pPr>
        <w:pStyle w:val="FootnoteText"/>
      </w:pPr>
      <w:r>
        <w:rPr>
          <w:rStyle w:val="FootnoteReference"/>
        </w:rPr>
        <w:footnoteRef/>
      </w:r>
      <w:r>
        <w:t xml:space="preserve"> </w:t>
      </w:r>
      <w:r>
        <w:t xml:space="preserve">Dick 1984, PMID 6548969.</w:t>
      </w:r>
    </w:p>
  </w:footnote>
  <w:footnote w:id="1761">
    <w:p>
      <w:pPr>
        <w:pStyle w:val="FootnoteText"/>
      </w:pPr>
      <w:r>
        <w:rPr>
          <w:rStyle w:val="FootnoteReference"/>
        </w:rPr>
        <w:footnoteRef/>
      </w:r>
      <w:r>
        <w:t xml:space="preserve"> </w:t>
      </w:r>
      <w:r>
        <w:t xml:space="preserve">Pomfrett 2009, PMID 19142086.</w:t>
      </w:r>
    </w:p>
  </w:footnote>
  <w:footnote w:id="1768">
    <w:p>
      <w:pPr>
        <w:pStyle w:val="FootnoteText"/>
      </w:pPr>
      <w:r>
        <w:rPr>
          <w:rStyle w:val="FootnoteReference"/>
        </w:rPr>
        <w:footnoteRef/>
      </w:r>
      <w:r>
        <w:t xml:space="preserve"> </w:t>
      </w:r>
      <w:r>
        <w:t xml:space="preserve">Khavinson 2003, PMID 12937682.</w:t>
      </w:r>
    </w:p>
  </w:footnote>
  <w:footnote w:id="1769">
    <w:p>
      <w:pPr>
        <w:pStyle w:val="FootnoteText"/>
      </w:pPr>
      <w:r>
        <w:rPr>
          <w:rStyle w:val="FootnoteReference"/>
        </w:rPr>
        <w:footnoteRef/>
      </w:r>
      <w:r>
        <w:t xml:space="preserve"> </w:t>
      </w:r>
      <w:r>
        <w:t xml:space="preserve">Khavinson 2003, PMID 14647006.</w:t>
      </w:r>
    </w:p>
  </w:footnote>
  <w:footnote w:id="1770">
    <w:p>
      <w:pPr>
        <w:pStyle w:val="FootnoteText"/>
      </w:pPr>
      <w:r>
        <w:rPr>
          <w:rStyle w:val="FootnoteReference"/>
        </w:rPr>
        <w:footnoteRef/>
      </w:r>
      <w:r>
        <w:t xml:space="preserve"> </w:t>
      </w:r>
      <w:r>
        <w:t xml:space="preserve">Araj 2025, PMID 40141333.</w:t>
      </w:r>
    </w:p>
  </w:footnote>
  <w:footnote w:id="1772">
    <w:p>
      <w:pPr>
        <w:pStyle w:val="FootnoteText"/>
      </w:pPr>
      <w:r>
        <w:rPr>
          <w:rStyle w:val="FootnoteReference"/>
        </w:rPr>
        <w:footnoteRef/>
      </w:r>
      <w:r>
        <w:t xml:space="preserve"> </w:t>
      </w:r>
      <w:r>
        <w:t xml:space="preserve">Jain 2026, PMID 42884164.</w:t>
      </w:r>
    </w:p>
  </w:footnote>
  <w:footnote w:id="1773">
    <w:p>
      <w:pPr>
        <w:pStyle w:val="FootnoteText"/>
      </w:pPr>
      <w:r>
        <w:rPr>
          <w:rStyle w:val="FootnoteReference"/>
        </w:rPr>
        <w:footnoteRef/>
      </w:r>
      <w:r>
        <w:t xml:space="preserve"> </w:t>
      </w:r>
      <w:r>
        <w:t xml:space="preserve">Khavinson 2002, PMID 12195242.</w:t>
      </w:r>
    </w:p>
  </w:footnote>
  <w:footnote w:id="1775">
    <w:p>
      <w:pPr>
        <w:pStyle w:val="FootnoteText"/>
      </w:pPr>
      <w:r>
        <w:rPr>
          <w:rStyle w:val="FootnoteReference"/>
        </w:rPr>
        <w:footnoteRef/>
      </w:r>
      <w:r>
        <w:t xml:space="preserve"> </w:t>
      </w:r>
      <w:r>
        <w:t xml:space="preserve">Khavinson 2003, PMID 14523363.</w:t>
      </w:r>
    </w:p>
  </w:footnote>
  <w:footnote w:id="1777">
    <w:p>
      <w:pPr>
        <w:pStyle w:val="FootnoteText"/>
      </w:pPr>
      <w:r>
        <w:rPr>
          <w:rStyle w:val="FootnoteReference"/>
        </w:rPr>
        <w:footnoteRef/>
      </w:r>
      <w:r>
        <w:t xml:space="preserve"> </w:t>
      </w:r>
      <w:r>
        <w:t xml:space="preserve">Khavinson 2003, PMID 12937682.</w:t>
      </w:r>
    </w:p>
  </w:footnote>
  <w:footnote w:id="1778">
    <w:p>
      <w:pPr>
        <w:pStyle w:val="FootnoteText"/>
      </w:pPr>
      <w:r>
        <w:rPr>
          <w:rStyle w:val="FootnoteReference"/>
        </w:rPr>
        <w:footnoteRef/>
      </w:r>
      <w:r>
        <w:t xml:space="preserve"> </w:t>
      </w:r>
      <w:r>
        <w:t xml:space="preserve">Khavinson 2004, PMID 15455129.</w:t>
      </w:r>
    </w:p>
  </w:footnote>
  <w:footnote w:id="1779">
    <w:p>
      <w:pPr>
        <w:pStyle w:val="FootnoteText"/>
      </w:pPr>
      <w:r>
        <w:rPr>
          <w:rStyle w:val="FootnoteReference"/>
        </w:rPr>
        <w:footnoteRef/>
      </w:r>
      <w:r>
        <w:t xml:space="preserve"> </w:t>
      </w:r>
      <w:r>
        <w:t xml:space="preserve">Al-Dulaimi 2025, PMID 40908429.</w:t>
      </w:r>
    </w:p>
  </w:footnote>
  <w:footnote w:id="1780">
    <w:p>
      <w:pPr>
        <w:pStyle w:val="FootnoteText"/>
      </w:pPr>
      <w:r>
        <w:rPr>
          <w:rStyle w:val="FootnoteReference"/>
        </w:rPr>
        <w:footnoteRef/>
      </w:r>
      <w:r>
        <w:t xml:space="preserve"> </w:t>
      </w:r>
      <w:r>
        <w:t xml:space="preserve">Khavinson 2019, PMID 31761987.</w:t>
      </w:r>
    </w:p>
  </w:footnote>
  <w:footnote w:id="1783">
    <w:p>
      <w:pPr>
        <w:pStyle w:val="FootnoteText"/>
      </w:pPr>
      <w:r>
        <w:rPr>
          <w:rStyle w:val="FootnoteReference"/>
        </w:rPr>
        <w:footnoteRef/>
      </w:r>
      <w:r>
        <w:t xml:space="preserve"> </w:t>
      </w:r>
      <w:r>
        <w:t xml:space="preserve">Anisimov 2003, PMID 14501183.</w:t>
      </w:r>
    </w:p>
  </w:footnote>
  <w:footnote w:id="1784">
    <w:p>
      <w:pPr>
        <w:pStyle w:val="FootnoteText"/>
      </w:pPr>
      <w:r>
        <w:rPr>
          <w:rStyle w:val="FootnoteReference"/>
        </w:rPr>
        <w:footnoteRef/>
      </w:r>
      <w:r>
        <w:t xml:space="preserve"> </w:t>
      </w:r>
      <w:r>
        <w:t xml:space="preserve">Khavinson 2000, PMID 11087911.</w:t>
      </w:r>
    </w:p>
  </w:footnote>
  <w:footnote w:id="1785">
    <w:p>
      <w:pPr>
        <w:pStyle w:val="FootnoteText"/>
      </w:pPr>
      <w:r>
        <w:rPr>
          <w:rStyle w:val="FootnoteReference"/>
        </w:rPr>
        <w:footnoteRef/>
      </w:r>
      <w:r>
        <w:t xml:space="preserve"> </w:t>
      </w:r>
      <w:r>
        <w:t xml:space="preserve">Khavinson 2003, PMID 12910293.</w:t>
      </w:r>
    </w:p>
  </w:footnote>
  <w:footnote w:id="1786">
    <w:p>
      <w:pPr>
        <w:pStyle w:val="FootnoteText"/>
      </w:pPr>
      <w:r>
        <w:rPr>
          <w:rStyle w:val="FootnoteReference"/>
        </w:rPr>
        <w:footnoteRef/>
      </w:r>
      <w:r>
        <w:t xml:space="preserve"> </w:t>
      </w:r>
      <w:r>
        <w:t xml:space="preserve">Yue 2022, PMID 35413689.</w:t>
      </w:r>
    </w:p>
  </w:footnote>
  <w:footnote w:id="1788">
    <w:p>
      <w:pPr>
        <w:pStyle w:val="FootnoteText"/>
      </w:pPr>
      <w:r>
        <w:rPr>
          <w:rStyle w:val="FootnoteReference"/>
        </w:rPr>
        <w:footnoteRef/>
      </w:r>
      <w:r>
        <w:t xml:space="preserve"> </w:t>
      </w:r>
      <w:r>
        <w:t xml:space="preserve">Al-Dulaimi 2025, PMID 40908429.</w:t>
      </w:r>
    </w:p>
  </w:footnote>
  <w:footnote w:id="1789">
    <w:p>
      <w:pPr>
        <w:pStyle w:val="FootnoteText"/>
      </w:pPr>
      <w:r>
        <w:rPr>
          <w:rStyle w:val="FootnoteReference"/>
        </w:rPr>
        <w:footnoteRef/>
      </w:r>
      <w:r>
        <w:t xml:space="preserve"> </w:t>
      </w:r>
      <w:r>
        <w:t xml:space="preserve">Anisimov 2003, PMID 14501183.</w:t>
      </w:r>
    </w:p>
  </w:footnote>
  <w:footnote w:id="1790">
    <w:p>
      <w:pPr>
        <w:pStyle w:val="FootnoteText"/>
      </w:pPr>
      <w:r>
        <w:rPr>
          <w:rStyle w:val="FootnoteReference"/>
        </w:rPr>
        <w:footnoteRef/>
      </w:r>
      <w:r>
        <w:t xml:space="preserve"> </w:t>
      </w:r>
      <w:r>
        <w:t xml:space="preserve">Jain 2026, PMID 42884164.</w:t>
      </w:r>
    </w:p>
  </w:footnote>
  <w:footnote w:id="1793">
    <w:p>
      <w:pPr>
        <w:pStyle w:val="FootnoteText"/>
      </w:pPr>
      <w:r>
        <w:rPr>
          <w:rStyle w:val="FootnoteReference"/>
        </w:rPr>
        <w:footnoteRef/>
      </w:r>
      <w:r>
        <w:t xml:space="preserve"> </w:t>
      </w:r>
      <w:r>
        <w:t xml:space="preserve">NCT07888595.</w:t>
      </w:r>
    </w:p>
  </w:footnote>
  <w:footnote w:id="1798">
    <w:p>
      <w:pPr>
        <w:pStyle w:val="FootnoteText"/>
      </w:pPr>
      <w:r>
        <w:rPr>
          <w:rStyle w:val="FootnoteReference"/>
        </w:rPr>
        <w:footnoteRef/>
      </w:r>
      <w:r>
        <w:t xml:space="preserve"> </w:t>
      </w:r>
      <w:r>
        <w:t xml:space="preserve">Fedoreyeva 2011, PMID 22117547.</w:t>
      </w:r>
    </w:p>
  </w:footnote>
  <w:footnote w:id="1799">
    <w:p>
      <w:pPr>
        <w:pStyle w:val="FootnoteText"/>
      </w:pPr>
      <w:r>
        <w:rPr>
          <w:rStyle w:val="FootnoteReference"/>
        </w:rPr>
        <w:footnoteRef/>
      </w:r>
      <w:r>
        <w:t xml:space="preserve"> </w:t>
      </w:r>
      <w:r>
        <w:t xml:space="preserve">Khavinson 2011, PMID 21978084.</w:t>
      </w:r>
    </w:p>
  </w:footnote>
  <w:footnote w:id="1800">
    <w:p>
      <w:pPr>
        <w:pStyle w:val="FootnoteText"/>
      </w:pPr>
      <w:r>
        <w:rPr>
          <w:rStyle w:val="FootnoteReference"/>
        </w:rPr>
        <w:footnoteRef/>
      </w:r>
      <w:r>
        <w:t xml:space="preserve"> </w:t>
      </w:r>
      <w:r>
        <w:t xml:space="preserve">Khavinson 2020, PMID 33396470.</w:t>
      </w:r>
    </w:p>
  </w:footnote>
  <w:footnote w:id="1802">
    <w:p>
      <w:pPr>
        <w:pStyle w:val="FootnoteText"/>
      </w:pPr>
      <w:r>
        <w:rPr>
          <w:rStyle w:val="FootnoteReference"/>
        </w:rPr>
        <w:footnoteRef/>
      </w:r>
      <w:r>
        <w:t xml:space="preserve"> </w:t>
      </w:r>
      <w:r>
        <w:t xml:space="preserve">Meshchaninov 2015, PMID 26390612.</w:t>
      </w:r>
    </w:p>
  </w:footnote>
  <w:footnote w:id="1804">
    <w:p>
      <w:pPr>
        <w:pStyle w:val="FootnoteText"/>
      </w:pPr>
      <w:r>
        <w:rPr>
          <w:rStyle w:val="FootnoteReference"/>
        </w:rPr>
        <w:footnoteRef/>
      </w:r>
      <w:r>
        <w:t xml:space="preserve"> </w:t>
      </w:r>
      <w:r>
        <w:t xml:space="preserve">Arutjunyan 2012, PMID 22567179.</w:t>
      </w:r>
    </w:p>
  </w:footnote>
  <w:footnote w:id="1805">
    <w:p>
      <w:pPr>
        <w:pStyle w:val="FootnoteText"/>
      </w:pPr>
      <w:r>
        <w:rPr>
          <w:rStyle w:val="FootnoteReference"/>
        </w:rPr>
        <w:footnoteRef/>
      </w:r>
      <w:r>
        <w:t xml:space="preserve"> </w:t>
      </w:r>
      <w:r>
        <w:t xml:space="preserve">Mendzheritsky 2015, PMID 28509493.</w:t>
      </w:r>
    </w:p>
  </w:footnote>
  <w:footnote w:id="1806">
    <w:p>
      <w:pPr>
        <w:pStyle w:val="FootnoteText"/>
      </w:pPr>
      <w:r>
        <w:rPr>
          <w:rStyle w:val="FootnoteReference"/>
        </w:rPr>
        <w:footnoteRef/>
      </w:r>
      <w:r>
        <w:t xml:space="preserve"> </w:t>
      </w:r>
      <w:r>
        <w:t xml:space="preserve">Khavinson 2011, PMID 21978084.</w:t>
      </w:r>
    </w:p>
  </w:footnote>
  <w:footnote w:id="1808">
    <w:p>
      <w:pPr>
        <w:pStyle w:val="FootnoteText"/>
      </w:pPr>
      <w:r>
        <w:rPr>
          <w:rStyle w:val="FootnoteReference"/>
        </w:rPr>
        <w:footnoteRef/>
      </w:r>
      <w:r>
        <w:t xml:space="preserve"> </w:t>
      </w:r>
      <w:r>
        <w:t xml:space="preserve">Meshchaninov 2015, PMID 26390612.</w:t>
      </w:r>
    </w:p>
  </w:footnote>
  <w:footnote w:id="1815">
    <w:p>
      <w:pPr>
        <w:pStyle w:val="FootnoteText"/>
      </w:pPr>
      <w:r>
        <w:rPr>
          <w:rStyle w:val="FootnoteReference"/>
        </w:rPr>
        <w:footnoteRef/>
      </w:r>
      <w:r>
        <w:t xml:space="preserve"> </w:t>
      </w:r>
      <w:r>
        <w:t xml:space="preserve">Lee 2015, PMID 25738459.</w:t>
      </w:r>
    </w:p>
  </w:footnote>
  <w:footnote w:id="1816">
    <w:p>
      <w:pPr>
        <w:pStyle w:val="FootnoteText"/>
      </w:pPr>
      <w:r>
        <w:rPr>
          <w:rStyle w:val="FootnoteReference"/>
        </w:rPr>
        <w:footnoteRef/>
      </w:r>
      <w:r>
        <w:t xml:space="preserve"> </w:t>
      </w:r>
      <w:r>
        <w:t xml:space="preserve">Kim 2018, PMID 29983246.</w:t>
      </w:r>
    </w:p>
  </w:footnote>
  <w:footnote w:id="1817">
    <w:p>
      <w:pPr>
        <w:pStyle w:val="FootnoteText"/>
      </w:pPr>
      <w:r>
        <w:rPr>
          <w:rStyle w:val="FootnoteReference"/>
        </w:rPr>
        <w:footnoteRef/>
      </w:r>
      <w:r>
        <w:t xml:space="preserve"> </w:t>
      </w:r>
      <w:r>
        <w:t xml:space="preserve">Reynolds 2021, PMID 33473109.</w:t>
      </w:r>
    </w:p>
  </w:footnote>
  <w:footnote w:id="1819">
    <w:p>
      <w:pPr>
        <w:pStyle w:val="FootnoteText"/>
      </w:pPr>
      <w:r>
        <w:rPr>
          <w:rStyle w:val="FootnoteReference"/>
        </w:rPr>
        <w:footnoteRef/>
      </w:r>
      <w:r>
        <w:t xml:space="preserve"> </w:t>
      </w:r>
      <w:r>
        <w:t xml:space="preserve">NCT03998514.</w:t>
      </w:r>
    </w:p>
  </w:footnote>
  <w:footnote w:id="1820">
    <w:p>
      <w:pPr>
        <w:pStyle w:val="FootnoteText"/>
      </w:pPr>
      <w:r>
        <w:rPr>
          <w:rStyle w:val="FootnoteReference"/>
        </w:rPr>
        <w:footnoteRef/>
      </w:r>
      <w:r>
        <w:t xml:space="preserve"> </w:t>
      </w:r>
      <w:r>
        <w:t xml:space="preserve">Du 2018, PMID 29691953; Kirik 2023, PMID 37750635; Qin 2018, PMID 29242099.</w:t>
      </w:r>
    </w:p>
  </w:footnote>
  <w:footnote w:id="1821">
    <w:p>
      <w:pPr>
        <w:pStyle w:val="FootnoteText"/>
      </w:pPr>
      <w:r>
        <w:rPr>
          <w:rStyle w:val="FootnoteReference"/>
        </w:rPr>
        <w:footnoteRef/>
      </w:r>
      <w:r>
        <w:t xml:space="preserve"> </w:t>
      </w:r>
      <w:r>
        <w:t xml:space="preserve">Du 2018, PMID 29691953.</w:t>
      </w:r>
    </w:p>
  </w:footnote>
  <w:footnote w:id="1822">
    <w:p>
      <w:pPr>
        <w:pStyle w:val="FootnoteText"/>
      </w:pPr>
      <w:r>
        <w:rPr>
          <w:rStyle w:val="FootnoteReference"/>
        </w:rPr>
        <w:footnoteRef/>
      </w:r>
      <w:r>
        <w:t xml:space="preserve"> </w:t>
      </w:r>
      <w:r>
        <w:t xml:space="preserve">Ikonomidis 2020, PMID 32052315.</w:t>
      </w:r>
    </w:p>
  </w:footnote>
  <w:footnote w:id="1823">
    <w:p>
      <w:pPr>
        <w:pStyle w:val="FootnoteText"/>
      </w:pPr>
      <w:r>
        <w:rPr>
          <w:rStyle w:val="FootnoteReference"/>
        </w:rPr>
        <w:footnoteRef/>
      </w:r>
      <w:r>
        <w:t xml:space="preserve"> </w:t>
      </w:r>
      <w:r>
        <w:t xml:space="preserve">Cuyàs 2022, PMID 36490309.</w:t>
      </w:r>
    </w:p>
  </w:footnote>
  <w:footnote w:id="1824">
    <w:p>
      <w:pPr>
        <w:pStyle w:val="FootnoteText"/>
      </w:pPr>
      <w:r>
        <w:rPr>
          <w:rStyle w:val="FootnoteReference"/>
        </w:rPr>
        <w:footnoteRef/>
      </w:r>
      <w:r>
        <w:t xml:space="preserve"> </w:t>
      </w:r>
      <w:r>
        <w:t xml:space="preserve">Zempo 2021, PMID 33468709.</w:t>
      </w:r>
    </w:p>
  </w:footnote>
  <w:footnote w:id="1826">
    <w:p>
      <w:pPr>
        <w:pStyle w:val="FootnoteText"/>
      </w:pPr>
      <w:r>
        <w:rPr>
          <w:rStyle w:val="FootnoteReference"/>
        </w:rPr>
        <w:footnoteRef/>
      </w:r>
      <w:r>
        <w:t xml:space="preserve"> </w:t>
      </w:r>
      <w:r>
        <w:t xml:space="preserve">NCT03998514.</w:t>
      </w:r>
    </w:p>
  </w:footnote>
  <w:footnote w:id="1829">
    <w:p>
      <w:pPr>
        <w:pStyle w:val="FootnoteText"/>
      </w:pPr>
      <w:r>
        <w:rPr>
          <w:rStyle w:val="FootnoteReference"/>
        </w:rPr>
        <w:footnoteRef/>
      </w:r>
      <w:r>
        <w:t xml:space="preserve"> </w:t>
      </w:r>
      <w:r>
        <w:t xml:space="preserve">Lee 2015, PMID 25738459.</w:t>
      </w:r>
    </w:p>
  </w:footnote>
  <w:footnote w:id="1830">
    <w:p>
      <w:pPr>
        <w:pStyle w:val="FootnoteText"/>
      </w:pPr>
      <w:r>
        <w:rPr>
          <w:rStyle w:val="FootnoteReference"/>
        </w:rPr>
        <w:footnoteRef/>
      </w:r>
      <w:r>
        <w:t xml:space="preserve"> </w:t>
      </w:r>
      <w:r>
        <w:t xml:space="preserve">Kumagai 2021, PMID 33554779.</w:t>
      </w:r>
    </w:p>
  </w:footnote>
  <w:footnote w:id="1831">
    <w:p>
      <w:pPr>
        <w:pStyle w:val="FootnoteText"/>
      </w:pPr>
      <w:r>
        <w:rPr>
          <w:rStyle w:val="FootnoteReference"/>
        </w:rPr>
        <w:footnoteRef/>
      </w:r>
      <w:r>
        <w:t xml:space="preserve"> </w:t>
      </w:r>
      <w:r>
        <w:t xml:space="preserve">Reynolds 2021, PMID 33473109.</w:t>
      </w:r>
    </w:p>
  </w:footnote>
  <w:footnote w:id="1832">
    <w:p>
      <w:pPr>
        <w:pStyle w:val="FootnoteText"/>
      </w:pPr>
      <w:r>
        <w:rPr>
          <w:rStyle w:val="FootnoteReference"/>
        </w:rPr>
        <w:footnoteRef/>
      </w:r>
      <w:r>
        <w:t xml:space="preserve"> </w:t>
      </w:r>
      <w:r>
        <w:t xml:space="preserve">Kong 2025, PMID 40855115.</w:t>
      </w:r>
    </w:p>
  </w:footnote>
  <w:footnote w:id="1834">
    <w:p>
      <w:pPr>
        <w:pStyle w:val="FootnoteText"/>
      </w:pPr>
      <w:r>
        <w:rPr>
          <w:rStyle w:val="FootnoteReference"/>
        </w:rPr>
        <w:footnoteRef/>
      </w:r>
      <w:r>
        <w:t xml:space="preserve"> </w:t>
      </w:r>
      <w:r>
        <w:t xml:space="preserve">Yin 2024, PMID 39321430.</w:t>
      </w:r>
    </w:p>
  </w:footnote>
  <w:footnote w:id="1835">
    <w:p>
      <w:pPr>
        <w:pStyle w:val="FootnoteText"/>
      </w:pPr>
      <w:r>
        <w:rPr>
          <w:rStyle w:val="FootnoteReference"/>
        </w:rPr>
        <w:footnoteRef/>
      </w:r>
      <w:r>
        <w:t xml:space="preserve"> </w:t>
      </w:r>
      <w:r>
        <w:t xml:space="preserve">Shen 2025, PMID 39581216.</w:t>
      </w:r>
    </w:p>
  </w:footnote>
  <w:footnote w:id="1838">
    <w:p>
      <w:pPr>
        <w:pStyle w:val="FootnoteText"/>
      </w:pPr>
      <w:r>
        <w:rPr>
          <w:rStyle w:val="FootnoteReference"/>
        </w:rPr>
        <w:footnoteRef/>
      </w:r>
      <w:r>
        <w:t xml:space="preserve"> </w:t>
      </w:r>
      <w:r>
        <w:t xml:space="preserve">NCT07678073.</w:t>
      </w:r>
    </w:p>
  </w:footnote>
  <w:footnote w:id="1839">
    <w:p>
      <w:pPr>
        <w:pStyle w:val="FootnoteText"/>
      </w:pPr>
      <w:r>
        <w:rPr>
          <w:rStyle w:val="FootnoteReference"/>
        </w:rPr>
        <w:footnoteRef/>
      </w:r>
      <w:r>
        <w:t xml:space="preserve"> </w:t>
      </w:r>
      <w:r>
        <w:t xml:space="preserve">NCT03878706.</w:t>
      </w:r>
    </w:p>
  </w:footnote>
  <w:footnote w:id="1844">
    <w:p>
      <w:pPr>
        <w:pStyle w:val="FootnoteText"/>
      </w:pPr>
      <w:r>
        <w:rPr>
          <w:rStyle w:val="FootnoteReference"/>
        </w:rPr>
        <w:footnoteRef/>
      </w:r>
      <w:r>
        <w:t xml:space="preserve"> </w:t>
      </w:r>
      <w:r>
        <w:t xml:space="preserve">Hashimoto 2001, PMID 11717357.</w:t>
      </w:r>
    </w:p>
  </w:footnote>
  <w:footnote w:id="1845">
    <w:p>
      <w:pPr>
        <w:pStyle w:val="FootnoteText"/>
      </w:pPr>
      <w:r>
        <w:rPr>
          <w:rStyle w:val="FootnoteReference"/>
        </w:rPr>
        <w:footnoteRef/>
      </w:r>
      <w:r>
        <w:t xml:space="preserve"> </w:t>
      </w:r>
      <w:r>
        <w:t xml:space="preserve">Hashimoto 2009, PMID 19386761.</w:t>
      </w:r>
    </w:p>
  </w:footnote>
  <w:footnote w:id="1846">
    <w:p>
      <w:pPr>
        <w:pStyle w:val="FootnoteText"/>
      </w:pPr>
      <w:r>
        <w:rPr>
          <w:rStyle w:val="FootnoteReference"/>
        </w:rPr>
        <w:footnoteRef/>
      </w:r>
      <w:r>
        <w:t xml:space="preserve"> </w:t>
      </w:r>
      <w:r>
        <w:t xml:space="preserve">Miller 2022, PMID 35499074.</w:t>
      </w:r>
    </w:p>
  </w:footnote>
  <w:footnote w:id="1848">
    <w:p>
      <w:pPr>
        <w:pStyle w:val="FootnoteText"/>
      </w:pPr>
      <w:r>
        <w:rPr>
          <w:rStyle w:val="FootnoteReference"/>
        </w:rPr>
        <w:footnoteRef/>
      </w:r>
      <w:r>
        <w:t xml:space="preserve"> </w:t>
      </w:r>
      <w:r>
        <w:t xml:space="preserve">Lee 2014, PMID 25040290.</w:t>
      </w:r>
    </w:p>
  </w:footnote>
  <w:footnote w:id="1852">
    <w:p>
      <w:pPr>
        <w:pStyle w:val="FootnoteText"/>
      </w:pPr>
      <w:r>
        <w:rPr>
          <w:rStyle w:val="FootnoteReference"/>
        </w:rPr>
        <w:footnoteRef/>
      </w:r>
      <w:r>
        <w:t xml:space="preserve"> </w:t>
      </w:r>
      <w:r>
        <w:t xml:space="preserve">Yen 2020, PMID 32575074.</w:t>
      </w:r>
    </w:p>
  </w:footnote>
  <w:footnote w:id="1853">
    <w:p>
      <w:pPr>
        <w:pStyle w:val="FootnoteText"/>
      </w:pPr>
      <w:r>
        <w:rPr>
          <w:rStyle w:val="FootnoteReference"/>
        </w:rPr>
        <w:footnoteRef/>
      </w:r>
      <w:r>
        <w:t xml:space="preserve"> </w:t>
      </w:r>
      <w:r>
        <w:t xml:space="preserve">Muzumdar 2010, PMID 20651283.</w:t>
      </w:r>
    </w:p>
  </w:footnote>
  <w:footnote w:id="1854">
    <w:p>
      <w:pPr>
        <w:pStyle w:val="FootnoteText"/>
      </w:pPr>
      <w:r>
        <w:rPr>
          <w:rStyle w:val="FootnoteReference"/>
        </w:rPr>
        <w:footnoteRef/>
      </w:r>
      <w:r>
        <w:t xml:space="preserve"> </w:t>
      </w:r>
      <w:r>
        <w:t xml:space="preserve">Qin 2018, PMID 30004252.</w:t>
      </w:r>
    </w:p>
  </w:footnote>
  <w:footnote w:id="1855">
    <w:p>
      <w:pPr>
        <w:pStyle w:val="FootnoteText"/>
      </w:pPr>
      <w:r>
        <w:rPr>
          <w:rStyle w:val="FootnoteReference"/>
        </w:rPr>
        <w:footnoteRef/>
      </w:r>
      <w:r>
        <w:t xml:space="preserve"> </w:t>
      </w:r>
      <w:r>
        <w:t xml:space="preserve">Miller 2024, PMID 38520065.</w:t>
      </w:r>
    </w:p>
  </w:footnote>
  <w:footnote w:id="1856">
    <w:p>
      <w:pPr>
        <w:pStyle w:val="FootnoteText"/>
      </w:pPr>
      <w:r>
        <w:rPr>
          <w:rStyle w:val="FootnoteReference"/>
        </w:rPr>
        <w:footnoteRef/>
      </w:r>
      <w:r>
        <w:t xml:space="preserve"> </w:t>
      </w:r>
      <w:r>
        <w:t xml:space="preserve">Nashine 2017, PMID 28726777.</w:t>
      </w:r>
    </w:p>
  </w:footnote>
  <w:footnote w:id="1858">
    <w:p>
      <w:pPr>
        <w:pStyle w:val="FootnoteText"/>
      </w:pPr>
      <w:r>
        <w:rPr>
          <w:rStyle w:val="FootnoteReference"/>
        </w:rPr>
        <w:footnoteRef/>
      </w:r>
      <w:r>
        <w:t xml:space="preserve"> </w:t>
      </w:r>
      <w:r>
        <w:t xml:space="preserve">Moreno Ayala 2020, PMID 32444831.</w:t>
      </w:r>
    </w:p>
  </w:footnote>
  <w:footnote w:id="1859">
    <w:p>
      <w:pPr>
        <w:pStyle w:val="FootnoteText"/>
      </w:pPr>
      <w:r>
        <w:rPr>
          <w:rStyle w:val="FootnoteReference"/>
        </w:rPr>
        <w:footnoteRef/>
      </w:r>
      <w:r>
        <w:t xml:space="preserve"> </w:t>
      </w:r>
      <w:r>
        <w:t xml:space="preserve">Mendelsohn 2018, PMID 30058454.</w:t>
      </w:r>
    </w:p>
  </w:footnote>
  <w:footnote w:id="1862">
    <w:p>
      <w:pPr>
        <w:pStyle w:val="FootnoteText"/>
      </w:pPr>
      <w:r>
        <w:rPr>
          <w:rStyle w:val="FootnoteReference"/>
        </w:rPr>
        <w:footnoteRef/>
      </w:r>
      <w:r>
        <w:t xml:space="preserve"> </w:t>
      </w:r>
      <w:r>
        <w:t xml:space="preserve">NCT07678073.</w:t>
      </w:r>
    </w:p>
  </w:footnote>
  <w:footnote w:id="1867">
    <w:p>
      <w:pPr>
        <w:pStyle w:val="FootnoteText"/>
      </w:pPr>
      <w:r>
        <w:rPr>
          <w:rStyle w:val="FootnoteReference"/>
        </w:rPr>
        <w:footnoteRef/>
      </w:r>
      <w:r>
        <w:t xml:space="preserve"> </w:t>
      </w:r>
      <w:r>
        <w:t xml:space="preserve">Szeto 2014, PMID 24117165.</w:t>
      </w:r>
    </w:p>
  </w:footnote>
  <w:footnote w:id="1869">
    <w:p>
      <w:pPr>
        <w:pStyle w:val="FootnoteText"/>
      </w:pPr>
      <w:r>
        <w:rPr>
          <w:rStyle w:val="FootnoteReference"/>
        </w:rPr>
        <w:footnoteRef/>
      </w:r>
      <w:r>
        <w:t xml:space="preserve"> </w:t>
      </w:r>
      <w:r>
        <w:t xml:space="preserve">NCT03098797.</w:t>
      </w:r>
    </w:p>
  </w:footnote>
  <w:footnote w:id="1870">
    <w:p>
      <w:pPr>
        <w:pStyle w:val="FootnoteText"/>
      </w:pPr>
      <w:r>
        <w:rPr>
          <w:rStyle w:val="FootnoteReference"/>
        </w:rPr>
        <w:footnoteRef/>
      </w:r>
      <w:r>
        <w:t xml:space="preserve"> </w:t>
      </w:r>
      <w:r>
        <w:t xml:space="preserve">Reid Thompson 2021, PMID 33077895.</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Thompson 2024, PMID 38602181.</w:t>
      </w:r>
    </w:p>
  </w:footnote>
  <w:footnote w:id="1873">
    <w:p>
      <w:pPr>
        <w:pStyle w:val="FootnoteText"/>
      </w:pPr>
      <w:r>
        <w:rPr>
          <w:rStyle w:val="FootnoteReference"/>
        </w:rPr>
        <w:footnoteRef/>
      </w:r>
      <w:r>
        <w:t xml:space="preserve"> </w:t>
      </w:r>
      <w:r>
        <w:t xml:space="preserve">Hornby 2022, PMID 36056411.</w:t>
      </w:r>
    </w:p>
  </w:footnote>
  <w:footnote w:id="1874">
    <w:p>
      <w:pPr>
        <w:pStyle w:val="FootnoteText"/>
      </w:pPr>
      <w:r>
        <w:rPr>
          <w:rStyle w:val="FootnoteReference"/>
        </w:rPr>
        <w:footnoteRef/>
      </w:r>
      <w:r>
        <w:t xml:space="preserve"> </w:t>
      </w:r>
      <w:r>
        <w:t xml:space="preserve">Shirley 2026, PMID 41335372.</w:t>
      </w:r>
    </w:p>
  </w:footnote>
  <w:footnote w:id="1875">
    <w:p>
      <w:pPr>
        <w:pStyle w:val="FootnoteText"/>
      </w:pPr>
      <w:r>
        <w:rPr>
          <w:rStyle w:val="FootnoteReference"/>
        </w:rPr>
        <w:footnoteRef/>
      </w:r>
      <w:r>
        <w:t xml:space="preserve"> </w:t>
      </w:r>
      <w:r>
        <w:t xml:space="preserve">NCT07531251.</w:t>
      </w:r>
    </w:p>
  </w:footnote>
  <w:footnote w:id="1877">
    <w:p>
      <w:pPr>
        <w:pStyle w:val="FootnoteText"/>
      </w:pPr>
      <w:r>
        <w:rPr>
          <w:rStyle w:val="FootnoteReference"/>
        </w:rPr>
        <w:footnoteRef/>
      </w:r>
      <w:r>
        <w:t xml:space="preserve"> </w:t>
      </w:r>
      <w:r>
        <w:t xml:space="preserve">NCT03323749.</w:t>
      </w:r>
    </w:p>
  </w:footnote>
  <w:footnote w:id="1878">
    <w:p>
      <w:pPr>
        <w:pStyle w:val="FootnoteText"/>
      </w:pPr>
      <w:r>
        <w:rPr>
          <w:rStyle w:val="FootnoteReference"/>
        </w:rPr>
        <w:footnoteRef/>
      </w:r>
      <w:r>
        <w:t xml:space="preserve"> </w:t>
      </w:r>
      <w:r>
        <w:t xml:space="preserve">Karaa 2023, PMID 37268435.</w:t>
      </w:r>
    </w:p>
  </w:footnote>
  <w:footnote w:id="1879">
    <w:p>
      <w:pPr>
        <w:pStyle w:val="FootnoteText"/>
      </w:pPr>
      <w:r>
        <w:rPr>
          <w:rStyle w:val="FootnoteReference"/>
        </w:rPr>
        <w:footnoteRef/>
      </w:r>
      <w:r>
        <w:t xml:space="preserve"> </w:t>
      </w:r>
      <w:r>
        <w:t xml:space="preserve">Karaa 2024, PMID 39574155.</w:t>
      </w:r>
    </w:p>
  </w:footnote>
  <w:footnote w:id="1880">
    <w:p>
      <w:pPr>
        <w:pStyle w:val="FootnoteText"/>
      </w:pPr>
      <w:r>
        <w:rPr>
          <w:rStyle w:val="FootnoteReference"/>
        </w:rPr>
        <w:footnoteRef/>
      </w:r>
      <w:r>
        <w:t xml:space="preserve"> </w:t>
      </w:r>
      <w:r>
        <w:t xml:space="preserve">NCT05162768.</w:t>
      </w:r>
    </w:p>
  </w:footnote>
  <w:footnote w:id="1882">
    <w:p>
      <w:pPr>
        <w:pStyle w:val="FootnoteText"/>
      </w:pPr>
      <w:r>
        <w:rPr>
          <w:rStyle w:val="FootnoteReference"/>
        </w:rPr>
        <w:footnoteRef/>
      </w:r>
      <w:r>
        <w:t xml:space="preserve"> </w:t>
      </w:r>
      <w:r>
        <w:t xml:space="preserve">Gibson 2016, PMID 26586786; Butler 2020, PMID 32068002.</w:t>
      </w:r>
    </w:p>
  </w:footnote>
  <w:footnote w:id="1883">
    <w:p>
      <w:pPr>
        <w:pStyle w:val="FootnoteText"/>
      </w:pPr>
      <w:r>
        <w:rPr>
          <w:rStyle w:val="FootnoteReference"/>
        </w:rPr>
        <w:footnoteRef/>
      </w:r>
      <w:r>
        <w:t xml:space="preserve"> </w:t>
      </w:r>
      <w:r>
        <w:t xml:space="preserve">Ehlers 2025, PMID 39605874.</w:t>
      </w:r>
    </w:p>
  </w:footnote>
  <w:footnote w:id="1884">
    <w:p>
      <w:pPr>
        <w:pStyle w:val="FootnoteText"/>
      </w:pPr>
      <w:r>
        <w:rPr>
          <w:rStyle w:val="FootnoteReference"/>
        </w:rPr>
        <w:footnoteRef/>
      </w:r>
      <w:r>
        <w:t xml:space="preserve"> </w:t>
      </w:r>
      <w:r>
        <w:t xml:space="preserve">NCT06373731.</w:t>
      </w:r>
    </w:p>
  </w:footnote>
  <w:footnote w:id="1885">
    <w:p>
      <w:pPr>
        <w:pStyle w:val="FootnoteText"/>
      </w:pPr>
      <w:r>
        <w:rPr>
          <w:rStyle w:val="FootnoteReference"/>
        </w:rPr>
        <w:footnoteRef/>
      </w:r>
      <w:r>
        <w:t xml:space="preserve"> </w:t>
      </w:r>
      <w:r>
        <w:t xml:space="preserve">Roshanravan 2021, PMID 34264994.</w:t>
      </w:r>
    </w:p>
  </w:footnote>
  <w:footnote w:id="1888">
    <w:p>
      <w:pPr>
        <w:pStyle w:val="FootnoteText"/>
      </w:pPr>
      <w:r>
        <w:rPr>
          <w:rStyle w:val="FootnoteReference"/>
        </w:rPr>
        <w:footnoteRef/>
      </w:r>
      <w:r>
        <w:t xml:space="preserve"> </w:t>
      </w:r>
      <w:r>
        <w:t xml:space="preserve">Szeto 2014, PMID 24117165.</w:t>
      </w:r>
    </w:p>
  </w:footnote>
  <w:footnote w:id="1889">
    <w:p>
      <w:pPr>
        <w:pStyle w:val="FootnoteText"/>
      </w:pPr>
      <w:r>
        <w:rPr>
          <w:rStyle w:val="FootnoteReference"/>
        </w:rPr>
        <w:footnoteRef/>
      </w:r>
      <w:r>
        <w:t xml:space="preserve"> </w:t>
      </w:r>
      <w:r>
        <w:t xml:space="preserve">Sabbah 2016, PMID 26839394.</w:t>
      </w:r>
    </w:p>
  </w:footnote>
  <w:footnote w:id="1890">
    <w:p>
      <w:pPr>
        <w:pStyle w:val="FootnoteText"/>
      </w:pPr>
      <w:r>
        <w:rPr>
          <w:rStyle w:val="FootnoteReference"/>
        </w:rPr>
        <w:footnoteRef/>
      </w:r>
      <w:r>
        <w:t xml:space="preserve"> </w:t>
      </w:r>
      <w:r>
        <w:t xml:space="preserve">Schauer 2026, PMID 41596703.</w:t>
      </w:r>
    </w:p>
  </w:footnote>
  <w:footnote w:id="1892">
    <w:p>
      <w:pPr>
        <w:pStyle w:val="FootnoteText"/>
      </w:pPr>
      <w:r>
        <w:rPr>
          <w:rStyle w:val="FootnoteReference"/>
        </w:rPr>
        <w:footnoteRef/>
      </w:r>
      <w:r>
        <w:t xml:space="preserve"> </w:t>
      </w:r>
      <w:r>
        <w:t xml:space="preserve">Karaa 2020, PMID 32096613.</w:t>
      </w:r>
    </w:p>
  </w:footnote>
  <w:footnote w:id="1893">
    <w:p>
      <w:pPr>
        <w:pStyle w:val="FootnoteText"/>
      </w:pPr>
      <w:r>
        <w:rPr>
          <w:rStyle w:val="FootnoteReference"/>
        </w:rPr>
        <w:footnoteRef/>
      </w:r>
      <w:r>
        <w:t xml:space="preserve"> </w:t>
      </w:r>
      <w:r>
        <w:t xml:space="preserve">Ehlers 2025, PMID 39605874.</w:t>
      </w:r>
    </w:p>
  </w:footnote>
  <w:footnote w:id="1894">
    <w:p>
      <w:pPr>
        <w:pStyle w:val="FootnoteText"/>
      </w:pPr>
      <w:r>
        <w:rPr>
          <w:rStyle w:val="FootnoteReference"/>
        </w:rPr>
        <w:footnoteRef/>
      </w:r>
      <w:r>
        <w:t xml:space="preserve"> </w:t>
      </w:r>
      <w:r>
        <w:t xml:space="preserve">Karaa 2023, PMID 37268435.</w:t>
      </w:r>
    </w:p>
  </w:footnote>
  <w:footnote w:id="1895">
    <w:p>
      <w:pPr>
        <w:pStyle w:val="FootnoteText"/>
      </w:pPr>
      <w:r>
        <w:rPr>
          <w:rStyle w:val="FootnoteReference"/>
        </w:rPr>
        <w:footnoteRef/>
      </w:r>
      <w:r>
        <w:t xml:space="preserve"> </w:t>
      </w:r>
      <w:r>
        <w:t xml:space="preserve">Thompson 2024, PMID 38602181.</w:t>
      </w:r>
    </w:p>
  </w:footnote>
  <w:footnote w:id="1897">
    <w:p>
      <w:pPr>
        <w:pStyle w:val="FootnoteText"/>
      </w:pPr>
      <w:r>
        <w:rPr>
          <w:rStyle w:val="FootnoteReference"/>
        </w:rPr>
        <w:footnoteRef/>
      </w:r>
      <w:r>
        <w:t xml:space="preserve"> </w:t>
      </w:r>
      <w:r>
        <w:t xml:space="preserve">NCT04689360.</w:t>
      </w:r>
    </w:p>
  </w:footnote>
  <w:footnote w:id="1899">
    <w:p>
      <w:pPr>
        <w:pStyle w:val="FootnoteText"/>
      </w:pPr>
      <w:r>
        <w:rPr>
          <w:rStyle w:val="FootnoteReference"/>
        </w:rPr>
        <w:footnoteRef/>
      </w:r>
      <w:r>
        <w:t xml:space="preserve"> </w:t>
      </w:r>
      <w:r>
        <w:t xml:space="preserve">NCT06373731.</w:t>
      </w:r>
    </w:p>
  </w:footnote>
  <w:footnote w:id="1900">
    <w:p>
      <w:pPr>
        <w:pStyle w:val="FootnoteText"/>
      </w:pPr>
      <w:r>
        <w:rPr>
          <w:rStyle w:val="FootnoteReference"/>
        </w:rPr>
        <w:footnoteRef/>
      </w:r>
      <w:r>
        <w:t xml:space="preserve"> </w:t>
      </w:r>
      <w:r>
        <w:t xml:space="preserve">NCT07531251.</w:t>
      </w:r>
    </w:p>
  </w:footnote>
  <w:footnote w:id="1901">
    <w:p>
      <w:pPr>
        <w:pStyle w:val="FootnoteText"/>
      </w:pPr>
      <w:r>
        <w:rPr>
          <w:rStyle w:val="FootnoteReference"/>
        </w:rPr>
        <w:footnoteRef/>
      </w:r>
      <w:r>
        <w:t xml:space="preserve"> </w:t>
      </w:r>
      <w:r>
        <w:t xml:space="preserve">NCT05162768.</w:t>
      </w:r>
    </w:p>
  </w:footnote>
  <w:footnote w:id="1902">
    <w:p>
      <w:pPr>
        <w:pStyle w:val="FootnoteText"/>
      </w:pPr>
      <w:r>
        <w:rPr>
          <w:rStyle w:val="FootnoteReference"/>
        </w:rPr>
        <w:footnoteRef/>
      </w:r>
      <w:r>
        <w:t xml:space="preserve"> </w:t>
      </w:r>
      <w:r>
        <w:t xml:space="preserve">NCT07275424.</w:t>
      </w:r>
    </w:p>
  </w:footnote>
  <w:footnote w:id="1907">
    <w:p>
      <w:pPr>
        <w:pStyle w:val="FootnoteText"/>
      </w:pPr>
      <w:r>
        <w:rPr>
          <w:rStyle w:val="FootnoteReference"/>
        </w:rPr>
        <w:footnoteRef/>
      </w:r>
      <w:r>
        <w:t xml:space="preserve"> </w:t>
      </w:r>
      <w:r>
        <w:t xml:space="preserve">Baar 2017, PMID 28340339.</w:t>
      </w:r>
    </w:p>
  </w:footnote>
  <w:footnote w:id="1908">
    <w:p>
      <w:pPr>
        <w:pStyle w:val="FootnoteText"/>
      </w:pPr>
      <w:r>
        <w:rPr>
          <w:rStyle w:val="FootnoteReference"/>
        </w:rPr>
        <w:footnoteRef/>
      </w:r>
      <w:r>
        <w:t xml:space="preserve"> </w:t>
      </w:r>
      <w:r>
        <w:t xml:space="preserve">Bourgeois 2025, PMID 40593617.</w:t>
      </w:r>
    </w:p>
  </w:footnote>
  <w:footnote w:id="1909">
    <w:p>
      <w:pPr>
        <w:pStyle w:val="FootnoteText"/>
      </w:pPr>
      <w:r>
        <w:rPr>
          <w:rStyle w:val="FootnoteReference"/>
        </w:rPr>
        <w:footnoteRef/>
      </w:r>
      <w:r>
        <w:t xml:space="preserve"> </w:t>
      </w:r>
      <w:r>
        <w:t xml:space="preserve">Justice 2019, PMID 30616998.</w:t>
      </w:r>
    </w:p>
  </w:footnote>
  <w:footnote w:id="1910">
    <w:p>
      <w:pPr>
        <w:pStyle w:val="FootnoteText"/>
      </w:pPr>
      <w:r>
        <w:rPr>
          <w:rStyle w:val="FootnoteReference"/>
        </w:rPr>
        <w:footnoteRef/>
      </w:r>
      <w:r>
        <w:t xml:space="preserve"> </w:t>
      </w:r>
      <w:r>
        <w:t xml:space="preserve">Farr 2024, PMID 38956196.</w:t>
      </w:r>
    </w:p>
  </w:footnote>
  <w:footnote w:id="1913">
    <w:p>
      <w:pPr>
        <w:pStyle w:val="FootnoteText"/>
      </w:pPr>
      <w:r>
        <w:rPr>
          <w:rStyle w:val="FootnoteReference"/>
        </w:rPr>
        <w:footnoteRef/>
      </w:r>
      <w:r>
        <w:t xml:space="preserve"> </w:t>
      </w:r>
      <w:r>
        <w:t xml:space="preserve">Huang 2021, PMID 33996787.</w:t>
      </w:r>
    </w:p>
  </w:footnote>
  <w:footnote w:id="1915">
    <w:p>
      <w:pPr>
        <w:pStyle w:val="FootnoteText"/>
      </w:pPr>
      <w:r>
        <w:rPr>
          <w:rStyle w:val="FootnoteReference"/>
        </w:rPr>
        <w:footnoteRef/>
      </w:r>
      <w:r>
        <w:t xml:space="preserve"> </w:t>
      </w:r>
      <w:r>
        <w:t xml:space="preserve">Baar 2017, PMID 28340339.</w:t>
      </w:r>
    </w:p>
  </w:footnote>
  <w:footnote w:id="1916">
    <w:p>
      <w:pPr>
        <w:pStyle w:val="FootnoteText"/>
      </w:pPr>
      <w:r>
        <w:rPr>
          <w:rStyle w:val="FootnoteReference"/>
        </w:rPr>
        <w:footnoteRef/>
      </w:r>
      <w:r>
        <w:t xml:space="preserve"> </w:t>
      </w:r>
      <w:r>
        <w:t xml:space="preserve">Born 2023, PMID 36515093.</w:t>
      </w:r>
    </w:p>
  </w:footnote>
  <w:footnote w:id="1918">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Bourgeois 2025, PMID 40593617.</w:t>
      </w:r>
    </w:p>
  </w:footnote>
  <w:footnote w:id="1927">
    <w:p>
      <w:pPr>
        <w:pStyle w:val="FootnoteText"/>
      </w:pPr>
      <w:r>
        <w:rPr>
          <w:rStyle w:val="FootnoteReference"/>
        </w:rPr>
        <w:footnoteRef/>
      </w:r>
      <w:r>
        <w:t xml:space="preserve"> </w:t>
      </w:r>
      <w:r>
        <w:t xml:space="preserve">Allen 2011, PMID 21875351.</w:t>
      </w:r>
    </w:p>
  </w:footnote>
  <w:footnote w:id="1928">
    <w:p>
      <w:pPr>
        <w:pStyle w:val="FootnoteText"/>
      </w:pPr>
      <w:r>
        <w:rPr>
          <w:rStyle w:val="FootnoteReference"/>
        </w:rPr>
        <w:footnoteRef/>
      </w:r>
      <w:r>
        <w:t xml:space="preserve"> </w:t>
      </w:r>
      <w:r>
        <w:t xml:space="preserve">Richie 2015, PMID 24791752.</w:t>
      </w:r>
    </w:p>
  </w:footnote>
  <w:footnote w:id="1929">
    <w:p>
      <w:pPr>
        <w:pStyle w:val="FootnoteText"/>
      </w:pPr>
      <w:r>
        <w:rPr>
          <w:rStyle w:val="FootnoteReference"/>
        </w:rPr>
        <w:footnoteRef/>
      </w:r>
      <w:r>
        <w:t xml:space="preserve"> </w:t>
      </w:r>
      <w:r>
        <w:t xml:space="preserve">Sinha 2018, PMID 28853742.</w:t>
      </w:r>
    </w:p>
  </w:footnote>
  <w:footnote w:id="1931">
    <w:p>
      <w:pPr>
        <w:pStyle w:val="FootnoteText"/>
      </w:pPr>
      <w:r>
        <w:rPr>
          <w:rStyle w:val="FootnoteReference"/>
        </w:rPr>
        <w:footnoteRef/>
      </w:r>
      <w:r>
        <w:t xml:space="preserve"> </w:t>
      </w:r>
      <w:r>
        <w:t xml:space="preserve">Leal 2014, PMID 24619793.</w:t>
      </w:r>
    </w:p>
  </w:footnote>
  <w:footnote w:id="1932">
    <w:p>
      <w:pPr>
        <w:pStyle w:val="FootnoteText"/>
      </w:pPr>
      <w:r>
        <w:rPr>
          <w:rStyle w:val="FootnoteReference"/>
        </w:rPr>
        <w:footnoteRef/>
      </w:r>
      <w:r>
        <w:t xml:space="preserve"> </w:t>
      </w:r>
      <w:r>
        <w:t xml:space="preserve">Hauser 2009, PMID 19230029.</w:t>
      </w:r>
    </w:p>
  </w:footnote>
  <w:footnote w:id="1933">
    <w:p>
      <w:pPr>
        <w:pStyle w:val="FootnoteText"/>
      </w:pPr>
      <w:r>
        <w:rPr>
          <w:rStyle w:val="FootnoteReference"/>
        </w:rPr>
        <w:footnoteRef/>
      </w:r>
      <w:r>
        <w:t xml:space="preserve"> </w:t>
      </w:r>
      <w:r>
        <w:t xml:space="preserve">Mischley 2017, PMID 28436395.</w:t>
      </w:r>
    </w:p>
  </w:footnote>
  <w:footnote w:id="1934">
    <w:p>
      <w:pPr>
        <w:pStyle w:val="FootnoteText"/>
      </w:pPr>
      <w:r>
        <w:rPr>
          <w:rStyle w:val="FootnoteReference"/>
        </w:rPr>
        <w:footnoteRef/>
      </w:r>
      <w:r>
        <w:t xml:space="preserve"> </w:t>
      </w:r>
      <w:r>
        <w:t xml:space="preserve">Bozic 2020, PMID 32960827.</w:t>
      </w:r>
    </w:p>
  </w:footnote>
  <w:footnote w:id="1935">
    <w:p>
      <w:pPr>
        <w:pStyle w:val="FootnoteText"/>
      </w:pPr>
      <w:r>
        <w:rPr>
          <w:rStyle w:val="FootnoteReference"/>
        </w:rPr>
        <w:footnoteRef/>
      </w:r>
      <w:r>
        <w:t xml:space="preserve"> </w:t>
      </w:r>
      <w:r>
        <w:t xml:space="preserve">Søndergård 2021, PMID 33740389.</w:t>
      </w:r>
    </w:p>
  </w:footnote>
  <w:footnote w:id="1936">
    <w:p>
      <w:pPr>
        <w:pStyle w:val="FootnoteText"/>
      </w:pPr>
      <w:r>
        <w:rPr>
          <w:rStyle w:val="FootnoteReference"/>
        </w:rPr>
        <w:footnoteRef/>
      </w:r>
      <w:r>
        <w:t xml:space="preserve"> </w:t>
      </w:r>
      <w:r>
        <w:t xml:space="preserve">Honda 2017, PMID 28789631.</w:t>
      </w:r>
    </w:p>
  </w:footnote>
  <w:footnote w:id="1937">
    <w:p>
      <w:pPr>
        <w:pStyle w:val="FootnoteText"/>
      </w:pPr>
      <w:r>
        <w:rPr>
          <w:rStyle w:val="FootnoteReference"/>
        </w:rPr>
        <w:footnoteRef/>
      </w:r>
      <w:r>
        <w:t xml:space="preserve"> </w:t>
      </w:r>
      <w:r>
        <w:t xml:space="preserve">Arrivi 2023, PMID 36083043.</w:t>
      </w:r>
    </w:p>
  </w:footnote>
  <w:footnote w:id="1939">
    <w:p>
      <w:pPr>
        <w:pStyle w:val="FootnoteText"/>
      </w:pPr>
      <w:r>
        <w:rPr>
          <w:rStyle w:val="FootnoteReference"/>
        </w:rPr>
        <w:footnoteRef/>
      </w:r>
      <w:r>
        <w:t xml:space="preserve"> </w:t>
      </w:r>
      <w:r>
        <w:t xml:space="preserve">Arjinpathana 2012, PMID 20524875.</w:t>
      </w:r>
    </w:p>
  </w:footnote>
  <w:footnote w:id="1940">
    <w:p>
      <w:pPr>
        <w:pStyle w:val="FootnoteText"/>
      </w:pPr>
      <w:r>
        <w:rPr>
          <w:rStyle w:val="FootnoteReference"/>
        </w:rPr>
        <w:footnoteRef/>
      </w:r>
      <w:r>
        <w:t xml:space="preserve"> </w:t>
      </w:r>
      <w:r>
        <w:t xml:space="preserve">Dilokthornsakul 2019, PMID 30895708.</w:t>
      </w:r>
    </w:p>
  </w:footnote>
  <w:footnote w:id="1941">
    <w:p>
      <w:pPr>
        <w:pStyle w:val="FootnoteText"/>
      </w:pPr>
      <w:r>
        <w:rPr>
          <w:rStyle w:val="FootnoteReference"/>
        </w:rPr>
        <w:footnoteRef/>
      </w:r>
      <w:r>
        <w:t xml:space="preserve"> </w:t>
      </w:r>
      <w:r>
        <w:t xml:space="preserve">Sarkar 2025, PMID 39444151.</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Davids 2016, PMID 27499402.</w:t>
      </w:r>
    </w:p>
  </w:footnote>
  <w:footnote w:id="1944">
    <w:p>
      <w:pPr>
        <w:pStyle w:val="FootnoteText"/>
      </w:pPr>
      <w:r>
        <w:rPr>
          <w:rStyle w:val="FootnoteReference"/>
        </w:rPr>
        <w:footnoteRef/>
      </w:r>
      <w:r>
        <w:t xml:space="preserve"> </w:t>
      </w:r>
      <w:r>
        <w:t xml:space="preserve">Dadzie 2016, PMID 27581922.</w:t>
      </w:r>
    </w:p>
  </w:footnote>
  <w:footnote w:id="1948">
    <w:p>
      <w:pPr>
        <w:pStyle w:val="FootnoteText"/>
      </w:pPr>
      <w:r>
        <w:rPr>
          <w:rStyle w:val="FootnoteReference"/>
        </w:rPr>
        <w:footnoteRef/>
      </w:r>
      <w:r>
        <w:t xml:space="preserve"> </w:t>
      </w:r>
      <w:r>
        <w:t xml:space="preserve">Mischley 2017, PMID 28436395.</w:t>
      </w:r>
    </w:p>
  </w:footnote>
  <w:footnote w:id="1949">
    <w:p>
      <w:pPr>
        <w:pStyle w:val="FootnoteText"/>
      </w:pPr>
      <w:r>
        <w:rPr>
          <w:rStyle w:val="FootnoteReference"/>
        </w:rPr>
        <w:footnoteRef/>
      </w:r>
      <w:r>
        <w:t xml:space="preserve"> </w:t>
      </w:r>
      <w:r>
        <w:t xml:space="preserve">Davids 2016, PMID 27499402.</w:t>
      </w:r>
    </w:p>
  </w:footnote>
  <w:footnote w:id="1950">
    <w:p>
      <w:pPr>
        <w:pStyle w:val="FootnoteText"/>
      </w:pPr>
      <w:r>
        <w:rPr>
          <w:rStyle w:val="FootnoteReference"/>
        </w:rPr>
        <w:footnoteRef/>
      </w:r>
      <w:r>
        <w:t xml:space="preserve"> </w:t>
      </w:r>
      <w:r>
        <w:t xml:space="preserve">Leal 2014, PMID 24619793.</w:t>
      </w:r>
    </w:p>
  </w:footnote>
  <w:footnote w:id="1953">
    <w:p>
      <w:pPr>
        <w:pStyle w:val="FootnoteText"/>
      </w:pPr>
      <w:r>
        <w:rPr>
          <w:rStyle w:val="FootnoteReference"/>
        </w:rPr>
        <w:footnoteRef/>
      </w:r>
      <w:r>
        <w:t xml:space="preserve"> </w:t>
      </w:r>
      <w:r>
        <w:t xml:space="preserve">NCT07448415.</w:t>
      </w:r>
    </w:p>
  </w:footnote>
  <w:footnote w:id="1958">
    <w:p>
      <w:pPr>
        <w:pStyle w:val="FootnoteText"/>
      </w:pPr>
      <w:r>
        <w:rPr>
          <w:rStyle w:val="FootnoteReference"/>
        </w:rPr>
        <w:footnoteRef/>
      </w:r>
      <w:r>
        <w:t xml:space="preserve"> </w:t>
      </w:r>
      <w:r>
        <w:t xml:space="preserve">Hadley 2006, PMID 16412534.</w:t>
      </w:r>
    </w:p>
  </w:footnote>
  <w:footnote w:id="1959">
    <w:p>
      <w:pPr>
        <w:pStyle w:val="FootnoteText"/>
      </w:pPr>
      <w:r>
        <w:rPr>
          <w:rStyle w:val="FootnoteReference"/>
        </w:rPr>
        <w:footnoteRef/>
      </w:r>
      <w:r>
        <w:t xml:space="preserve"> </w:t>
      </w:r>
      <w:r>
        <w:t xml:space="preserve">Hadley 2005, PMID 15996790.</w:t>
      </w:r>
    </w:p>
  </w:footnote>
  <w:footnote w:id="1964">
    <w:p>
      <w:pPr>
        <w:pStyle w:val="FootnoteText"/>
      </w:pPr>
      <w:r>
        <w:rPr>
          <w:rStyle w:val="FootnoteReference"/>
        </w:rPr>
        <w:footnoteRef/>
      </w:r>
      <w:r>
        <w:t xml:space="preserve"> </w:t>
      </w:r>
      <w:r>
        <w:t xml:space="preserve">Hadley 2006, PMID 16412534.</w:t>
      </w:r>
    </w:p>
  </w:footnote>
  <w:footnote w:id="1965">
    <w:p>
      <w:pPr>
        <w:pStyle w:val="FootnoteText"/>
      </w:pPr>
      <w:r>
        <w:rPr>
          <w:rStyle w:val="FootnoteReference"/>
        </w:rPr>
        <w:footnoteRef/>
      </w:r>
      <w:r>
        <w:t xml:space="preserve"> </w:t>
      </w:r>
      <w:r>
        <w:t xml:space="preserve">Dhillon 2019, PMID 31429064.</w:t>
      </w:r>
    </w:p>
  </w:footnote>
  <w:footnote w:id="1967">
    <w:p>
      <w:pPr>
        <w:pStyle w:val="FootnoteText"/>
      </w:pPr>
      <w:r>
        <w:rPr>
          <w:rStyle w:val="FootnoteReference"/>
        </w:rPr>
        <w:footnoteRef/>
      </w:r>
      <w:r>
        <w:t xml:space="preserve"> </w:t>
      </w:r>
      <w:r>
        <w:t xml:space="preserve">Hadley 2005, PMID 15996790.</w:t>
      </w:r>
    </w:p>
  </w:footnote>
  <w:footnote w:id="1968">
    <w:p>
      <w:pPr>
        <w:pStyle w:val="FootnoteText"/>
      </w:pPr>
      <w:r>
        <w:rPr>
          <w:rStyle w:val="FootnoteReference"/>
        </w:rPr>
        <w:footnoteRef/>
      </w:r>
      <w:r>
        <w:t xml:space="preserve"> </w:t>
      </w:r>
      <w:r>
        <w:t xml:space="preserve">Pfaus 2022, PMID 33455598.</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Thurston 2022, PMID 36189794.</w:t>
      </w:r>
    </w:p>
  </w:footnote>
  <w:footnote w:id="1972">
    <w:p>
      <w:pPr>
        <w:pStyle w:val="FootnoteText"/>
      </w:pPr>
      <w:r>
        <w:rPr>
          <w:rStyle w:val="FootnoteReference"/>
        </w:rPr>
        <w:footnoteRef/>
      </w:r>
      <w:r>
        <w:t xml:space="preserve"> </w:t>
      </w:r>
      <w:r>
        <w:t xml:space="preserve">Diamond 2004, PMID 14963471.</w:t>
      </w:r>
    </w:p>
  </w:footnote>
  <w:footnote w:id="1973">
    <w:p>
      <w:pPr>
        <w:pStyle w:val="FootnoteText"/>
      </w:pPr>
      <w:r>
        <w:rPr>
          <w:rStyle w:val="FootnoteReference"/>
        </w:rPr>
        <w:footnoteRef/>
      </w:r>
      <w:r>
        <w:t xml:space="preserve"> </w:t>
      </w:r>
      <w:r>
        <w:t xml:space="preserve">Rosen 2004, PMID 14999221.</w:t>
      </w:r>
    </w:p>
  </w:footnote>
  <w:footnote w:id="1974">
    <w:p>
      <w:pPr>
        <w:pStyle w:val="FootnoteText"/>
      </w:pPr>
      <w:r>
        <w:rPr>
          <w:rStyle w:val="FootnoteReference"/>
        </w:rPr>
        <w:footnoteRef/>
      </w:r>
      <w:r>
        <w:t xml:space="preserve"> </w:t>
      </w:r>
      <w:r>
        <w:t xml:space="preserve">Diamond 2005, PMID 15833522.</w:t>
      </w:r>
    </w:p>
  </w:footnote>
  <w:footnote w:id="1975">
    <w:p>
      <w:pPr>
        <w:pStyle w:val="FootnoteText"/>
      </w:pPr>
      <w:r>
        <w:rPr>
          <w:rStyle w:val="FootnoteReference"/>
        </w:rPr>
        <w:footnoteRef/>
      </w:r>
      <w:r>
        <w:t xml:space="preserve"> </w:t>
      </w:r>
      <w:r>
        <w:t xml:space="preserve">Safarinejad 2008, PMID 18206919.</w:t>
      </w:r>
    </w:p>
  </w:footnote>
  <w:footnote w:id="1976">
    <w:p>
      <w:pPr>
        <w:pStyle w:val="FootnoteText"/>
      </w:pPr>
      <w:r>
        <w:rPr>
          <w:rStyle w:val="FootnoteReference"/>
        </w:rPr>
        <w:footnoteRef/>
      </w:r>
      <w:r>
        <w:t xml:space="preserve"> </w:t>
      </w:r>
      <w:r>
        <w:t xml:space="preserve">Safarinejad 2008, PMID 18179455.</w:t>
      </w:r>
    </w:p>
  </w:footnote>
  <w:footnote w:id="1978">
    <w:p>
      <w:pPr>
        <w:pStyle w:val="FootnoteText"/>
      </w:pPr>
      <w:r>
        <w:rPr>
          <w:rStyle w:val="FootnoteReference"/>
        </w:rPr>
        <w:footnoteRef/>
      </w:r>
      <w:r>
        <w:t xml:space="preserve"> </w:t>
      </w:r>
      <w:r>
        <w:t xml:space="preserve">Diamond 2006, PMID 16839319.</w:t>
      </w:r>
    </w:p>
  </w:footnote>
  <w:footnote w:id="1979">
    <w:p>
      <w:pPr>
        <w:pStyle w:val="FootnoteText"/>
      </w:pPr>
      <w:r>
        <w:rPr>
          <w:rStyle w:val="FootnoteReference"/>
        </w:rPr>
        <w:footnoteRef/>
      </w:r>
      <w:r>
        <w:t xml:space="preserve"> </w:t>
      </w:r>
      <w:r>
        <w:t xml:space="preserve">Clayton 2016, PMID 27181790; NCT01382719.</w:t>
      </w:r>
    </w:p>
  </w:footnote>
  <w:footnote w:id="1980">
    <w:p>
      <w:pPr>
        <w:pStyle w:val="FootnoteText"/>
      </w:pPr>
      <w:r>
        <w:rPr>
          <w:rStyle w:val="FootnoteReference"/>
        </w:rPr>
        <w:footnoteRef/>
      </w:r>
      <w:r>
        <w:t xml:space="preserve"> </w:t>
      </w:r>
      <w:r>
        <w:t xml:space="preserve">Althof 2019, PMID 31277966.</w:t>
      </w:r>
    </w:p>
  </w:footnote>
  <w:footnote w:id="1982">
    <w:p>
      <w:pPr>
        <w:pStyle w:val="FootnoteText"/>
      </w:pPr>
      <w:r>
        <w:rPr>
          <w:rStyle w:val="FootnoteReference"/>
        </w:rPr>
        <w:footnoteRef/>
      </w:r>
      <w:r>
        <w:t xml:space="preserve"> </w:t>
      </w:r>
      <w:r>
        <w:t xml:space="preserve">NCT02333071, NCT02338960.</w:t>
      </w:r>
    </w:p>
  </w:footnote>
  <w:footnote w:id="1983">
    <w:p>
      <w:pPr>
        <w:pStyle w:val="FootnoteText"/>
      </w:pPr>
      <w:r>
        <w:rPr>
          <w:rStyle w:val="FootnoteReference"/>
        </w:rPr>
        <w:footnoteRef/>
      </w:r>
      <w:r>
        <w:t xml:space="preserve"> </w:t>
      </w:r>
      <w:r>
        <w:t xml:space="preserve">Kingsberg 2019, PMID 31599840.</w:t>
      </w:r>
    </w:p>
  </w:footnote>
  <w:footnote w:id="1984">
    <w:p>
      <w:pPr>
        <w:pStyle w:val="FootnoteText"/>
      </w:pPr>
      <w:r>
        <w:rPr>
          <w:rStyle w:val="FootnoteReference"/>
        </w:rPr>
        <w:footnoteRef/>
      </w:r>
      <w:r>
        <w:t xml:space="preserve"> </w:t>
      </w:r>
      <w:r>
        <w:t xml:space="preserve">Koochaki 2021, PMID 33538638.</w:t>
      </w:r>
    </w:p>
  </w:footnote>
  <w:footnote w:id="1986">
    <w:p>
      <w:pPr>
        <w:pStyle w:val="FootnoteText"/>
      </w:pPr>
      <w:r>
        <w:rPr>
          <w:rStyle w:val="FootnoteReference"/>
        </w:rPr>
        <w:footnoteRef/>
      </w:r>
      <w:r>
        <w:t xml:space="preserve"> </w:t>
      </w:r>
      <w:r>
        <w:t xml:space="preserve">Spielmans 2021, PMID 33678061.</w:t>
      </w:r>
    </w:p>
  </w:footnote>
  <w:footnote w:id="1987">
    <w:p>
      <w:pPr>
        <w:pStyle w:val="FootnoteText"/>
      </w:pPr>
      <w:r>
        <w:rPr>
          <w:rStyle w:val="FootnoteReference"/>
        </w:rPr>
        <w:footnoteRef/>
      </w:r>
      <w:r>
        <w:t xml:space="preserve"> </w:t>
      </w:r>
      <w:r>
        <w:t xml:space="preserve">Clayton 2022, PMID 35147466.</w:t>
      </w:r>
    </w:p>
  </w:footnote>
  <w:footnote w:id="1989">
    <w:p>
      <w:pPr>
        <w:pStyle w:val="FootnoteText"/>
      </w:pPr>
      <w:r>
        <w:rPr>
          <w:rStyle w:val="FootnoteReference"/>
        </w:rPr>
        <w:footnoteRef/>
      </w:r>
      <w:r>
        <w:t xml:space="preserve"> </w:t>
      </w:r>
      <w:r>
        <w:t xml:space="preserve">Weinberger 2018, PMID 29995725.</w:t>
      </w:r>
    </w:p>
  </w:footnote>
  <w:footnote w:id="1990">
    <w:p>
      <w:pPr>
        <w:pStyle w:val="FootnoteText"/>
      </w:pPr>
      <w:r>
        <w:rPr>
          <w:rStyle w:val="FootnoteReference"/>
        </w:rPr>
        <w:footnoteRef/>
      </w:r>
      <w:r>
        <w:t xml:space="preserve"> </w:t>
      </w:r>
      <w:r>
        <w:t xml:space="preserve">Toledo 2026, PMID 40543759.</w:t>
      </w:r>
    </w:p>
  </w:footnote>
  <w:footnote w:id="1991">
    <w:p>
      <w:pPr>
        <w:pStyle w:val="FootnoteText"/>
      </w:pPr>
      <w:r>
        <w:rPr>
          <w:rStyle w:val="FootnoteReference"/>
        </w:rPr>
        <w:footnoteRef/>
      </w:r>
      <w:r>
        <w:t xml:space="preserve"> </w:t>
      </w:r>
      <w:r>
        <w:t xml:space="preserve">Ashour 2026, PMID 42254382.</w:t>
      </w:r>
    </w:p>
  </w:footnote>
  <w:footnote w:id="1993">
    <w:p>
      <w:pPr>
        <w:pStyle w:val="FootnoteText"/>
      </w:pPr>
      <w:r>
        <w:rPr>
          <w:rStyle w:val="FootnoteReference"/>
        </w:rPr>
        <w:footnoteRef/>
      </w:r>
      <w:r>
        <w:t xml:space="preserve"> </w:t>
      </w:r>
      <w:r>
        <w:t xml:space="preserve">Clayton 2017, PMID 28189361.</w:t>
      </w:r>
    </w:p>
  </w:footnote>
  <w:footnote w:id="1994">
    <w:p>
      <w:pPr>
        <w:pStyle w:val="FootnoteText"/>
      </w:pPr>
      <w:r>
        <w:rPr>
          <w:rStyle w:val="FootnoteReference"/>
        </w:rPr>
        <w:footnoteRef/>
      </w:r>
      <w:r>
        <w:t xml:space="preserve"> </w:t>
      </w:r>
      <w:r>
        <w:t xml:space="preserve">Spana 2022, PMID 35170192.</w:t>
      </w:r>
    </w:p>
  </w:footnote>
  <w:footnote w:id="1995">
    <w:p>
      <w:pPr>
        <w:pStyle w:val="FootnoteText"/>
      </w:pPr>
      <w:r>
        <w:rPr>
          <w:rStyle w:val="FootnoteReference"/>
        </w:rPr>
        <w:footnoteRef/>
      </w:r>
      <w:r>
        <w:t xml:space="preserve"> </w:t>
      </w:r>
      <w:r>
        <w:t xml:space="preserve">Thurston 2022, PMID 36189794; NCT04179734.</w:t>
      </w:r>
    </w:p>
  </w:footnote>
  <w:footnote w:id="1998">
    <w:p>
      <w:pPr>
        <w:pStyle w:val="FootnoteText"/>
      </w:pPr>
      <w:r>
        <w:rPr>
          <w:rStyle w:val="FootnoteReference"/>
        </w:rPr>
        <w:footnoteRef/>
      </w:r>
      <w:r>
        <w:t xml:space="preserve"> </w:t>
      </w:r>
      <w:r>
        <w:t xml:space="preserve">Pfaus 2022, PMID 33455598.</w:t>
      </w:r>
    </w:p>
  </w:footnote>
  <w:footnote w:id="1999">
    <w:p>
      <w:pPr>
        <w:pStyle w:val="FootnoteText"/>
      </w:pPr>
      <w:r>
        <w:rPr>
          <w:rStyle w:val="FootnoteReference"/>
        </w:rPr>
        <w:footnoteRef/>
      </w:r>
      <w:r>
        <w:t xml:space="preserve"> </w:t>
      </w:r>
      <w:r>
        <w:t xml:space="preserve">Borland 2025, PMID 39793696.</w:t>
      </w:r>
    </w:p>
  </w:footnote>
  <w:footnote w:id="2000">
    <w:p>
      <w:pPr>
        <w:pStyle w:val="FootnoteText"/>
      </w:pPr>
      <w:r>
        <w:rPr>
          <w:rStyle w:val="FootnoteReference"/>
        </w:rPr>
        <w:footnoteRef/>
      </w:r>
      <w:r>
        <w:t xml:space="preserve"> </w:t>
      </w:r>
      <w:r>
        <w:t xml:space="preserve">Suzuki 2024, PMID 39197897.</w:t>
      </w:r>
    </w:p>
  </w:footnote>
  <w:footnote w:id="2002">
    <w:p>
      <w:pPr>
        <w:pStyle w:val="FootnoteText"/>
      </w:pPr>
      <w:r>
        <w:rPr>
          <w:rStyle w:val="FootnoteReference"/>
        </w:rPr>
        <w:footnoteRef/>
      </w:r>
      <w:r>
        <w:t xml:space="preserve"> </w:t>
      </w:r>
      <w:r>
        <w:t xml:space="preserve">Clayton 2022, PMID 35147466.</w:t>
      </w:r>
    </w:p>
  </w:footnote>
  <w:footnote w:id="2003">
    <w:p>
      <w:pPr>
        <w:pStyle w:val="FootnoteText"/>
      </w:pPr>
      <w:r>
        <w:rPr>
          <w:rStyle w:val="FootnoteReference"/>
        </w:rPr>
        <w:footnoteRef/>
      </w:r>
      <w:r>
        <w:t xml:space="preserve"> </w:t>
      </w:r>
      <w:r>
        <w:t xml:space="preserve">NCT03973047.</w:t>
      </w:r>
    </w:p>
  </w:footnote>
  <w:footnote w:id="2004">
    <w:p>
      <w:pPr>
        <w:pStyle w:val="FootnoteText"/>
      </w:pPr>
      <w:r>
        <w:rPr>
          <w:rStyle w:val="FootnoteReference"/>
        </w:rPr>
        <w:footnoteRef/>
      </w:r>
      <w:r>
        <w:t xml:space="preserve"> </w:t>
      </w:r>
      <w:r>
        <w:t xml:space="preserve">White 2017, PMID 27977473.</w:t>
      </w:r>
    </w:p>
  </w:footnote>
  <w:footnote w:id="2005">
    <w:p>
      <w:pPr>
        <w:pStyle w:val="FootnoteText"/>
      </w:pPr>
      <w:r>
        <w:rPr>
          <w:rStyle w:val="FootnoteReference"/>
        </w:rPr>
        <w:footnoteRef/>
      </w:r>
      <w:r>
        <w:t xml:space="preserve"> </w:t>
      </w:r>
      <w:r>
        <w:t xml:space="preserve">Clayton 2022, PMID 35147466.</w:t>
      </w:r>
    </w:p>
  </w:footnote>
  <w:footnote w:id="2006">
    <w:p>
      <w:pPr>
        <w:pStyle w:val="FootnoteText"/>
      </w:pPr>
      <w:r>
        <w:rPr>
          <w:rStyle w:val="FootnoteReference"/>
        </w:rPr>
        <w:footnoteRef/>
      </w:r>
      <w:r>
        <w:t xml:space="preserve"> </w:t>
      </w:r>
      <w:r>
        <w:t xml:space="preserve">Clayton 2022, PMID 35147466.</w:t>
      </w:r>
    </w:p>
  </w:footnote>
  <w:footnote w:id="2008">
    <w:p>
      <w:pPr>
        <w:pStyle w:val="FootnoteText"/>
      </w:pPr>
      <w:r>
        <w:rPr>
          <w:rStyle w:val="FootnoteReference"/>
        </w:rPr>
        <w:footnoteRef/>
      </w:r>
      <w:r>
        <w:t xml:space="preserve"> </w:t>
      </w:r>
      <w:r>
        <w:t xml:space="preserve">NCT06867835.</w:t>
      </w:r>
    </w:p>
  </w:footnote>
  <w:footnote w:id="2010">
    <w:p>
      <w:pPr>
        <w:pStyle w:val="FootnoteText"/>
      </w:pPr>
      <w:r>
        <w:rPr>
          <w:rStyle w:val="FootnoteReference"/>
        </w:rPr>
        <w:footnoteRef/>
      </w:r>
      <w:r>
        <w:t xml:space="preserve"> </w:t>
      </w:r>
      <w:r>
        <w:t xml:space="preserve">Mestria 2021, PMID 33245851.</w:t>
      </w:r>
    </w:p>
  </w:footnote>
  <w:footnote w:id="2013">
    <w:p>
      <w:pPr>
        <w:pStyle w:val="FootnoteText"/>
      </w:pPr>
      <w:r>
        <w:rPr>
          <w:rStyle w:val="FootnoteReference"/>
        </w:rPr>
        <w:footnoteRef/>
      </w:r>
      <w:r>
        <w:t xml:space="preserve"> </w:t>
      </w:r>
      <w:r>
        <w:t xml:space="preserve">NCT04943068.</w:t>
      </w:r>
    </w:p>
  </w:footnote>
  <w:footnote w:id="2015">
    <w:p>
      <w:pPr>
        <w:pStyle w:val="FootnoteText"/>
      </w:pPr>
      <w:r>
        <w:rPr>
          <w:rStyle w:val="FootnoteReference"/>
        </w:rPr>
        <w:footnoteRef/>
      </w:r>
      <w:r>
        <w:t xml:space="preserve"> </w:t>
      </w:r>
      <w:r>
        <w:t xml:space="preserve">NCT06565611.</w:t>
      </w:r>
    </w:p>
  </w:footnote>
  <w:footnote w:id="2016">
    <w:p>
      <w:pPr>
        <w:pStyle w:val="FootnoteText"/>
      </w:pPr>
      <w:r>
        <w:rPr>
          <w:rStyle w:val="FootnoteReference"/>
        </w:rPr>
        <w:footnoteRef/>
      </w:r>
      <w:r>
        <w:t xml:space="preserve"> </w:t>
      </w:r>
      <w:r>
        <w:t xml:space="preserve">NCT05709444.</w:t>
      </w:r>
    </w:p>
  </w:footnote>
  <w:footnote w:id="2017">
    <w:p>
      <w:pPr>
        <w:pStyle w:val="FootnoteText"/>
      </w:pPr>
      <w:r>
        <w:rPr>
          <w:rStyle w:val="FootnoteReference"/>
        </w:rPr>
        <w:footnoteRef/>
      </w:r>
      <w:r>
        <w:t xml:space="preserve"> </w:t>
      </w:r>
      <w:r>
        <w:t xml:space="preserve">NCT06867835.</w:t>
      </w:r>
    </w:p>
  </w:footnote>
  <w:footnote w:id="2021">
    <w:p>
      <w:pPr>
        <w:pStyle w:val="FootnoteText"/>
      </w:pPr>
      <w:r>
        <w:rPr>
          <w:rStyle w:val="FootnoteReference"/>
        </w:rPr>
        <w:footnoteRef/>
      </w:r>
      <w:r>
        <w:t xml:space="preserve"> </w:t>
      </w:r>
      <w:r>
        <w:t xml:space="preserve">Dorr 1996, PMID 8637402.</w:t>
      </w:r>
    </w:p>
  </w:footnote>
  <w:footnote w:id="2022">
    <w:p>
      <w:pPr>
        <w:pStyle w:val="FootnoteText"/>
      </w:pPr>
      <w:r>
        <w:rPr>
          <w:rStyle w:val="FootnoteReference"/>
        </w:rPr>
        <w:footnoteRef/>
      </w:r>
      <w:r>
        <w:t xml:space="preserve"> </w:t>
      </w:r>
      <w:r>
        <w:t xml:space="preserve">Hadley 2006, PMID 16412534.</w:t>
      </w:r>
    </w:p>
  </w:footnote>
  <w:footnote w:id="2024">
    <w:p>
      <w:pPr>
        <w:pStyle w:val="FootnoteText"/>
      </w:pPr>
      <w:r>
        <w:rPr>
          <w:rStyle w:val="FootnoteReference"/>
        </w:rPr>
        <w:footnoteRef/>
      </w:r>
      <w:r>
        <w:t xml:space="preserve"> </w:t>
      </w:r>
      <w:r>
        <w:t xml:space="preserve">Langan 2011, PMID 21547334.</w:t>
      </w:r>
    </w:p>
  </w:footnote>
  <w:footnote w:id="2026">
    <w:p>
      <w:pPr>
        <w:pStyle w:val="FootnoteText"/>
      </w:pPr>
      <w:r>
        <w:rPr>
          <w:rStyle w:val="FootnoteReference"/>
        </w:rPr>
        <w:footnoteRef/>
      </w:r>
      <w:r>
        <w:t xml:space="preserve"> </w:t>
      </w:r>
      <w:r>
        <w:t xml:space="preserve">Dorr 1996, PMID 8637402.</w:t>
      </w:r>
    </w:p>
  </w:footnote>
  <w:footnote w:id="2027">
    <w:p>
      <w:pPr>
        <w:pStyle w:val="FootnoteText"/>
      </w:pPr>
      <w:r>
        <w:rPr>
          <w:rStyle w:val="FootnoteReference"/>
        </w:rPr>
        <w:footnoteRef/>
      </w:r>
      <w:r>
        <w:t xml:space="preserve"> </w:t>
      </w:r>
      <w:r>
        <w:t xml:space="preserve">Wessells 1998, PMID 9679884; Wessells 2000, PMID 11018622.</w:t>
      </w:r>
    </w:p>
  </w:footnote>
  <w:footnote w:id="2028">
    <w:p>
      <w:pPr>
        <w:pStyle w:val="FootnoteText"/>
      </w:pPr>
      <w:r>
        <w:rPr>
          <w:rStyle w:val="FootnoteReference"/>
        </w:rPr>
        <w:footnoteRef/>
      </w:r>
      <w:r>
        <w:t xml:space="preserve"> </w:t>
      </w:r>
      <w:r>
        <w:t xml:space="preserve">Wessells 2000, PMID 11035391.</w:t>
      </w:r>
    </w:p>
  </w:footnote>
  <w:footnote w:id="2030">
    <w:p>
      <w:pPr>
        <w:pStyle w:val="FootnoteText"/>
      </w:pPr>
      <w:r>
        <w:rPr>
          <w:rStyle w:val="FootnoteReference"/>
        </w:rPr>
        <w:footnoteRef/>
      </w:r>
      <w:r>
        <w:t xml:space="preserve"> </w:t>
      </w:r>
      <w:r>
        <w:t xml:space="preserve">Dorr 2000, PMID 11045725.</w:t>
      </w:r>
    </w:p>
  </w:footnote>
  <w:footnote w:id="2031">
    <w:p>
      <w:pPr>
        <w:pStyle w:val="FootnoteText"/>
      </w:pPr>
      <w:r>
        <w:rPr>
          <w:rStyle w:val="FootnoteReference"/>
        </w:rPr>
        <w:footnoteRef/>
      </w:r>
      <w:r>
        <w:t xml:space="preserve"> </w:t>
      </w:r>
      <w:r>
        <w:t xml:space="preserve">Dorr 2004, PMID 15262693.</w:t>
      </w:r>
    </w:p>
  </w:footnote>
  <w:footnote w:id="2033">
    <w:p>
      <w:pPr>
        <w:pStyle w:val="FootnoteText"/>
      </w:pPr>
      <w:r>
        <w:rPr>
          <w:rStyle w:val="FootnoteReference"/>
        </w:rPr>
        <w:footnoteRef/>
      </w:r>
      <w:r>
        <w:t xml:space="preserve"> </w:t>
      </w:r>
      <w:r>
        <w:t xml:space="preserve">Evans-Brown 2009, PMID 19224885.</w:t>
      </w:r>
    </w:p>
  </w:footnote>
  <w:footnote w:id="2034">
    <w:p>
      <w:pPr>
        <w:pStyle w:val="FootnoteText"/>
      </w:pPr>
      <w:r>
        <w:rPr>
          <w:rStyle w:val="FootnoteReference"/>
        </w:rPr>
        <w:footnoteRef/>
      </w:r>
      <w:r>
        <w:t xml:space="preserve"> </w:t>
      </w:r>
      <w:r>
        <w:t xml:space="preserve">Brennan 2017, PMID 26806443.</w:t>
      </w:r>
    </w:p>
  </w:footnote>
  <w:footnote w:id="2035">
    <w:p>
      <w:pPr>
        <w:pStyle w:val="FootnoteText"/>
      </w:pPr>
      <w:r>
        <w:rPr>
          <w:rStyle w:val="FootnoteReference"/>
        </w:rPr>
        <w:footnoteRef/>
      </w:r>
      <w:r>
        <w:t xml:space="preserve"> </w:t>
      </w:r>
      <w:r>
        <w:t xml:space="preserve">Gilhooley 2021, PMID 34464955.</w:t>
      </w:r>
    </w:p>
  </w:footnote>
  <w:footnote w:id="2036">
    <w:p>
      <w:pPr>
        <w:pStyle w:val="FootnoteText"/>
      </w:pPr>
      <w:r>
        <w:rPr>
          <w:rStyle w:val="FootnoteReference"/>
        </w:rPr>
        <w:footnoteRef/>
      </w:r>
      <w:r>
        <w:t xml:space="preserve"> </w:t>
      </w:r>
      <w:r>
        <w:t xml:space="preserve">Callaghan 2018, PMID 30142729.</w:t>
      </w:r>
    </w:p>
  </w:footnote>
  <w:footnote w:id="2037">
    <w:p>
      <w:pPr>
        <w:pStyle w:val="FootnoteText"/>
      </w:pPr>
      <w:r>
        <w:rPr>
          <w:rStyle w:val="FootnoteReference"/>
        </w:rPr>
        <w:footnoteRef/>
      </w:r>
      <w:r>
        <w:t xml:space="preserve"> </w:t>
      </w:r>
      <w:r>
        <w:t xml:space="preserve">Orr 2025, PMID 38808957; Herlihy 2025, PMID 39148422; Sidhu 2026, PMID 41559011.</w:t>
      </w:r>
    </w:p>
  </w:footnote>
  <w:footnote w:id="2040">
    <w:p>
      <w:pPr>
        <w:pStyle w:val="FootnoteText"/>
      </w:pPr>
      <w:r>
        <w:rPr>
          <w:rStyle w:val="FootnoteReference"/>
        </w:rPr>
        <w:footnoteRef/>
      </w:r>
      <w:r>
        <w:t xml:space="preserve"> </w:t>
      </w:r>
      <w:r>
        <w:t xml:space="preserve">Strader 2007, PMID 17567964.</w:t>
      </w:r>
    </w:p>
  </w:footnote>
  <w:footnote w:id="2041">
    <w:p>
      <w:pPr>
        <w:pStyle w:val="FootnoteText"/>
      </w:pPr>
      <w:r>
        <w:rPr>
          <w:rStyle w:val="FootnoteReference"/>
        </w:rPr>
        <w:footnoteRef/>
      </w:r>
      <w:r>
        <w:t xml:space="preserve"> </w:t>
      </w:r>
      <w:r>
        <w:t xml:space="preserve">Jain 2018, PMID 29812984.</w:t>
      </w:r>
    </w:p>
  </w:footnote>
  <w:footnote w:id="2042">
    <w:p>
      <w:pPr>
        <w:pStyle w:val="FootnoteText"/>
      </w:pPr>
      <w:r>
        <w:rPr>
          <w:rStyle w:val="FootnoteReference"/>
        </w:rPr>
        <w:footnoteRef/>
      </w:r>
      <w:r>
        <w:t xml:space="preserve"> </w:t>
      </w:r>
      <w:r>
        <w:t xml:space="preserve">Minakova 2019, PMID 30629642.</w:t>
      </w:r>
    </w:p>
  </w:footnote>
  <w:footnote w:id="2044">
    <w:p>
      <w:pPr>
        <w:pStyle w:val="FootnoteText"/>
      </w:pPr>
      <w:r>
        <w:rPr>
          <w:rStyle w:val="FootnoteReference"/>
        </w:rPr>
        <w:footnoteRef/>
      </w:r>
      <w:r>
        <w:t xml:space="preserve"> </w:t>
      </w:r>
      <w:r>
        <w:t xml:space="preserve">Dorr 1996, PMID 8637402; Wessells 2000, PMID 11035391.</w:t>
      </w:r>
    </w:p>
  </w:footnote>
  <w:footnote w:id="2045">
    <w:p>
      <w:pPr>
        <w:pStyle w:val="FootnoteText"/>
      </w:pPr>
      <w:r>
        <w:rPr>
          <w:rStyle w:val="FootnoteReference"/>
        </w:rPr>
        <w:footnoteRef/>
      </w:r>
      <w:r>
        <w:t xml:space="preserve"> </w:t>
      </w:r>
      <w:r>
        <w:t xml:space="preserve">Paurobally 2013, PMID 22182016.</w:t>
      </w:r>
    </w:p>
  </w:footnote>
  <w:footnote w:id="2046">
    <w:p>
      <w:pPr>
        <w:pStyle w:val="FootnoteText"/>
      </w:pPr>
      <w:r>
        <w:rPr>
          <w:rStyle w:val="FootnoteReference"/>
        </w:rPr>
        <w:footnoteRef/>
      </w:r>
      <w:r>
        <w:t xml:space="preserve"> </w:t>
      </w:r>
      <w:r>
        <w:t xml:space="preserve">Bonchev 2026, PMID 41752902.</w:t>
      </w:r>
    </w:p>
  </w:footnote>
  <w:footnote w:id="2047">
    <w:p>
      <w:pPr>
        <w:pStyle w:val="FootnoteText"/>
      </w:pPr>
      <w:r>
        <w:rPr>
          <w:rStyle w:val="FootnoteReference"/>
        </w:rPr>
        <w:footnoteRef/>
      </w:r>
      <w:r>
        <w:t xml:space="preserve"> </w:t>
      </w:r>
      <w:r>
        <w:t xml:space="preserve">Ume 2026, PMID 42212476.</w:t>
      </w:r>
    </w:p>
  </w:footnote>
  <w:footnote w:id="2049">
    <w:p>
      <w:pPr>
        <w:pStyle w:val="FootnoteText"/>
      </w:pPr>
      <w:r>
        <w:rPr>
          <w:rStyle w:val="FootnoteReference"/>
        </w:rPr>
        <w:footnoteRef/>
      </w:r>
      <w:r>
        <w:t xml:space="preserve"> </w:t>
      </w:r>
      <w:r>
        <w:t xml:space="preserve">Cousen 2009, PMID 19575725; Thestrup-Pedersen 2011, PMID 21453640.</w:t>
      </w:r>
    </w:p>
  </w:footnote>
  <w:footnote w:id="2050">
    <w:p>
      <w:pPr>
        <w:pStyle w:val="FootnoteText"/>
      </w:pPr>
      <w:r>
        <w:rPr>
          <w:rStyle w:val="FootnoteReference"/>
        </w:rPr>
        <w:footnoteRef/>
      </w:r>
      <w:r>
        <w:t xml:space="preserve"> </w:t>
      </w:r>
      <w:r>
        <w:t xml:space="preserve">Reid 2013, PMID 23914578.</w:t>
      </w:r>
    </w:p>
  </w:footnote>
  <w:footnote w:id="2051">
    <w:p>
      <w:pPr>
        <w:pStyle w:val="FootnoteText"/>
      </w:pPr>
      <w:r>
        <w:rPr>
          <w:rStyle w:val="FootnoteReference"/>
        </w:rPr>
        <w:footnoteRef/>
      </w:r>
      <w:r>
        <w:t xml:space="preserve"> </w:t>
      </w:r>
      <w:r>
        <w:t xml:space="preserve">Paurobally 2011, PMID 21564053; Ong 2012, PMID 22724573.</w:t>
      </w:r>
    </w:p>
  </w:footnote>
  <w:footnote w:id="2052">
    <w:p>
      <w:pPr>
        <w:pStyle w:val="FootnoteText"/>
      </w:pPr>
      <w:r>
        <w:rPr>
          <w:rStyle w:val="FootnoteReference"/>
        </w:rPr>
        <w:footnoteRef/>
      </w:r>
      <w:r>
        <w:t xml:space="preserve"> </w:t>
      </w:r>
      <w:r>
        <w:t xml:space="preserve">Hjuler 2014, PMID 24355990.</w:t>
      </w:r>
    </w:p>
  </w:footnote>
  <w:footnote w:id="2053">
    <w:p>
      <w:pPr>
        <w:pStyle w:val="FootnoteText"/>
      </w:pPr>
      <w:r>
        <w:rPr>
          <w:rStyle w:val="FootnoteReference"/>
        </w:rPr>
        <w:footnoteRef/>
      </w:r>
      <w:r>
        <w:t xml:space="preserve"> </w:t>
      </w:r>
      <w:r>
        <w:t xml:space="preserve">Yassin Alsabbagh 2025, PMID 40210573.</w:t>
      </w:r>
    </w:p>
  </w:footnote>
  <w:footnote w:id="2054">
    <w:p>
      <w:pPr>
        <w:pStyle w:val="FootnoteText"/>
      </w:pPr>
      <w:r>
        <w:rPr>
          <w:rStyle w:val="FootnoteReference"/>
        </w:rPr>
        <w:footnoteRef/>
      </w:r>
      <w:r>
        <w:t xml:space="preserve"> </w:t>
      </w:r>
      <w:r>
        <w:t xml:space="preserve">Burian 2019, PMID 31119650.</w:t>
      </w:r>
    </w:p>
  </w:footnote>
  <w:footnote w:id="2055">
    <w:p>
      <w:pPr>
        <w:pStyle w:val="FootnoteText"/>
      </w:pPr>
      <w:r>
        <w:rPr>
          <w:rStyle w:val="FootnoteReference"/>
        </w:rPr>
        <w:footnoteRef/>
      </w:r>
      <w:r>
        <w:t xml:space="preserve"> </w:t>
      </w:r>
      <w:r>
        <w:t xml:space="preserve">Habbema 2017, PMID 28266027.</w:t>
      </w:r>
    </w:p>
  </w:footnote>
  <w:footnote w:id="2057">
    <w:p>
      <w:pPr>
        <w:pStyle w:val="FootnoteText"/>
      </w:pPr>
      <w:r>
        <w:rPr>
          <w:rStyle w:val="FootnoteReference"/>
        </w:rPr>
        <w:footnoteRef/>
      </w:r>
      <w:r>
        <w:t xml:space="preserve"> </w:t>
      </w:r>
      <w:r>
        <w:t xml:space="preserve">Devlin 2013, PMID 23537392; Dreyer 2019, PMID 30796078.</w:t>
      </w:r>
    </w:p>
  </w:footnote>
  <w:footnote w:id="2058">
    <w:p>
      <w:pPr>
        <w:pStyle w:val="FootnoteText"/>
      </w:pPr>
      <w:r>
        <w:rPr>
          <w:rStyle w:val="FootnoteReference"/>
        </w:rPr>
        <w:footnoteRef/>
      </w:r>
      <w:r>
        <w:t xml:space="preserve"> </w:t>
      </w:r>
      <w:r>
        <w:t xml:space="preserve">Mallory 2021, PMID 33460908.</w:t>
      </w:r>
    </w:p>
  </w:footnote>
  <w:footnote w:id="2059">
    <w:p>
      <w:pPr>
        <w:pStyle w:val="FootnoteText"/>
      </w:pPr>
      <w:r>
        <w:rPr>
          <w:rStyle w:val="FootnoteReference"/>
        </w:rPr>
        <w:footnoteRef/>
      </w:r>
      <w:r>
        <w:t xml:space="preserve"> </w:t>
      </w:r>
      <w:r>
        <w:t xml:space="preserve">Dreyer 2019, PMID 30796078.</w:t>
      </w:r>
    </w:p>
  </w:footnote>
  <w:footnote w:id="2060">
    <w:p>
      <w:pPr>
        <w:pStyle w:val="FootnoteText"/>
      </w:pPr>
      <w:r>
        <w:rPr>
          <w:rStyle w:val="FootnoteReference"/>
        </w:rPr>
        <w:footnoteRef/>
      </w:r>
      <w:r>
        <w:t xml:space="preserve"> </w:t>
      </w:r>
      <w:r>
        <w:t xml:space="preserve">Nelson 2012, PMID 23121206.</w:t>
      </w:r>
    </w:p>
  </w:footnote>
  <w:footnote w:id="2061">
    <w:p>
      <w:pPr>
        <w:pStyle w:val="FootnoteText"/>
      </w:pPr>
      <w:r>
        <w:rPr>
          <w:rStyle w:val="FootnoteReference"/>
        </w:rPr>
        <w:footnoteRef/>
      </w:r>
      <w:r>
        <w:t xml:space="preserve"> </w:t>
      </w:r>
      <w:r>
        <w:t xml:space="preserve">Peters 2020, PMID 31953620.</w:t>
      </w:r>
    </w:p>
  </w:footnote>
  <w:footnote w:id="2062">
    <w:p>
      <w:pPr>
        <w:pStyle w:val="FootnoteText"/>
      </w:pPr>
      <w:r>
        <w:rPr>
          <w:rStyle w:val="FootnoteReference"/>
        </w:rPr>
        <w:footnoteRef/>
      </w:r>
      <w:r>
        <w:t xml:space="preserve"> </w:t>
      </w:r>
      <w:r>
        <w:t xml:space="preserve">Kaski 2013, PMID 23648958.</w:t>
      </w:r>
    </w:p>
  </w:footnote>
  <w:footnote w:id="2063">
    <w:p>
      <w:pPr>
        <w:pStyle w:val="FootnoteText"/>
      </w:pPr>
      <w:r>
        <w:rPr>
          <w:rStyle w:val="FootnoteReference"/>
        </w:rPr>
        <w:footnoteRef/>
      </w:r>
      <w:r>
        <w:t xml:space="preserve"> </w:t>
      </w:r>
      <w:r>
        <w:t xml:space="preserve">Dickson 2025, PMID 41487785.</w:t>
      </w:r>
    </w:p>
  </w:footnote>
  <w:footnote w:id="2065">
    <w:p>
      <w:pPr>
        <w:pStyle w:val="FootnoteText"/>
      </w:pPr>
      <w:r>
        <w:rPr>
          <w:rStyle w:val="FootnoteReference"/>
        </w:rPr>
        <w:footnoteRef/>
      </w:r>
      <w:r>
        <w:t xml:space="preserve"> </w:t>
      </w:r>
      <w:r>
        <w:t xml:space="preserve">Breindahl 2015, PMID 24771717.</w:t>
      </w:r>
    </w:p>
  </w:footnote>
  <w:footnote w:id="2066">
    <w:p>
      <w:pPr>
        <w:pStyle w:val="FootnoteText"/>
      </w:pPr>
      <w:r>
        <w:rPr>
          <w:rStyle w:val="FootnoteReference"/>
        </w:rPr>
        <w:footnoteRef/>
      </w:r>
      <w:r>
        <w:t xml:space="preserve"> </w:t>
      </w:r>
      <w:r>
        <w:t xml:space="preserve">Deville 2024, PMID 39302005.</w:t>
      </w:r>
    </w:p>
  </w:footnote>
  <w:footnote w:id="2067">
    <w:p>
      <w:pPr>
        <w:pStyle w:val="FootnoteText"/>
      </w:pPr>
      <w:r>
        <w:rPr>
          <w:rStyle w:val="FootnoteReference"/>
        </w:rPr>
        <w:footnoteRef/>
      </w:r>
      <w:r>
        <w:t xml:space="preserve"> </w:t>
      </w:r>
      <w:r>
        <w:t xml:space="preserve">Gilhooley 2021, PMID 34464955.</w:t>
      </w:r>
    </w:p>
  </w:footnote>
  <w:footnote w:id="2070">
    <w:p>
      <w:pPr>
        <w:pStyle w:val="FootnoteText"/>
      </w:pPr>
      <w:r>
        <w:rPr>
          <w:rStyle w:val="FootnoteReference"/>
        </w:rPr>
        <w:footnoteRef/>
      </w:r>
      <w:r>
        <w:t xml:space="preserve"> </w:t>
      </w:r>
      <w:r>
        <w:t xml:space="preserve">Habbema 2017, PMID 28266027.</w:t>
      </w:r>
    </w:p>
  </w:footnote>
  <w:footnote w:id="2071">
    <w:p>
      <w:pPr>
        <w:pStyle w:val="FootnoteText"/>
      </w:pPr>
      <w:r>
        <w:rPr>
          <w:rStyle w:val="FootnoteReference"/>
        </w:rPr>
        <w:footnoteRef/>
      </w:r>
      <w:r>
        <w:t xml:space="preserve"> </w:t>
      </w:r>
      <w:r>
        <w:t xml:space="preserve">Yassin Alsabbagh 2025, PMID 40210573.</w:t>
      </w:r>
    </w:p>
  </w:footnote>
  <w:footnote w:id="2076">
    <w:p>
      <w:pPr>
        <w:pStyle w:val="FootnoteText"/>
      </w:pPr>
      <w:r>
        <w:rPr>
          <w:rStyle w:val="FootnoteReference"/>
        </w:rPr>
        <w:footnoteRef/>
      </w:r>
      <w:r>
        <w:t xml:space="preserve"> </w:t>
      </w:r>
      <w:r>
        <w:t xml:space="preserve">Hadley 2006, PMID 16412534.</w:t>
      </w:r>
    </w:p>
  </w:footnote>
  <w:footnote w:id="2077">
    <w:p>
      <w:pPr>
        <w:pStyle w:val="FootnoteText"/>
      </w:pPr>
      <w:r>
        <w:rPr>
          <w:rStyle w:val="FootnoteReference"/>
        </w:rPr>
        <w:footnoteRef/>
      </w:r>
      <w:r>
        <w:t xml:space="preserve"> </w:t>
      </w:r>
      <w:r>
        <w:t xml:space="preserve">Homey 2025, PMID 40082741.</w:t>
      </w:r>
    </w:p>
  </w:footnote>
  <w:footnote w:id="2079">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Minder 2023, PMID 37109595.</w:t>
      </w:r>
    </w:p>
  </w:footnote>
  <w:footnote w:id="2082">
    <w:p>
      <w:pPr>
        <w:pStyle w:val="FootnoteText"/>
      </w:pPr>
      <w:r>
        <w:rPr>
          <w:rStyle w:val="FootnoteReference"/>
        </w:rPr>
        <w:footnoteRef/>
      </w:r>
      <w:r>
        <w:t xml:space="preserve"> </w:t>
      </w:r>
      <w:r>
        <w:t xml:space="preserve">Dorr 2000, PMID 11045725.</w:t>
      </w:r>
    </w:p>
  </w:footnote>
  <w:footnote w:id="2083">
    <w:p>
      <w:pPr>
        <w:pStyle w:val="FootnoteText"/>
      </w:pPr>
      <w:r>
        <w:rPr>
          <w:rStyle w:val="FootnoteReference"/>
        </w:rPr>
        <w:footnoteRef/>
      </w:r>
      <w:r>
        <w:t xml:space="preserve"> </w:t>
      </w:r>
      <w:r>
        <w:t xml:space="preserve">Dorr 2004, PMID 15262693.</w:t>
      </w:r>
    </w:p>
  </w:footnote>
  <w:footnote w:id="2084">
    <w:p>
      <w:pPr>
        <w:pStyle w:val="FootnoteText"/>
      </w:pPr>
      <w:r>
        <w:rPr>
          <w:rStyle w:val="FootnoteReference"/>
        </w:rPr>
        <w:footnoteRef/>
      </w:r>
      <w:r>
        <w:t xml:space="preserve"> </w:t>
      </w:r>
      <w:r>
        <w:t xml:space="preserve">Fitzgerald 2006, PMID 16293341.</w:t>
      </w:r>
    </w:p>
  </w:footnote>
  <w:footnote w:id="2086">
    <w:p>
      <w:pPr>
        <w:pStyle w:val="FootnoteText"/>
      </w:pPr>
      <w:r>
        <w:rPr>
          <w:rStyle w:val="FootnoteReference"/>
        </w:rPr>
        <w:footnoteRef/>
      </w:r>
      <w:r>
        <w:t xml:space="preserve"> </w:t>
      </w:r>
      <w:r>
        <w:t xml:space="preserve">Harms 2009, PMID 19656325.</w:t>
      </w:r>
    </w:p>
  </w:footnote>
  <w:footnote w:id="2087">
    <w:p>
      <w:pPr>
        <w:pStyle w:val="FootnoteText"/>
      </w:pPr>
      <w:r>
        <w:rPr>
          <w:rStyle w:val="FootnoteReference"/>
        </w:rPr>
        <w:footnoteRef/>
      </w:r>
      <w:r>
        <w:t xml:space="preserve"> </w:t>
      </w:r>
      <w:r>
        <w:t xml:space="preserve">Langendonk 2015, PMID 26132941; NCT00979745, NCT01605136.</w:t>
      </w:r>
    </w:p>
  </w:footnote>
  <w:footnote w:id="2088">
    <w:p>
      <w:pPr>
        <w:pStyle w:val="FootnoteText"/>
      </w:pPr>
      <w:r>
        <w:rPr>
          <w:rStyle w:val="FootnoteReference"/>
        </w:rPr>
        <w:footnoteRef/>
      </w:r>
      <w:r>
        <w:t xml:space="preserve"> </w:t>
      </w:r>
      <w:r>
        <w:t xml:space="preserve">Heerfordt 2023, PMID 36525819.</w:t>
      </w:r>
    </w:p>
  </w:footnote>
  <w:footnote w:id="2090">
    <w:p>
      <w:pPr>
        <w:pStyle w:val="FootnoteText"/>
      </w:pPr>
      <w:r>
        <w:rPr>
          <w:rStyle w:val="FootnoteReference"/>
        </w:rPr>
        <w:footnoteRef/>
      </w:r>
      <w:r>
        <w:t xml:space="preserve"> </w:t>
      </w:r>
      <w:r>
        <w:t xml:space="preserve">Biolcati 2015, PMID 25494545.</w:t>
      </w:r>
    </w:p>
  </w:footnote>
  <w:footnote w:id="2091">
    <w:p>
      <w:pPr>
        <w:pStyle w:val="FootnoteText"/>
      </w:pPr>
      <w:r>
        <w:rPr>
          <w:rStyle w:val="FootnoteReference"/>
        </w:rPr>
        <w:footnoteRef/>
      </w:r>
      <w:r>
        <w:t xml:space="preserve"> </w:t>
      </w:r>
      <w:r>
        <w:t xml:space="preserve">Wensink 2020, PMID 32186677.</w:t>
      </w:r>
    </w:p>
  </w:footnote>
  <w:footnote w:id="2092">
    <w:p>
      <w:pPr>
        <w:pStyle w:val="FootnoteText"/>
      </w:pPr>
      <w:r>
        <w:rPr>
          <w:rStyle w:val="FootnoteReference"/>
        </w:rPr>
        <w:footnoteRef/>
      </w:r>
      <w:r>
        <w:t xml:space="preserve"> </w:t>
      </w:r>
      <w:r>
        <w:t xml:space="preserve">Seidl-Philipp 2026, PMID 41793078.</w:t>
      </w:r>
    </w:p>
  </w:footnote>
  <w:footnote w:id="2094">
    <w:p>
      <w:pPr>
        <w:pStyle w:val="FootnoteText"/>
      </w:pPr>
      <w:r>
        <w:rPr>
          <w:rStyle w:val="FootnoteReference"/>
        </w:rPr>
        <w:footnoteRef/>
      </w:r>
      <w:r>
        <w:t xml:space="preserve"> </w:t>
      </w:r>
      <w:r>
        <w:t xml:space="preserve">Minder 2023, PMID 37109595.</w:t>
      </w:r>
    </w:p>
  </w:footnote>
  <w:footnote w:id="2095">
    <w:p>
      <w:pPr>
        <w:pStyle w:val="FootnoteText"/>
      </w:pPr>
      <w:r>
        <w:rPr>
          <w:rStyle w:val="FootnoteReference"/>
        </w:rPr>
        <w:footnoteRef/>
      </w:r>
      <w:r>
        <w:t xml:space="preserve"> </w:t>
      </w:r>
      <w:r>
        <w:t xml:space="preserve">Kluijver 2024, PMID 38634774.</w:t>
      </w:r>
    </w:p>
  </w:footnote>
  <w:footnote w:id="2096">
    <w:p>
      <w:pPr>
        <w:pStyle w:val="FootnoteText"/>
      </w:pPr>
      <w:r>
        <w:rPr>
          <w:rStyle w:val="FootnoteReference"/>
        </w:rPr>
        <w:footnoteRef/>
      </w:r>
      <w:r>
        <w:t xml:space="preserve"> </w:t>
      </w:r>
      <w:r>
        <w:t xml:space="preserve">Lengweiler 2015, PMID 25402764.</w:t>
      </w:r>
    </w:p>
  </w:footnote>
  <w:footnote w:id="2098">
    <w:p>
      <w:pPr>
        <w:pStyle w:val="FootnoteText"/>
      </w:pPr>
      <w:r>
        <w:rPr>
          <w:rStyle w:val="FootnoteReference"/>
        </w:rPr>
        <w:footnoteRef/>
      </w:r>
      <w:r>
        <w:t xml:space="preserve"> </w:t>
      </w:r>
      <w:r>
        <w:t xml:space="preserve">Grimes 2013, PMID 23407924.</w:t>
      </w:r>
    </w:p>
  </w:footnote>
  <w:footnote w:id="2099">
    <w:p>
      <w:pPr>
        <w:pStyle w:val="FootnoteText"/>
      </w:pPr>
      <w:r>
        <w:rPr>
          <w:rStyle w:val="FootnoteReference"/>
        </w:rPr>
        <w:footnoteRef/>
      </w:r>
      <w:r>
        <w:t xml:space="preserve"> </w:t>
      </w:r>
      <w:r>
        <w:t xml:space="preserve">Lim 2015, PMID 25230094; NCT01430195.</w:t>
      </w:r>
    </w:p>
  </w:footnote>
  <w:footnote w:id="2100">
    <w:p>
      <w:pPr>
        <w:pStyle w:val="FootnoteText"/>
      </w:pPr>
      <w:r>
        <w:rPr>
          <w:rStyle w:val="FootnoteReference"/>
        </w:rPr>
        <w:footnoteRef/>
      </w:r>
      <w:r>
        <w:t xml:space="preserve"> </w:t>
      </w:r>
      <w:r>
        <w:t xml:space="preserve">Passeron 2015, PMID 25607635.</w:t>
      </w:r>
    </w:p>
  </w:footnote>
  <w:footnote w:id="2101">
    <w:p>
      <w:pPr>
        <w:pStyle w:val="FootnoteText"/>
      </w:pPr>
      <w:r>
        <w:rPr>
          <w:rStyle w:val="FootnoteReference"/>
        </w:rPr>
        <w:footnoteRef/>
      </w:r>
      <w:r>
        <w:t xml:space="preserve"> </w:t>
      </w:r>
      <w:r>
        <w:t xml:space="preserve">Toh 2020, PMID 31987791.</w:t>
      </w:r>
    </w:p>
  </w:footnote>
  <w:footnote w:id="2103">
    <w:p>
      <w:pPr>
        <w:pStyle w:val="FootnoteText"/>
      </w:pPr>
      <w:r>
        <w:rPr>
          <w:rStyle w:val="FootnoteReference"/>
        </w:rPr>
        <w:footnoteRef/>
      </w:r>
      <w:r>
        <w:t xml:space="preserve"> </w:t>
      </w:r>
      <w:r>
        <w:t xml:space="preserve">Haylett 2011, PMID 20969564.</w:t>
      </w:r>
    </w:p>
  </w:footnote>
  <w:footnote w:id="2104">
    <w:p>
      <w:pPr>
        <w:pStyle w:val="FootnoteText"/>
      </w:pPr>
      <w:r>
        <w:rPr>
          <w:rStyle w:val="FootnoteReference"/>
        </w:rPr>
        <w:footnoteRef/>
      </w:r>
      <w:r>
        <w:t xml:space="preserve"> </w:t>
      </w:r>
      <w:r>
        <w:t xml:space="preserve">Böhm 2014, PMID 22845050.</w:t>
      </w:r>
    </w:p>
  </w:footnote>
  <w:footnote w:id="2105">
    <w:p>
      <w:pPr>
        <w:pStyle w:val="FootnoteText"/>
      </w:pPr>
      <w:r>
        <w:rPr>
          <w:rStyle w:val="FootnoteReference"/>
        </w:rPr>
        <w:footnoteRef/>
      </w:r>
      <w:r>
        <w:t xml:space="preserve"> </w:t>
      </w:r>
      <w:r>
        <w:t xml:space="preserve">Biolcati 2014, PMID 24256215.</w:t>
      </w:r>
    </w:p>
  </w:footnote>
  <w:footnote w:id="2106">
    <w:p>
      <w:pPr>
        <w:pStyle w:val="FootnoteText"/>
      </w:pPr>
      <w:r>
        <w:rPr>
          <w:rStyle w:val="FootnoteReference"/>
        </w:rPr>
        <w:footnoteRef/>
      </w:r>
      <w:r>
        <w:t xml:space="preserve"> </w:t>
      </w:r>
      <w:r>
        <w:t xml:space="preserve">Stanislaus 2023, PMID 37496004.</w:t>
      </w:r>
    </w:p>
  </w:footnote>
  <w:footnote w:id="2107">
    <w:p>
      <w:pPr>
        <w:pStyle w:val="FootnoteText"/>
      </w:pPr>
      <w:r>
        <w:rPr>
          <w:rStyle w:val="FootnoteReference"/>
        </w:rPr>
        <w:footnoteRef/>
      </w:r>
      <w:r>
        <w:t xml:space="preserve"> </w:t>
      </w:r>
      <w:r>
        <w:t xml:space="preserve">Griffin 2026, PMID 42678656.</w:t>
      </w:r>
    </w:p>
  </w:footnote>
  <w:footnote w:id="2110">
    <w:p>
      <w:pPr>
        <w:pStyle w:val="FootnoteText"/>
      </w:pPr>
      <w:r>
        <w:rPr>
          <w:rStyle w:val="FootnoteReference"/>
        </w:rPr>
        <w:footnoteRef/>
      </w:r>
      <w:r>
        <w:t xml:space="preserve"> </w:t>
      </w:r>
      <w:r>
        <w:t xml:space="preserve">Biolcati 2014, PMID 24256215.</w:t>
      </w:r>
    </w:p>
  </w:footnote>
  <w:footnote w:id="2111">
    <w:p>
      <w:pPr>
        <w:pStyle w:val="FootnoteText"/>
      </w:pPr>
      <w:r>
        <w:rPr>
          <w:rStyle w:val="FootnoteReference"/>
        </w:rPr>
        <w:footnoteRef/>
      </w:r>
      <w:r>
        <w:t xml:space="preserve"> </w:t>
      </w:r>
      <w:r>
        <w:t xml:space="preserve">Chawathe 2026, PMID 41547183.</w:t>
      </w:r>
    </w:p>
  </w:footnote>
  <w:footnote w:id="2113">
    <w:p>
      <w:pPr>
        <w:pStyle w:val="FootnoteText"/>
      </w:pPr>
      <w:r>
        <w:rPr>
          <w:rStyle w:val="FootnoteReference"/>
        </w:rPr>
        <w:footnoteRef/>
      </w:r>
      <w:r>
        <w:t xml:space="preserve"> </w:t>
      </w:r>
      <w:r>
        <w:t xml:space="preserve">Langendonk 2015, PMID 26132941; Wensink 2020, PMID 32186677; Biolcati 2015, PMID 25494545.</w:t>
      </w:r>
    </w:p>
  </w:footnote>
  <w:footnote w:id="2114">
    <w:p>
      <w:pPr>
        <w:pStyle w:val="FootnoteText"/>
      </w:pPr>
      <w:r>
        <w:rPr>
          <w:rStyle w:val="FootnoteReference"/>
        </w:rPr>
        <w:footnoteRef/>
      </w:r>
      <w:r>
        <w:t xml:space="preserve"> </w:t>
      </w:r>
      <w:r>
        <w:t xml:space="preserve">Arisi 2021, PMID 33721252.</w:t>
      </w:r>
    </w:p>
  </w:footnote>
  <w:footnote w:id="2115">
    <w:p>
      <w:pPr>
        <w:pStyle w:val="FootnoteText"/>
      </w:pPr>
      <w:r>
        <w:rPr>
          <w:rStyle w:val="FootnoteReference"/>
        </w:rPr>
        <w:footnoteRef/>
      </w:r>
      <w:r>
        <w:t xml:space="preserve"> </w:t>
      </w:r>
      <w:r>
        <w:t xml:space="preserve">von Bartenwerffer 2011, PMID 21597671.</w:t>
      </w:r>
    </w:p>
  </w:footnote>
  <w:footnote w:id="2116">
    <w:p>
      <w:pPr>
        <w:pStyle w:val="FootnoteText"/>
      </w:pPr>
      <w:r>
        <w:rPr>
          <w:rStyle w:val="FootnoteReference"/>
        </w:rPr>
        <w:footnoteRef/>
      </w:r>
      <w:r>
        <w:t xml:space="preserve"> </w:t>
      </w:r>
      <w:r>
        <w:t xml:space="preserve">Kluijver 2024, PMID 38634774.</w:t>
      </w:r>
    </w:p>
  </w:footnote>
  <w:footnote w:id="2118">
    <w:p>
      <w:pPr>
        <w:pStyle w:val="FootnoteText"/>
      </w:pPr>
      <w:r>
        <w:rPr>
          <w:rStyle w:val="FootnoteReference"/>
        </w:rPr>
        <w:footnoteRef/>
      </w:r>
      <w:r>
        <w:t xml:space="preserve"> </w:t>
      </w:r>
      <w:r>
        <w:t xml:space="preserve">Barman-Aksözen 2026, PMID 41885813.</w:t>
      </w:r>
    </w:p>
  </w:footnote>
  <w:footnote w:id="2119">
    <w:p>
      <w:pPr>
        <w:pStyle w:val="FootnoteText"/>
      </w:pPr>
      <w:r>
        <w:rPr>
          <w:rStyle w:val="FootnoteReference"/>
        </w:rPr>
        <w:footnoteRef/>
      </w:r>
      <w:r>
        <w:t xml:space="preserve"> </w:t>
      </w:r>
      <w:r>
        <w:t xml:space="preserve">Minder 2026, PMID 41542313.</w:t>
      </w:r>
    </w:p>
  </w:footnote>
  <w:footnote w:id="2121">
    <w:p>
      <w:pPr>
        <w:pStyle w:val="FootnoteText"/>
      </w:pPr>
      <w:r>
        <w:rPr>
          <w:rStyle w:val="FootnoteReference"/>
        </w:rPr>
        <w:footnoteRef/>
      </w:r>
      <w:r>
        <w:t xml:space="preserve"> </w:t>
      </w:r>
      <w:r>
        <w:t xml:space="preserve">Habbema 2017, PMID 28266027.</w:t>
      </w:r>
    </w:p>
  </w:footnote>
  <w:footnote w:id="2124">
    <w:p>
      <w:pPr>
        <w:pStyle w:val="FootnoteText"/>
      </w:pPr>
      <w:r>
        <w:rPr>
          <w:rStyle w:val="FootnoteReference"/>
        </w:rPr>
        <w:footnoteRef/>
      </w:r>
      <w:r>
        <w:t xml:space="preserve"> </w:t>
      </w:r>
      <w:r>
        <w:t xml:space="preserve">Homey 2025, PMID 40082741.</w:t>
      </w:r>
    </w:p>
  </w:footnote>
  <w:footnote w:id="2125">
    <w:p>
      <w:pPr>
        <w:pStyle w:val="FootnoteText"/>
      </w:pPr>
      <w:r>
        <w:rPr>
          <w:rStyle w:val="FootnoteReference"/>
        </w:rPr>
        <w:footnoteRef/>
      </w:r>
      <w:r>
        <w:t xml:space="preserve"> </w:t>
      </w:r>
      <w:r>
        <w:t xml:space="preserve">Homey 2025, PMID 40082741; Seidl-Philipp 2026, PMID 41793078.</w:t>
      </w:r>
    </w:p>
  </w:footnote>
  <w:footnote w:id="2126">
    <w:p>
      <w:pPr>
        <w:pStyle w:val="FootnoteText"/>
      </w:pPr>
      <w:r>
        <w:rPr>
          <w:rStyle w:val="FootnoteReference"/>
        </w:rPr>
        <w:footnoteRef/>
      </w:r>
      <w:r>
        <w:t xml:space="preserve"> </w:t>
      </w:r>
      <w:r>
        <w:t xml:space="preserve">Barman-Aksözen 2024, PMID 38791830.</w:t>
      </w:r>
    </w:p>
  </w:footnote>
  <w:footnote w:id="2128">
    <w:p>
      <w:pPr>
        <w:pStyle w:val="FootnoteText"/>
      </w:pPr>
      <w:r>
        <w:rPr>
          <w:rStyle w:val="FootnoteReference"/>
        </w:rPr>
        <w:footnoteRef/>
      </w:r>
      <w:r>
        <w:t xml:space="preserve"> </w:t>
      </w:r>
      <w:r>
        <w:t xml:space="preserve">NCT06109649.</w:t>
      </w:r>
    </w:p>
  </w:footnote>
  <w:footnote w:id="2129">
    <w:p>
      <w:pPr>
        <w:pStyle w:val="FootnoteText"/>
      </w:pPr>
      <w:r>
        <w:rPr>
          <w:rStyle w:val="FootnoteReference"/>
        </w:rPr>
        <w:footnoteRef/>
      </w:r>
      <w:r>
        <w:t xml:space="preserve"> </w:t>
      </w:r>
      <w:r>
        <w:t xml:space="preserve">NCT05210582.</w:t>
      </w:r>
    </w:p>
  </w:footnote>
  <w:footnote w:id="2130">
    <w:p>
      <w:pPr>
        <w:pStyle w:val="FootnoteText"/>
      </w:pPr>
      <w:r>
        <w:rPr>
          <w:rStyle w:val="FootnoteReference"/>
        </w:rPr>
        <w:footnoteRef/>
      </w:r>
      <w:r>
        <w:t xml:space="preserve"> </w:t>
      </w:r>
      <w:r>
        <w:t xml:space="preserve">NCT05370235, NCT05159752.</w:t>
      </w:r>
    </w:p>
  </w:footnote>
  <w:footnote w:id="2131">
    <w:p>
      <w:pPr>
        <w:pStyle w:val="FootnoteText"/>
      </w:pPr>
      <w:r>
        <w:rPr>
          <w:rStyle w:val="FootnoteReference"/>
        </w:rPr>
        <w:footnoteRef/>
      </w:r>
      <w:r>
        <w:t xml:space="preserve"> </w:t>
      </w:r>
      <w:r>
        <w:t xml:space="preserve">NCT06388642.</w:t>
      </w:r>
    </w:p>
  </w:footnote>
  <w:footnote w:id="2132">
    <w:p>
      <w:pPr>
        <w:pStyle w:val="FootnoteText"/>
      </w:pPr>
      <w:r>
        <w:rPr>
          <w:rStyle w:val="FootnoteReference"/>
        </w:rPr>
        <w:footnoteRef/>
      </w:r>
      <w:r>
        <w:t xml:space="preserve"> </w:t>
      </w:r>
      <w:r>
        <w:t xml:space="preserve">Barman-Aksözen 2026, PMID 41885813.</w:t>
      </w:r>
    </w:p>
  </w:footnote>
  <w:footnote w:id="2136">
    <w:p>
      <w:pPr>
        <w:pStyle w:val="FootnoteText"/>
      </w:pPr>
      <w:r>
        <w:rPr>
          <w:rStyle w:val="FootnoteReference"/>
        </w:rPr>
        <w:footnoteRef/>
      </w:r>
      <w:r>
        <w:t xml:space="preserve"> </w:t>
      </w:r>
      <w:r>
        <w:t xml:space="preserve">Lee 1996, PMID 8944003.</w:t>
      </w:r>
    </w:p>
  </w:footnote>
  <w:footnote w:id="2137">
    <w:p>
      <w:pPr>
        <w:pStyle w:val="FootnoteText"/>
      </w:pPr>
      <w:r>
        <w:rPr>
          <w:rStyle w:val="FootnoteReference"/>
        </w:rPr>
        <w:footnoteRef/>
      </w:r>
      <w:r>
        <w:t xml:space="preserve"> </w:t>
      </w:r>
      <w:r>
        <w:t xml:space="preserve">Ohtaki 2001, PMID 11385580.</w:t>
      </w:r>
    </w:p>
  </w:footnote>
  <w:footnote w:id="2139">
    <w:p>
      <w:pPr>
        <w:pStyle w:val="FootnoteText"/>
      </w:pPr>
      <w:r>
        <w:rPr>
          <w:rStyle w:val="FootnoteReference"/>
        </w:rPr>
        <w:footnoteRef/>
      </w:r>
      <w:r>
        <w:t xml:space="preserve"> </w:t>
      </w:r>
      <w:r>
        <w:t xml:space="preserve">de Roux 2003, PMID 12944565; Seminara 2003, PMID 14573733.</w:t>
      </w:r>
    </w:p>
  </w:footnote>
  <w:footnote w:id="2141">
    <w:p>
      <w:pPr>
        <w:pStyle w:val="FootnoteText"/>
      </w:pPr>
      <w:r>
        <w:rPr>
          <w:rStyle w:val="FootnoteReference"/>
        </w:rPr>
        <w:footnoteRef/>
      </w:r>
      <w:r>
        <w:t xml:space="preserve"> </w:t>
      </w:r>
      <w:r>
        <w:t xml:space="preserve">Dhillo 2005, PMID 16174713.</w:t>
      </w:r>
    </w:p>
  </w:footnote>
  <w:footnote w:id="2142">
    <w:p>
      <w:pPr>
        <w:pStyle w:val="FootnoteText"/>
      </w:pPr>
      <w:r>
        <w:rPr>
          <w:rStyle w:val="FootnoteReference"/>
        </w:rPr>
        <w:footnoteRef/>
      </w:r>
      <w:r>
        <w:t xml:space="preserve"> </w:t>
      </w:r>
      <w:r>
        <w:t xml:space="preserve">Dhillo 2007, PMID 17635940.</w:t>
      </w:r>
    </w:p>
  </w:footnote>
  <w:footnote w:id="2143">
    <w:p>
      <w:pPr>
        <w:pStyle w:val="FootnoteText"/>
      </w:pPr>
      <w:r>
        <w:rPr>
          <w:rStyle w:val="FootnoteReference"/>
        </w:rPr>
        <w:footnoteRef/>
      </w:r>
      <w:r>
        <w:t xml:space="preserve"> </w:t>
      </w:r>
      <w:r>
        <w:t xml:space="preserve">George 2011, PMID 21632807.</w:t>
      </w:r>
    </w:p>
  </w:footnote>
  <w:footnote w:id="2144">
    <w:p>
      <w:pPr>
        <w:pStyle w:val="FootnoteText"/>
      </w:pPr>
      <w:r>
        <w:rPr>
          <w:rStyle w:val="FootnoteReference"/>
        </w:rPr>
        <w:footnoteRef/>
      </w:r>
      <w:r>
        <w:t xml:space="preserve"> </w:t>
      </w:r>
      <w:r>
        <w:t xml:space="preserve">Chan 2018, PMID 29669934.</w:t>
      </w:r>
    </w:p>
  </w:footnote>
  <w:footnote w:id="2146">
    <w:p>
      <w:pPr>
        <w:pStyle w:val="FootnoteText"/>
      </w:pPr>
      <w:r>
        <w:rPr>
          <w:rStyle w:val="FootnoteReference"/>
        </w:rPr>
        <w:footnoteRef/>
      </w:r>
      <w:r>
        <w:t xml:space="preserve"> </w:t>
      </w:r>
      <w:r>
        <w:t xml:space="preserve">Jayasena 2014, PMID 25036713; NCT01667406.</w:t>
      </w:r>
    </w:p>
  </w:footnote>
  <w:footnote w:id="2147">
    <w:p>
      <w:pPr>
        <w:pStyle w:val="FootnoteText"/>
      </w:pPr>
      <w:r>
        <w:rPr>
          <w:rStyle w:val="FootnoteReference"/>
        </w:rPr>
        <w:footnoteRef/>
      </w:r>
      <w:r>
        <w:t xml:space="preserve"> </w:t>
      </w:r>
      <w:r>
        <w:t xml:space="preserve">Abbara 2015, PMID 26192876.</w:t>
      </w:r>
    </w:p>
  </w:footnote>
  <w:footnote w:id="2148">
    <w:p>
      <w:pPr>
        <w:pStyle w:val="FootnoteText"/>
      </w:pPr>
      <w:r>
        <w:rPr>
          <w:rStyle w:val="FootnoteReference"/>
        </w:rPr>
        <w:footnoteRef/>
      </w:r>
      <w:r>
        <w:t xml:space="preserve"> </w:t>
      </w:r>
      <w:r>
        <w:t xml:space="preserve">Abbara 2017, PMID 28854728.</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2020, PMID 33196464.</w:t>
      </w:r>
    </w:p>
  </w:footnote>
  <w:footnote w:id="2151">
    <w:p>
      <w:pPr>
        <w:pStyle w:val="FootnoteText"/>
      </w:pPr>
      <w:r>
        <w:rPr>
          <w:rStyle w:val="FootnoteReference"/>
        </w:rPr>
        <w:footnoteRef/>
      </w:r>
      <w:r>
        <w:t xml:space="preserve"> </w:t>
      </w:r>
      <w:r>
        <w:t xml:space="preserve">Abbara 2024, PMID 37925096.</w:t>
      </w:r>
    </w:p>
  </w:footnote>
  <w:footnote w:id="2153">
    <w:p>
      <w:pPr>
        <w:pStyle w:val="FootnoteText"/>
      </w:pPr>
      <w:r>
        <w:rPr>
          <w:rStyle w:val="FootnoteReference"/>
        </w:rPr>
        <w:footnoteRef/>
      </w:r>
      <w:r>
        <w:t xml:space="preserve"> </w:t>
      </w:r>
      <w:r>
        <w:t xml:space="preserve">Jayasena 2009, PMID 19820030.</w:t>
      </w:r>
    </w:p>
  </w:footnote>
  <w:footnote w:id="2154">
    <w:p>
      <w:pPr>
        <w:pStyle w:val="FootnoteText"/>
      </w:pPr>
      <w:r>
        <w:rPr>
          <w:rStyle w:val="FootnoteReference"/>
        </w:rPr>
        <w:footnoteRef/>
      </w:r>
      <w:r>
        <w:t xml:space="preserve"> </w:t>
      </w:r>
      <w:r>
        <w:t xml:space="preserve">Jayasena 2010, PMID 20980998.</w:t>
      </w:r>
    </w:p>
  </w:footnote>
  <w:footnote w:id="2155">
    <w:p>
      <w:pPr>
        <w:pStyle w:val="FootnoteText"/>
      </w:pPr>
      <w:r>
        <w:rPr>
          <w:rStyle w:val="FootnoteReference"/>
        </w:rPr>
        <w:footnoteRef/>
      </w:r>
      <w:r>
        <w:t xml:space="preserve"> </w:t>
      </w:r>
      <w:r>
        <w:t xml:space="preserve">Jayasena 2014, PMID 24517142.</w:t>
      </w:r>
    </w:p>
  </w:footnote>
  <w:footnote w:id="2156">
    <w:p>
      <w:pPr>
        <w:pStyle w:val="FootnoteText"/>
      </w:pPr>
      <w:r>
        <w:rPr>
          <w:rStyle w:val="FootnoteReference"/>
        </w:rPr>
        <w:footnoteRef/>
      </w:r>
      <w:r>
        <w:t xml:space="preserve"> </w:t>
      </w:r>
      <w:r>
        <w:t xml:space="preserve">Young 2013, PMID 22377698.</w:t>
      </w:r>
    </w:p>
  </w:footnote>
  <w:footnote w:id="2157">
    <w:p>
      <w:pPr>
        <w:pStyle w:val="FootnoteText"/>
      </w:pPr>
      <w:r>
        <w:rPr>
          <w:rStyle w:val="FootnoteReference"/>
        </w:rPr>
        <w:footnoteRef/>
      </w:r>
      <w:r>
        <w:t xml:space="preserve"> </w:t>
      </w:r>
      <w:r>
        <w:t xml:space="preserve">Romero-Ruiz 2019, PMID 31820802.</w:t>
      </w:r>
    </w:p>
  </w:footnote>
  <w:footnote w:id="2159">
    <w:p>
      <w:pPr>
        <w:pStyle w:val="FootnoteText"/>
      </w:pPr>
      <w:r>
        <w:rPr>
          <w:rStyle w:val="FootnoteReference"/>
        </w:rPr>
        <w:footnoteRef/>
      </w:r>
      <w:r>
        <w:t xml:space="preserve"> </w:t>
      </w:r>
      <w:r>
        <w:t xml:space="preserve">George 2013, PMID 23153270.</w:t>
      </w:r>
    </w:p>
  </w:footnote>
  <w:footnote w:id="2160">
    <w:p>
      <w:pPr>
        <w:pStyle w:val="FootnoteText"/>
      </w:pPr>
      <w:r>
        <w:rPr>
          <w:rStyle w:val="FootnoteReference"/>
        </w:rPr>
        <w:footnoteRef/>
      </w:r>
      <w:r>
        <w:t xml:space="preserve"> </w:t>
      </w:r>
      <w:r>
        <w:t xml:space="preserve">Yeung 2026, PMID 42549827.</w:t>
      </w:r>
    </w:p>
  </w:footnote>
  <w:footnote w:id="2162">
    <w:p>
      <w:pPr>
        <w:pStyle w:val="FootnoteText"/>
      </w:pPr>
      <w:r>
        <w:rPr>
          <w:rStyle w:val="FootnoteReference"/>
        </w:rPr>
        <w:footnoteRef/>
      </w:r>
      <w:r>
        <w:t xml:space="preserve"> </w:t>
      </w:r>
      <w:r>
        <w:t xml:space="preserve">Mills 2023, PMID 36735255.</w:t>
      </w:r>
    </w:p>
  </w:footnote>
  <w:footnote w:id="2163">
    <w:p>
      <w:pPr>
        <w:pStyle w:val="FootnoteText"/>
      </w:pPr>
      <w:r>
        <w:rPr>
          <w:rStyle w:val="FootnoteReference"/>
        </w:rPr>
        <w:footnoteRef/>
      </w:r>
      <w:r>
        <w:t xml:space="preserve"> </w:t>
      </w:r>
      <w:r>
        <w:t xml:space="preserve">Thurston 2022, PMID 36287566.</w:t>
      </w:r>
    </w:p>
  </w:footnote>
  <w:footnote w:id="2164">
    <w:p>
      <w:pPr>
        <w:pStyle w:val="FootnoteText"/>
      </w:pPr>
      <w:r>
        <w:rPr>
          <w:rStyle w:val="FootnoteReference"/>
        </w:rPr>
        <w:footnoteRef/>
      </w:r>
      <w:r>
        <w:t xml:space="preserve"> </w:t>
      </w:r>
      <w:r>
        <w:t xml:space="preserve">Mills 2025, PMID 40036336.</w:t>
      </w:r>
    </w:p>
  </w:footnote>
  <w:footnote w:id="2166">
    <w:p>
      <w:pPr>
        <w:pStyle w:val="FootnoteText"/>
      </w:pPr>
      <w:r>
        <w:rPr>
          <w:rStyle w:val="FootnoteReference"/>
        </w:rPr>
        <w:footnoteRef/>
      </w:r>
      <w:r>
        <w:t xml:space="preserve"> </w:t>
      </w:r>
      <w:r>
        <w:t xml:space="preserve">Mills 2025, PMID 40215751.</w:t>
      </w:r>
    </w:p>
  </w:footnote>
  <w:footnote w:id="2168">
    <w:p>
      <w:pPr>
        <w:pStyle w:val="FootnoteText"/>
      </w:pPr>
      <w:r>
        <w:rPr>
          <w:rStyle w:val="FootnoteReference"/>
        </w:rPr>
        <w:footnoteRef/>
      </w:r>
      <w:r>
        <w:t xml:space="preserve"> </w:t>
      </w:r>
      <w:r>
        <w:t xml:space="preserve">Comninos 2022, PMID 35244717.</w:t>
      </w:r>
    </w:p>
  </w:footnote>
  <w:footnote w:id="2169">
    <w:p>
      <w:pPr>
        <w:pStyle w:val="FootnoteText"/>
      </w:pPr>
      <w:r>
        <w:rPr>
          <w:rStyle w:val="FootnoteReference"/>
        </w:rPr>
        <w:footnoteRef/>
      </w:r>
      <w:r>
        <w:t xml:space="preserve"> </w:t>
      </w:r>
      <w:r>
        <w:t xml:space="preserve">Izzi-Engbeaya 2018, PMID 29974637.</w:t>
      </w:r>
    </w:p>
  </w:footnote>
  <w:footnote w:id="2170">
    <w:p>
      <w:pPr>
        <w:pStyle w:val="FootnoteText"/>
      </w:pPr>
      <w:r>
        <w:rPr>
          <w:rStyle w:val="FootnoteReference"/>
        </w:rPr>
        <w:footnoteRef/>
      </w:r>
      <w:r>
        <w:t xml:space="preserve"> </w:t>
      </w:r>
      <w:r>
        <w:t xml:space="preserve">Galbiati 2025, PMID 39965102.</w:t>
      </w:r>
    </w:p>
  </w:footnote>
  <w:footnote w:id="2172">
    <w:p>
      <w:pPr>
        <w:pStyle w:val="FootnoteText"/>
      </w:pPr>
      <w:r>
        <w:rPr>
          <w:rStyle w:val="FootnoteReference"/>
        </w:rPr>
        <w:footnoteRef/>
      </w:r>
      <w:r>
        <w:t xml:space="preserve"> </w:t>
      </w:r>
      <w:r>
        <w:t xml:space="preserve">MacLean 2014, PMID 24762108.</w:t>
      </w:r>
    </w:p>
  </w:footnote>
  <w:footnote w:id="2173">
    <w:p>
      <w:pPr>
        <w:pStyle w:val="FootnoteText"/>
      </w:pPr>
      <w:r>
        <w:rPr>
          <w:rStyle w:val="FootnoteReference"/>
        </w:rPr>
        <w:footnoteRef/>
      </w:r>
      <w:r>
        <w:t xml:space="preserve"> </w:t>
      </w:r>
      <w:r>
        <w:t xml:space="preserve">NCT02369796, NCT02381288.</w:t>
      </w:r>
    </w:p>
  </w:footnote>
  <w:footnote w:id="2176">
    <w:p>
      <w:pPr>
        <w:pStyle w:val="FootnoteText"/>
      </w:pPr>
      <w:r>
        <w:rPr>
          <w:rStyle w:val="FootnoteReference"/>
        </w:rPr>
        <w:footnoteRef/>
      </w:r>
      <w:r>
        <w:t xml:space="preserve"> </w:t>
      </w:r>
      <w:r>
        <w:t xml:space="preserve">Seminara 2003, PMID 14573733.</w:t>
      </w:r>
    </w:p>
  </w:footnote>
  <w:footnote w:id="2177">
    <w:p>
      <w:pPr>
        <w:pStyle w:val="FootnoteText"/>
      </w:pPr>
      <w:r>
        <w:rPr>
          <w:rStyle w:val="FootnoteReference"/>
        </w:rPr>
        <w:footnoteRef/>
      </w:r>
      <w:r>
        <w:t xml:space="preserve"> </w:t>
      </w:r>
      <w:r>
        <w:t xml:space="preserve">Lee 1996, PMID 8944003; Ohtaki 2001, PMID 11385580.</w:t>
      </w:r>
    </w:p>
  </w:footnote>
  <w:footnote w:id="2178">
    <w:p>
      <w:pPr>
        <w:pStyle w:val="FootnoteText"/>
      </w:pPr>
      <w:r>
        <w:rPr>
          <w:rStyle w:val="FootnoteReference"/>
        </w:rPr>
        <w:footnoteRef/>
      </w:r>
      <w:r>
        <w:t xml:space="preserve"> </w:t>
      </w:r>
      <w:r>
        <w:t xml:space="preserve">Romero-Ruiz 2019, PMID 31820802.</w:t>
      </w:r>
    </w:p>
  </w:footnote>
  <w:footnote w:id="2179">
    <w:p>
      <w:pPr>
        <w:pStyle w:val="FootnoteText"/>
      </w:pPr>
      <w:r>
        <w:rPr>
          <w:rStyle w:val="FootnoteReference"/>
        </w:rPr>
        <w:footnoteRef/>
      </w:r>
      <w:r>
        <w:t xml:space="preserve"> </w:t>
      </w:r>
      <w:r>
        <w:t xml:space="preserve">Koysombat 2025, PMID 39813600.</w:t>
      </w:r>
    </w:p>
  </w:footnote>
  <w:footnote w:id="2181">
    <w:p>
      <w:pPr>
        <w:pStyle w:val="FootnoteText"/>
      </w:pPr>
      <w:r>
        <w:rPr>
          <w:rStyle w:val="FootnoteReference"/>
        </w:rPr>
        <w:footnoteRef/>
      </w:r>
      <w:r>
        <w:t xml:space="preserve"> </w:t>
      </w:r>
      <w:r>
        <w:t xml:space="preserve">Jayasena 2010, PMID 20980998; Thurston 2022, PMID 36287566; Mills 2025, PMID 40215751.</w:t>
      </w:r>
    </w:p>
  </w:footnote>
  <w:footnote w:id="2182">
    <w:p>
      <w:pPr>
        <w:pStyle w:val="FootnoteText"/>
      </w:pPr>
      <w:r>
        <w:rPr>
          <w:rStyle w:val="FootnoteReference"/>
        </w:rPr>
        <w:footnoteRef/>
      </w:r>
      <w:r>
        <w:t xml:space="preserve"> </w:t>
      </w:r>
      <w:r>
        <w:t xml:space="preserve">Jayasena 2014, PMID 24863252.</w:t>
      </w:r>
    </w:p>
  </w:footnote>
  <w:footnote w:id="2183">
    <w:p>
      <w:pPr>
        <w:pStyle w:val="FootnoteText"/>
      </w:pPr>
      <w:r>
        <w:rPr>
          <w:rStyle w:val="FootnoteReference"/>
        </w:rPr>
        <w:footnoteRef/>
      </w:r>
      <w:r>
        <w:t xml:space="preserve"> </w:t>
      </w:r>
      <w:r>
        <w:t xml:space="preserve">Mills 2025, PMID 40036336.</w:t>
      </w:r>
    </w:p>
  </w:footnote>
  <w:footnote w:id="2184">
    <w:p>
      <w:pPr>
        <w:pStyle w:val="FootnoteText"/>
      </w:pPr>
      <w:r>
        <w:rPr>
          <w:rStyle w:val="FootnoteReference"/>
        </w:rPr>
        <w:footnoteRef/>
      </w:r>
      <w:r>
        <w:t xml:space="preserve"> </w:t>
      </w:r>
      <w:r>
        <w:t xml:space="preserve">MacLean 2014, PMID 24762108.</w:t>
      </w:r>
    </w:p>
  </w:footnote>
  <w:footnote w:id="2190">
    <w:p>
      <w:pPr>
        <w:pStyle w:val="FootnoteText"/>
      </w:pPr>
      <w:r>
        <w:rPr>
          <w:rStyle w:val="FootnoteReference"/>
        </w:rPr>
        <w:footnoteRef/>
      </w:r>
      <w:r>
        <w:t xml:space="preserve"> </w:t>
      </w:r>
      <w:r>
        <w:t xml:space="preserve">NCT07224490.</w:t>
      </w:r>
    </w:p>
  </w:footnote>
  <w:footnote w:id="2191">
    <w:p>
      <w:pPr>
        <w:pStyle w:val="FootnoteText"/>
      </w:pPr>
      <w:r>
        <w:rPr>
          <w:rStyle w:val="FootnoteReference"/>
        </w:rPr>
        <w:footnoteRef/>
      </w:r>
      <w:r>
        <w:t xml:space="preserve"> </w:t>
      </w:r>
      <w:r>
        <w:t xml:space="preserve">NCT04648969.</w:t>
      </w:r>
    </w:p>
  </w:footnote>
  <w:footnote w:id="2197">
    <w:p>
      <w:pPr>
        <w:pStyle w:val="FootnoteText"/>
      </w:pPr>
      <w:r>
        <w:rPr>
          <w:rStyle w:val="FootnoteReference"/>
        </w:rPr>
        <w:footnoteRef/>
      </w:r>
      <w:r>
        <w:t xml:space="preserve"> </w:t>
      </w:r>
      <w:r>
        <w:t xml:space="preserve">Leng 2016, PMID 26049207.</w:t>
      </w:r>
    </w:p>
  </w:footnote>
  <w:footnote w:id="2198">
    <w:p>
      <w:pPr>
        <w:pStyle w:val="FootnoteText"/>
      </w:pPr>
      <w:r>
        <w:rPr>
          <w:rStyle w:val="FootnoteReference"/>
        </w:rPr>
        <w:footnoteRef/>
      </w:r>
      <w:r>
        <w:t xml:space="preserve"> </w:t>
      </w:r>
      <w:r>
        <w:t xml:space="preserve">Lee 2018, PMID 28289281.</w:t>
      </w:r>
    </w:p>
  </w:footnote>
  <w:footnote w:id="2199">
    <w:p>
      <w:pPr>
        <w:pStyle w:val="FootnoteText"/>
      </w:pPr>
      <w:r>
        <w:rPr>
          <w:rStyle w:val="FootnoteReference"/>
        </w:rPr>
        <w:footnoteRef/>
      </w:r>
      <w:r>
        <w:t xml:space="preserve"> </w:t>
      </w:r>
      <w:r>
        <w:t xml:space="preserve">Lee 2020, PMID 32494001.</w:t>
      </w:r>
    </w:p>
  </w:footnote>
  <w:footnote w:id="2200">
    <w:p>
      <w:pPr>
        <w:pStyle w:val="FootnoteText"/>
      </w:pPr>
      <w:r>
        <w:rPr>
          <w:rStyle w:val="FootnoteReference"/>
        </w:rPr>
        <w:footnoteRef/>
      </w:r>
      <w:r>
        <w:t xml:space="preserve"> </w:t>
      </w:r>
      <w:r>
        <w:t xml:space="preserve">Martins 2020, PMID 32127545.</w:t>
      </w:r>
    </w:p>
  </w:footnote>
  <w:footnote w:id="2201">
    <w:p>
      <w:pPr>
        <w:pStyle w:val="FootnoteText"/>
      </w:pPr>
      <w:r>
        <w:rPr>
          <w:rStyle w:val="FootnoteReference"/>
        </w:rPr>
        <w:footnoteRef/>
      </w:r>
      <w:r>
        <w:t xml:space="preserve"> </w:t>
      </w:r>
      <w:r>
        <w:t xml:space="preserve">Valstad 2017, PMID 28442403.</w:t>
      </w:r>
    </w:p>
  </w:footnote>
  <w:footnote w:id="2202">
    <w:p>
      <w:pPr>
        <w:pStyle w:val="FootnoteText"/>
      </w:pPr>
      <w:r>
        <w:rPr>
          <w:rStyle w:val="FootnoteReference"/>
        </w:rPr>
        <w:footnoteRef/>
      </w:r>
      <w:r>
        <w:t xml:space="preserve"> </w:t>
      </w:r>
      <w:r>
        <w:t xml:space="preserve">Leng 2016, PMID 26049207.</w:t>
      </w:r>
    </w:p>
  </w:footnote>
  <w:footnote w:id="2203">
    <w:p>
      <w:pPr>
        <w:pStyle w:val="FootnoteText"/>
      </w:pPr>
      <w:r>
        <w:rPr>
          <w:rStyle w:val="FootnoteReference"/>
        </w:rPr>
        <w:footnoteRef/>
      </w:r>
      <w:r>
        <w:t xml:space="preserve"> </w:t>
      </w:r>
      <w:r>
        <w:t xml:space="preserve">Quintana 2021, PMID 32807845.</w:t>
      </w:r>
    </w:p>
  </w:footnote>
  <w:footnote w:id="2205">
    <w:p>
      <w:pPr>
        <w:pStyle w:val="FootnoteText"/>
      </w:pPr>
      <w:r>
        <w:rPr>
          <w:rStyle w:val="FootnoteReference"/>
        </w:rPr>
        <w:footnoteRef/>
      </w:r>
      <w:r>
        <w:t xml:space="preserve"> </w:t>
      </w:r>
      <w:r>
        <w:t xml:space="preserve">Salati 2019, PMID 31032882.</w:t>
      </w:r>
    </w:p>
  </w:footnote>
  <w:footnote w:id="2208">
    <w:p>
      <w:pPr>
        <w:pStyle w:val="FootnoteText"/>
      </w:pPr>
      <w:r>
        <w:rPr>
          <w:rStyle w:val="FootnoteReference"/>
        </w:rPr>
        <w:footnoteRef/>
      </w:r>
      <w:r>
        <w:t xml:space="preserve"> </w:t>
      </w:r>
      <w:r>
        <w:t xml:space="preserve">Kosfeld 2005, PMID 15931222.</w:t>
      </w:r>
    </w:p>
  </w:footnote>
  <w:footnote w:id="2209">
    <w:p>
      <w:pPr>
        <w:pStyle w:val="FootnoteText"/>
      </w:pPr>
      <w:r>
        <w:rPr>
          <w:rStyle w:val="FootnoteReference"/>
        </w:rPr>
        <w:footnoteRef/>
      </w:r>
      <w:r>
        <w:t xml:space="preserve"> </w:t>
      </w:r>
      <w:r>
        <w:t xml:space="preserve">Heinrichs 2003, PMID 14675803.</w:t>
      </w:r>
    </w:p>
  </w:footnote>
  <w:footnote w:id="2210">
    <w:p>
      <w:pPr>
        <w:pStyle w:val="FootnoteText"/>
      </w:pPr>
      <w:r>
        <w:rPr>
          <w:rStyle w:val="FootnoteReference"/>
        </w:rPr>
        <w:footnoteRef/>
      </w:r>
      <w:r>
        <w:t xml:space="preserve"> </w:t>
      </w:r>
      <w:r>
        <w:t xml:space="preserve">Leppanen 2017, PMID 28467893.</w:t>
      </w:r>
    </w:p>
  </w:footnote>
  <w:footnote w:id="2212">
    <w:p>
      <w:pPr>
        <w:pStyle w:val="FootnoteText"/>
      </w:pPr>
      <w:r>
        <w:rPr>
          <w:rStyle w:val="FootnoteReference"/>
        </w:rPr>
        <w:footnoteRef/>
      </w:r>
      <w:r>
        <w:t xml:space="preserve"> </w:t>
      </w:r>
      <w:r>
        <w:t xml:space="preserve">Nave 2015, PMID 26581735.</w:t>
      </w:r>
    </w:p>
  </w:footnote>
  <w:footnote w:id="2213">
    <w:p>
      <w:pPr>
        <w:pStyle w:val="FootnoteText"/>
      </w:pPr>
      <w:r>
        <w:rPr>
          <w:rStyle w:val="FootnoteReference"/>
        </w:rPr>
        <w:footnoteRef/>
      </w:r>
      <w:r>
        <w:t xml:space="preserve"> </w:t>
      </w:r>
      <w:r>
        <w:t xml:space="preserve">Walum 2016, PMID 26210057.</w:t>
      </w:r>
    </w:p>
  </w:footnote>
  <w:footnote w:id="2214">
    <w:p>
      <w:pPr>
        <w:pStyle w:val="FootnoteText"/>
      </w:pPr>
      <w:r>
        <w:rPr>
          <w:rStyle w:val="FootnoteReference"/>
        </w:rPr>
        <w:footnoteRef/>
      </w:r>
      <w:r>
        <w:t xml:space="preserve"> </w:t>
      </w:r>
      <w:r>
        <w:t xml:space="preserve">Declerck 2020, PMID 32514040.</w:t>
      </w:r>
    </w:p>
  </w:footnote>
  <w:footnote w:id="2215">
    <w:p>
      <w:pPr>
        <w:pStyle w:val="FootnoteText"/>
      </w:pPr>
      <w:r>
        <w:rPr>
          <w:rStyle w:val="FootnoteReference"/>
        </w:rPr>
        <w:footnoteRef/>
      </w:r>
      <w:r>
        <w:t xml:space="preserve"> </w:t>
      </w:r>
      <w:r>
        <w:t xml:space="preserve">Vogt 2026, PMID 42561025.</w:t>
      </w:r>
    </w:p>
  </w:footnote>
  <w:footnote w:id="2216">
    <w:p>
      <w:pPr>
        <w:pStyle w:val="FootnoteText"/>
      </w:pPr>
      <w:r>
        <w:rPr>
          <w:rStyle w:val="FootnoteReference"/>
        </w:rPr>
        <w:footnoteRef/>
      </w:r>
      <w:r>
        <w:t xml:space="preserve"> </w:t>
      </w:r>
      <w:r>
        <w:t xml:space="preserve">Iversen 2026, PMID 41389446.</w:t>
      </w:r>
    </w:p>
  </w:footnote>
  <w:footnote w:id="2218">
    <w:p>
      <w:pPr>
        <w:pStyle w:val="FootnoteText"/>
      </w:pPr>
      <w:r>
        <w:rPr>
          <w:rStyle w:val="FootnoteReference"/>
        </w:rPr>
        <w:footnoteRef/>
      </w:r>
      <w:r>
        <w:t xml:space="preserve"> </w:t>
      </w:r>
      <w:r>
        <w:t xml:space="preserve">Sikich 2021, PMID 34644471.</w:t>
      </w:r>
    </w:p>
  </w:footnote>
  <w:footnote w:id="2219">
    <w:p>
      <w:pPr>
        <w:pStyle w:val="FootnoteText"/>
      </w:pPr>
      <w:r>
        <w:rPr>
          <w:rStyle w:val="FootnoteReference"/>
        </w:rPr>
        <w:footnoteRef/>
      </w:r>
      <w:r>
        <w:t xml:space="preserve"> </w:t>
      </w:r>
      <w:r>
        <w:t xml:space="preserve">Preti 2014, PMID 24679173.</w:t>
      </w:r>
    </w:p>
  </w:footnote>
  <w:footnote w:id="2220">
    <w:p>
      <w:pPr>
        <w:pStyle w:val="FootnoteText"/>
      </w:pPr>
      <w:r>
        <w:rPr>
          <w:rStyle w:val="FootnoteReference"/>
        </w:rPr>
        <w:footnoteRef/>
      </w:r>
      <w:r>
        <w:t xml:space="preserve"> </w:t>
      </w:r>
      <w:r>
        <w:t xml:space="preserve">Sikich 2021, PMID 34644471; NCT01944046.</w:t>
      </w:r>
    </w:p>
  </w:footnote>
  <w:footnote w:id="2221">
    <w:p>
      <w:pPr>
        <w:pStyle w:val="FootnoteText"/>
      </w:pPr>
      <w:r>
        <w:rPr>
          <w:rStyle w:val="FootnoteReference"/>
        </w:rPr>
        <w:footnoteRef/>
      </w:r>
      <w:r>
        <w:t xml:space="preserve"> </w:t>
      </w:r>
      <w:r>
        <w:t xml:space="preserve">Yatawara 2016, PMID 26503762.</w:t>
      </w:r>
    </w:p>
  </w:footnote>
  <w:footnote w:id="2222">
    <w:p>
      <w:pPr>
        <w:pStyle w:val="FootnoteText"/>
      </w:pPr>
      <w:r>
        <w:rPr>
          <w:rStyle w:val="FootnoteReference"/>
        </w:rPr>
        <w:footnoteRef/>
      </w:r>
      <w:r>
        <w:t xml:space="preserve"> </w:t>
      </w:r>
      <w:r>
        <w:t xml:space="preserve">Guastella 2023, PMID 36302965.</w:t>
      </w:r>
    </w:p>
  </w:footnote>
  <w:footnote w:id="2223">
    <w:p>
      <w:pPr>
        <w:pStyle w:val="FootnoteText"/>
      </w:pPr>
      <w:r>
        <w:rPr>
          <w:rStyle w:val="FootnoteReference"/>
        </w:rPr>
        <w:footnoteRef/>
      </w:r>
      <w:r>
        <w:t xml:space="preserve"> </w:t>
      </w:r>
      <w:r>
        <w:t xml:space="preserve">Guastella 2015, PMID 25087908.</w:t>
      </w:r>
    </w:p>
  </w:footnote>
  <w:footnote w:id="2224">
    <w:p>
      <w:pPr>
        <w:pStyle w:val="FootnoteText"/>
      </w:pPr>
      <w:r>
        <w:rPr>
          <w:rStyle w:val="FootnoteReference"/>
        </w:rPr>
        <w:footnoteRef/>
      </w:r>
      <w:r>
        <w:t xml:space="preserve"> </w:t>
      </w:r>
      <w:r>
        <w:t xml:space="preserve">Moerkerke 2024, PMID 38167302.</w:t>
      </w:r>
    </w:p>
  </w:footnote>
  <w:footnote w:id="2225">
    <w:p>
      <w:pPr>
        <w:pStyle w:val="FootnoteText"/>
      </w:pPr>
      <w:r>
        <w:rPr>
          <w:rStyle w:val="FootnoteReference"/>
        </w:rPr>
        <w:footnoteRef/>
      </w:r>
      <w:r>
        <w:t xml:space="preserve"> </w:t>
      </w:r>
      <w:r>
        <w:t xml:space="preserve">Moerkerke 2024, PMID 39709442.</w:t>
      </w:r>
    </w:p>
  </w:footnote>
  <w:footnote w:id="2226">
    <w:p>
      <w:pPr>
        <w:pStyle w:val="FootnoteText"/>
      </w:pPr>
      <w:r>
        <w:rPr>
          <w:rStyle w:val="FootnoteReference"/>
        </w:rPr>
        <w:footnoteRef/>
      </w:r>
      <w:r>
        <w:t xml:space="preserve"> </w:t>
      </w:r>
      <w:r>
        <w:t xml:space="preserve">Keech 2018, PMID 29032324.</w:t>
      </w:r>
    </w:p>
  </w:footnote>
  <w:footnote w:id="2227">
    <w:p>
      <w:pPr>
        <w:pStyle w:val="FootnoteText"/>
      </w:pPr>
      <w:r>
        <w:rPr>
          <w:rStyle w:val="FootnoteReference"/>
        </w:rPr>
        <w:footnoteRef/>
      </w:r>
      <w:r>
        <w:t xml:space="preserve"> </w:t>
      </w:r>
      <w:r>
        <w:t xml:space="preserve">Huang 2021, PMID 33400920.</w:t>
      </w:r>
    </w:p>
  </w:footnote>
  <w:footnote w:id="2228">
    <w:p>
      <w:pPr>
        <w:pStyle w:val="FootnoteText"/>
      </w:pPr>
      <w:r>
        <w:rPr>
          <w:rStyle w:val="FootnoteReference"/>
        </w:rPr>
        <w:footnoteRef/>
      </w:r>
      <w:r>
        <w:t xml:space="preserve"> </w:t>
      </w:r>
      <w:r>
        <w:t xml:space="preserve">Bonnieux 2026, PMID 42134427.</w:t>
      </w:r>
    </w:p>
  </w:footnote>
  <w:footnote w:id="2229">
    <w:p>
      <w:pPr>
        <w:pStyle w:val="FootnoteText"/>
      </w:pPr>
      <w:r>
        <w:rPr>
          <w:rStyle w:val="FootnoteReference"/>
        </w:rPr>
        <w:footnoteRef/>
      </w:r>
      <w:r>
        <w:t xml:space="preserve"> </w:t>
      </w:r>
      <w:r>
        <w:t xml:space="preserve">Boulton 2026, PMID 42144048.</w:t>
      </w:r>
    </w:p>
  </w:footnote>
  <w:footnote w:id="2231">
    <w:p>
      <w:pPr>
        <w:pStyle w:val="FootnoteText"/>
      </w:pPr>
      <w:r>
        <w:rPr>
          <w:rStyle w:val="FootnoteReference"/>
        </w:rPr>
        <w:footnoteRef/>
      </w:r>
      <w:r>
        <w:t xml:space="preserve"> </w:t>
      </w:r>
      <w:r>
        <w:t xml:space="preserve">Jarskog 2017, PMID 28094169.</w:t>
      </w:r>
    </w:p>
  </w:footnote>
  <w:footnote w:id="2232">
    <w:p>
      <w:pPr>
        <w:pStyle w:val="FootnoteText"/>
      </w:pPr>
      <w:r>
        <w:rPr>
          <w:rStyle w:val="FootnoteReference"/>
        </w:rPr>
        <w:footnoteRef/>
      </w:r>
      <w:r>
        <w:t xml:space="preserve"> </w:t>
      </w:r>
      <w:r>
        <w:t xml:space="preserve">Sabe 2021, PMID 33890987.</w:t>
      </w:r>
    </w:p>
  </w:footnote>
  <w:footnote w:id="2233">
    <w:p>
      <w:pPr>
        <w:pStyle w:val="FootnoteText"/>
      </w:pPr>
      <w:r>
        <w:rPr>
          <w:rStyle w:val="FootnoteReference"/>
        </w:rPr>
        <w:footnoteRef/>
      </w:r>
      <w:r>
        <w:t xml:space="preserve"> </w:t>
      </w:r>
      <w:r>
        <w:t xml:space="preserve">Bonnieux 2026, PMID 42134427.</w:t>
      </w:r>
    </w:p>
  </w:footnote>
  <w:footnote w:id="2234">
    <w:p>
      <w:pPr>
        <w:pStyle w:val="FootnoteText"/>
      </w:pPr>
      <w:r>
        <w:rPr>
          <w:rStyle w:val="FootnoteReference"/>
        </w:rPr>
        <w:footnoteRef/>
      </w:r>
      <w:r>
        <w:t xml:space="preserve"> </w:t>
      </w:r>
      <w:r>
        <w:t xml:space="preserve">Melby 2019, PMID 30784955.</w:t>
      </w:r>
    </w:p>
  </w:footnote>
  <w:footnote w:id="2235">
    <w:p>
      <w:pPr>
        <w:pStyle w:val="FootnoteText"/>
      </w:pPr>
      <w:r>
        <w:rPr>
          <w:rStyle w:val="FootnoteReference"/>
        </w:rPr>
        <w:footnoteRef/>
      </w:r>
      <w:r>
        <w:t xml:space="preserve"> </w:t>
      </w:r>
      <w:r>
        <w:t xml:space="preserve">Santos 2026, PMID 42335670.</w:t>
      </w:r>
    </w:p>
  </w:footnote>
  <w:footnote w:id="2236">
    <w:p>
      <w:pPr>
        <w:pStyle w:val="FootnoteText"/>
      </w:pPr>
      <w:r>
        <w:rPr>
          <w:rStyle w:val="FootnoteReference"/>
        </w:rPr>
        <w:footnoteRef/>
      </w:r>
      <w:r>
        <w:t xml:space="preserve"> </w:t>
      </w:r>
      <w:r>
        <w:t xml:space="preserve">Pérez-Arqueros 2025, PMID 39366103.</w:t>
      </w:r>
    </w:p>
  </w:footnote>
  <w:footnote w:id="2237">
    <w:p>
      <w:pPr>
        <w:pStyle w:val="FootnoteText"/>
      </w:pPr>
      <w:r>
        <w:rPr>
          <w:rStyle w:val="FootnoteReference"/>
        </w:rPr>
        <w:footnoteRef/>
      </w:r>
      <w:r>
        <w:t xml:space="preserve"> </w:t>
      </w:r>
      <w:r>
        <w:t xml:space="preserve">Riem 2025, PMID 40614394.</w:t>
      </w:r>
    </w:p>
  </w:footnote>
  <w:footnote w:id="2239">
    <w:p>
      <w:pPr>
        <w:pStyle w:val="FootnoteText"/>
      </w:pPr>
      <w:r>
        <w:rPr>
          <w:rStyle w:val="FootnoteReference"/>
        </w:rPr>
        <w:footnoteRef/>
      </w:r>
      <w:r>
        <w:t xml:space="preserve"> </w:t>
      </w:r>
      <w:r>
        <w:t xml:space="preserve">Chen 2021, PMID 34600216.</w:t>
      </w:r>
    </w:p>
  </w:footnote>
  <w:footnote w:id="2240">
    <w:p>
      <w:pPr>
        <w:pStyle w:val="FootnoteText"/>
      </w:pPr>
      <w:r>
        <w:rPr>
          <w:rStyle w:val="FootnoteReference"/>
        </w:rPr>
        <w:footnoteRef/>
      </w:r>
      <w:r>
        <w:t xml:space="preserve"> </w:t>
      </w:r>
      <w:r>
        <w:t xml:space="preserve">Plessow 2024, PMID 38815173.</w:t>
      </w:r>
    </w:p>
  </w:footnote>
  <w:footnote w:id="2241">
    <w:p>
      <w:pPr>
        <w:pStyle w:val="FootnoteText"/>
      </w:pPr>
      <w:r>
        <w:rPr>
          <w:rStyle w:val="FootnoteReference"/>
        </w:rPr>
        <w:footnoteRef/>
      </w:r>
      <w:r>
        <w:t xml:space="preserve"> </w:t>
      </w:r>
      <w:r>
        <w:t xml:space="preserve">Espinoza 2021, PMID 34029521.</w:t>
      </w:r>
    </w:p>
  </w:footnote>
  <w:footnote w:id="2242">
    <w:p>
      <w:pPr>
        <w:pStyle w:val="FootnoteText"/>
      </w:pPr>
      <w:r>
        <w:rPr>
          <w:rStyle w:val="FootnoteReference"/>
        </w:rPr>
        <w:footnoteRef/>
      </w:r>
      <w:r>
        <w:t xml:space="preserve"> </w:t>
      </w:r>
      <w:r>
        <w:t xml:space="preserve">Shalma 2023, PMID 36774885.</w:t>
      </w:r>
    </w:p>
  </w:footnote>
  <w:footnote w:id="2243">
    <w:p>
      <w:pPr>
        <w:pStyle w:val="FootnoteText"/>
      </w:pPr>
      <w:r>
        <w:rPr>
          <w:rStyle w:val="FootnoteReference"/>
        </w:rPr>
        <w:footnoteRef/>
      </w:r>
      <w:r>
        <w:t xml:space="preserve"> </w:t>
      </w:r>
      <w:r>
        <w:t xml:space="preserve">Hollander 2021, PMID 33190843.</w:t>
      </w:r>
    </w:p>
  </w:footnote>
  <w:footnote w:id="2244">
    <w:p>
      <w:pPr>
        <w:pStyle w:val="FootnoteText"/>
      </w:pPr>
      <w:r>
        <w:rPr>
          <w:rStyle w:val="FootnoteReference"/>
        </w:rPr>
        <w:footnoteRef/>
      </w:r>
      <w:r>
        <w:t xml:space="preserve"> </w:t>
      </w:r>
      <w:r>
        <w:t xml:space="preserve">Lopes 2023, PMID 36463692.</w:t>
      </w:r>
    </w:p>
  </w:footnote>
  <w:footnote w:id="2246">
    <w:p>
      <w:pPr>
        <w:pStyle w:val="FootnoteText"/>
      </w:pPr>
      <w:r>
        <w:rPr>
          <w:rStyle w:val="FootnoteReference"/>
        </w:rPr>
        <w:footnoteRef/>
      </w:r>
      <w:r>
        <w:t xml:space="preserve"> </w:t>
      </w:r>
      <w:r>
        <w:t xml:space="preserve">Burri 2008, PMID 18375074.</w:t>
      </w:r>
    </w:p>
  </w:footnote>
  <w:footnote w:id="2247">
    <w:p>
      <w:pPr>
        <w:pStyle w:val="FootnoteText"/>
      </w:pPr>
      <w:r>
        <w:rPr>
          <w:rStyle w:val="FootnoteReference"/>
        </w:rPr>
        <w:footnoteRef/>
      </w:r>
      <w:r>
        <w:t xml:space="preserve"> </w:t>
      </w:r>
      <w:r>
        <w:t xml:space="preserve">Weinberger 2018, PMID 29995725.</w:t>
      </w:r>
    </w:p>
  </w:footnote>
  <w:footnote w:id="2249">
    <w:p>
      <w:pPr>
        <w:pStyle w:val="FootnoteText"/>
      </w:pPr>
      <w:r>
        <w:rPr>
          <w:rStyle w:val="FootnoteReference"/>
        </w:rPr>
        <w:footnoteRef/>
      </w:r>
      <w:r>
        <w:t xml:space="preserve"> </w:t>
      </w:r>
      <w:r>
        <w:t xml:space="preserve">Atila 2023, PMID 37192642.</w:t>
      </w:r>
    </w:p>
  </w:footnote>
  <w:footnote w:id="2250">
    <w:p>
      <w:pPr>
        <w:pStyle w:val="FootnoteText"/>
      </w:pPr>
      <w:r>
        <w:rPr>
          <w:rStyle w:val="FootnoteReference"/>
        </w:rPr>
        <w:footnoteRef/>
      </w:r>
      <w:r>
        <w:t xml:space="preserve"> </w:t>
      </w:r>
      <w:r>
        <w:t xml:space="preserve">NCT06036004.</w:t>
      </w:r>
    </w:p>
  </w:footnote>
  <w:footnote w:id="2253">
    <w:p>
      <w:pPr>
        <w:pStyle w:val="FootnoteText"/>
      </w:pPr>
      <w:r>
        <w:rPr>
          <w:rStyle w:val="FootnoteReference"/>
        </w:rPr>
        <w:footnoteRef/>
      </w:r>
      <w:r>
        <w:t xml:space="preserve"> </w:t>
      </w:r>
      <w:r>
        <w:t xml:space="preserve">Minakova 2019, PMID 30629642.</w:t>
      </w:r>
    </w:p>
  </w:footnote>
  <w:footnote w:id="2254">
    <w:p>
      <w:pPr>
        <w:pStyle w:val="FootnoteText"/>
      </w:pPr>
      <w:r>
        <w:rPr>
          <w:rStyle w:val="FootnoteReference"/>
        </w:rPr>
        <w:footnoteRef/>
      </w:r>
      <w:r>
        <w:t xml:space="preserve"> </w:t>
      </w:r>
      <w:r>
        <w:t xml:space="preserve">Lee 2020, PMID 32494001.</w:t>
      </w:r>
    </w:p>
  </w:footnote>
  <w:footnote w:id="2256">
    <w:p>
      <w:pPr>
        <w:pStyle w:val="FootnoteText"/>
      </w:pPr>
      <w:r>
        <w:rPr>
          <w:rStyle w:val="FootnoteReference"/>
        </w:rPr>
        <w:footnoteRef/>
      </w:r>
      <w:r>
        <w:t xml:space="preserve"> </w:t>
      </w:r>
      <w:r>
        <w:t xml:space="preserve">MacDonald 2011, PMID 21429671.</w:t>
      </w:r>
    </w:p>
  </w:footnote>
  <w:footnote w:id="2257">
    <w:p>
      <w:pPr>
        <w:pStyle w:val="FootnoteText"/>
      </w:pPr>
      <w:r>
        <w:rPr>
          <w:rStyle w:val="FootnoteReference"/>
        </w:rPr>
        <w:footnoteRef/>
      </w:r>
      <w:r>
        <w:t xml:space="preserve"> </w:t>
      </w:r>
      <w:r>
        <w:t xml:space="preserve">Sikich 2021, PMID 34644471.</w:t>
      </w:r>
    </w:p>
  </w:footnote>
  <w:footnote w:id="2258">
    <w:p>
      <w:pPr>
        <w:pStyle w:val="FootnoteText"/>
      </w:pPr>
      <w:r>
        <w:rPr>
          <w:rStyle w:val="FootnoteReference"/>
        </w:rPr>
        <w:footnoteRef/>
      </w:r>
      <w:r>
        <w:t xml:space="preserve"> </w:t>
      </w:r>
      <w:r>
        <w:t xml:space="preserve">Rung 2021, PMID 33982141.</w:t>
      </w:r>
    </w:p>
  </w:footnote>
  <w:footnote w:id="2259">
    <w:p>
      <w:pPr>
        <w:pStyle w:val="FootnoteText"/>
      </w:pPr>
      <w:r>
        <w:rPr>
          <w:rStyle w:val="FootnoteReference"/>
        </w:rPr>
        <w:footnoteRef/>
      </w:r>
      <w:r>
        <w:t xml:space="preserve"> </w:t>
      </w:r>
      <w:r>
        <w:t xml:space="preserve">Yatawara 2016, PMID 26503762.</w:t>
      </w:r>
    </w:p>
  </w:footnote>
  <w:footnote w:id="2261">
    <w:p>
      <w:pPr>
        <w:pStyle w:val="FootnoteText"/>
      </w:pPr>
      <w:r>
        <w:rPr>
          <w:rStyle w:val="FootnoteReference"/>
        </w:rPr>
        <w:footnoteRef/>
      </w:r>
      <w:r>
        <w:t xml:space="preserve"> </w:t>
      </w:r>
      <w:r>
        <w:t xml:space="preserve">Mayer-Hubner 1996, PMID 8596357.</w:t>
      </w:r>
    </w:p>
  </w:footnote>
  <w:footnote w:id="2262">
    <w:p>
      <w:pPr>
        <w:pStyle w:val="FootnoteText"/>
      </w:pPr>
      <w:r>
        <w:rPr>
          <w:rStyle w:val="FootnoteReference"/>
        </w:rPr>
        <w:footnoteRef/>
      </w:r>
      <w:r>
        <w:t xml:space="preserve"> </w:t>
      </w:r>
      <w:r>
        <w:t xml:space="preserve">Meusel 2021, PMID 33296278.</w:t>
      </w:r>
    </w:p>
  </w:footnote>
  <w:footnote w:id="2267">
    <w:p>
      <w:pPr>
        <w:pStyle w:val="FootnoteText"/>
      </w:pPr>
      <w:r>
        <w:rPr>
          <w:rStyle w:val="FootnoteReference"/>
        </w:rPr>
        <w:footnoteRef/>
      </w:r>
      <w:r>
        <w:t xml:space="preserve"> </w:t>
      </w:r>
      <w:r>
        <w:t xml:space="preserve">NCT04903002.</w:t>
      </w:r>
    </w:p>
  </w:footnote>
  <w:footnote w:id="2268">
    <w:p>
      <w:pPr>
        <w:pStyle w:val="FootnoteText"/>
      </w:pPr>
      <w:r>
        <w:rPr>
          <w:rStyle w:val="FootnoteReference"/>
        </w:rPr>
        <w:footnoteRef/>
      </w:r>
      <w:r>
        <w:t xml:space="preserve"> </w:t>
      </w:r>
      <w:r>
        <w:t xml:space="preserve">NCT06036004.</w:t>
      </w:r>
    </w:p>
  </w:footnote>
  <w:footnote w:id="2269">
    <w:p>
      <w:pPr>
        <w:pStyle w:val="FootnoteText"/>
      </w:pPr>
      <w:r>
        <w:rPr>
          <w:rStyle w:val="FootnoteReference"/>
        </w:rPr>
        <w:footnoteRef/>
      </w:r>
      <w:r>
        <w:t xml:space="preserve"> </w:t>
      </w:r>
      <w:r>
        <w:t xml:space="preserve">NCT05754073.</w:t>
      </w:r>
    </w:p>
  </w:footnote>
  <w:footnote w:id="2270">
    <w:p>
      <w:pPr>
        <w:pStyle w:val="FootnoteText"/>
      </w:pPr>
      <w:r>
        <w:rPr>
          <w:rStyle w:val="FootnoteReference"/>
        </w:rPr>
        <w:footnoteRef/>
      </w:r>
      <w:r>
        <w:t xml:space="preserve"> </w:t>
      </w:r>
      <w:r>
        <w:t xml:space="preserve">NCT05664516.</w:t>
      </w:r>
    </w:p>
  </w:footnote>
  <w:footnote w:id="2271">
    <w:p>
      <w:pPr>
        <w:pStyle w:val="FootnoteText"/>
      </w:pPr>
      <w:r>
        <w:rPr>
          <w:rStyle w:val="FootnoteReference"/>
        </w:rPr>
        <w:footnoteRef/>
      </w:r>
      <w:r>
        <w:t xml:space="preserve"> </w:t>
      </w:r>
      <w:r>
        <w:t xml:space="preserve">NCT07730294.</w:t>
      </w:r>
    </w:p>
  </w:footnote>
  <w:footnote w:id="2277">
    <w:p>
      <w:pPr>
        <w:pStyle w:val="FootnoteText"/>
      </w:pPr>
      <w:r>
        <w:rPr>
          <w:rStyle w:val="FootnoteReference"/>
        </w:rPr>
        <w:footnoteRef/>
      </w:r>
      <w:r>
        <w:t xml:space="preserve"> </w:t>
      </w:r>
      <w:r>
        <w:t xml:space="preserve">Steg 1985, PMID 2934695.</w:t>
      </w:r>
    </w:p>
  </w:footnote>
  <w:footnote w:id="2278">
    <w:p>
      <w:pPr>
        <w:pStyle w:val="FootnoteText"/>
      </w:pPr>
      <w:r>
        <w:rPr>
          <w:rStyle w:val="FootnoteReference"/>
        </w:rPr>
        <w:footnoteRef/>
      </w:r>
      <w:r>
        <w:t xml:space="preserve"> </w:t>
      </w:r>
      <w:r>
        <w:t xml:space="preserve">Segarra 1996, PMID 8773342; Falkenbach 1997, PMID 9189734.</w:t>
      </w:r>
    </w:p>
  </w:footnote>
  <w:footnote w:id="2279">
    <w:p>
      <w:pPr>
        <w:pStyle w:val="FootnoteText"/>
      </w:pPr>
      <w:r>
        <w:rPr>
          <w:rStyle w:val="FootnoteReference"/>
        </w:rPr>
        <w:footnoteRef/>
      </w:r>
      <w:r>
        <w:t xml:space="preserve"> </w:t>
      </w:r>
      <w:r>
        <w:t xml:space="preserve">Kandemir 2011, PMID 21448328.</w:t>
      </w:r>
    </w:p>
  </w:footnote>
  <w:footnote w:id="2280">
    <w:p>
      <w:pPr>
        <w:pStyle w:val="FootnoteText"/>
      </w:pPr>
      <w:r>
        <w:rPr>
          <w:rStyle w:val="FootnoteReference"/>
        </w:rPr>
        <w:footnoteRef/>
      </w:r>
      <w:r>
        <w:t xml:space="preserve"> </w:t>
      </w:r>
      <w:r>
        <w:t xml:space="preserve">Ab Rahim 2020, PMID 32871650.</w:t>
      </w:r>
    </w:p>
  </w:footnote>
  <w:footnote w:id="2281">
    <w:p>
      <w:pPr>
        <w:pStyle w:val="FootnoteText"/>
      </w:pPr>
      <w:r>
        <w:rPr>
          <w:rStyle w:val="FootnoteReference"/>
        </w:rPr>
        <w:footnoteRef/>
      </w:r>
      <w:r>
        <w:t xml:space="preserve"> </w:t>
      </w:r>
      <w:r>
        <w:t xml:space="preserve">Chioma 2025, PMID 41384863.</w:t>
      </w:r>
    </w:p>
  </w:footnote>
  <w:footnote w:id="2283">
    <w:p>
      <w:pPr>
        <w:pStyle w:val="FootnoteText"/>
      </w:pPr>
      <w:r>
        <w:rPr>
          <w:rStyle w:val="FootnoteReference"/>
        </w:rPr>
        <w:footnoteRef/>
      </w:r>
      <w:r>
        <w:t xml:space="preserve"> </w:t>
      </w:r>
      <w:r>
        <w:t xml:space="preserve">Quaas 2022, PMID 36378460.</w:t>
      </w:r>
    </w:p>
  </w:footnote>
  <w:footnote w:id="2284">
    <w:p>
      <w:pPr>
        <w:pStyle w:val="FootnoteText"/>
      </w:pPr>
      <w:r>
        <w:rPr>
          <w:rStyle w:val="FootnoteReference"/>
        </w:rPr>
        <w:footnoteRef/>
      </w:r>
      <w:r>
        <w:t xml:space="preserve"> </w:t>
      </w:r>
      <w:r>
        <w:t xml:space="preserve">Filicori 1994, PMID 7962297.</w:t>
      </w:r>
    </w:p>
  </w:footnote>
  <w:footnote w:id="2285">
    <w:p>
      <w:pPr>
        <w:pStyle w:val="FootnoteText"/>
      </w:pPr>
      <w:r>
        <w:rPr>
          <w:rStyle w:val="FootnoteReference"/>
        </w:rPr>
        <w:footnoteRef/>
      </w:r>
      <w:r>
        <w:t xml:space="preserve"> </w:t>
      </w:r>
      <w:r>
        <w:t xml:space="preserve">Santoro 1990, PMID 2122733.</w:t>
      </w:r>
    </w:p>
  </w:footnote>
  <w:footnote w:id="2286">
    <w:p>
      <w:pPr>
        <w:pStyle w:val="FootnoteText"/>
      </w:pPr>
      <w:r>
        <w:rPr>
          <w:rStyle w:val="FootnoteReference"/>
        </w:rPr>
        <w:footnoteRef/>
      </w:r>
      <w:r>
        <w:t xml:space="preserve"> </w:t>
      </w:r>
      <w:r>
        <w:t xml:space="preserve">Christin-Maitre 2007, PMID 17293247.</w:t>
      </w:r>
    </w:p>
  </w:footnote>
  <w:footnote w:id="2287">
    <w:p>
      <w:pPr>
        <w:pStyle w:val="FootnoteText"/>
      </w:pPr>
      <w:r>
        <w:rPr>
          <w:rStyle w:val="FootnoteReference"/>
        </w:rPr>
        <w:footnoteRef/>
      </w:r>
      <w:r>
        <w:t xml:space="preserve"> </w:t>
      </w:r>
      <w:r>
        <w:t xml:space="preserve">Quaas 2022, PMID 36378460.</w:t>
      </w:r>
    </w:p>
  </w:footnote>
  <w:footnote w:id="2289">
    <w:p>
      <w:pPr>
        <w:pStyle w:val="FootnoteText"/>
      </w:pPr>
      <w:r>
        <w:rPr>
          <w:rStyle w:val="FootnoteReference"/>
        </w:rPr>
        <w:footnoteRef/>
      </w:r>
      <w:r>
        <w:t xml:space="preserve"> </w:t>
      </w:r>
      <w:r>
        <w:t xml:space="preserve">Kliesch 1994, PMID 7921222.</w:t>
      </w:r>
    </w:p>
  </w:footnote>
  <w:footnote w:id="2290">
    <w:p>
      <w:pPr>
        <w:pStyle w:val="FootnoteText"/>
      </w:pPr>
      <w:r>
        <w:rPr>
          <w:rStyle w:val="FootnoteReference"/>
        </w:rPr>
        <w:footnoteRef/>
      </w:r>
      <w:r>
        <w:t xml:space="preserve"> </w:t>
      </w:r>
      <w:r>
        <w:t xml:space="preserve">Gong 2015, PMID 25978110.</w:t>
      </w:r>
    </w:p>
  </w:footnote>
  <w:footnote w:id="2291">
    <w:p>
      <w:pPr>
        <w:pStyle w:val="FootnoteText"/>
      </w:pPr>
      <w:r>
        <w:rPr>
          <w:rStyle w:val="FootnoteReference"/>
        </w:rPr>
        <w:footnoteRef/>
      </w:r>
      <w:r>
        <w:t xml:space="preserve"> </w:t>
      </w:r>
      <w:r>
        <w:t xml:space="preserve">Dwyer 2013, PMID 24037890.</w:t>
      </w:r>
    </w:p>
  </w:footnote>
  <w:footnote w:id="2293">
    <w:p>
      <w:pPr>
        <w:pStyle w:val="FootnoteText"/>
      </w:pPr>
      <w:r>
        <w:rPr>
          <w:rStyle w:val="FootnoteReference"/>
        </w:rPr>
        <w:footnoteRef/>
      </w:r>
      <w:r>
        <w:t xml:space="preserve"> </w:t>
      </w:r>
      <w:r>
        <w:t xml:space="preserve">Spinelli 2014, PMID 25106891.</w:t>
      </w:r>
    </w:p>
  </w:footnote>
  <w:footnote w:id="2294">
    <w:p>
      <w:pPr>
        <w:pStyle w:val="FootnoteText"/>
      </w:pPr>
      <w:r>
        <w:rPr>
          <w:rStyle w:val="FootnoteReference"/>
        </w:rPr>
        <w:footnoteRef/>
      </w:r>
      <w:r>
        <w:t xml:space="preserve"> </w:t>
      </w:r>
      <w:r>
        <w:t xml:space="preserve">Fiala 2022, PMID 35691791.</w:t>
      </w:r>
    </w:p>
  </w:footnote>
  <w:footnote w:id="2298">
    <w:p>
      <w:pPr>
        <w:pStyle w:val="FootnoteText"/>
      </w:pPr>
      <w:r>
        <w:rPr>
          <w:rStyle w:val="FootnoteReference"/>
        </w:rPr>
        <w:footnoteRef/>
      </w:r>
      <w:r>
        <w:t xml:space="preserve"> </w:t>
      </w:r>
      <w:r>
        <w:t xml:space="preserve">Santoro 1990, PMID 2122733; Christin-Maitre 2007, PMID 17293247.</w:t>
      </w:r>
    </w:p>
  </w:footnote>
  <w:footnote w:id="2302">
    <w:p>
      <w:pPr>
        <w:pStyle w:val="FootnoteText"/>
      </w:pPr>
      <w:r>
        <w:rPr>
          <w:rStyle w:val="FootnoteReference"/>
        </w:rPr>
        <w:footnoteRef/>
      </w:r>
      <w:r>
        <w:t xml:space="preserve"> </w:t>
      </w:r>
      <w:r>
        <w:t xml:space="preserve">Smit 2026, PMID 42644333.</w:t>
      </w:r>
    </w:p>
  </w:footnote>
  <w:footnote w:id="2303">
    <w:p>
      <w:pPr>
        <w:pStyle w:val="FootnoteText"/>
      </w:pPr>
      <w:r>
        <w:rPr>
          <w:rStyle w:val="FootnoteReference"/>
        </w:rPr>
        <w:footnoteRef/>
      </w:r>
      <w:r>
        <w:t xml:space="preserve"> </w:t>
      </w:r>
      <w:r>
        <w:t xml:space="preserve">Smit 2021, PMID 33550376.</w:t>
      </w:r>
    </w:p>
  </w:footnote>
  <w:footnote w:id="2304">
    <w:p>
      <w:pPr>
        <w:pStyle w:val="FootnoteText"/>
      </w:pPr>
      <w:r>
        <w:rPr>
          <w:rStyle w:val="FootnoteReference"/>
        </w:rPr>
        <w:footnoteRef/>
      </w:r>
      <w:r>
        <w:t xml:space="preserve"> </w:t>
      </w:r>
      <w:r>
        <w:t xml:space="preserve">Torrini 2023, PMID 36858006.</w:t>
      </w:r>
    </w:p>
  </w:footnote>
  <w:footnote w:id="2307">
    <w:p>
      <w:pPr>
        <w:pStyle w:val="FootnoteText"/>
      </w:pPr>
      <w:r>
        <w:rPr>
          <w:rStyle w:val="FootnoteReference"/>
        </w:rPr>
        <w:footnoteRef/>
      </w:r>
      <w:r>
        <w:t xml:space="preserve"> </w:t>
      </w:r>
      <w:r>
        <w:t xml:space="preserve">NCT07152730.</w:t>
      </w:r>
    </w:p>
  </w:footnote>
  <w:footnote w:id="2308">
    <w:p>
      <w:pPr>
        <w:pStyle w:val="FootnoteText"/>
      </w:pPr>
      <w:r>
        <w:rPr>
          <w:rStyle w:val="FootnoteReference"/>
        </w:rPr>
        <w:footnoteRef/>
      </w:r>
      <w:r>
        <w:t xml:space="preserve"> </w:t>
      </w:r>
      <w:r>
        <w:t xml:space="preserve">NCT02310074.</w:t>
      </w:r>
    </w:p>
  </w:footnote>
  <w:footnote w:id="2309">
    <w:p>
      <w:pPr>
        <w:pStyle w:val="FootnoteText"/>
      </w:pPr>
      <w:r>
        <w:rPr>
          <w:rStyle w:val="FootnoteReference"/>
        </w:rPr>
        <w:footnoteRef/>
      </w:r>
      <w:r>
        <w:t xml:space="preserve"> </w:t>
      </w:r>
      <w:r>
        <w:t xml:space="preserve">NCT03989024.</w:t>
      </w:r>
    </w:p>
  </w:footnote>
  <w:footnote w:id="2314">
    <w:p>
      <w:pPr>
        <w:pStyle w:val="FootnoteText"/>
      </w:pPr>
      <w:r>
        <w:rPr>
          <w:rStyle w:val="FootnoteReference"/>
        </w:rPr>
        <w:footnoteRef/>
      </w:r>
      <w:r>
        <w:t xml:space="preserve"> </w:t>
      </w:r>
      <w:r>
        <w:t xml:space="preserve">Myung 2025, PMID 40324552.</w:t>
      </w:r>
    </w:p>
  </w:footnote>
  <w:footnote w:id="2320">
    <w:p>
      <w:pPr>
        <w:pStyle w:val="FootnoteText"/>
      </w:pPr>
      <w:r>
        <w:rPr>
          <w:rStyle w:val="FootnoteReference"/>
        </w:rPr>
        <w:footnoteRef/>
      </w:r>
      <w:r>
        <w:t xml:space="preserve"> </w:t>
      </w:r>
      <w:r>
        <w:t xml:space="preserve">Iwai 2005, PMID 16076145.</w:t>
      </w:r>
    </w:p>
  </w:footnote>
  <w:footnote w:id="2321">
    <w:p>
      <w:pPr>
        <w:pStyle w:val="FootnoteText"/>
      </w:pPr>
      <w:r>
        <w:rPr>
          <w:rStyle w:val="FootnoteReference"/>
        </w:rPr>
        <w:footnoteRef/>
      </w:r>
      <w:r>
        <w:t xml:space="preserve"> </w:t>
      </w:r>
      <w:r>
        <w:t xml:space="preserve">Yamamoto 2016, PMID 26934933.</w:t>
      </w:r>
    </w:p>
  </w:footnote>
  <w:footnote w:id="2322">
    <w:p>
      <w:pPr>
        <w:pStyle w:val="FootnoteText"/>
      </w:pPr>
      <w:r>
        <w:rPr>
          <w:rStyle w:val="FootnoteReference"/>
        </w:rPr>
        <w:footnoteRef/>
      </w:r>
      <w:r>
        <w:t xml:space="preserve"> </w:t>
      </w:r>
      <w:r>
        <w:t xml:space="preserve">Shaw 2017, PMID 27852613.</w:t>
      </w:r>
    </w:p>
  </w:footnote>
  <w:footnote w:id="2323">
    <w:p>
      <w:pPr>
        <w:pStyle w:val="FootnoteText"/>
      </w:pPr>
      <w:r>
        <w:rPr>
          <w:rStyle w:val="FootnoteReference"/>
        </w:rPr>
        <w:footnoteRef/>
      </w:r>
      <w:r>
        <w:t xml:space="preserve"> </w:t>
      </w:r>
      <w:r>
        <w:t xml:space="preserve">Stenbæk 2016, PMID 26655163.</w:t>
      </w:r>
    </w:p>
  </w:footnote>
  <w:footnote w:id="2325">
    <w:p>
      <w:pPr>
        <w:pStyle w:val="FootnoteText"/>
      </w:pPr>
      <w:r>
        <w:rPr>
          <w:rStyle w:val="FootnoteReference"/>
        </w:rPr>
        <w:footnoteRef/>
      </w:r>
      <w:r>
        <w:t xml:space="preserve"> </w:t>
      </w:r>
      <w:r>
        <w:t xml:space="preserve">Hexsel 2017, PMID 28786550.</w:t>
      </w:r>
    </w:p>
  </w:footnote>
  <w:footnote w:id="2326">
    <w:p>
      <w:pPr>
        <w:pStyle w:val="FootnoteText"/>
      </w:pPr>
      <w:r>
        <w:rPr>
          <w:rStyle w:val="FootnoteReference"/>
        </w:rPr>
        <w:footnoteRef/>
      </w:r>
      <w:r>
        <w:t xml:space="preserve"> </w:t>
      </w:r>
      <w:r>
        <w:t xml:space="preserve">Sugihara 2018, PMID 30061579.</w:t>
      </w:r>
    </w:p>
  </w:footnote>
  <w:footnote w:id="2328">
    <w:p>
      <w:pPr>
        <w:pStyle w:val="FootnoteText"/>
      </w:pPr>
      <w:r>
        <w:rPr>
          <w:rStyle w:val="FootnoteReference"/>
        </w:rPr>
        <w:footnoteRef/>
      </w:r>
      <w:r>
        <w:t xml:space="preserve"> </w:t>
      </w:r>
      <w:r>
        <w:t xml:space="preserve">de Miranda 2021, PMID 33742704.</w:t>
      </w:r>
    </w:p>
  </w:footnote>
  <w:footnote w:id="2329">
    <w:p>
      <w:pPr>
        <w:pStyle w:val="FootnoteText"/>
      </w:pPr>
      <w:r>
        <w:rPr>
          <w:rStyle w:val="FootnoteReference"/>
        </w:rPr>
        <w:footnoteRef/>
      </w:r>
      <w:r>
        <w:t xml:space="preserve"> </w:t>
      </w:r>
      <w:r>
        <w:t xml:space="preserve">Pu 2023, PMID 37432180.</w:t>
      </w:r>
    </w:p>
  </w:footnote>
  <w:footnote w:id="2330">
    <w:p>
      <w:pPr>
        <w:pStyle w:val="FootnoteText"/>
      </w:pPr>
      <w:r>
        <w:rPr>
          <w:rStyle w:val="FootnoteReference"/>
        </w:rPr>
        <w:footnoteRef/>
      </w:r>
      <w:r>
        <w:t xml:space="preserve"> </w:t>
      </w:r>
      <w:r>
        <w:t xml:space="preserve">Danessa 2025, PMID 40826844.</w:t>
      </w:r>
    </w:p>
  </w:footnote>
  <w:footnote w:id="2331">
    <w:p>
      <w:pPr>
        <w:pStyle w:val="FootnoteText"/>
      </w:pPr>
      <w:r>
        <w:rPr>
          <w:rStyle w:val="FootnoteReference"/>
        </w:rPr>
        <w:footnoteRef/>
      </w:r>
      <w:r>
        <w:t xml:space="preserve"> </w:t>
      </w:r>
      <w:r>
        <w:t xml:space="preserve">Myung 2025, PMID 40324552.</w:t>
      </w:r>
    </w:p>
  </w:footnote>
  <w:footnote w:id="2333">
    <w:p>
      <w:pPr>
        <w:pStyle w:val="FootnoteText"/>
      </w:pPr>
      <w:r>
        <w:rPr>
          <w:rStyle w:val="FootnoteReference"/>
        </w:rPr>
        <w:footnoteRef/>
      </w:r>
      <w:r>
        <w:t xml:space="preserve"> </w:t>
      </w:r>
      <w:r>
        <w:t xml:space="preserve">García-Coronado 2019, PMID 30368550.</w:t>
      </w:r>
    </w:p>
  </w:footnote>
  <w:footnote w:id="2334">
    <w:p>
      <w:pPr>
        <w:pStyle w:val="FootnoteText"/>
      </w:pPr>
      <w:r>
        <w:rPr>
          <w:rStyle w:val="FootnoteReference"/>
        </w:rPr>
        <w:footnoteRef/>
      </w:r>
      <w:r>
        <w:t xml:space="preserve"> </w:t>
      </w:r>
      <w:r>
        <w:t xml:space="preserve">Liang 2024, PMID 38218227.</w:t>
      </w:r>
    </w:p>
  </w:footnote>
  <w:footnote w:id="2335">
    <w:p>
      <w:pPr>
        <w:pStyle w:val="FootnoteText"/>
      </w:pPr>
      <w:r>
        <w:rPr>
          <w:rStyle w:val="FootnoteReference"/>
        </w:rPr>
        <w:footnoteRef/>
      </w:r>
      <w:r>
        <w:t xml:space="preserve"> </w:t>
      </w:r>
      <w:r>
        <w:t xml:space="preserve">Lin 2023, PMID 37717022.</w:t>
      </w:r>
    </w:p>
  </w:footnote>
  <w:footnote w:id="2336">
    <w:p>
      <w:pPr>
        <w:pStyle w:val="FootnoteText"/>
      </w:pPr>
      <w:r>
        <w:rPr>
          <w:rStyle w:val="FootnoteReference"/>
        </w:rPr>
        <w:footnoteRef/>
      </w:r>
      <w:r>
        <w:t xml:space="preserve"> </w:t>
      </w:r>
      <w:r>
        <w:t xml:space="preserve">Simental-Mendía 2025, PMID 39212129.</w:t>
      </w:r>
    </w:p>
  </w:footnote>
  <w:footnote w:id="2337">
    <w:p>
      <w:pPr>
        <w:pStyle w:val="FootnoteText"/>
      </w:pPr>
      <w:r>
        <w:rPr>
          <w:rStyle w:val="FootnoteReference"/>
        </w:rPr>
        <w:footnoteRef/>
      </w:r>
      <w:r>
        <w:t xml:space="preserve"> </w:t>
      </w:r>
      <w:r>
        <w:t xml:space="preserve">Liu 2018, PMID 29018060.</w:t>
      </w:r>
    </w:p>
  </w:footnote>
  <w:footnote w:id="2339">
    <w:p>
      <w:pPr>
        <w:pStyle w:val="FootnoteText"/>
      </w:pPr>
      <w:r>
        <w:rPr>
          <w:rStyle w:val="FootnoteReference"/>
        </w:rPr>
        <w:footnoteRef/>
      </w:r>
      <w:r>
        <w:t xml:space="preserve"> </w:t>
      </w:r>
      <w:r>
        <w:t xml:space="preserve">Trentham 1993, PMID 8378772.</w:t>
      </w:r>
    </w:p>
  </w:footnote>
  <w:footnote w:id="2340">
    <w:p>
      <w:pPr>
        <w:pStyle w:val="FootnoteText"/>
      </w:pPr>
      <w:r>
        <w:rPr>
          <w:rStyle w:val="FootnoteReference"/>
        </w:rPr>
        <w:footnoteRef/>
      </w:r>
      <w:r>
        <w:t xml:space="preserve"> </w:t>
      </w:r>
      <w:r>
        <w:t xml:space="preserve">Barnett 1998, PMID 9485087.</w:t>
      </w:r>
    </w:p>
  </w:footnote>
  <w:footnote w:id="2343">
    <w:p>
      <w:pPr>
        <w:pStyle w:val="FootnoteText"/>
      </w:pPr>
      <w:r>
        <w:rPr>
          <w:rStyle w:val="FootnoteReference"/>
        </w:rPr>
        <w:footnoteRef/>
      </w:r>
      <w:r>
        <w:t xml:space="preserve"> </w:t>
      </w:r>
      <w:r>
        <w:t xml:space="preserve">Zdzieblik 2015, PMID 26353786.</w:t>
      </w:r>
    </w:p>
  </w:footnote>
  <w:footnote w:id="2344">
    <w:p>
      <w:pPr>
        <w:pStyle w:val="FootnoteText"/>
      </w:pPr>
      <w:r>
        <w:rPr>
          <w:rStyle w:val="FootnoteReference"/>
        </w:rPr>
        <w:footnoteRef/>
      </w:r>
      <w:r>
        <w:t xml:space="preserve"> </w:t>
      </w:r>
      <w:r>
        <w:t xml:space="preserve">Oikawa 2020, PMID 31919527.</w:t>
      </w:r>
    </w:p>
  </w:footnote>
  <w:footnote w:id="2345">
    <w:p>
      <w:pPr>
        <w:pStyle w:val="FootnoteText"/>
      </w:pPr>
      <w:r>
        <w:rPr>
          <w:rStyle w:val="FootnoteReference"/>
        </w:rPr>
        <w:footnoteRef/>
      </w:r>
      <w:r>
        <w:t xml:space="preserve"> </w:t>
      </w:r>
      <w:r>
        <w:t xml:space="preserve">Jacinto 2022, PMID 35042187.</w:t>
      </w:r>
    </w:p>
  </w:footnote>
  <w:footnote w:id="2346">
    <w:p>
      <w:pPr>
        <w:pStyle w:val="FootnoteText"/>
      </w:pPr>
      <w:r>
        <w:rPr>
          <w:rStyle w:val="FootnoteReference"/>
        </w:rPr>
        <w:footnoteRef/>
      </w:r>
      <w:r>
        <w:t xml:space="preserve"> </w:t>
      </w:r>
      <w:r>
        <w:t xml:space="preserve">Kirmse 2024, PMID 39086044.</w:t>
      </w:r>
    </w:p>
  </w:footnote>
  <w:footnote w:id="2347">
    <w:p>
      <w:pPr>
        <w:pStyle w:val="FootnoteText"/>
      </w:pPr>
      <w:r>
        <w:rPr>
          <w:rStyle w:val="FootnoteReference"/>
        </w:rPr>
        <w:footnoteRef/>
      </w:r>
      <w:r>
        <w:t xml:space="preserve"> </w:t>
      </w:r>
      <w:r>
        <w:t xml:space="preserve">Bischof 2024, PMID 39060741.</w:t>
      </w:r>
    </w:p>
  </w:footnote>
  <w:footnote w:id="2348">
    <w:p>
      <w:pPr>
        <w:pStyle w:val="FootnoteText"/>
      </w:pPr>
      <w:r>
        <w:rPr>
          <w:rStyle w:val="FootnoteReference"/>
        </w:rPr>
        <w:footnoteRef/>
      </w:r>
      <w:r>
        <w:t xml:space="preserve"> </w:t>
      </w:r>
      <w:r>
        <w:t xml:space="preserve">Khatri 2021, PMID 34491424.</w:t>
      </w:r>
    </w:p>
  </w:footnote>
  <w:footnote w:id="2350">
    <w:p>
      <w:pPr>
        <w:pStyle w:val="FootnoteText"/>
      </w:pPr>
      <w:r>
        <w:rPr>
          <w:rStyle w:val="FootnoteReference"/>
        </w:rPr>
        <w:footnoteRef/>
      </w:r>
      <w:r>
        <w:t xml:space="preserve"> </w:t>
      </w:r>
      <w:r>
        <w:t xml:space="preserve">Jalili 2023, PMID 35658958.</w:t>
      </w:r>
    </w:p>
  </w:footnote>
  <w:footnote w:id="2353">
    <w:p>
      <w:pPr>
        <w:pStyle w:val="FootnoteText"/>
      </w:pPr>
      <w:r>
        <w:rPr>
          <w:rStyle w:val="FootnoteReference"/>
        </w:rPr>
        <w:footnoteRef/>
      </w:r>
      <w:r>
        <w:t xml:space="preserve"> </w:t>
      </w:r>
      <w:r>
        <w:t xml:space="preserve">Asserin 2015, PMID 26362110.</w:t>
      </w:r>
    </w:p>
  </w:footnote>
  <w:footnote w:id="2354">
    <w:p>
      <w:pPr>
        <w:pStyle w:val="FootnoteText"/>
      </w:pPr>
      <w:r>
        <w:rPr>
          <w:rStyle w:val="FootnoteReference"/>
        </w:rPr>
        <w:footnoteRef/>
      </w:r>
      <w:r>
        <w:t xml:space="preserve"> </w:t>
      </w:r>
      <w:r>
        <w:t xml:space="preserve">Inacio 2024, PMID 38892477.</w:t>
      </w:r>
    </w:p>
  </w:footnote>
  <w:footnote w:id="2355">
    <w:p>
      <w:pPr>
        <w:pStyle w:val="FootnoteText"/>
      </w:pPr>
      <w:r>
        <w:rPr>
          <w:rStyle w:val="FootnoteReference"/>
        </w:rPr>
        <w:footnoteRef/>
      </w:r>
      <w:r>
        <w:t xml:space="preserve"> </w:t>
      </w:r>
      <w:r>
        <w:t xml:space="preserve">Bischof 2026, PMID 41168365.</w:t>
      </w:r>
    </w:p>
  </w:footnote>
  <w:footnote w:id="2357">
    <w:p>
      <w:pPr>
        <w:pStyle w:val="FootnoteText"/>
      </w:pPr>
      <w:r>
        <w:rPr>
          <w:rStyle w:val="FootnoteReference"/>
        </w:rPr>
        <w:footnoteRef/>
      </w:r>
      <w:r>
        <w:t xml:space="preserve"> </w:t>
      </w:r>
      <w:r>
        <w:t xml:space="preserve">Liang 2024, PMID 38218227.</w:t>
      </w:r>
    </w:p>
  </w:footnote>
  <w:footnote w:id="2358">
    <w:p>
      <w:pPr>
        <w:pStyle w:val="FootnoteText"/>
      </w:pPr>
      <w:r>
        <w:rPr>
          <w:rStyle w:val="FootnoteReference"/>
        </w:rPr>
        <w:footnoteRef/>
      </w:r>
      <w:r>
        <w:t xml:space="preserve"> </w:t>
      </w:r>
      <w:r>
        <w:t xml:space="preserve">Knight 2006, PMID 17021603.</w:t>
      </w:r>
    </w:p>
  </w:footnote>
  <w:footnote w:id="2361">
    <w:p>
      <w:pPr>
        <w:pStyle w:val="FootnoteText"/>
      </w:pPr>
      <w:r>
        <w:rPr>
          <w:rStyle w:val="FootnoteReference"/>
        </w:rPr>
        <w:footnoteRef/>
      </w:r>
      <w:r>
        <w:t xml:space="preserve"> </w:t>
      </w:r>
      <w:r>
        <w:t xml:space="preserve">NCT04998188.</w:t>
      </w:r>
    </w:p>
  </w:footnote>
  <w:footnote w:id="2362">
    <w:p>
      <w:pPr>
        <w:pStyle w:val="FootnoteText"/>
      </w:pPr>
      <w:r>
        <w:rPr>
          <w:rStyle w:val="FootnoteReference"/>
        </w:rPr>
        <w:footnoteRef/>
      </w:r>
      <w:r>
        <w:t xml:space="preserve"> </w:t>
      </w:r>
      <w:r>
        <w:t xml:space="preserve">NCT07800780.</w:t>
      </w:r>
    </w:p>
  </w:footnote>
  <w:footnote w:id="2363">
    <w:p>
      <w:pPr>
        <w:pStyle w:val="FootnoteText"/>
      </w:pPr>
      <w:r>
        <w:rPr>
          <w:rStyle w:val="FootnoteReference"/>
        </w:rPr>
        <w:footnoteRef/>
      </w:r>
      <w:r>
        <w:t xml:space="preserve"> </w:t>
      </w:r>
      <w:r>
        <w:t xml:space="preserve">NCT05823727.</w:t>
      </w:r>
    </w:p>
  </w:footnote>
  <w:footnote w:id="2364">
    <w:p>
      <w:pPr>
        <w:pStyle w:val="FootnoteText"/>
      </w:pPr>
      <w:r>
        <w:rPr>
          <w:rStyle w:val="FootnoteReference"/>
        </w:rPr>
        <w:footnoteRef/>
      </w:r>
      <w:r>
        <w:t xml:space="preserve"> </w:t>
      </w:r>
      <w:r>
        <w:t xml:space="preserve">NCT07473037.</w:t>
      </w:r>
    </w:p>
  </w:footnote>
  <w:footnote w:id="2365">
    <w:p>
      <w:pPr>
        <w:pStyle w:val="FootnoteText"/>
      </w:pPr>
      <w:r>
        <w:rPr>
          <w:rStyle w:val="FootnoteReference"/>
        </w:rPr>
        <w:footnoteRef/>
      </w:r>
      <w:r>
        <w:t xml:space="preserve"> </w:t>
      </w:r>
      <w:r>
        <w:t xml:space="preserve">NCT07456449.</w:t>
      </w:r>
    </w:p>
  </w:footnote>
  <w:footnote w:id="2366">
    <w:p>
      <w:pPr>
        <w:pStyle w:val="FootnoteText"/>
      </w:pPr>
      <w:r>
        <w:rPr>
          <w:rStyle w:val="FootnoteReference"/>
        </w:rPr>
        <w:footnoteRef/>
      </w:r>
      <w:r>
        <w:t xml:space="preserve"> </w:t>
      </w:r>
      <w:r>
        <w:t xml:space="preserve">NCT07229014.</w:t>
      </w:r>
    </w:p>
  </w:footnote>
  <w:footnote w:id="2367">
    <w:p>
      <w:pPr>
        <w:pStyle w:val="FootnoteText"/>
      </w:pPr>
      <w:r>
        <w:rPr>
          <w:rStyle w:val="FootnoteReference"/>
        </w:rPr>
        <w:footnoteRef/>
      </w:r>
      <w:r>
        <w:t xml:space="preserve"> </w:t>
      </w:r>
      <w:r>
        <w:t xml:space="preserve">Myung 2025, PMID 40324552.</w:t>
      </w:r>
    </w:p>
  </w:footnote>
  <w:footnote w:id="2372">
    <w:p>
      <w:pPr>
        <w:pStyle w:val="FootnoteText"/>
      </w:pPr>
      <w:r>
        <w:rPr>
          <w:rStyle w:val="FootnoteReference"/>
        </w:rPr>
        <w:footnoteRef/>
      </w:r>
      <w:r>
        <w:t xml:space="preserve"> </w:t>
      </w:r>
      <w:r>
        <w:t xml:space="preserve">Nakamura 1995, PMID 7673515.</w:t>
      </w:r>
    </w:p>
  </w:footnote>
  <w:footnote w:id="2373">
    <w:p>
      <w:pPr>
        <w:pStyle w:val="FootnoteText"/>
      </w:pPr>
      <w:r>
        <w:rPr>
          <w:rStyle w:val="FootnoteReference"/>
        </w:rPr>
        <w:footnoteRef/>
      </w:r>
      <w:r>
        <w:t xml:space="preserve"> </w:t>
      </w:r>
      <w:r>
        <w:t xml:space="preserve">Foltz 2007, PMID 17374660.</w:t>
      </w:r>
    </w:p>
  </w:footnote>
  <w:footnote w:id="2374">
    <w:p>
      <w:pPr>
        <w:pStyle w:val="FootnoteText"/>
      </w:pPr>
      <w:r>
        <w:rPr>
          <w:rStyle w:val="FootnoteReference"/>
        </w:rPr>
        <w:footnoteRef/>
      </w:r>
      <w:r>
        <w:t xml:space="preserve"> </w:t>
      </w:r>
      <w:r>
        <w:t xml:space="preserve">Wuerzner 2009, PMID 19506528.</w:t>
      </w:r>
    </w:p>
  </w:footnote>
  <w:footnote w:id="2377">
    <w:p>
      <w:pPr>
        <w:pStyle w:val="FootnoteText"/>
      </w:pPr>
      <w:r>
        <w:rPr>
          <w:rStyle w:val="FootnoteReference"/>
        </w:rPr>
        <w:footnoteRef/>
      </w:r>
      <w:r>
        <w:t xml:space="preserve"> </w:t>
      </w:r>
      <w:r>
        <w:t xml:space="preserve">Geleijnse 2010, PMID 19884823.</w:t>
      </w:r>
    </w:p>
  </w:footnote>
  <w:footnote w:id="2379">
    <w:p>
      <w:pPr>
        <w:pStyle w:val="FootnoteText"/>
      </w:pPr>
      <w:r>
        <w:rPr>
          <w:rStyle w:val="FootnoteReference"/>
        </w:rPr>
        <w:footnoteRef/>
      </w:r>
      <w:r>
        <w:t xml:space="preserve"> </w:t>
      </w:r>
      <w:r>
        <w:t xml:space="preserve">Jauhiainen 2012, PMID 22617279.</w:t>
      </w:r>
    </w:p>
  </w:footnote>
  <w:footnote w:id="2380">
    <w:p>
      <w:pPr>
        <w:pStyle w:val="FootnoteText"/>
      </w:pPr>
      <w:r>
        <w:rPr>
          <w:rStyle w:val="FootnoteReference"/>
        </w:rPr>
        <w:footnoteRef/>
      </w:r>
      <w:r>
        <w:t xml:space="preserve"> </w:t>
      </w:r>
      <w:r>
        <w:t xml:space="preserve">Turpeinen 2012, PMID 22398753.</w:t>
      </w:r>
    </w:p>
  </w:footnote>
  <w:footnote w:id="2381">
    <w:p>
      <w:pPr>
        <w:pStyle w:val="FootnoteText"/>
      </w:pPr>
      <w:r>
        <w:rPr>
          <w:rStyle w:val="FootnoteReference"/>
        </w:rPr>
        <w:footnoteRef/>
      </w:r>
      <w:r>
        <w:t xml:space="preserve"> </w:t>
      </w:r>
      <w:r>
        <w:t xml:space="preserve">Cicero 2011, PMID 21753776; Cicero 2016, PMID 26683986.</w:t>
      </w:r>
    </w:p>
  </w:footnote>
  <w:footnote w:id="2382">
    <w:p>
      <w:pPr>
        <w:pStyle w:val="FootnoteText"/>
      </w:pPr>
      <w:r>
        <w:rPr>
          <w:rStyle w:val="FootnoteReference"/>
        </w:rPr>
        <w:footnoteRef/>
      </w:r>
      <w:r>
        <w:t xml:space="preserve"> </w:t>
      </w:r>
      <w:r>
        <w:t xml:space="preserve">Germino 2010, PMID 20433527.</w:t>
      </w:r>
    </w:p>
  </w:footnote>
  <w:footnote w:id="2383">
    <w:p>
      <w:pPr>
        <w:pStyle w:val="FootnoteText"/>
      </w:pPr>
      <w:r>
        <w:rPr>
          <w:rStyle w:val="FootnoteReference"/>
        </w:rPr>
        <w:footnoteRef/>
      </w:r>
      <w:r>
        <w:t xml:space="preserve"> </w:t>
      </w:r>
      <w:r>
        <w:t xml:space="preserve">bijv. Akazawa 2018, PMID 29703414.</w:t>
      </w:r>
    </w:p>
  </w:footnote>
  <w:footnote w:id="2385">
    <w:p>
      <w:pPr>
        <w:pStyle w:val="FootnoteText"/>
      </w:pPr>
      <w:r>
        <w:rPr>
          <w:rStyle w:val="FootnoteReference"/>
        </w:rPr>
        <w:footnoteRef/>
      </w:r>
      <w:r>
        <w:t xml:space="preserve"> </w:t>
      </w:r>
      <w:r>
        <w:t xml:space="preserve">Fekete 2015, PMID 25608938.</w:t>
      </w:r>
    </w:p>
  </w:footnote>
  <w:footnote w:id="2388">
    <w:p>
      <w:pPr>
        <w:pStyle w:val="FootnoteText"/>
      </w:pPr>
      <w:r>
        <w:rPr>
          <w:rStyle w:val="FootnoteReference"/>
        </w:rPr>
        <w:footnoteRef/>
      </w:r>
      <w:r>
        <w:t xml:space="preserve"> </w:t>
      </w:r>
      <w:r>
        <w:t xml:space="preserve">Nakamura 1995, PMID 7673515.</w:t>
      </w:r>
    </w:p>
  </w:footnote>
  <w:footnote w:id="2389">
    <w:p>
      <w:pPr>
        <w:pStyle w:val="FootnoteText"/>
      </w:pPr>
      <w:r>
        <w:rPr>
          <w:rStyle w:val="FootnoteReference"/>
        </w:rPr>
        <w:footnoteRef/>
      </w:r>
      <w:r>
        <w:t xml:space="preserve"> </w:t>
      </w:r>
      <w:r>
        <w:t xml:space="preserve">Hirota 2011, PMID 21221598.</w:t>
      </w:r>
    </w:p>
  </w:footnote>
  <w:footnote w:id="2390">
    <w:p>
      <w:pPr>
        <w:pStyle w:val="FootnoteText"/>
      </w:pPr>
      <w:r>
        <w:rPr>
          <w:rStyle w:val="FootnoteReference"/>
        </w:rPr>
        <w:footnoteRef/>
      </w:r>
      <w:r>
        <w:t xml:space="preserve"> </w:t>
      </w:r>
      <w:r>
        <w:t xml:space="preserve">Foltz 2007, PMID 17374660.</w:t>
      </w:r>
    </w:p>
  </w:footnote>
  <w:footnote w:id="2391">
    <w:p>
      <w:pPr>
        <w:pStyle w:val="FootnoteText"/>
      </w:pPr>
      <w:r>
        <w:rPr>
          <w:rStyle w:val="FootnoteReference"/>
        </w:rPr>
        <w:footnoteRef/>
      </w:r>
      <w:r>
        <w:t xml:space="preserve"> </w:t>
      </w:r>
      <w:r>
        <w:t xml:space="preserve">Gregory 2024, PMID 37904282.</w:t>
      </w:r>
    </w:p>
  </w:footnote>
  <w:footnote w:id="2392">
    <w:p>
      <w:pPr>
        <w:pStyle w:val="FootnoteText"/>
      </w:pPr>
      <w:r>
        <w:rPr>
          <w:rStyle w:val="FootnoteReference"/>
        </w:rPr>
        <w:footnoteRef/>
      </w:r>
      <w:r>
        <w:t xml:space="preserve"> </w:t>
      </w:r>
      <w:r>
        <w:t xml:space="preserve">Dent 2007, PMID 17383063.</w:t>
      </w:r>
    </w:p>
  </w:footnote>
  <w:footnote w:id="2393">
    <w:p>
      <w:pPr>
        <w:pStyle w:val="FootnoteText"/>
      </w:pPr>
      <w:r>
        <w:rPr>
          <w:rStyle w:val="FootnoteReference"/>
        </w:rPr>
        <w:footnoteRef/>
      </w:r>
      <w:r>
        <w:t xml:space="preserve"> </w:t>
      </w:r>
      <w:r>
        <w:t xml:space="preserve">Ponstein-Simarro Doorten 2009, PMID 18955104.</w:t>
      </w:r>
    </w:p>
  </w:footnote>
  <w:footnote w:id="2395">
    <w:p>
      <w:pPr>
        <w:pStyle w:val="FootnoteText"/>
      </w:pPr>
      <w:r>
        <w:rPr>
          <w:rStyle w:val="FootnoteReference"/>
        </w:rPr>
        <w:footnoteRef/>
      </w:r>
      <w:r>
        <w:t xml:space="preserve"> </w:t>
      </w:r>
      <w:r>
        <w:t xml:space="preserve">bijv. Jauhiainen 2005, PMID 16364832.</w:t>
      </w:r>
    </w:p>
  </w:footnote>
  <w:footnote w:id="2398">
    <w:p>
      <w:pPr>
        <w:pStyle w:val="FootnoteText"/>
      </w:pPr>
      <w:r>
        <w:rPr>
          <w:rStyle w:val="FootnoteReference"/>
        </w:rPr>
        <w:footnoteRef/>
      </w:r>
      <w:r>
        <w:t xml:space="preserve"> </w:t>
      </w:r>
      <w:r>
        <w:t xml:space="preserve">NCT00924157.</w:t>
      </w:r>
    </w:p>
  </w:footnote>
  <w:footnote w:id="2403">
    <w:p>
      <w:pPr>
        <w:pStyle w:val="FootnoteText"/>
      </w:pPr>
      <w:r>
        <w:rPr>
          <w:rStyle w:val="FootnoteReference"/>
        </w:rPr>
        <w:footnoteRef/>
      </w:r>
      <w:r>
        <w:t xml:space="preserve"> </w:t>
      </w:r>
      <w:r>
        <w:t xml:space="preserve">Baguet 2010, PMID 20671038.</w:t>
      </w:r>
    </w:p>
  </w:footnote>
  <w:footnote w:id="2404">
    <w:p>
      <w:pPr>
        <w:pStyle w:val="FootnoteText"/>
      </w:pPr>
      <w:r>
        <w:rPr>
          <w:rStyle w:val="FootnoteReference"/>
        </w:rPr>
        <w:footnoteRef/>
      </w:r>
      <w:r>
        <w:t xml:space="preserve"> </w:t>
      </w:r>
      <w:r>
        <w:t xml:space="preserve">Gardner 1991, PMID 1910085.</w:t>
      </w:r>
    </w:p>
  </w:footnote>
  <w:footnote w:id="2405">
    <w:p>
      <w:pPr>
        <w:pStyle w:val="FootnoteText"/>
      </w:pPr>
      <w:r>
        <w:rPr>
          <w:rStyle w:val="FootnoteReference"/>
        </w:rPr>
        <w:footnoteRef/>
      </w:r>
      <w:r>
        <w:t xml:space="preserve"> </w:t>
      </w:r>
      <w:r>
        <w:t xml:space="preserve">Baba 2024, PMID 39215872.</w:t>
      </w:r>
    </w:p>
  </w:footnote>
  <w:footnote w:id="2407">
    <w:p>
      <w:pPr>
        <w:pStyle w:val="FootnoteText"/>
      </w:pPr>
      <w:r>
        <w:rPr>
          <w:rStyle w:val="FootnoteReference"/>
        </w:rPr>
        <w:footnoteRef/>
      </w:r>
      <w:r>
        <w:t xml:space="preserve"> </w:t>
      </w:r>
      <w:r>
        <w:t xml:space="preserve">Harris 2006, PMID 16554972.</w:t>
      </w:r>
    </w:p>
  </w:footnote>
  <w:footnote w:id="2408">
    <w:p>
      <w:pPr>
        <w:pStyle w:val="FootnoteText"/>
      </w:pPr>
      <w:r>
        <w:rPr>
          <w:rStyle w:val="FootnoteReference"/>
        </w:rPr>
        <w:footnoteRef/>
      </w:r>
      <w:r>
        <w:t xml:space="preserve"> </w:t>
      </w:r>
      <w:r>
        <w:t xml:space="preserve">Yamaguchi 2021, PMID 33148972.</w:t>
      </w:r>
    </w:p>
  </w:footnote>
  <w:footnote w:id="2409">
    <w:p>
      <w:pPr>
        <w:pStyle w:val="FootnoteText"/>
      </w:pPr>
      <w:r>
        <w:rPr>
          <w:rStyle w:val="FootnoteReference"/>
        </w:rPr>
        <w:footnoteRef/>
      </w:r>
      <w:r>
        <w:t xml:space="preserve"> </w:t>
      </w:r>
      <w:r>
        <w:t xml:space="preserve">Rezende 2020, PMID 32922303.</w:t>
      </w:r>
    </w:p>
  </w:footnote>
  <w:footnote w:id="2412">
    <w:p>
      <w:pPr>
        <w:pStyle w:val="FootnoteText"/>
      </w:pPr>
      <w:r>
        <w:rPr>
          <w:rStyle w:val="FootnoteReference"/>
        </w:rPr>
        <w:footnoteRef/>
      </w:r>
      <w:r>
        <w:t xml:space="preserve"> </w:t>
      </w:r>
      <w:r>
        <w:t xml:space="preserve">Saunders 2017, PMID 27797728.</w:t>
      </w:r>
    </w:p>
  </w:footnote>
  <w:footnote w:id="2413">
    <w:p>
      <w:pPr>
        <w:pStyle w:val="FootnoteText"/>
      </w:pPr>
      <w:r>
        <w:rPr>
          <w:rStyle w:val="FootnoteReference"/>
        </w:rPr>
        <w:footnoteRef/>
      </w:r>
      <w:r>
        <w:t xml:space="preserve"> </w:t>
      </w:r>
      <w:r>
        <w:t xml:space="preserve">Derave 2007, PMID 17690198.</w:t>
      </w:r>
    </w:p>
  </w:footnote>
  <w:footnote w:id="2414">
    <w:p>
      <w:pPr>
        <w:pStyle w:val="FootnoteText"/>
      </w:pPr>
      <w:r>
        <w:rPr>
          <w:rStyle w:val="FootnoteReference"/>
        </w:rPr>
        <w:footnoteRef/>
      </w:r>
      <w:r>
        <w:t xml:space="preserve"> </w:t>
      </w:r>
      <w:r>
        <w:t xml:space="preserve">Chung 2014, PMID 24457999.</w:t>
      </w:r>
    </w:p>
  </w:footnote>
  <w:footnote w:id="2415">
    <w:p>
      <w:pPr>
        <w:pStyle w:val="FootnoteText"/>
      </w:pPr>
      <w:r>
        <w:rPr>
          <w:rStyle w:val="FootnoteReference"/>
        </w:rPr>
        <w:footnoteRef/>
      </w:r>
      <w:r>
        <w:t xml:space="preserve"> </w:t>
      </w:r>
      <w:r>
        <w:t xml:space="preserve">O’Toole 2026, PMID 42308284.</w:t>
      </w:r>
    </w:p>
  </w:footnote>
  <w:footnote w:id="2417">
    <w:p>
      <w:pPr>
        <w:pStyle w:val="FootnoteText"/>
      </w:pPr>
      <w:r>
        <w:rPr>
          <w:rStyle w:val="FootnoteReference"/>
        </w:rPr>
        <w:footnoteRef/>
      </w:r>
      <w:r>
        <w:t xml:space="preserve"> </w:t>
      </w:r>
      <w:r>
        <w:t xml:space="preserve">Peng 2020, PMID 31987255.</w:t>
      </w:r>
    </w:p>
  </w:footnote>
  <w:footnote w:id="2418">
    <w:p>
      <w:pPr>
        <w:pStyle w:val="FootnoteText"/>
      </w:pPr>
      <w:r>
        <w:rPr>
          <w:rStyle w:val="FootnoteReference"/>
        </w:rPr>
        <w:footnoteRef/>
      </w:r>
      <w:r>
        <w:t xml:space="preserve"> </w:t>
      </w:r>
      <w:r>
        <w:t xml:space="preserve">Matthews 2021, PMID 34333586.</w:t>
      </w:r>
    </w:p>
  </w:footnote>
  <w:footnote w:id="2419">
    <w:p>
      <w:pPr>
        <w:pStyle w:val="FootnoteText"/>
      </w:pPr>
      <w:r>
        <w:rPr>
          <w:rStyle w:val="FootnoteReference"/>
        </w:rPr>
        <w:footnoteRef/>
      </w:r>
      <w:r>
        <w:t xml:space="preserve"> </w:t>
      </w:r>
      <w:r>
        <w:t xml:space="preserve">Li 2025, PMID 40999397.</w:t>
      </w:r>
    </w:p>
  </w:footnote>
  <w:footnote w:id="2421">
    <w:p>
      <w:pPr>
        <w:pStyle w:val="FootnoteText"/>
      </w:pPr>
      <w:r>
        <w:rPr>
          <w:rStyle w:val="FootnoteReference"/>
        </w:rPr>
        <w:footnoteRef/>
      </w:r>
      <w:r>
        <w:t xml:space="preserve"> </w:t>
      </w:r>
      <w:r>
        <w:t xml:space="preserve">Saadati 2024, PMID 38086332.</w:t>
      </w:r>
    </w:p>
  </w:footnote>
  <w:footnote w:id="2423">
    <w:p>
      <w:pPr>
        <w:pStyle w:val="FootnoteText"/>
      </w:pPr>
      <w:r>
        <w:rPr>
          <w:rStyle w:val="FootnoteReference"/>
        </w:rPr>
        <w:footnoteRef/>
      </w:r>
      <w:r>
        <w:t xml:space="preserve"> </w:t>
      </w:r>
      <w:r>
        <w:t xml:space="preserve">Hisatsune 2016, PMID 26682691.</w:t>
      </w:r>
    </w:p>
  </w:footnote>
  <w:footnote w:id="2424">
    <w:p>
      <w:pPr>
        <w:pStyle w:val="FootnoteText"/>
      </w:pPr>
      <w:r>
        <w:rPr>
          <w:rStyle w:val="FootnoteReference"/>
        </w:rPr>
        <w:footnoteRef/>
      </w:r>
      <w:r>
        <w:t xml:space="preserve"> </w:t>
      </w:r>
      <w:r>
        <w:t xml:space="preserve">Masuoka 2019, PMID 31319510.</w:t>
      </w:r>
    </w:p>
  </w:footnote>
  <w:footnote w:id="2425">
    <w:p>
      <w:pPr>
        <w:pStyle w:val="FootnoteText"/>
      </w:pPr>
      <w:r>
        <w:rPr>
          <w:rStyle w:val="FootnoteReference"/>
        </w:rPr>
        <w:footnoteRef/>
      </w:r>
      <w:r>
        <w:t xml:space="preserve"> </w:t>
      </w:r>
      <w:r>
        <w:t xml:space="preserve">O’Toole 2025, PMID 39919936.</w:t>
      </w:r>
    </w:p>
  </w:footnote>
  <w:footnote w:id="2426">
    <w:p>
      <w:pPr>
        <w:pStyle w:val="FootnoteText"/>
      </w:pPr>
      <w:r>
        <w:rPr>
          <w:rStyle w:val="FootnoteReference"/>
        </w:rPr>
        <w:footnoteRef/>
      </w:r>
      <w:r>
        <w:t xml:space="preserve"> </w:t>
      </w:r>
      <w:r>
        <w:t xml:space="preserve">Hsiao 2026, PMID 42123986.</w:t>
      </w:r>
    </w:p>
  </w:footnote>
  <w:footnote w:id="2427">
    <w:p>
      <w:pPr>
        <w:pStyle w:val="FootnoteText"/>
      </w:pPr>
      <w:r>
        <w:rPr>
          <w:rStyle w:val="FootnoteReference"/>
        </w:rPr>
        <w:footnoteRef/>
      </w:r>
      <w:r>
        <w:t xml:space="preserve"> </w:t>
      </w:r>
      <w:r>
        <w:t xml:space="preserve">Kabthymer 2025, PMID 38545720.</w:t>
      </w:r>
    </w:p>
  </w:footnote>
  <w:footnote w:id="2428">
    <w:p>
      <w:pPr>
        <w:pStyle w:val="FootnoteText"/>
      </w:pPr>
      <w:r>
        <w:rPr>
          <w:rStyle w:val="FootnoteReference"/>
        </w:rPr>
        <w:footnoteRef/>
      </w:r>
      <w:r>
        <w:t xml:space="preserve"> </w:t>
      </w:r>
      <w:r>
        <w:t xml:space="preserve">Chez 2002, PMID 12585724.</w:t>
      </w:r>
    </w:p>
  </w:footnote>
  <w:footnote w:id="2429">
    <w:p>
      <w:pPr>
        <w:pStyle w:val="FootnoteText"/>
      </w:pPr>
      <w:r>
        <w:rPr>
          <w:rStyle w:val="FootnoteReference"/>
        </w:rPr>
        <w:footnoteRef/>
      </w:r>
      <w:r>
        <w:t xml:space="preserve"> </w:t>
      </w:r>
      <w:r>
        <w:t xml:space="preserve">Abraham 2020, PMID 33170378.</w:t>
      </w:r>
    </w:p>
  </w:footnote>
  <w:footnote w:id="2431">
    <w:p>
      <w:pPr>
        <w:pStyle w:val="FootnoteText"/>
      </w:pPr>
      <w:r>
        <w:rPr>
          <w:rStyle w:val="FootnoteReference"/>
        </w:rPr>
        <w:footnoteRef/>
      </w:r>
      <w:r>
        <w:t xml:space="preserve"> </w:t>
      </w:r>
      <w:r>
        <w:t xml:space="preserve">Yehia 2019, PMID 30592963.</w:t>
      </w:r>
    </w:p>
  </w:footnote>
  <w:footnote w:id="2432">
    <w:p>
      <w:pPr>
        <w:pStyle w:val="FootnoteText"/>
      </w:pPr>
      <w:r>
        <w:rPr>
          <w:rStyle w:val="FootnoteReference"/>
        </w:rPr>
        <w:footnoteRef/>
      </w:r>
      <w:r>
        <w:t xml:space="preserve"> </w:t>
      </w:r>
      <w:r>
        <w:t xml:space="preserve">Lombardi 2015, PMID 25287762.</w:t>
      </w:r>
    </w:p>
  </w:footnote>
  <w:footnote w:id="2433">
    <w:p>
      <w:pPr>
        <w:pStyle w:val="FootnoteText"/>
      </w:pPr>
      <w:r>
        <w:rPr>
          <w:rStyle w:val="FootnoteReference"/>
        </w:rPr>
        <w:footnoteRef/>
      </w:r>
      <w:r>
        <w:t xml:space="preserve"> </w:t>
      </w:r>
      <w:r>
        <w:t xml:space="preserve">Baraniuk 2013, PMID 23618477.</w:t>
      </w:r>
    </w:p>
  </w:footnote>
  <w:footnote w:id="2434">
    <w:p>
      <w:pPr>
        <w:pStyle w:val="FootnoteText"/>
      </w:pPr>
      <w:r>
        <w:rPr>
          <w:rStyle w:val="FootnoteReference"/>
        </w:rPr>
        <w:footnoteRef/>
      </w:r>
      <w:r>
        <w:t xml:space="preserve"> </w:t>
      </w:r>
      <w:r>
        <w:t xml:space="preserve">Babizhayev 2012, PMID 21756141.</w:t>
      </w:r>
    </w:p>
  </w:footnote>
  <w:footnote w:id="2436">
    <w:p>
      <w:pPr>
        <w:pStyle w:val="FootnoteText"/>
      </w:pPr>
      <w:r>
        <w:rPr>
          <w:rStyle w:val="FootnoteReference"/>
        </w:rPr>
        <w:footnoteRef/>
      </w:r>
      <w:r>
        <w:t xml:space="preserve"> </w:t>
      </w:r>
      <w:r>
        <w:t xml:space="preserve">Shen 2022, PMID 35999163.</w:t>
      </w:r>
    </w:p>
  </w:footnote>
  <w:footnote w:id="2437">
    <w:p>
      <w:pPr>
        <w:pStyle w:val="FootnoteText"/>
      </w:pPr>
      <w:r>
        <w:rPr>
          <w:rStyle w:val="FootnoteReference"/>
        </w:rPr>
        <w:footnoteRef/>
      </w:r>
      <w:r>
        <w:t xml:space="preserve"> </w:t>
      </w:r>
      <w:r>
        <w:t xml:space="preserve">Dubois 2017, PMID 28245346.</w:t>
      </w:r>
    </w:p>
  </w:footnote>
  <w:footnote w:id="2440">
    <w:p>
      <w:pPr>
        <w:pStyle w:val="FootnoteText"/>
      </w:pPr>
      <w:r>
        <w:rPr>
          <w:rStyle w:val="FootnoteReference"/>
        </w:rPr>
        <w:footnoteRef/>
      </w:r>
      <w:r>
        <w:t xml:space="preserve"> </w:t>
      </w:r>
      <w:r>
        <w:t xml:space="preserve">Matthews 2021, PMID 34333586.</w:t>
      </w:r>
    </w:p>
  </w:footnote>
  <w:footnote w:id="2441">
    <w:p>
      <w:pPr>
        <w:pStyle w:val="FootnoteText"/>
      </w:pPr>
      <w:r>
        <w:rPr>
          <w:rStyle w:val="FootnoteReference"/>
        </w:rPr>
        <w:footnoteRef/>
      </w:r>
      <w:r>
        <w:t xml:space="preserve"> </w:t>
      </w:r>
      <w:r>
        <w:t xml:space="preserve">Qiu 2020, PMID 32803273.</w:t>
      </w:r>
    </w:p>
  </w:footnote>
  <w:footnote w:id="2443">
    <w:p>
      <w:pPr>
        <w:pStyle w:val="FootnoteText"/>
      </w:pPr>
      <w:r>
        <w:rPr>
          <w:rStyle w:val="FootnoteReference"/>
        </w:rPr>
        <w:footnoteRef/>
      </w:r>
      <w:r>
        <w:t xml:space="preserve"> </w:t>
      </w:r>
      <w:r>
        <w:t xml:space="preserve">Baba 2024, PMID 39215872.</w:t>
      </w:r>
    </w:p>
  </w:footnote>
  <w:footnote w:id="2444">
    <w:p>
      <w:pPr>
        <w:pStyle w:val="FootnoteText"/>
      </w:pPr>
      <w:r>
        <w:rPr>
          <w:rStyle w:val="FootnoteReference"/>
        </w:rPr>
        <w:footnoteRef/>
      </w:r>
      <w:r>
        <w:t xml:space="preserve"> </w:t>
      </w:r>
      <w:r>
        <w:t xml:space="preserve">Dolan 2019, PMID 30980076.</w:t>
      </w:r>
    </w:p>
  </w:footnote>
  <w:footnote w:id="2447">
    <w:p>
      <w:pPr>
        <w:pStyle w:val="FootnoteText"/>
      </w:pPr>
      <w:r>
        <w:rPr>
          <w:rStyle w:val="FootnoteReference"/>
        </w:rPr>
        <w:footnoteRef/>
      </w:r>
      <w:r>
        <w:t xml:space="preserve"> </w:t>
      </w:r>
      <w:r>
        <w:t xml:space="preserve">NCT06480760.</w:t>
      </w:r>
    </w:p>
  </w:footnote>
  <w:footnote w:id="2448">
    <w:p>
      <w:pPr>
        <w:pStyle w:val="FootnoteText"/>
      </w:pPr>
      <w:r>
        <w:rPr>
          <w:rStyle w:val="FootnoteReference"/>
        </w:rPr>
        <w:footnoteRef/>
      </w:r>
      <w:r>
        <w:t xml:space="preserve"> </w:t>
      </w:r>
      <w:r>
        <w:t xml:space="preserve">NCT07475546.</w:t>
      </w:r>
    </w:p>
  </w:footnote>
  <w:footnote w:id="2449">
    <w:p>
      <w:pPr>
        <w:pStyle w:val="FootnoteText"/>
      </w:pPr>
      <w:r>
        <w:rPr>
          <w:rStyle w:val="FootnoteReference"/>
        </w:rPr>
        <w:footnoteRef/>
      </w:r>
      <w:r>
        <w:t xml:space="preserve"> </w:t>
      </w:r>
      <w:r>
        <w:t xml:space="preserve">NCT03314987.</w:t>
      </w:r>
    </w:p>
  </w:footnote>
  <w:footnote w:id="2453">
    <w:p>
      <w:pPr>
        <w:pStyle w:val="FootnoteText"/>
      </w:pPr>
      <w:r>
        <w:rPr>
          <w:rStyle w:val="FootnoteReference"/>
        </w:rPr>
        <w:footnoteRef/>
      </w:r>
      <w:r>
        <w:t xml:space="preserve"> </w:t>
      </w:r>
      <w:r>
        <w:t xml:space="preserve">Pickart 1973, PMID 4349963.</w:t>
      </w:r>
    </w:p>
  </w:footnote>
  <w:footnote w:id="2455">
    <w:p>
      <w:pPr>
        <w:pStyle w:val="FootnoteText"/>
      </w:pPr>
      <w:r>
        <w:rPr>
          <w:rStyle w:val="FootnoteReference"/>
        </w:rPr>
        <w:footnoteRef/>
      </w:r>
      <w:r>
        <w:t xml:space="preserve"> </w:t>
      </w:r>
      <w:r>
        <w:t xml:space="preserve">Pickart 1980, PMID 7453802.</w:t>
      </w:r>
    </w:p>
  </w:footnote>
  <w:footnote w:id="2456">
    <w:p>
      <w:pPr>
        <w:pStyle w:val="FootnoteText"/>
      </w:pPr>
      <w:r>
        <w:rPr>
          <w:rStyle w:val="FootnoteReference"/>
        </w:rPr>
        <w:footnoteRef/>
      </w:r>
      <w:r>
        <w:t xml:space="preserve"> </w:t>
      </w:r>
      <w:r>
        <w:t xml:space="preserve">Maquart 1988, PMID 3169264.</w:t>
      </w:r>
    </w:p>
  </w:footnote>
  <w:footnote w:id="2457">
    <w:p>
      <w:pPr>
        <w:pStyle w:val="FootnoteText"/>
      </w:pPr>
      <w:r>
        <w:rPr>
          <w:rStyle w:val="FootnoteReference"/>
        </w:rPr>
        <w:footnoteRef/>
      </w:r>
      <w:r>
        <w:t xml:space="preserve"> </w:t>
      </w:r>
      <w:r>
        <w:t xml:space="preserve">Pickart 2015, PMID 26236730; Pickart 2018, PMID 29986520.</w:t>
      </w:r>
    </w:p>
  </w:footnote>
  <w:footnote w:id="2458">
    <w:p>
      <w:pPr>
        <w:pStyle w:val="FootnoteText"/>
      </w:pPr>
      <w:r>
        <w:rPr>
          <w:rStyle w:val="FootnoteReference"/>
        </w:rPr>
        <w:footnoteRef/>
      </w:r>
      <w:r>
        <w:t xml:space="preserve"> </w:t>
      </w:r>
      <w:r>
        <w:t xml:space="preserve">Mortazavi 2025, PMID 39963574.</w:t>
      </w:r>
    </w:p>
  </w:footnote>
  <w:footnote w:id="2459">
    <w:p>
      <w:pPr>
        <w:pStyle w:val="FootnoteText"/>
      </w:pPr>
      <w:r>
        <w:rPr>
          <w:rStyle w:val="FootnoteReference"/>
        </w:rPr>
        <w:footnoteRef/>
      </w:r>
      <w:r>
        <w:t xml:space="preserve"> </w:t>
      </w:r>
      <w:r>
        <w:t xml:space="preserve">Trzaska 2026, PMID 42790608.</w:t>
      </w:r>
    </w:p>
  </w:footnote>
  <w:footnote w:id="2462">
    <w:p>
      <w:pPr>
        <w:pStyle w:val="FootnoteText"/>
      </w:pPr>
      <w:r>
        <w:rPr>
          <w:rStyle w:val="FootnoteReference"/>
        </w:rPr>
        <w:footnoteRef/>
      </w:r>
      <w:r>
        <w:t xml:space="preserve"> </w:t>
      </w:r>
      <w:r>
        <w:t xml:space="preserve">Nukaly 2026, PMID 41924746.</w:t>
      </w:r>
    </w:p>
  </w:footnote>
  <w:footnote w:id="2463">
    <w:p>
      <w:pPr>
        <w:pStyle w:val="FootnoteText"/>
      </w:pPr>
      <w:r>
        <w:rPr>
          <w:rStyle w:val="FootnoteReference"/>
        </w:rPr>
        <w:footnoteRef/>
      </w:r>
      <w:r>
        <w:t xml:space="preserve"> </w:t>
      </w:r>
      <w:r>
        <w:t xml:space="preserve">Mayfield 2026, PMID 41476424.</w:t>
      </w:r>
    </w:p>
  </w:footnote>
  <w:footnote w:id="2464">
    <w:p>
      <w:pPr>
        <w:pStyle w:val="FootnoteText"/>
      </w:pPr>
      <w:r>
        <w:rPr>
          <w:rStyle w:val="FootnoteReference"/>
        </w:rPr>
        <w:footnoteRef/>
      </w:r>
      <w:r>
        <w:t xml:space="preserve"> </w:t>
      </w:r>
      <w:r>
        <w:t xml:space="preserve">Mendias 2026, PMID 41966639.</w:t>
      </w:r>
    </w:p>
  </w:footnote>
  <w:footnote w:id="2466">
    <w:p>
      <w:pPr>
        <w:pStyle w:val="FootnoteText"/>
      </w:pPr>
      <w:r>
        <w:rPr>
          <w:rStyle w:val="FootnoteReference"/>
        </w:rPr>
        <w:footnoteRef/>
      </w:r>
      <w:r>
        <w:t xml:space="preserve"> </w:t>
      </w:r>
      <w:r>
        <w:t xml:space="preserve">Maquart 1988, PMID 3169264.</w:t>
      </w:r>
    </w:p>
  </w:footnote>
  <w:footnote w:id="2467">
    <w:p>
      <w:pPr>
        <w:pStyle w:val="FootnoteText"/>
      </w:pPr>
      <w:r>
        <w:rPr>
          <w:rStyle w:val="FootnoteReference"/>
        </w:rPr>
        <w:footnoteRef/>
      </w:r>
      <w:r>
        <w:t xml:space="preserve"> </w:t>
      </w:r>
      <w:r>
        <w:t xml:space="preserve">Canapp 2003, PMID 14648529.</w:t>
      </w:r>
    </w:p>
  </w:footnote>
  <w:footnote w:id="2468">
    <w:p>
      <w:pPr>
        <w:pStyle w:val="FootnoteText"/>
      </w:pPr>
      <w:r>
        <w:rPr>
          <w:rStyle w:val="FootnoteReference"/>
        </w:rPr>
        <w:footnoteRef/>
      </w:r>
      <w:r>
        <w:t xml:space="preserve"> </w:t>
      </w:r>
      <w:r>
        <w:t xml:space="preserve">Wang 2017, PMID 28370978.</w:t>
      </w:r>
    </w:p>
  </w:footnote>
  <w:footnote w:id="2469">
    <w:p>
      <w:pPr>
        <w:pStyle w:val="FootnoteText"/>
      </w:pPr>
      <w:r>
        <w:rPr>
          <w:rStyle w:val="FootnoteReference"/>
        </w:rPr>
        <w:footnoteRef/>
      </w:r>
      <w:r>
        <w:t xml:space="preserve"> </w:t>
      </w:r>
      <w:r>
        <w:t xml:space="preserve">Ma 2020, PMID 31809714.</w:t>
      </w:r>
    </w:p>
  </w:footnote>
  <w:footnote w:id="2470">
    <w:p>
      <w:pPr>
        <w:pStyle w:val="FootnoteText"/>
      </w:pPr>
      <w:r>
        <w:rPr>
          <w:rStyle w:val="FootnoteReference"/>
        </w:rPr>
        <w:footnoteRef/>
      </w:r>
      <w:r>
        <w:t xml:space="preserve"> </w:t>
      </w:r>
      <w:r>
        <w:t xml:space="preserve">Fu 2015, PMID 25731775.</w:t>
      </w:r>
    </w:p>
  </w:footnote>
  <w:footnote w:id="2471">
    <w:p>
      <w:pPr>
        <w:pStyle w:val="FootnoteText"/>
      </w:pPr>
      <w:r>
        <w:rPr>
          <w:rStyle w:val="FootnoteReference"/>
        </w:rPr>
        <w:footnoteRef/>
      </w:r>
      <w:r>
        <w:t xml:space="preserve"> </w:t>
      </w:r>
      <w:r>
        <w:t xml:space="preserve">Mazzola 2026, PMID 42245779.</w:t>
      </w:r>
    </w:p>
  </w:footnote>
  <w:footnote w:id="2473">
    <w:p>
      <w:pPr>
        <w:pStyle w:val="FootnoteText"/>
      </w:pPr>
      <w:r>
        <w:rPr>
          <w:rStyle w:val="FootnoteReference"/>
        </w:rPr>
        <w:footnoteRef/>
      </w:r>
      <w:r>
        <w:t xml:space="preserve"> </w:t>
      </w:r>
      <w:r>
        <w:t xml:space="preserve">Pickart 1980, PMID 7453802.</w:t>
      </w:r>
    </w:p>
  </w:footnote>
  <w:footnote w:id="2474">
    <w:p>
      <w:pPr>
        <w:pStyle w:val="FootnoteText"/>
      </w:pPr>
      <w:r>
        <w:rPr>
          <w:rStyle w:val="FootnoteReference"/>
        </w:rPr>
        <w:footnoteRef/>
      </w:r>
      <w:r>
        <w:t xml:space="preserve"> </w:t>
      </w:r>
      <w:r>
        <w:t xml:space="preserve">Moiz 2026, PMID 42757290.</w:t>
      </w:r>
    </w:p>
  </w:footnote>
  <w:footnote w:id="2477">
    <w:p>
      <w:pPr>
        <w:pStyle w:val="FootnoteText"/>
      </w:pPr>
      <w:r>
        <w:rPr>
          <w:rStyle w:val="FootnoteReference"/>
        </w:rPr>
        <w:footnoteRef/>
      </w:r>
      <w:r>
        <w:t xml:space="preserve"> </w:t>
      </w:r>
      <w:r>
        <w:t xml:space="preserve">NCT07706361.</w:t>
      </w:r>
    </w:p>
  </w:footnote>
  <w:footnote w:id="2482">
    <w:p>
      <w:pPr>
        <w:pStyle w:val="FootnoteText"/>
      </w:pPr>
      <w:r>
        <w:rPr>
          <w:rStyle w:val="FootnoteReference"/>
        </w:rPr>
        <w:footnoteRef/>
      </w:r>
      <w:r>
        <w:t xml:space="preserve"> </w:t>
      </w:r>
      <w:r>
        <w:t xml:space="preserve">Katayama 1993, PMID 8486721.</w:t>
      </w:r>
    </w:p>
  </w:footnote>
  <w:footnote w:id="2483">
    <w:p>
      <w:pPr>
        <w:pStyle w:val="FootnoteText"/>
      </w:pPr>
      <w:r>
        <w:rPr>
          <w:rStyle w:val="FootnoteReference"/>
        </w:rPr>
        <w:footnoteRef/>
      </w:r>
      <w:r>
        <w:t xml:space="preserve"> </w:t>
      </w:r>
      <w:r>
        <w:t xml:space="preserve">Jones 2013, PMID 23320752.</w:t>
      </w:r>
    </w:p>
  </w:footnote>
  <w:footnote w:id="2484">
    <w:p>
      <w:pPr>
        <w:pStyle w:val="FootnoteText"/>
      </w:pPr>
      <w:r>
        <w:rPr>
          <w:rStyle w:val="FootnoteReference"/>
        </w:rPr>
        <w:footnoteRef/>
      </w:r>
      <w:r>
        <w:t xml:space="preserve"> </w:t>
      </w:r>
      <w:r>
        <w:t xml:space="preserve">Trzaska 2026, PMID 42790608.</w:t>
      </w:r>
    </w:p>
  </w:footnote>
  <w:footnote w:id="2486">
    <w:p>
      <w:pPr>
        <w:pStyle w:val="FootnoteText"/>
      </w:pPr>
      <w:r>
        <w:rPr>
          <w:rStyle w:val="FootnoteReference"/>
        </w:rPr>
        <w:footnoteRef/>
      </w:r>
      <w:r>
        <w:t xml:space="preserve"> </w:t>
      </w:r>
      <w:r>
        <w:t xml:space="preserve">Kaczvinsky 2009, PMID 19735523.</w:t>
      </w:r>
    </w:p>
  </w:footnote>
  <w:footnote w:id="2487">
    <w:p>
      <w:pPr>
        <w:pStyle w:val="FootnoteText"/>
      </w:pPr>
      <w:r>
        <w:rPr>
          <w:rStyle w:val="FootnoteReference"/>
        </w:rPr>
        <w:footnoteRef/>
      </w:r>
      <w:r>
        <w:t xml:space="preserve"> </w:t>
      </w:r>
      <w:r>
        <w:t xml:space="preserve">Nukaly 2026, PMID 41924746.</w:t>
      </w:r>
    </w:p>
  </w:footnote>
  <w:footnote w:id="2489">
    <w:p>
      <w:pPr>
        <w:pStyle w:val="FootnoteText"/>
      </w:pPr>
      <w:r>
        <w:rPr>
          <w:rStyle w:val="FootnoteReference"/>
        </w:rPr>
        <w:footnoteRef/>
      </w:r>
      <w:r>
        <w:t xml:space="preserve"> </w:t>
      </w:r>
      <w:r>
        <w:t xml:space="preserve">Katayama 1993, PMID 8486721; Jones 2013, PMID 23320752.</w:t>
      </w:r>
    </w:p>
  </w:footnote>
  <w:footnote w:id="2490">
    <w:p>
      <w:pPr>
        <w:pStyle w:val="FootnoteText"/>
      </w:pPr>
      <w:r>
        <w:rPr>
          <w:rStyle w:val="FootnoteReference"/>
        </w:rPr>
        <w:footnoteRef/>
      </w:r>
      <w:r>
        <w:t xml:space="preserve"> </w:t>
      </w:r>
      <w:r>
        <w:t xml:space="preserve">Park 2017, PMID 30603464.</w:t>
      </w:r>
    </w:p>
  </w:footnote>
  <w:footnote w:id="2491">
    <w:p>
      <w:pPr>
        <w:pStyle w:val="FootnoteText"/>
      </w:pPr>
      <w:r>
        <w:rPr>
          <w:rStyle w:val="FootnoteReference"/>
        </w:rPr>
        <w:footnoteRef/>
      </w:r>
      <w:r>
        <w:t xml:space="preserve"> </w:t>
      </w:r>
      <w:r>
        <w:t xml:space="preserve">Kachooeian 2022, PMID 35874243.</w:t>
      </w:r>
    </w:p>
  </w:footnote>
  <w:footnote w:id="2493">
    <w:p>
      <w:pPr>
        <w:pStyle w:val="FootnoteText"/>
      </w:pPr>
      <w:r>
        <w:rPr>
          <w:rStyle w:val="FootnoteReference"/>
        </w:rPr>
        <w:footnoteRef/>
      </w:r>
      <w:r>
        <w:t xml:space="preserve"> </w:t>
      </w:r>
      <w:r>
        <w:t xml:space="preserve">Röper 2004, PMID 15127162.</w:t>
      </w:r>
    </w:p>
  </w:footnote>
  <w:footnote w:id="2494">
    <w:p>
      <w:pPr>
        <w:pStyle w:val="FootnoteText"/>
      </w:pPr>
      <w:r>
        <w:rPr>
          <w:rStyle w:val="FootnoteReference"/>
        </w:rPr>
        <w:footnoteRef/>
      </w:r>
      <w:r>
        <w:t xml:space="preserve"> </w:t>
      </w:r>
      <w:r>
        <w:t xml:space="preserve">Bjerke 2026, PMID 41953401.</w:t>
      </w:r>
    </w:p>
  </w:footnote>
  <w:footnote w:id="2501">
    <w:p>
      <w:pPr>
        <w:pStyle w:val="FootnoteText"/>
      </w:pPr>
      <w:r>
        <w:rPr>
          <w:rStyle w:val="FootnoteReference"/>
        </w:rPr>
        <w:footnoteRef/>
      </w:r>
      <w:r>
        <w:t xml:space="preserve"> </w:t>
      </w:r>
      <w:r>
        <w:t xml:space="preserve">Blanes-Mira 2002, PMID 18498523.</w:t>
      </w:r>
    </w:p>
  </w:footnote>
  <w:footnote w:id="2502">
    <w:p>
      <w:pPr>
        <w:pStyle w:val="FootnoteText"/>
      </w:pPr>
      <w:r>
        <w:rPr>
          <w:rStyle w:val="FootnoteReference"/>
        </w:rPr>
        <w:footnoteRef/>
      </w:r>
      <w:r>
        <w:t xml:space="preserve"> </w:t>
      </w:r>
      <w:r>
        <w:t xml:space="preserve">Kraeling 2015, PMID 24754410.</w:t>
      </w:r>
    </w:p>
  </w:footnote>
  <w:footnote w:id="2503">
    <w:p>
      <w:pPr>
        <w:pStyle w:val="FootnoteText"/>
      </w:pPr>
      <w:r>
        <w:rPr>
          <w:rStyle w:val="FootnoteReference"/>
        </w:rPr>
        <w:footnoteRef/>
      </w:r>
      <w:r>
        <w:t xml:space="preserve"> </w:t>
      </w:r>
      <w:r>
        <w:t xml:space="preserve">Zdrada-Nowak 2025, PMID 40565185.</w:t>
      </w:r>
    </w:p>
  </w:footnote>
  <w:footnote w:id="2505">
    <w:p>
      <w:pPr>
        <w:pStyle w:val="FootnoteText"/>
      </w:pPr>
      <w:r>
        <w:rPr>
          <w:rStyle w:val="FootnoteReference"/>
        </w:rPr>
        <w:footnoteRef/>
      </w:r>
      <w:r>
        <w:t xml:space="preserve"> </w:t>
      </w:r>
      <w:r>
        <w:t xml:space="preserve">Wang 2013, PMID 23607739.</w:t>
      </w:r>
    </w:p>
  </w:footnote>
  <w:footnote w:id="2506">
    <w:p>
      <w:pPr>
        <w:pStyle w:val="FootnoteText"/>
      </w:pPr>
      <w:r>
        <w:rPr>
          <w:rStyle w:val="FootnoteReference"/>
        </w:rPr>
        <w:footnoteRef/>
      </w:r>
      <w:r>
        <w:t xml:space="preserve"> </w:t>
      </w:r>
      <w:r>
        <w:t xml:space="preserve">NCT01750346.</w:t>
      </w:r>
    </w:p>
  </w:footnote>
  <w:footnote w:id="2507">
    <w:p>
      <w:pPr>
        <w:pStyle w:val="FootnoteText"/>
      </w:pPr>
      <w:r>
        <w:rPr>
          <w:rStyle w:val="FootnoteReference"/>
        </w:rPr>
        <w:footnoteRef/>
      </w:r>
      <w:r>
        <w:t xml:space="preserve"> </w:t>
      </w:r>
      <w:r>
        <w:t xml:space="preserve">An 2019, PMID 33911590.</w:t>
      </w:r>
    </w:p>
  </w:footnote>
  <w:footnote w:id="2508">
    <w:p>
      <w:pPr>
        <w:pStyle w:val="FootnoteText"/>
      </w:pPr>
      <w:r>
        <w:rPr>
          <w:rStyle w:val="FootnoteReference"/>
        </w:rPr>
        <w:footnoteRef/>
      </w:r>
      <w:r>
        <w:t xml:space="preserve"> </w:t>
      </w:r>
      <w:r>
        <w:t xml:space="preserve">NCT02597777.</w:t>
      </w:r>
    </w:p>
  </w:footnote>
  <w:footnote w:id="2509">
    <w:p>
      <w:pPr>
        <w:pStyle w:val="FootnoteText"/>
      </w:pPr>
      <w:r>
        <w:rPr>
          <w:rStyle w:val="FootnoteReference"/>
        </w:rPr>
        <w:footnoteRef/>
      </w:r>
      <w:r>
        <w:t xml:space="preserve"> </w:t>
      </w:r>
      <w:r>
        <w:t xml:space="preserve">NCT01381484.</w:t>
      </w:r>
    </w:p>
  </w:footnote>
  <w:footnote w:id="2512">
    <w:p>
      <w:pPr>
        <w:pStyle w:val="FootnoteText"/>
      </w:pPr>
      <w:r>
        <w:rPr>
          <w:rStyle w:val="FootnoteReference"/>
        </w:rPr>
        <w:footnoteRef/>
      </w:r>
      <w:r>
        <w:t xml:space="preserve"> </w:t>
      </w:r>
      <w:r>
        <w:t xml:space="preserve">Blanes-Mira 2002, PMID 18498523.</w:t>
      </w:r>
    </w:p>
  </w:footnote>
  <w:footnote w:id="2513">
    <w:p>
      <w:pPr>
        <w:pStyle w:val="FootnoteText"/>
      </w:pPr>
      <w:r>
        <w:rPr>
          <w:rStyle w:val="FootnoteReference"/>
        </w:rPr>
        <w:footnoteRef/>
      </w:r>
      <w:r>
        <w:t xml:space="preserve"> </w:t>
      </w:r>
      <w:r>
        <w:t xml:space="preserve">Grosicki 2014, PMID 24644551.</w:t>
      </w:r>
    </w:p>
  </w:footnote>
  <w:footnote w:id="2514">
    <w:p>
      <w:pPr>
        <w:pStyle w:val="FootnoteText"/>
      </w:pPr>
      <w:r>
        <w:rPr>
          <w:rStyle w:val="FootnoteReference"/>
        </w:rPr>
        <w:footnoteRef/>
      </w:r>
      <w:r>
        <w:t xml:space="preserve"> </w:t>
      </w:r>
      <w:r>
        <w:t xml:space="preserve">Wang 2013, PMID 23464592.</w:t>
      </w:r>
    </w:p>
  </w:footnote>
  <w:footnote w:id="2515">
    <w:p>
      <w:pPr>
        <w:pStyle w:val="FootnoteText"/>
      </w:pPr>
      <w:r>
        <w:rPr>
          <w:rStyle w:val="FootnoteReference"/>
        </w:rPr>
        <w:footnoteRef/>
      </w:r>
      <w:r>
        <w:t xml:space="preserve"> </w:t>
      </w:r>
      <w:r>
        <w:t xml:space="preserve">Kraeling 2015, PMID 24754410.</w:t>
      </w:r>
    </w:p>
  </w:footnote>
  <w:footnote w:id="2517">
    <w:p>
      <w:pPr>
        <w:pStyle w:val="FootnoteText"/>
      </w:pPr>
      <w:r>
        <w:rPr>
          <w:rStyle w:val="FootnoteReference"/>
        </w:rPr>
        <w:footnoteRef/>
      </w:r>
      <w:r>
        <w:t xml:space="preserve"> </w:t>
      </w:r>
      <w:r>
        <w:t xml:space="preserve">Johnson 2025, PMID 40673537.</w:t>
      </w:r>
    </w:p>
  </w:footnote>
  <w:footnote w:id="2518">
    <w:p>
      <w:pPr>
        <w:pStyle w:val="FootnoteText"/>
      </w:pPr>
      <w:r>
        <w:rPr>
          <w:rStyle w:val="FootnoteReference"/>
        </w:rPr>
        <w:footnoteRef/>
      </w:r>
      <w:r>
        <w:t xml:space="preserve"> </w:t>
      </w:r>
      <w:r>
        <w:t xml:space="preserve">Chen 2021, PMID 33748252.</w:t>
      </w:r>
    </w:p>
  </w:footnote>
  <w:footnote w:id="2539">
    <w:p>
      <w:pPr>
        <w:pStyle w:val="FootnoteText"/>
      </w:pPr>
      <w:r>
        <w:rPr>
          <w:rStyle w:val="FootnoteReference"/>
        </w:rPr>
        <w:footnoteRef/>
      </w:r>
      <w:r>
        <w:t xml:space="preserve"> </w:t>
      </w:r>
      <w:r>
        <w:t xml:space="preserve">Gao 2026, PMID 42251595.</w:t>
      </w:r>
    </w:p>
  </w:footnote>
  <w:footnote w:id="2540">
    <w:p>
      <w:pPr>
        <w:pStyle w:val="FootnoteText"/>
      </w:pPr>
      <w:r>
        <w:rPr>
          <w:rStyle w:val="FootnoteReference"/>
        </w:rPr>
        <w:footnoteRef/>
      </w:r>
      <w:r>
        <w:t xml:space="preserve"> </w:t>
      </w:r>
      <w:r>
        <w:t xml:space="preserve">NCT06662383.</w:t>
      </w:r>
    </w:p>
  </w:footnote>
  <w:footnote w:id="2542">
    <w:p>
      <w:pPr>
        <w:pStyle w:val="FootnoteText"/>
      </w:pPr>
      <w:r>
        <w:rPr>
          <w:rStyle w:val="FootnoteReference"/>
        </w:rPr>
        <w:footnoteRef/>
      </w:r>
      <w:r>
        <w:t xml:space="preserve"> </w:t>
      </w:r>
      <w:r>
        <w:t xml:space="preserve">Rubino 2021, PMID 33755728.</w:t>
      </w:r>
    </w:p>
  </w:footnote>
  <w:footnote w:id="2543">
    <w:p>
      <w:pPr>
        <w:pStyle w:val="FootnoteText"/>
      </w:pPr>
      <w:r>
        <w:rPr>
          <w:rStyle w:val="FootnoteReference"/>
        </w:rPr>
        <w:footnoteRef/>
      </w:r>
      <w:r>
        <w:t xml:space="preserve"> </w:t>
      </w:r>
      <w:r>
        <w:t xml:space="preserve">Aronne 2024, PMID 38078870.</w:t>
      </w:r>
    </w:p>
  </w:footnote>
  <w:footnote w:id="2546">
    <w:p>
      <w:pPr>
        <w:pStyle w:val="FootnoteText"/>
      </w:pPr>
      <w:r>
        <w:rPr>
          <w:rStyle w:val="FootnoteReference"/>
        </w:rPr>
        <w:footnoteRef/>
      </w:r>
      <w:r>
        <w:t xml:space="preserve"> </w:t>
      </w:r>
      <w:r>
        <w:t xml:space="preserve">Edelman 2006, PMID 17003291.</w:t>
      </w:r>
    </w:p>
  </w:footnote>
  <w:footnote w:id="2548">
    <w:p>
      <w:pPr>
        <w:pStyle w:val="FootnoteText"/>
      </w:pPr>
      <w:r>
        <w:rPr>
          <w:rStyle w:val="FootnoteReference"/>
        </w:rPr>
        <w:footnoteRef/>
      </w:r>
      <w:r>
        <w:t xml:space="preserve"> </w:t>
      </w:r>
      <w:r>
        <w:t xml:space="preserve">Kristensen 2019, PMID 31422062.</w:t>
      </w:r>
    </w:p>
  </w:footnote>
  <w:footnote w:id="2549">
    <w:p>
      <w:pPr>
        <w:pStyle w:val="FootnoteText"/>
      </w:pPr>
      <w:r>
        <w:rPr>
          <w:rStyle w:val="FootnoteReference"/>
        </w:rPr>
        <w:footnoteRef/>
      </w:r>
      <w:r>
        <w:t xml:space="preserve"> </w:t>
      </w:r>
      <w:r>
        <w:t xml:space="preserve">Kosiborod 2023, PMID 37622681.</w:t>
      </w:r>
    </w:p>
  </w:footnote>
  <w:footnote w:id="2550">
    <w:p>
      <w:pPr>
        <w:pStyle w:val="FootnoteText"/>
      </w:pPr>
      <w:r>
        <w:rPr>
          <w:rStyle w:val="FootnoteReference"/>
        </w:rPr>
        <w:footnoteRef/>
      </w:r>
      <w:r>
        <w:t xml:space="preserve"> </w:t>
      </w:r>
      <w:r>
        <w:t xml:space="preserve">NCT05556512.</w:t>
      </w:r>
    </w:p>
  </w:footnote>
  <w:footnote w:id="2551">
    <w:p>
      <w:pPr>
        <w:pStyle w:val="FootnoteText"/>
      </w:pPr>
      <w:r>
        <w:rPr>
          <w:rStyle w:val="FootnoteReference"/>
        </w:rPr>
        <w:footnoteRef/>
      </w:r>
      <w:r>
        <w:t xml:space="preserve"> </w:t>
      </w:r>
      <w:r>
        <w:t xml:space="preserve">NCT06383390.</w:t>
      </w:r>
    </w:p>
  </w:footnote>
  <w:footnote w:id="2552">
    <w:p>
      <w:pPr>
        <w:pStyle w:val="FootnoteText"/>
      </w:pPr>
      <w:r>
        <w:rPr>
          <w:rStyle w:val="FootnoteReference"/>
        </w:rPr>
        <w:footnoteRef/>
      </w:r>
      <w:r>
        <w:t xml:space="preserve"> </w:t>
      </w:r>
      <w:r>
        <w:t xml:space="preserve">NCT05669755.</w:t>
      </w:r>
    </w:p>
  </w:footnote>
  <w:footnote w:id="2553">
    <w:p>
      <w:pPr>
        <w:pStyle w:val="FootnoteText"/>
      </w:pPr>
      <w:r>
        <w:rPr>
          <w:rStyle w:val="FootnoteReference"/>
        </w:rPr>
        <w:footnoteRef/>
      </w:r>
      <w:r>
        <w:t xml:space="preserve"> </w:t>
      </w:r>
      <w:r>
        <w:t xml:space="preserve">NCT07037433.</w:t>
      </w:r>
    </w:p>
  </w:footnote>
  <w:footnote w:id="2554">
    <w:p>
      <w:pPr>
        <w:pStyle w:val="FootnoteText"/>
      </w:pPr>
      <w:r>
        <w:rPr>
          <w:rStyle w:val="FootnoteReference"/>
        </w:rPr>
        <w:footnoteRef/>
      </w:r>
      <w:r>
        <w:t xml:space="preserve"> </w:t>
      </w:r>
      <w:r>
        <w:t xml:space="preserve">NCT07241390.</w:t>
      </w:r>
    </w:p>
  </w:footnote>
  <w:footnote w:id="2556">
    <w:p>
      <w:pPr>
        <w:pStyle w:val="FootnoteText"/>
      </w:pPr>
      <w:r>
        <w:rPr>
          <w:rStyle w:val="FootnoteReference"/>
        </w:rPr>
        <w:footnoteRef/>
      </w:r>
      <w:r>
        <w:t xml:space="preserve"> </w:t>
      </w:r>
      <w:r>
        <w:t xml:space="preserve">Perkovic 2024, PMID 38785209.</w:t>
      </w:r>
    </w:p>
  </w:footnote>
  <w:footnote w:id="2557">
    <w:p>
      <w:pPr>
        <w:pStyle w:val="FootnoteText"/>
      </w:pPr>
      <w:r>
        <w:rPr>
          <w:rStyle w:val="FootnoteReference"/>
        </w:rPr>
        <w:footnoteRef/>
      </w:r>
      <w:r>
        <w:t xml:space="preserve"> </w:t>
      </w:r>
      <w:r>
        <w:t xml:space="preserve">Mann 2017, PMID 28854085.</w:t>
      </w:r>
    </w:p>
  </w:footnote>
  <w:footnote w:id="2558">
    <w:p>
      <w:pPr>
        <w:pStyle w:val="FootnoteText"/>
      </w:pPr>
      <w:r>
        <w:rPr>
          <w:rStyle w:val="FootnoteReference"/>
        </w:rPr>
        <w:footnoteRef/>
      </w:r>
      <w:r>
        <w:t xml:space="preserve"> </w:t>
      </w:r>
      <w:r>
        <w:t xml:space="preserve">Gerstein 2019, PMID 31189509.</w:t>
      </w:r>
    </w:p>
  </w:footnote>
  <w:footnote w:id="2559">
    <w:p>
      <w:pPr>
        <w:pStyle w:val="FootnoteText"/>
      </w:pPr>
      <w:r>
        <w:rPr>
          <w:rStyle w:val="FootnoteReference"/>
        </w:rPr>
        <w:footnoteRef/>
      </w:r>
      <w:r>
        <w:t xml:space="preserve"> </w:t>
      </w:r>
      <w:r>
        <w:t xml:space="preserve">Kristensen 2019, PMID 31422062.</w:t>
      </w:r>
    </w:p>
  </w:footnote>
  <w:footnote w:id="2560">
    <w:p>
      <w:pPr>
        <w:pStyle w:val="FootnoteText"/>
      </w:pPr>
      <w:r>
        <w:rPr>
          <w:rStyle w:val="FootnoteReference"/>
        </w:rPr>
        <w:footnoteRef/>
      </w:r>
      <w:r>
        <w:t xml:space="preserve"> </w:t>
      </w:r>
      <w:r>
        <w:t xml:space="preserve">McGuire 2025, PMID 40162642.</w:t>
      </w:r>
    </w:p>
  </w:footnote>
  <w:footnote w:id="2561">
    <w:p>
      <w:pPr>
        <w:pStyle w:val="FootnoteText"/>
      </w:pPr>
      <w:r>
        <w:rPr>
          <w:rStyle w:val="FootnoteReference"/>
        </w:rPr>
        <w:footnoteRef/>
      </w:r>
      <w:r>
        <w:t xml:space="preserve"> </w:t>
      </w:r>
      <w:r>
        <w:t xml:space="preserve">NCT06632444.</w:t>
      </w:r>
    </w:p>
  </w:footnote>
  <w:footnote w:id="2562">
    <w:p>
      <w:pPr>
        <w:pStyle w:val="FootnoteText"/>
      </w:pPr>
      <w:r>
        <w:rPr>
          <w:rStyle w:val="FootnoteReference"/>
        </w:rPr>
        <w:footnoteRef/>
      </w:r>
      <w:r>
        <w:t xml:space="preserve"> </w:t>
      </w:r>
      <w:r>
        <w:t xml:space="preserve">NCT06632457.</w:t>
      </w:r>
    </w:p>
  </w:footnote>
  <w:footnote w:id="2564">
    <w:p>
      <w:pPr>
        <w:pStyle w:val="FootnoteText"/>
      </w:pPr>
      <w:r>
        <w:rPr>
          <w:rStyle w:val="FootnoteReference"/>
        </w:rPr>
        <w:footnoteRef/>
      </w:r>
      <w:r>
        <w:t xml:space="preserve"> </w:t>
      </w:r>
      <w:r>
        <w:t xml:space="preserve">Buse 2013, PMID 23141817.</w:t>
      </w:r>
    </w:p>
  </w:footnote>
  <w:footnote w:id="2565">
    <w:p>
      <w:pPr>
        <w:pStyle w:val="FootnoteText"/>
      </w:pPr>
      <w:r>
        <w:rPr>
          <w:rStyle w:val="FootnoteReference"/>
        </w:rPr>
        <w:footnoteRef/>
      </w:r>
      <w:r>
        <w:t xml:space="preserve"> </w:t>
      </w:r>
      <w:r>
        <w:t xml:space="preserve">Rubino 2022, PMID 35015037.</w:t>
      </w:r>
    </w:p>
  </w:footnote>
  <w:footnote w:id="2566">
    <w:p>
      <w:pPr>
        <w:pStyle w:val="FootnoteText"/>
      </w:pPr>
      <w:r>
        <w:rPr>
          <w:rStyle w:val="FootnoteReference"/>
        </w:rPr>
        <w:footnoteRef/>
      </w:r>
      <w:r>
        <w:t xml:space="preserve"> </w:t>
      </w:r>
      <w:r>
        <w:t xml:space="preserve">Frías 2021, PMID 34170647.</w:t>
      </w:r>
    </w:p>
  </w:footnote>
  <w:footnote w:id="2567">
    <w:p>
      <w:pPr>
        <w:pStyle w:val="FootnoteText"/>
      </w:pPr>
      <w:r>
        <w:rPr>
          <w:rStyle w:val="FootnoteReference"/>
        </w:rPr>
        <w:footnoteRef/>
      </w:r>
      <w:r>
        <w:t xml:space="preserve"> </w:t>
      </w:r>
      <w:r>
        <w:t xml:space="preserve">Yamauchi 2026, PMID 42009015.</w:t>
      </w:r>
    </w:p>
  </w:footnote>
  <w:footnote w:id="2568">
    <w:p>
      <w:pPr>
        <w:pStyle w:val="FootnoteText"/>
      </w:pPr>
      <w:r>
        <w:rPr>
          <w:rStyle w:val="FootnoteReference"/>
        </w:rPr>
        <w:footnoteRef/>
      </w:r>
      <w:r>
        <w:t xml:space="preserve"> </w:t>
      </w:r>
      <w:r>
        <w:t xml:space="preserve">Hsia 2026, PMID 42628555.</w:t>
      </w:r>
    </w:p>
  </w:footnote>
  <w:footnote w:id="2569">
    <w:p>
      <w:pPr>
        <w:pStyle w:val="FootnoteText"/>
      </w:pPr>
      <w:r>
        <w:rPr>
          <w:rStyle w:val="FootnoteReference"/>
        </w:rPr>
        <w:footnoteRef/>
      </w:r>
      <w:r>
        <w:t xml:space="preserve"> </w:t>
      </w:r>
      <w:r>
        <w:t xml:space="preserve">Kristensen 2019, PMID 31422062.</w:t>
      </w:r>
    </w:p>
  </w:footnote>
  <w:footnote w:id="2570">
    <w:p>
      <w:pPr>
        <w:pStyle w:val="FootnoteText"/>
      </w:pPr>
      <w:r>
        <w:rPr>
          <w:rStyle w:val="FootnoteReference"/>
        </w:rPr>
        <w:footnoteRef/>
      </w:r>
      <w:r>
        <w:t xml:space="preserve"> </w:t>
      </w:r>
      <w:r>
        <w:t xml:space="preserve">Sodhi 2023, PMID 37796527.</w:t>
      </w:r>
    </w:p>
  </w:footnote>
  <w:footnote w:id="2571">
    <w:p>
      <w:pPr>
        <w:pStyle w:val="FootnoteText"/>
      </w:pPr>
      <w:r>
        <w:rPr>
          <w:rStyle w:val="FootnoteReference"/>
        </w:rPr>
        <w:footnoteRef/>
      </w:r>
      <w:r>
        <w:t xml:space="preserve"> </w:t>
      </w:r>
      <w:r>
        <w:t xml:space="preserve">Silverii 2025, PMID 40437949.</w:t>
      </w:r>
    </w:p>
  </w:footnote>
  <w:footnote w:id="2572">
    <w:p>
      <w:pPr>
        <w:pStyle w:val="FootnoteText"/>
      </w:pPr>
      <w:r>
        <w:rPr>
          <w:rStyle w:val="FootnoteReference"/>
        </w:rPr>
        <w:footnoteRef/>
      </w:r>
      <w:r>
        <w:t xml:space="preserve"> </w:t>
      </w:r>
      <w:r>
        <w:t xml:space="preserve">Simonsen 2025, PMID 40098249.</w:t>
      </w:r>
    </w:p>
  </w:footnote>
  <w:footnote w:id="2573">
    <w:p>
      <w:pPr>
        <w:pStyle w:val="FootnoteText"/>
      </w:pPr>
      <w:r>
        <w:rPr>
          <w:rStyle w:val="FootnoteReference"/>
        </w:rPr>
        <w:footnoteRef/>
      </w:r>
      <w:r>
        <w:t xml:space="preserve"> </w:t>
      </w:r>
      <w:r>
        <w:t xml:space="preserve">Look 2025, PMID 39996356.</w:t>
      </w:r>
    </w:p>
  </w:footnote>
  <w:footnote w:id="2575">
    <w:p>
      <w:pPr>
        <w:pStyle w:val="FootnoteText"/>
      </w:pPr>
      <w:r>
        <w:rPr>
          <w:rStyle w:val="FootnoteReference"/>
        </w:rPr>
        <w:footnoteRef/>
      </w:r>
      <w:r>
        <w:t xml:space="preserve"> </w:t>
      </w:r>
      <w:r>
        <w:t xml:space="preserve">NCT06662383.</w:t>
      </w:r>
    </w:p>
  </w:footnote>
  <w:footnote w:id="2576">
    <w:p>
      <w:pPr>
        <w:pStyle w:val="FootnoteText"/>
      </w:pPr>
      <w:r>
        <w:rPr>
          <w:rStyle w:val="FootnoteReference"/>
        </w:rPr>
        <w:footnoteRef/>
      </w:r>
      <w:r>
        <w:t xml:space="preserve"> </w:t>
      </w:r>
      <w:r>
        <w:t xml:space="preserve">NCT06184568, NCT06884293.</w:t>
      </w:r>
    </w:p>
  </w:footnote>
  <w:footnote w:id="2581">
    <w:p>
      <w:pPr>
        <w:pStyle w:val="FootnoteText"/>
      </w:pPr>
      <w:r>
        <w:rPr>
          <w:rStyle w:val="FootnoteReference"/>
        </w:rPr>
        <w:footnoteRef/>
      </w:r>
      <w:r>
        <w:t xml:space="preserve"> </w:t>
      </w:r>
      <w:r>
        <w:t xml:space="preserve">Porsteinsson 2025, PMID 41393340.</w:t>
      </w:r>
    </w:p>
  </w:footnote>
  <w:footnote w:id="2583">
    <w:p>
      <w:pPr>
        <w:pStyle w:val="FootnoteText"/>
      </w:pPr>
      <w:r>
        <w:rPr>
          <w:rStyle w:val="FootnoteReference"/>
        </w:rPr>
        <w:footnoteRef/>
      </w:r>
      <w:r>
        <w:t xml:space="preserve"> </w:t>
      </w:r>
      <w:r>
        <w:t xml:space="preserve">Nass 2008, PMID 18981485.</w:t>
      </w:r>
    </w:p>
  </w:footnote>
  <w:footnote w:id="2585">
    <w:p>
      <w:pPr>
        <w:pStyle w:val="FootnoteText"/>
      </w:pPr>
      <w:r>
        <w:rPr>
          <w:rStyle w:val="FootnoteReference"/>
        </w:rPr>
        <w:footnoteRef/>
      </w:r>
      <w:r>
        <w:t xml:space="preserve"> </w:t>
      </w:r>
      <w:r>
        <w:t xml:space="preserve">Gajda 2019, PMID 30136411.</w:t>
      </w:r>
    </w:p>
  </w:footnote>
  <w:footnote w:id="2587">
    <w:p>
      <w:pPr>
        <w:pStyle w:val="FootnoteText"/>
      </w:pPr>
      <w:r>
        <w:rPr>
          <w:rStyle w:val="FootnoteReference"/>
        </w:rPr>
        <w:footnoteRef/>
      </w:r>
      <w:r>
        <w:t xml:space="preserve"> </w:t>
      </w:r>
      <w:r>
        <w:t xml:space="preserve">Beck 2014, PMID 25331030.</w:t>
      </w:r>
    </w:p>
  </w:footnote>
  <w:footnote w:id="2588">
    <w:p>
      <w:pPr>
        <w:pStyle w:val="FootnoteText"/>
      </w:pPr>
      <w:r>
        <w:rPr>
          <w:rStyle w:val="FootnoteReference"/>
        </w:rPr>
        <w:footnoteRef/>
      </w:r>
      <w:r>
        <w:t xml:space="preserve"> </w:t>
      </w:r>
      <w:r>
        <w:t xml:space="preserve">Leal 2014, PMID 24619793.</w:t>
      </w:r>
    </w:p>
  </w:footnote>
  <w:footnote w:id="2589">
    <w:p>
      <w:pPr>
        <w:pStyle w:val="FootnoteText"/>
      </w:pPr>
      <w:r>
        <w:rPr>
          <w:rStyle w:val="FootnoteReference"/>
        </w:rPr>
        <w:footnoteRef/>
      </w:r>
      <w:r>
        <w:t xml:space="preserve"> </w:t>
      </w:r>
      <w:r>
        <w:t xml:space="preserve">Myung 2025, PMID 40324552.</w:t>
      </w:r>
    </w:p>
  </w:footnote>
  <w:footnote w:id="2592">
    <w:p>
      <w:pPr>
        <w:pStyle w:val="FootnoteText"/>
      </w:pPr>
      <w:r>
        <w:rPr>
          <w:rStyle w:val="FootnoteReference"/>
        </w:rPr>
        <w:footnoteRef/>
      </w:r>
      <w:r>
        <w:t xml:space="preserve"> </w:t>
      </w:r>
      <w:r>
        <w:t xml:space="preserve">Breindahl 2015, PMID 24771717.</w:t>
      </w:r>
    </w:p>
  </w:footnote>
  <w:footnote w:id="2604">
    <w:p>
      <w:pPr>
        <w:pStyle w:val="FootnoteText"/>
      </w:pPr>
      <w:r>
        <w:rPr>
          <w:rStyle w:val="FootnoteReference"/>
        </w:rPr>
        <w:footnoteRef/>
      </w:r>
      <w:r>
        <w:t xml:space="preserve"> </w:t>
      </w:r>
      <w:r>
        <w:t xml:space="preserve">Simonsen 2025, PMID 40098249.</w:t>
      </w:r>
    </w:p>
  </w:footnote>
  <w:footnote w:id="2605">
    <w:p>
      <w:pPr>
        <w:pStyle w:val="FootnoteText"/>
      </w:pPr>
      <w:r>
        <w:rPr>
          <w:rStyle w:val="FootnoteReference"/>
        </w:rPr>
        <w:footnoteRef/>
      </w:r>
      <w:r>
        <w:t xml:space="preserve"> </w:t>
      </w:r>
      <w:r>
        <w:t xml:space="preserve">Yang 2026, PMID 41915388.</w:t>
      </w:r>
    </w:p>
  </w:footnote>
  <w:footnote w:id="2606">
    <w:p>
      <w:pPr>
        <w:pStyle w:val="FootnoteText"/>
      </w:pPr>
      <w:r>
        <w:rPr>
          <w:rStyle w:val="FootnoteReference"/>
        </w:rPr>
        <w:footnoteRef/>
      </w:r>
      <w:r>
        <w:t xml:space="preserve"> </w:t>
      </w:r>
      <w:r>
        <w:t xml:space="preserve">Ismaiel 2025, PMID 40804463.</w:t>
      </w:r>
    </w:p>
  </w:footnote>
  <w:footnote w:id="2607">
    <w:p>
      <w:pPr>
        <w:pStyle w:val="FootnoteText"/>
      </w:pPr>
      <w:r>
        <w:rPr>
          <w:rStyle w:val="FootnoteReference"/>
        </w:rPr>
        <w:footnoteRef/>
      </w:r>
      <w:r>
        <w:t xml:space="preserve"> </w:t>
      </w:r>
      <w:r>
        <w:t xml:space="preserve">Sanyal 2024, PMID 38847460.</w:t>
      </w:r>
    </w:p>
  </w:footnote>
  <w:footnote w:id="2608">
    <w:p>
      <w:pPr>
        <w:pStyle w:val="FootnoteText"/>
      </w:pPr>
      <w:r>
        <w:rPr>
          <w:rStyle w:val="FootnoteReference"/>
        </w:rPr>
        <w:footnoteRef/>
      </w:r>
      <w:r>
        <w:t xml:space="preserve"> </w:t>
      </w:r>
      <w:r>
        <w:t xml:space="preserve">Clayton 2022, PMID 35147466.</w:t>
      </w:r>
    </w:p>
  </w:footnote>
  <w:footnote w:id="2609">
    <w:p>
      <w:pPr>
        <w:pStyle w:val="FootnoteText"/>
      </w:pPr>
      <w:r>
        <w:rPr>
          <w:rStyle w:val="FootnoteReference"/>
        </w:rPr>
        <w:footnoteRef/>
      </w:r>
      <w:r>
        <w:t xml:space="preserve"> </w:t>
      </w:r>
      <w:r>
        <w:t xml:space="preserve">Edelman 2006, PMID 17003291.</w:t>
      </w:r>
    </w:p>
  </w:footnote>
  <w:footnote w:id="2610">
    <w:p>
      <w:pPr>
        <w:pStyle w:val="FootnoteText"/>
      </w:pPr>
      <w:r>
        <w:rPr>
          <w:rStyle w:val="FootnoteReference"/>
        </w:rPr>
        <w:footnoteRef/>
      </w:r>
      <w:r>
        <w:t xml:space="preserve"> </w:t>
      </w:r>
      <w:r>
        <w:t xml:space="preserve">Sridharan 2026, PMID 39924461.</w:t>
      </w:r>
    </w:p>
  </w:footnote>
  <w:footnote w:id="2611">
    <w:p>
      <w:pPr>
        <w:pStyle w:val="FootnoteText"/>
      </w:pPr>
      <w:r>
        <w:rPr>
          <w:rStyle w:val="FootnoteReference"/>
        </w:rPr>
        <w:footnoteRef/>
      </w:r>
      <w:r>
        <w:t xml:space="preserve"> </w:t>
      </w:r>
      <w:r>
        <w:t xml:space="preserve">Sodhi 2023, PMID 37796527.</w:t>
      </w:r>
    </w:p>
  </w:footnote>
  <w:footnote w:id="2612">
    <w:p>
      <w:pPr>
        <w:pStyle w:val="FootnoteText"/>
      </w:pPr>
      <w:r>
        <w:rPr>
          <w:rStyle w:val="FootnoteReference"/>
        </w:rPr>
        <w:footnoteRef/>
      </w:r>
      <w:r>
        <w:t xml:space="preserve"> </w:t>
      </w:r>
      <w:r>
        <w:t xml:space="preserve">Chiang 2025, PMID 40499738.</w:t>
      </w:r>
    </w:p>
  </w:footnote>
  <w:footnote w:id="2613">
    <w:p>
      <w:pPr>
        <w:pStyle w:val="FootnoteText"/>
      </w:pPr>
      <w:r>
        <w:rPr>
          <w:rStyle w:val="FootnoteReference"/>
        </w:rPr>
        <w:footnoteRef/>
      </w:r>
      <w:r>
        <w:t xml:space="preserve"> </w:t>
      </w:r>
      <w:r>
        <w:t xml:space="preserve">Crisafulli 2026, PMID 41183330.</w:t>
      </w:r>
    </w:p>
  </w:footnote>
  <w:footnote w:id="2615">
    <w:p>
      <w:pPr>
        <w:pStyle w:val="FootnoteText"/>
      </w:pPr>
      <w:r>
        <w:rPr>
          <w:rStyle w:val="FootnoteReference"/>
        </w:rPr>
        <w:footnoteRef/>
      </w:r>
      <w:r>
        <w:t xml:space="preserve"> </w:t>
      </w:r>
      <w:r>
        <w:t xml:space="preserve">He 2022, PMID 35344001.</w:t>
      </w:r>
    </w:p>
  </w:footnote>
  <w:footnote w:id="2616">
    <w:p>
      <w:pPr>
        <w:pStyle w:val="FootnoteText"/>
      </w:pPr>
      <w:r>
        <w:rPr>
          <w:rStyle w:val="FootnoteReference"/>
        </w:rPr>
        <w:footnoteRef/>
      </w:r>
      <w:r>
        <w:t xml:space="preserve"> </w:t>
      </w:r>
      <w:r>
        <w:t xml:space="preserve">Weghuber 2022, PMID 36322838.</w:t>
      </w:r>
    </w:p>
  </w:footnote>
  <w:footnote w:id="2617">
    <w:p>
      <w:pPr>
        <w:pStyle w:val="FootnoteText"/>
      </w:pPr>
      <w:r>
        <w:rPr>
          <w:rStyle w:val="FootnoteReference"/>
        </w:rPr>
        <w:footnoteRef/>
      </w:r>
      <w:r>
        <w:t xml:space="preserve"> </w:t>
      </w:r>
      <w:r>
        <w:t xml:space="preserve">Wen 2025, PMID 40988099.</w:t>
      </w:r>
    </w:p>
  </w:footnote>
  <w:footnote w:id="2619">
    <w:p>
      <w:pPr>
        <w:pStyle w:val="FootnoteText"/>
      </w:pPr>
      <w:r>
        <w:rPr>
          <w:rStyle w:val="FootnoteReference"/>
        </w:rPr>
        <w:footnoteRef/>
      </w:r>
      <w:r>
        <w:t xml:space="preserve"> </w:t>
      </w:r>
      <w:r>
        <w:t xml:space="preserve">Hegedüs 2018, PMID 29279300.</w:t>
      </w:r>
    </w:p>
  </w:footnote>
  <w:footnote w:id="2621">
    <w:p>
      <w:pPr>
        <w:pStyle w:val="FootnoteText"/>
      </w:pPr>
      <w:r>
        <w:rPr>
          <w:rStyle w:val="FootnoteReference"/>
        </w:rPr>
        <w:footnoteRef/>
      </w:r>
      <w:r>
        <w:t xml:space="preserve"> </w:t>
      </w:r>
      <w:r>
        <w:t xml:space="preserve">Marso 2016, PMID 27633186.</w:t>
      </w:r>
    </w:p>
  </w:footnote>
  <w:footnote w:id="2622">
    <w:p>
      <w:pPr>
        <w:pStyle w:val="FootnoteText"/>
      </w:pPr>
      <w:r>
        <w:rPr>
          <w:rStyle w:val="FootnoteReference"/>
        </w:rPr>
        <w:footnoteRef/>
      </w:r>
      <w:r>
        <w:t xml:space="preserve"> </w:t>
      </w:r>
      <w:r>
        <w:t xml:space="preserve">Natividade 2025, PMID 40810985.</w:t>
      </w:r>
    </w:p>
  </w:footnote>
  <w:footnote w:id="2623">
    <w:p>
      <w:pPr>
        <w:pStyle w:val="FootnoteText"/>
      </w:pPr>
      <w:r>
        <w:rPr>
          <w:rStyle w:val="FootnoteReference"/>
        </w:rPr>
        <w:footnoteRef/>
      </w:r>
      <w:r>
        <w:t xml:space="preserve"> </w:t>
      </w:r>
      <w:r>
        <w:t xml:space="preserve">Hathaway 2024, PMID 38958939.</w:t>
      </w:r>
    </w:p>
  </w:footnote>
  <w:footnote w:id="2624">
    <w:p>
      <w:pPr>
        <w:pStyle w:val="FootnoteText"/>
      </w:pPr>
      <w:r>
        <w:rPr>
          <w:rStyle w:val="FootnoteReference"/>
        </w:rPr>
        <w:footnoteRef/>
      </w:r>
      <w:r>
        <w:t xml:space="preserve"> </w:t>
      </w:r>
      <w:r>
        <w:t xml:space="preserve">Simonsen 2025, PMID 40098249.</w:t>
      </w:r>
    </w:p>
  </w:footnote>
  <w:footnote w:id="2625">
    <w:p>
      <w:pPr>
        <w:pStyle w:val="FootnoteText"/>
      </w:pPr>
      <w:r>
        <w:rPr>
          <w:rStyle w:val="FootnoteReference"/>
        </w:rPr>
        <w:footnoteRef/>
      </w:r>
      <w:r>
        <w:t xml:space="preserve"> </w:t>
      </w:r>
      <w:r>
        <w:t xml:space="preserve">Wang 2025, PMID 40788646.</w:t>
      </w:r>
    </w:p>
  </w:footnote>
  <w:footnote w:id="2626">
    <w:p>
      <w:pPr>
        <w:pStyle w:val="FootnoteText"/>
      </w:pPr>
      <w:r>
        <w:rPr>
          <w:rStyle w:val="FootnoteReference"/>
        </w:rPr>
        <w:footnoteRef/>
      </w:r>
      <w:r>
        <w:t xml:space="preserve"> </w:t>
      </w:r>
      <w:r>
        <w:t xml:space="preserve">Chou 2025, PMID 39491755.</w:t>
      </w:r>
    </w:p>
  </w:footnote>
  <w:footnote w:id="2627">
    <w:p>
      <w:pPr>
        <w:pStyle w:val="FootnoteText"/>
      </w:pPr>
      <w:r>
        <w:rPr>
          <w:rStyle w:val="FootnoteReference"/>
        </w:rPr>
        <w:footnoteRef/>
      </w:r>
      <w:r>
        <w:t xml:space="preserve"> </w:t>
      </w:r>
      <w:r>
        <w:t xml:space="preserve">Liu 2026, PMID 41475544.</w:t>
      </w:r>
    </w:p>
  </w:footnote>
  <w:footnote w:id="2629">
    <w:p>
      <w:pPr>
        <w:pStyle w:val="FootnoteText"/>
      </w:pPr>
      <w:r>
        <w:rPr>
          <w:rStyle w:val="FootnoteReference"/>
        </w:rPr>
        <w:footnoteRef/>
      </w:r>
      <w:r>
        <w:t xml:space="preserve"> </w:t>
      </w:r>
      <w:r>
        <w:t xml:space="preserve">Marso 2016, PMID 27633186.</w:t>
      </w:r>
    </w:p>
  </w:footnote>
  <w:footnote w:id="2630">
    <w:p>
      <w:pPr>
        <w:pStyle w:val="FootnoteText"/>
      </w:pPr>
      <w:r>
        <w:rPr>
          <w:rStyle w:val="FootnoteReference"/>
        </w:rPr>
        <w:footnoteRef/>
      </w:r>
      <w:r>
        <w:t xml:space="preserve"> </w:t>
      </w:r>
      <w:r>
        <w:t xml:space="preserve">Bellido 2026, PMID 42810372.</w:t>
      </w:r>
    </w:p>
  </w:footnote>
  <w:footnote w:id="2631">
    <w:p>
      <w:pPr>
        <w:pStyle w:val="FootnoteText"/>
      </w:pPr>
      <w:r>
        <w:rPr>
          <w:rStyle w:val="FootnoteReference"/>
        </w:rPr>
        <w:footnoteRef/>
      </w:r>
      <w:r>
        <w:t xml:space="preserve"> </w:t>
      </w:r>
      <w:r>
        <w:t xml:space="preserve">Liu 2007, PMID 17227934.</w:t>
      </w:r>
    </w:p>
  </w:footnote>
  <w:footnote w:id="2632">
    <w:p>
      <w:pPr>
        <w:pStyle w:val="FootnoteText"/>
      </w:pPr>
      <w:r>
        <w:rPr>
          <w:rStyle w:val="FootnoteReference"/>
        </w:rPr>
        <w:footnoteRef/>
      </w:r>
      <w:r>
        <w:t xml:space="preserve"> </w:t>
      </w:r>
      <w:r>
        <w:t xml:space="preserve">Adunsky 2011, PMID 21067829.</w:t>
      </w:r>
    </w:p>
  </w:footnote>
  <w:footnote w:id="2633">
    <w:p>
      <w:pPr>
        <w:pStyle w:val="FootnoteText"/>
      </w:pPr>
      <w:r>
        <w:rPr>
          <w:rStyle w:val="FootnoteReference"/>
        </w:rPr>
        <w:footnoteRef/>
      </w:r>
      <w:r>
        <w:t xml:space="preserve"> </w:t>
      </w:r>
      <w:r>
        <w:t xml:space="preserve">White 2017, PMID 27977473.</w:t>
      </w:r>
    </w:p>
  </w:footnote>
  <w:footnote w:id="2634">
    <w:p>
      <w:pPr>
        <w:pStyle w:val="FootnoteText"/>
      </w:pPr>
      <w:r>
        <w:rPr>
          <w:rStyle w:val="FootnoteReference"/>
        </w:rPr>
        <w:footnoteRef/>
      </w:r>
      <w:r>
        <w:t xml:space="preserve"> </w:t>
      </w:r>
      <w:r>
        <w:t xml:space="preserve">Lissy 2021, PMID 32961034.</w:t>
      </w:r>
    </w:p>
  </w:footnote>
  <w:footnote w:id="2635">
    <w:p>
      <w:pPr>
        <w:pStyle w:val="FootnoteText"/>
      </w:pPr>
      <w:r>
        <w:rPr>
          <w:rStyle w:val="FootnoteReference"/>
        </w:rPr>
        <w:footnoteRef/>
      </w:r>
      <w:r>
        <w:t xml:space="preserve"> </w:t>
      </w:r>
      <w:r>
        <w:t xml:space="preserve">Mayer-Hubner 1996, PMID 8596357.</w:t>
      </w:r>
    </w:p>
  </w:footnote>
  <w:footnote w:id="2636">
    <w:p>
      <w:pPr>
        <w:pStyle w:val="FootnoteText"/>
      </w:pPr>
      <w:r>
        <w:rPr>
          <w:rStyle w:val="FootnoteReference"/>
        </w:rPr>
        <w:footnoteRef/>
      </w:r>
      <w:r>
        <w:t xml:space="preserve"> </w:t>
      </w:r>
      <w:r>
        <w:t xml:space="preserve">Nelson 2012, PMID 23121206.</w:t>
      </w:r>
    </w:p>
  </w:footnote>
  <w:footnote w:id="2638">
    <w:p>
      <w:pPr>
        <w:pStyle w:val="FootnoteText"/>
      </w:pPr>
      <w:r>
        <w:rPr>
          <w:rStyle w:val="FootnoteReference"/>
        </w:rPr>
        <w:footnoteRef/>
      </w:r>
      <w:r>
        <w:t xml:space="preserve"> </w:t>
      </w:r>
      <w:r>
        <w:t xml:space="preserve">Han 2026, PMID 41852258.</w:t>
      </w:r>
    </w:p>
  </w:footnote>
  <w:footnote w:id="2639">
    <w:p>
      <w:pPr>
        <w:pStyle w:val="FootnoteText"/>
      </w:pPr>
      <w:r>
        <w:rPr>
          <w:rStyle w:val="FootnoteReference"/>
        </w:rPr>
        <w:footnoteRef/>
      </w:r>
      <w:r>
        <w:t xml:space="preserve"> </w:t>
      </w:r>
      <w:r>
        <w:t xml:space="preserve">Ueda 2024, PMID 39226030.</w:t>
      </w:r>
    </w:p>
  </w:footnote>
  <w:footnote w:id="2640">
    <w:p>
      <w:pPr>
        <w:pStyle w:val="FootnoteText"/>
      </w:pPr>
      <w:r>
        <w:rPr>
          <w:rStyle w:val="FootnoteReference"/>
        </w:rPr>
        <w:footnoteRef/>
      </w:r>
      <w:r>
        <w:t xml:space="preserve"> </w:t>
      </w:r>
      <w:r>
        <w:t xml:space="preserve">Wadden 2026, PMID 41537305.</w:t>
      </w:r>
    </w:p>
  </w:footnote>
  <w:footnote w:id="2641">
    <w:p>
      <w:pPr>
        <w:pStyle w:val="FootnoteText"/>
      </w:pPr>
      <w:r>
        <w:rPr>
          <w:rStyle w:val="FootnoteReference"/>
        </w:rPr>
        <w:footnoteRef/>
      </w:r>
      <w:r>
        <w:t xml:space="preserve"> </w:t>
      </w:r>
      <w:r>
        <w:t xml:space="preserve">Silva 2026, PMID 42115753.</w:t>
      </w:r>
    </w:p>
  </w:footnote>
  <w:footnote w:id="2643">
    <w:p>
      <w:pPr>
        <w:pStyle w:val="FootnoteText"/>
      </w:pPr>
      <w:r>
        <w:rPr>
          <w:rStyle w:val="FootnoteReference"/>
        </w:rPr>
        <w:footnoteRef/>
      </w:r>
      <w:r>
        <w:t xml:space="preserve"> </w:t>
      </w:r>
      <w:r>
        <w:t xml:space="preserve">Sridharan 2026, PMID 39924461.</w:t>
      </w:r>
    </w:p>
  </w:footnote>
  <w:footnote w:id="2644">
    <w:p>
      <w:pPr>
        <w:pStyle w:val="FootnoteText"/>
      </w:pPr>
      <w:r>
        <w:rPr>
          <w:rStyle w:val="FootnoteReference"/>
        </w:rPr>
        <w:footnoteRef/>
      </w:r>
      <w:r>
        <w:t xml:space="preserve"> </w:t>
      </w:r>
      <w:r>
        <w:t xml:space="preserve">Kanti 2021, PMID 34058738.</w:t>
      </w:r>
    </w:p>
  </w:footnote>
  <w:footnote w:id="2645">
    <w:p>
      <w:pPr>
        <w:pStyle w:val="FootnoteText"/>
      </w:pPr>
      <w:r>
        <w:rPr>
          <w:rStyle w:val="FootnoteReference"/>
        </w:rPr>
        <w:footnoteRef/>
      </w:r>
      <w:r>
        <w:t xml:space="preserve"> </w:t>
      </w:r>
      <w:r>
        <w:t xml:space="preserve">Clayton 2022, PMID 35147466.</w:t>
      </w:r>
    </w:p>
  </w:footnote>
  <w:footnote w:id="2646">
    <w:p>
      <w:pPr>
        <w:pStyle w:val="FootnoteText"/>
      </w:pPr>
      <w:r>
        <w:rPr>
          <w:rStyle w:val="FootnoteReference"/>
        </w:rPr>
        <w:footnoteRef/>
      </w:r>
      <w:r>
        <w:t xml:space="preserve"> </w:t>
      </w:r>
      <w:r>
        <w:t xml:space="preserve">Burian 2019, PMID 31119650.</w:t>
      </w:r>
    </w:p>
  </w:footnote>
  <w:footnote w:id="2647">
    <w:p>
      <w:pPr>
        <w:pStyle w:val="FootnoteText"/>
      </w:pPr>
      <w:r>
        <w:rPr>
          <w:rStyle w:val="FootnoteReference"/>
        </w:rPr>
        <w:footnoteRef/>
      </w:r>
      <w:r>
        <w:t xml:space="preserve"> </w:t>
      </w:r>
      <w:r>
        <w:t xml:space="preserve">Gupta 2026, PMID 42930571.</w:t>
      </w:r>
    </w:p>
  </w:footnote>
  <w:footnote w:id="2648">
    <w:p>
      <w:pPr>
        <w:pStyle w:val="FootnoteText"/>
      </w:pPr>
      <w:r>
        <w:rPr>
          <w:rStyle w:val="FootnoteReference"/>
        </w:rPr>
        <w:footnoteRef/>
      </w:r>
      <w:r>
        <w:t xml:space="preserve"> </w:t>
      </w:r>
      <w:r>
        <w:t xml:space="preserve">Bellido 2026, PMID 42810372.</w:t>
      </w:r>
    </w:p>
  </w:footnote>
  <w:footnote w:id="2649">
    <w:p>
      <w:pPr>
        <w:pStyle w:val="FootnoteText"/>
      </w:pPr>
      <w:r>
        <w:rPr>
          <w:rStyle w:val="FootnoteReference"/>
        </w:rPr>
        <w:footnoteRef/>
      </w:r>
      <w:r>
        <w:t xml:space="preserve"> </w:t>
      </w:r>
      <w:r>
        <w:t xml:space="preserve">Dolkar 2018, PMID 29665030.</w:t>
      </w:r>
    </w:p>
  </w:footnote>
  <w:footnote w:id="2651">
    <w:p>
      <w:pPr>
        <w:pStyle w:val="FootnoteText"/>
      </w:pPr>
      <w:r>
        <w:rPr>
          <w:rStyle w:val="FootnoteReference"/>
        </w:rPr>
        <w:footnoteRef/>
      </w:r>
      <w:r>
        <w:t xml:space="preserve"> </w:t>
      </w:r>
      <w:r>
        <w:t xml:space="preserve">Arimura 2016, PMID 27020037.</w:t>
      </w:r>
    </w:p>
  </w:footnote>
  <w:footnote w:id="2652">
    <w:p>
      <w:pPr>
        <w:pStyle w:val="FootnoteText"/>
      </w:pPr>
      <w:r>
        <w:rPr>
          <w:rStyle w:val="FootnoteReference"/>
        </w:rPr>
        <w:footnoteRef/>
      </w:r>
      <w:r>
        <w:t xml:space="preserve"> </w:t>
      </w:r>
      <w:r>
        <w:t xml:space="preserve">MacLean 2014, PMID 24762108.</w:t>
      </w:r>
    </w:p>
  </w:footnote>
  <w:footnote w:id="2653">
    <w:p>
      <w:pPr>
        <w:pStyle w:val="FootnoteText"/>
      </w:pPr>
      <w:r>
        <w:rPr>
          <w:rStyle w:val="FootnoteReference"/>
        </w:rPr>
        <w:footnoteRef/>
      </w:r>
      <w:r>
        <w:t xml:space="preserve"> </w:t>
      </w:r>
      <w:r>
        <w:t xml:space="preserve">Liu 2007, PMID 17227934.</w:t>
      </w:r>
    </w:p>
  </w:footnote>
  <w:footnote w:id="2655">
    <w:p>
      <w:pPr>
        <w:pStyle w:val="FootnoteText"/>
      </w:pPr>
      <w:r>
        <w:rPr>
          <w:rStyle w:val="FootnoteReference"/>
        </w:rPr>
        <w:footnoteRef/>
      </w:r>
      <w:r>
        <w:t xml:space="preserve"> </w:t>
      </w:r>
      <w:r>
        <w:t xml:space="preserve">Chernausek 2007, PMID 17192294.</w:t>
      </w:r>
    </w:p>
  </w:footnote>
  <w:footnote w:id="2656">
    <w:p>
      <w:pPr>
        <w:pStyle w:val="FootnoteText"/>
      </w:pPr>
      <w:r>
        <w:rPr>
          <w:rStyle w:val="FootnoteReference"/>
        </w:rPr>
        <w:footnoteRef/>
      </w:r>
      <w:r>
        <w:t xml:space="preserve"> </w:t>
      </w:r>
      <w:r>
        <w:t xml:space="preserve">Edelman 2006, PMID 17003291.</w:t>
      </w:r>
    </w:p>
  </w:footnote>
  <w:footnote w:id="2657">
    <w:p>
      <w:pPr>
        <w:pStyle w:val="FootnoteText"/>
      </w:pPr>
      <w:r>
        <w:rPr>
          <w:rStyle w:val="FootnoteReference"/>
        </w:rPr>
        <w:footnoteRef/>
      </w:r>
      <w:r>
        <w:t xml:space="preserve"> </w:t>
      </w:r>
      <w:r>
        <w:t xml:space="preserve">Kendall 2005, PMID 15855571.</w:t>
      </w:r>
    </w:p>
  </w:footnote>
  <w:footnote w:id="2658">
    <w:p>
      <w:pPr>
        <w:pStyle w:val="FootnoteText"/>
      </w:pPr>
      <w:r>
        <w:rPr>
          <w:rStyle w:val="FootnoteReference"/>
        </w:rPr>
        <w:footnoteRef/>
      </w:r>
      <w:r>
        <w:t xml:space="preserve"> </w:t>
      </w:r>
      <w:r>
        <w:t xml:space="preserve">Nass 2008, PMID 18981485.</w:t>
      </w:r>
    </w:p>
  </w:footnote>
  <w:footnote w:id="2659">
    <w:p>
      <w:pPr>
        <w:pStyle w:val="FootnoteText"/>
      </w:pPr>
      <w:r>
        <w:rPr>
          <w:rStyle w:val="FootnoteReference"/>
        </w:rPr>
        <w:footnoteRef/>
      </w:r>
      <w:r>
        <w:t xml:space="preserve"> </w:t>
      </w:r>
      <w:r>
        <w:t xml:space="preserve">Liu 2007, PMID 17227934.</w:t>
      </w:r>
    </w:p>
  </w:footnote>
  <w:footnote w:id="2663">
    <w:p>
      <w:pPr>
        <w:pStyle w:val="FootnoteText"/>
      </w:pPr>
      <w:r>
        <w:rPr>
          <w:rStyle w:val="FootnoteReference"/>
        </w:rPr>
        <w:footnoteRef/>
      </w:r>
      <w:r>
        <w:t xml:space="preserve"> </w:t>
      </w:r>
      <w:r>
        <w:t xml:space="preserve">Silverii 2025, PMID 40437949.</w:t>
      </w:r>
    </w:p>
  </w:footnote>
  <w:footnote w:id="2665">
    <w:p>
      <w:pPr>
        <w:pStyle w:val="FootnoteText"/>
      </w:pPr>
      <w:r>
        <w:rPr>
          <w:rStyle w:val="FootnoteReference"/>
        </w:rPr>
        <w:footnoteRef/>
      </w:r>
      <w:r>
        <w:t xml:space="preserve"> </w:t>
      </w:r>
      <w:r>
        <w:t xml:space="preserve">Renehan 2004, PMID 15110491.</w:t>
      </w:r>
    </w:p>
  </w:footnote>
  <w:footnote w:id="2666">
    <w:p>
      <w:pPr>
        <w:pStyle w:val="FootnoteText"/>
      </w:pPr>
      <w:r>
        <w:rPr>
          <w:rStyle w:val="FootnoteReference"/>
        </w:rPr>
        <w:footnoteRef/>
      </w:r>
      <w:r>
        <w:t xml:space="preserve"> </w:t>
      </w:r>
      <w:r>
        <w:t xml:space="preserve">Murphy 2020, PMID 32169310.</w:t>
      </w:r>
    </w:p>
  </w:footnote>
  <w:footnote w:id="2667">
    <w:p>
      <w:pPr>
        <w:pStyle w:val="FootnoteText"/>
      </w:pPr>
      <w:r>
        <w:rPr>
          <w:rStyle w:val="FootnoteReference"/>
        </w:rPr>
        <w:footnoteRef/>
      </w:r>
      <w:r>
        <w:t xml:space="preserve"> </w:t>
      </w:r>
      <w:r>
        <w:t xml:space="preserve">Murphy 2020, PMID 31884074.</w:t>
      </w:r>
    </w:p>
  </w:footnote>
  <w:footnote w:id="2668">
    <w:p>
      <w:pPr>
        <w:pStyle w:val="FootnoteText"/>
      </w:pPr>
      <w:r>
        <w:rPr>
          <w:rStyle w:val="FootnoteReference"/>
        </w:rPr>
        <w:footnoteRef/>
      </w:r>
      <w:r>
        <w:t xml:space="preserve"> </w:t>
      </w:r>
      <w:r>
        <w:t xml:space="preserve">Murphy 2020, PMID 32169310.</w:t>
      </w:r>
    </w:p>
  </w:footnote>
  <w:footnote w:id="2669">
    <w:p>
      <w:pPr>
        <w:pStyle w:val="FootnoteText"/>
      </w:pPr>
      <w:r>
        <w:rPr>
          <w:rStyle w:val="FootnoteReference"/>
        </w:rPr>
        <w:footnoteRef/>
      </w:r>
      <w:r>
        <w:t xml:space="preserve"> </w:t>
      </w:r>
      <w:r>
        <w:t xml:space="preserve">Dal 2018, PMID 29590449.</w:t>
      </w:r>
    </w:p>
  </w:footnote>
  <w:footnote w:id="2670">
    <w:p>
      <w:pPr>
        <w:pStyle w:val="FootnoteText"/>
      </w:pPr>
      <w:r>
        <w:rPr>
          <w:rStyle w:val="FootnoteReference"/>
        </w:rPr>
        <w:footnoteRef/>
      </w:r>
      <w:r>
        <w:t xml:space="preserve"> </w:t>
      </w:r>
      <w:r>
        <w:t xml:space="preserve">Guevara-Aguirre 2011, PMID 21325617.</w:t>
      </w:r>
    </w:p>
  </w:footnote>
  <w:footnote w:id="2671">
    <w:p>
      <w:pPr>
        <w:pStyle w:val="FootnoteText"/>
      </w:pPr>
      <w:r>
        <w:rPr>
          <w:rStyle w:val="FootnoteReference"/>
        </w:rPr>
        <w:footnoteRef/>
      </w:r>
      <w:r>
        <w:t xml:space="preserve"> </w:t>
      </w:r>
      <w:r>
        <w:t xml:space="preserve">Swerdlow 2017, PMID 28187225.</w:t>
      </w:r>
    </w:p>
  </w:footnote>
  <w:footnote w:id="2672">
    <w:p>
      <w:pPr>
        <w:pStyle w:val="FootnoteText"/>
      </w:pPr>
      <w:r>
        <w:rPr>
          <w:rStyle w:val="FootnoteReference"/>
        </w:rPr>
        <w:footnoteRef/>
      </w:r>
      <w:r>
        <w:t xml:space="preserve"> </w:t>
      </w:r>
      <w:r>
        <w:t xml:space="preserve">Child 2015, PMID 25810462.</w:t>
      </w:r>
    </w:p>
  </w:footnote>
  <w:footnote w:id="2673">
    <w:p>
      <w:pPr>
        <w:pStyle w:val="FootnoteText"/>
      </w:pPr>
      <w:r>
        <w:rPr>
          <w:rStyle w:val="FootnoteReference"/>
        </w:rPr>
        <w:footnoteRef/>
      </w:r>
      <w:r>
        <w:t xml:space="preserve"> </w:t>
      </w:r>
      <w:r>
        <w:t xml:space="preserve">Nass 2008, PMID 18981485.</w:t>
      </w:r>
    </w:p>
  </w:footnote>
  <w:footnote w:id="2675">
    <w:p>
      <w:pPr>
        <w:pStyle w:val="FootnoteText"/>
      </w:pPr>
      <w:r>
        <w:rPr>
          <w:rStyle w:val="FootnoteReference"/>
        </w:rPr>
        <w:footnoteRef/>
      </w:r>
      <w:r>
        <w:t xml:space="preserve"> </w:t>
      </w:r>
      <w:r>
        <w:t xml:space="preserve">Hsieh 2017, PMID 27847966.</w:t>
      </w:r>
    </w:p>
  </w:footnote>
  <w:footnote w:id="2676">
    <w:p>
      <w:pPr>
        <w:pStyle w:val="FootnoteText"/>
      </w:pPr>
      <w:r>
        <w:rPr>
          <w:rStyle w:val="FootnoteReference"/>
        </w:rPr>
        <w:footnoteRef/>
      </w:r>
      <w:r>
        <w:t xml:space="preserve"> </w:t>
      </w:r>
      <w:r>
        <w:t xml:space="preserve">Sikiric 2025, PMID 40573323.</w:t>
      </w:r>
    </w:p>
  </w:footnote>
  <w:footnote w:id="2677">
    <w:p>
      <w:pPr>
        <w:pStyle w:val="FootnoteText"/>
      </w:pPr>
      <w:r>
        <w:rPr>
          <w:rStyle w:val="FootnoteReference"/>
        </w:rPr>
        <w:footnoteRef/>
      </w:r>
      <w:r>
        <w:t xml:space="preserve"> </w:t>
      </w:r>
      <w:r>
        <w:t xml:space="preserve">Wang 2016, PMID 27596300.</w:t>
      </w:r>
    </w:p>
  </w:footnote>
  <w:footnote w:id="2678">
    <w:p>
      <w:pPr>
        <w:pStyle w:val="FootnoteText"/>
      </w:pPr>
      <w:r>
        <w:rPr>
          <w:rStyle w:val="FootnoteReference"/>
        </w:rPr>
        <w:footnoteRef/>
      </w:r>
      <w:r>
        <w:t xml:space="preserve"> </w:t>
      </w:r>
      <w:r>
        <w:t xml:space="preserve">Larsson 2007, PMID 17495241.</w:t>
      </w:r>
    </w:p>
  </w:footnote>
  <w:footnote w:id="2679">
    <w:p>
      <w:pPr>
        <w:pStyle w:val="FootnoteText"/>
      </w:pPr>
      <w:r>
        <w:rPr>
          <w:rStyle w:val="FootnoteReference"/>
        </w:rPr>
        <w:footnoteRef/>
      </w:r>
      <w:r>
        <w:t xml:space="preserve"> </w:t>
      </w:r>
      <w:r>
        <w:t xml:space="preserve">Moreno Ayala 2020, PMID 32444831.</w:t>
      </w:r>
    </w:p>
  </w:footnote>
  <w:footnote w:id="2680">
    <w:p>
      <w:pPr>
        <w:pStyle w:val="FootnoteText"/>
      </w:pPr>
      <w:r>
        <w:rPr>
          <w:rStyle w:val="FootnoteReference"/>
        </w:rPr>
        <w:footnoteRef/>
      </w:r>
      <w:r>
        <w:t xml:space="preserve"> </w:t>
      </w:r>
      <w:r>
        <w:t xml:space="preserve">Al-Dulaimi 2025, PMID 40908429.</w:t>
      </w:r>
    </w:p>
  </w:footnote>
  <w:footnote w:id="2681">
    <w:p>
      <w:pPr>
        <w:pStyle w:val="FootnoteText"/>
      </w:pPr>
      <w:r>
        <w:rPr>
          <w:rStyle w:val="FootnoteReference"/>
        </w:rPr>
        <w:footnoteRef/>
      </w:r>
      <w:r>
        <w:t xml:space="preserve"> </w:t>
      </w:r>
      <w:r>
        <w:t xml:space="preserve">Anisimov 2003, PMID 14501183.</w:t>
      </w:r>
    </w:p>
  </w:footnote>
  <w:footnote w:id="2682">
    <w:p>
      <w:pPr>
        <w:pStyle w:val="FootnoteText"/>
      </w:pPr>
      <w:r>
        <w:rPr>
          <w:rStyle w:val="FootnoteReference"/>
        </w:rPr>
        <w:footnoteRef/>
      </w:r>
      <w:r>
        <w:t xml:space="preserve"> </w:t>
      </w:r>
      <w:r>
        <w:t xml:space="preserve">Chen 2018, PMID 29843147.</w:t>
      </w:r>
    </w:p>
  </w:footnote>
  <w:footnote w:id="2683">
    <w:p>
      <w:pPr>
        <w:pStyle w:val="FootnoteText"/>
      </w:pPr>
      <w:r>
        <w:rPr>
          <w:rStyle w:val="FootnoteReference"/>
        </w:rPr>
        <w:footnoteRef/>
      </w:r>
      <w:r>
        <w:t xml:space="preserve"> </w:t>
      </w:r>
      <w:r>
        <w:t xml:space="preserve">Wright 2015, PMID 25649658.</w:t>
      </w:r>
    </w:p>
  </w:footnote>
  <w:footnote w:id="2685">
    <w:p>
      <w:pPr>
        <w:pStyle w:val="FootnoteText"/>
      </w:pPr>
      <w:r>
        <w:rPr>
          <w:rStyle w:val="FootnoteReference"/>
        </w:rPr>
        <w:footnoteRef/>
      </w:r>
      <w:r>
        <w:t xml:space="preserve"> </w:t>
      </w:r>
      <w:r>
        <w:t xml:space="preserve">Habbema 2017, PMID 28266027.</w:t>
      </w:r>
    </w:p>
  </w:footnote>
  <w:footnote w:id="2686">
    <w:p>
      <w:pPr>
        <w:pStyle w:val="FootnoteText"/>
      </w:pPr>
      <w:r>
        <w:rPr>
          <w:rStyle w:val="FootnoteReference"/>
        </w:rPr>
        <w:footnoteRef/>
      </w:r>
      <w:r>
        <w:t xml:space="preserve"> </w:t>
      </w:r>
      <w:r>
        <w:t xml:space="preserve">Burian 2019, PMID 31119650.</w:t>
      </w:r>
    </w:p>
  </w:footnote>
  <w:footnote w:id="2687">
    <w:p>
      <w:pPr>
        <w:pStyle w:val="FootnoteText"/>
      </w:pPr>
      <w:r>
        <w:rPr>
          <w:rStyle w:val="FootnoteReference"/>
        </w:rPr>
        <w:footnoteRef/>
      </w:r>
      <w:r>
        <w:t xml:space="preserve"> </w:t>
      </w:r>
      <w:r>
        <w:t xml:space="preserve">Arisi 2021, PMID 33721252.</w:t>
      </w:r>
    </w:p>
  </w:footnote>
  <w:footnote w:id="2688">
    <w:p>
      <w:pPr>
        <w:pStyle w:val="FootnoteText"/>
      </w:pPr>
      <w:r>
        <w:rPr>
          <w:rStyle w:val="FootnoteReference"/>
        </w:rPr>
        <w:footnoteRef/>
      </w:r>
      <w:r>
        <w:t xml:space="preserve"> </w:t>
      </w:r>
      <w:r>
        <w:t xml:space="preserve">Kanti 2021, PMID 34058738.</w:t>
      </w:r>
    </w:p>
  </w:footnote>
  <w:footnote w:id="2690">
    <w:p>
      <w:pPr>
        <w:pStyle w:val="FootnoteText"/>
      </w:pPr>
      <w:r>
        <w:rPr>
          <w:rStyle w:val="FootnoteReference"/>
        </w:rPr>
        <w:footnoteRef/>
      </w:r>
      <w:r>
        <w:t xml:space="preserve"> </w:t>
      </w:r>
      <w:r>
        <w:t xml:space="preserve">Bjerre Knudsen 2010, PMID 20203154.</w:t>
      </w:r>
    </w:p>
  </w:footnote>
  <w:footnote w:id="2691">
    <w:p>
      <w:pPr>
        <w:pStyle w:val="FootnoteText"/>
      </w:pPr>
      <w:r>
        <w:rPr>
          <w:rStyle w:val="FootnoteReference"/>
        </w:rPr>
        <w:footnoteRef/>
      </w:r>
      <w:r>
        <w:t xml:space="preserve"> </w:t>
      </w:r>
      <w:r>
        <w:t xml:space="preserve">Gier 2012, PMID 22031513.</w:t>
      </w:r>
    </w:p>
  </w:footnote>
  <w:footnote w:id="2692">
    <w:p>
      <w:pPr>
        <w:pStyle w:val="FootnoteText"/>
      </w:pPr>
      <w:r>
        <w:rPr>
          <w:rStyle w:val="FootnoteReference"/>
        </w:rPr>
        <w:footnoteRef/>
      </w:r>
      <w:r>
        <w:t xml:space="preserve"> </w:t>
      </w:r>
      <w:r>
        <w:t xml:space="preserve">Hegedüs 2018, PMID 29279300.</w:t>
      </w:r>
    </w:p>
  </w:footnote>
  <w:footnote w:id="2693">
    <w:p>
      <w:pPr>
        <w:pStyle w:val="FootnoteText"/>
      </w:pPr>
      <w:r>
        <w:rPr>
          <w:rStyle w:val="FootnoteReference"/>
        </w:rPr>
        <w:footnoteRef/>
      </w:r>
      <w:r>
        <w:t xml:space="preserve"> </w:t>
      </w:r>
      <w:r>
        <w:t xml:space="preserve">Bezin 2023, PMID 36356111.</w:t>
      </w:r>
    </w:p>
  </w:footnote>
  <w:footnote w:id="2694">
    <w:p>
      <w:pPr>
        <w:pStyle w:val="FootnoteText"/>
      </w:pPr>
      <w:r>
        <w:rPr>
          <w:rStyle w:val="FootnoteReference"/>
        </w:rPr>
        <w:footnoteRef/>
      </w:r>
      <w:r>
        <w:t xml:space="preserve"> </w:t>
      </w:r>
      <w:r>
        <w:t xml:space="preserve">Pasternak 2024, PMID 38683947.</w:t>
      </w:r>
    </w:p>
  </w:footnote>
  <w:footnote w:id="2695">
    <w:p>
      <w:pPr>
        <w:pStyle w:val="FootnoteText"/>
      </w:pPr>
      <w:r>
        <w:rPr>
          <w:rStyle w:val="FootnoteReference"/>
        </w:rPr>
        <w:footnoteRef/>
      </w:r>
      <w:r>
        <w:t xml:space="preserve"> </w:t>
      </w:r>
      <w:r>
        <w:t xml:space="preserve">Silverii 2025, PMID 40437949.</w:t>
      </w:r>
    </w:p>
  </w:footnote>
  <w:footnote w:id="2697">
    <w:p>
      <w:pPr>
        <w:pStyle w:val="FootnoteText"/>
      </w:pPr>
      <w:r>
        <w:rPr>
          <w:rStyle w:val="FootnoteReference"/>
        </w:rPr>
        <w:footnoteRef/>
      </w:r>
      <w:r>
        <w:t xml:space="preserve"> </w:t>
      </w:r>
      <w:r>
        <w:t xml:space="preserve">Wen 2025, PMID 40988099.</w:t>
      </w:r>
    </w:p>
  </w:footnote>
  <w:footnote w:id="2698">
    <w:p>
      <w:pPr>
        <w:pStyle w:val="FootnoteText"/>
      </w:pPr>
      <w:r>
        <w:rPr>
          <w:rStyle w:val="FootnoteReference"/>
        </w:rPr>
        <w:footnoteRef/>
      </w:r>
      <w:r>
        <w:t xml:space="preserve"> </w:t>
      </w:r>
      <w:r>
        <w:t xml:space="preserve">Wang 2024, PMID 38967919.</w:t>
      </w:r>
    </w:p>
  </w:footnote>
  <w:footnote w:id="2699">
    <w:p>
      <w:pPr>
        <w:pStyle w:val="FootnoteText"/>
      </w:pPr>
      <w:r>
        <w:rPr>
          <w:rStyle w:val="FootnoteReference"/>
        </w:rPr>
        <w:footnoteRef/>
      </w:r>
      <w:r>
        <w:t xml:space="preserve"> </w:t>
      </w:r>
      <w:r>
        <w:t xml:space="preserve">Rajan 2026, PMID 42541759.</w:t>
      </w:r>
    </w:p>
  </w:footnote>
  <w:footnote w:id="2704">
    <w:p>
      <w:pPr>
        <w:pStyle w:val="FootnoteText"/>
      </w:pPr>
      <w:r>
        <w:rPr>
          <w:rStyle w:val="FootnoteReference"/>
        </w:rPr>
        <w:footnoteRef/>
      </w:r>
      <w:r>
        <w:t xml:space="preserve"> </w:t>
      </w:r>
      <w:r>
        <w:t xml:space="preserve">Shankar 2014, PMID 24764037.</w:t>
      </w:r>
    </w:p>
  </w:footnote>
  <w:footnote w:id="2706">
    <w:p>
      <w:pPr>
        <w:pStyle w:val="FootnoteText"/>
      </w:pPr>
      <w:r>
        <w:rPr>
          <w:rStyle w:val="FootnoteReference"/>
        </w:rPr>
        <w:footnoteRef/>
      </w:r>
      <w:r>
        <w:t xml:space="preserve"> </w:t>
      </w:r>
      <w:r>
        <w:t xml:space="preserve">Buse 2011, PMID 21450987.</w:t>
      </w:r>
    </w:p>
  </w:footnote>
  <w:footnote w:id="2707">
    <w:p>
      <w:pPr>
        <w:pStyle w:val="FootnoteText"/>
      </w:pPr>
      <w:r>
        <w:rPr>
          <w:rStyle w:val="FootnoteReference"/>
        </w:rPr>
        <w:footnoteRef/>
      </w:r>
      <w:r>
        <w:t xml:space="preserve"> </w:t>
      </w:r>
      <w:r>
        <w:t xml:space="preserve">Mullins 2024, PMID 37700637.</w:t>
      </w:r>
    </w:p>
  </w:footnote>
  <w:footnote w:id="2709">
    <w:p>
      <w:pPr>
        <w:pStyle w:val="FootnoteText"/>
      </w:pPr>
      <w:r>
        <w:rPr>
          <w:rStyle w:val="FootnoteReference"/>
        </w:rPr>
        <w:footnoteRef/>
      </w:r>
      <w:r>
        <w:t xml:space="preserve"> </w:t>
      </w:r>
      <w:r>
        <w:t xml:space="preserve">Taj 2026, PMID 41395692.</w:t>
      </w:r>
    </w:p>
  </w:footnote>
  <w:footnote w:id="2710">
    <w:p>
      <w:pPr>
        <w:pStyle w:val="FootnoteText"/>
      </w:pPr>
      <w:r>
        <w:rPr>
          <w:rStyle w:val="FootnoteReference"/>
        </w:rPr>
        <w:footnoteRef/>
      </w:r>
      <w:r>
        <w:t xml:space="preserve"> </w:t>
      </w:r>
      <w:r>
        <w:t xml:space="preserve">Wysham 2015, PMID 25744115.</w:t>
      </w:r>
    </w:p>
  </w:footnote>
  <w:footnote w:id="2711">
    <w:p>
      <w:pPr>
        <w:pStyle w:val="FootnoteText"/>
      </w:pPr>
      <w:r>
        <w:rPr>
          <w:rStyle w:val="FootnoteReference"/>
        </w:rPr>
        <w:footnoteRef/>
      </w:r>
      <w:r>
        <w:t xml:space="preserve"> </w:t>
      </w:r>
      <w:r>
        <w:t xml:space="preserve">Chen 2021, PMID 33748252.</w:t>
      </w:r>
    </w:p>
  </w:footnote>
  <w:footnote w:id="2713">
    <w:p>
      <w:pPr>
        <w:pStyle w:val="FootnoteText"/>
      </w:pPr>
      <w:r>
        <w:rPr>
          <w:rStyle w:val="FootnoteReference"/>
        </w:rPr>
        <w:footnoteRef/>
      </w:r>
      <w:r>
        <w:t xml:space="preserve"> </w:t>
      </w:r>
      <w:r>
        <w:t xml:space="preserve">Anthony 2024, PMID 38363873.</w:t>
      </w:r>
    </w:p>
  </w:footnote>
  <w:footnote w:id="2714">
    <w:p>
      <w:pPr>
        <w:pStyle w:val="FootnoteText"/>
      </w:pPr>
      <w:r>
        <w:rPr>
          <w:rStyle w:val="FootnoteReference"/>
        </w:rPr>
        <w:footnoteRef/>
      </w:r>
      <w:r>
        <w:t xml:space="preserve"> </w:t>
      </w:r>
      <w:r>
        <w:t xml:space="preserve">Pradhan 2022, PMID 35136902.</w:t>
      </w:r>
    </w:p>
  </w:footnote>
  <w:footnote w:id="2715">
    <w:p>
      <w:pPr>
        <w:pStyle w:val="FootnoteText"/>
      </w:pPr>
      <w:r>
        <w:rPr>
          <w:rStyle w:val="FootnoteReference"/>
        </w:rPr>
        <w:footnoteRef/>
      </w:r>
      <w:r>
        <w:t xml:space="preserve"> </w:t>
      </w:r>
      <w:r>
        <w:t xml:space="preserve">Ornelas 2018, PMID 30350785.</w:t>
      </w:r>
    </w:p>
  </w:footnote>
  <w:footnote w:id="2716">
    <w:p>
      <w:pPr>
        <w:pStyle w:val="FootnoteText"/>
      </w:pPr>
      <w:r>
        <w:rPr>
          <w:rStyle w:val="FootnoteReference"/>
        </w:rPr>
        <w:footnoteRef/>
      </w:r>
      <w:r>
        <w:t xml:space="preserve"> </w:t>
      </w:r>
      <w:r>
        <w:t xml:space="preserve">Shamriz 2019, PMID 31296642.</w:t>
      </w:r>
    </w:p>
  </w:footnote>
  <w:footnote w:id="2717">
    <w:p>
      <w:pPr>
        <w:pStyle w:val="FootnoteText"/>
      </w:pPr>
      <w:r>
        <w:rPr>
          <w:rStyle w:val="FootnoteReference"/>
        </w:rPr>
        <w:footnoteRef/>
      </w:r>
      <w:r>
        <w:t xml:space="preserve"> </w:t>
      </w:r>
      <w:r>
        <w:t xml:space="preserve">He 2023, PMID 38186543.</w:t>
      </w:r>
    </w:p>
  </w:footnote>
  <w:footnote w:id="2718">
    <w:p>
      <w:pPr>
        <w:pStyle w:val="FootnoteText"/>
      </w:pPr>
      <w:r>
        <w:rPr>
          <w:rStyle w:val="FootnoteReference"/>
        </w:rPr>
        <w:footnoteRef/>
      </w:r>
      <w:r>
        <w:t xml:space="preserve"> </w:t>
      </w:r>
      <w:r>
        <w:t xml:space="preserve">Kraft 2026, PMID 42194666.</w:t>
      </w:r>
    </w:p>
  </w:footnote>
  <w:footnote w:id="2719">
    <w:p>
      <w:pPr>
        <w:pStyle w:val="FootnoteText"/>
      </w:pPr>
      <w:r>
        <w:rPr>
          <w:rStyle w:val="FootnoteReference"/>
        </w:rPr>
        <w:footnoteRef/>
      </w:r>
      <w:r>
        <w:t xml:space="preserve"> </w:t>
      </w:r>
      <w:r>
        <w:t xml:space="preserve">Trimmel 2024, PMID 39055722.</w:t>
      </w:r>
    </w:p>
  </w:footnote>
  <w:footnote w:id="2720">
    <w:p>
      <w:pPr>
        <w:pStyle w:val="FootnoteText"/>
      </w:pPr>
      <w:r>
        <w:rPr>
          <w:rStyle w:val="FootnoteReference"/>
        </w:rPr>
        <w:footnoteRef/>
      </w:r>
      <w:r>
        <w:t xml:space="preserve"> </w:t>
      </w:r>
      <w:r>
        <w:t xml:space="preserve">Röper 2004, PMID 15127162.</w:t>
      </w:r>
    </w:p>
  </w:footnote>
  <w:footnote w:id="2722">
    <w:p>
      <w:pPr>
        <w:pStyle w:val="FootnoteText"/>
      </w:pPr>
      <w:r>
        <w:rPr>
          <w:rStyle w:val="FootnoteReference"/>
        </w:rPr>
        <w:footnoteRef/>
      </w:r>
      <w:r>
        <w:t xml:space="preserve"> </w:t>
      </w:r>
      <w:r>
        <w:t xml:space="preserve">Lande 2007, PMID 17873860.</w:t>
      </w:r>
    </w:p>
  </w:footnote>
  <w:footnote w:id="2723">
    <w:p>
      <w:pPr>
        <w:pStyle w:val="FootnoteText"/>
      </w:pPr>
      <w:r>
        <w:rPr>
          <w:rStyle w:val="FootnoteReference"/>
        </w:rPr>
        <w:footnoteRef/>
      </w:r>
      <w:r>
        <w:t xml:space="preserve"> </w:t>
      </w:r>
      <w:r>
        <w:t xml:space="preserve">Lande 2014, PMID 25470744.</w:t>
      </w:r>
    </w:p>
  </w:footnote>
  <w:footnote w:id="2724">
    <w:p>
      <w:pPr>
        <w:pStyle w:val="FootnoteText"/>
      </w:pPr>
      <w:r>
        <w:rPr>
          <w:rStyle w:val="FootnoteReference"/>
        </w:rPr>
        <w:footnoteRef/>
      </w:r>
      <w:r>
        <w:t xml:space="preserve"> </w:t>
      </w:r>
      <w:r>
        <w:t xml:space="preserve">Dolkar 2018, PMID 29665030.</w:t>
      </w:r>
    </w:p>
  </w:footnote>
  <w:footnote w:id="2725">
    <w:p>
      <w:pPr>
        <w:pStyle w:val="FootnoteText"/>
      </w:pPr>
      <w:r>
        <w:rPr>
          <w:rStyle w:val="FootnoteReference"/>
        </w:rPr>
        <w:footnoteRef/>
      </w:r>
      <w:r>
        <w:t xml:space="preserve"> </w:t>
      </w:r>
      <w:r>
        <w:t xml:space="preserve">Gupta 2026, PMID 42930571.</w:t>
      </w:r>
    </w:p>
  </w:footnote>
  <w:footnote w:id="2727">
    <w:p>
      <w:pPr>
        <w:pStyle w:val="FootnoteText"/>
      </w:pPr>
      <w:r>
        <w:rPr>
          <w:rStyle w:val="FootnoteReference"/>
        </w:rPr>
        <w:footnoteRef/>
      </w:r>
      <w:r>
        <w:t xml:space="preserve"> </w:t>
      </w:r>
      <w:r>
        <w:t xml:space="preserve">De Groot 2023, PMID 37467878.</w:t>
      </w:r>
    </w:p>
  </w:footnote>
  <w:footnote w:id="2728">
    <w:p>
      <w:pPr>
        <w:pStyle w:val="FootnoteText"/>
      </w:pPr>
      <w:r>
        <w:rPr>
          <w:rStyle w:val="FootnoteReference"/>
        </w:rPr>
        <w:footnoteRef/>
      </w:r>
      <w:r>
        <w:t xml:space="preserve"> </w:t>
      </w:r>
      <w:r>
        <w:t xml:space="preserve">Mattei 2025, PMID 41445733.</w:t>
      </w:r>
    </w:p>
  </w:footnote>
  <w:footnote w:id="2729">
    <w:p>
      <w:pPr>
        <w:pStyle w:val="FootnoteText"/>
      </w:pPr>
      <w:r>
        <w:rPr>
          <w:rStyle w:val="FootnoteReference"/>
        </w:rPr>
        <w:footnoteRef/>
      </w:r>
      <w:r>
        <w:t xml:space="preserve"> </w:t>
      </w:r>
      <w:r>
        <w:t xml:space="preserve">Hach 2024, PMID 39379664.</w:t>
      </w:r>
    </w:p>
  </w:footnote>
  <w:footnote w:id="2730">
    <w:p>
      <w:pPr>
        <w:pStyle w:val="FootnoteText"/>
      </w:pPr>
      <w:r>
        <w:rPr>
          <w:rStyle w:val="FootnoteReference"/>
        </w:rPr>
        <w:footnoteRef/>
      </w:r>
      <w:r>
        <w:t xml:space="preserve"> </w:t>
      </w:r>
      <w:r>
        <w:t xml:space="preserve">Tang 2025, PMID 40398094.</w:t>
      </w:r>
    </w:p>
  </w:footnote>
  <w:footnote w:id="2731">
    <w:p>
      <w:pPr>
        <w:pStyle w:val="FootnoteText"/>
      </w:pPr>
      <w:r>
        <w:rPr>
          <w:rStyle w:val="FootnoteReference"/>
        </w:rPr>
        <w:footnoteRef/>
      </w:r>
      <w:r>
        <w:t xml:space="preserve"> </w:t>
      </w:r>
      <w:r>
        <w:t xml:space="preserve">Janvier 2018, PMID 28941153.</w:t>
      </w:r>
    </w:p>
  </w:footnote>
  <w:footnote w:id="2735">
    <w:p>
      <w:pPr>
        <w:pStyle w:val="FootnoteText"/>
      </w:pPr>
      <w:r>
        <w:rPr>
          <w:rStyle w:val="FootnoteReference"/>
        </w:rPr>
        <w:footnoteRef/>
      </w:r>
      <w:r>
        <w:t xml:space="preserve"> </w:t>
      </w:r>
      <w:r>
        <w:t xml:space="preserve">Vanhee 2015, PMID 26003685.</w:t>
      </w:r>
    </w:p>
  </w:footnote>
  <w:footnote w:id="2737">
    <w:p>
      <w:pPr>
        <w:pStyle w:val="FootnoteText"/>
      </w:pPr>
      <w:r>
        <w:rPr>
          <w:rStyle w:val="FootnoteReference"/>
        </w:rPr>
        <w:footnoteRef/>
      </w:r>
      <w:r>
        <w:t xml:space="preserve"> </w:t>
      </w:r>
      <w:r>
        <w:t xml:space="preserve">Høj 2021, PMID 33686802.</w:t>
      </w:r>
    </w:p>
  </w:footnote>
  <w:footnote w:id="2738">
    <w:p>
      <w:pPr>
        <w:pStyle w:val="FootnoteText"/>
      </w:pPr>
      <w:r>
        <w:rPr>
          <w:rStyle w:val="FootnoteReference"/>
        </w:rPr>
        <w:footnoteRef/>
      </w:r>
      <w:r>
        <w:t xml:space="preserve"> </w:t>
      </w:r>
      <w:r>
        <w:t xml:space="preserve">Venhuis 2016, PMID 26456392.</w:t>
      </w:r>
    </w:p>
  </w:footnote>
  <w:footnote w:id="2739">
    <w:p>
      <w:pPr>
        <w:pStyle w:val="FootnoteText"/>
      </w:pPr>
      <w:r>
        <w:rPr>
          <w:rStyle w:val="FootnoteReference"/>
        </w:rPr>
        <w:footnoteRef/>
      </w:r>
      <w:r>
        <w:t xml:space="preserve"> </w:t>
      </w:r>
      <w:r>
        <w:t xml:space="preserve">Vanhee 2017, PMID 27390261.</w:t>
      </w:r>
    </w:p>
  </w:footnote>
  <w:footnote w:id="2740">
    <w:p>
      <w:pPr>
        <w:pStyle w:val="FootnoteText"/>
      </w:pPr>
      <w:r>
        <w:rPr>
          <w:rStyle w:val="FootnoteReference"/>
        </w:rPr>
        <w:footnoteRef/>
      </w:r>
      <w:r>
        <w:t xml:space="preserve"> </w:t>
      </w:r>
      <w:r>
        <w:t xml:space="preserve">Delcourt 2023, PMID 36482504.</w:t>
      </w:r>
    </w:p>
  </w:footnote>
  <w:footnote w:id="2741">
    <w:p>
      <w:pPr>
        <w:pStyle w:val="FootnoteText"/>
      </w:pPr>
      <w:r>
        <w:rPr>
          <w:rStyle w:val="FootnoteReference"/>
        </w:rPr>
        <w:footnoteRef/>
      </w:r>
      <w:r>
        <w:t xml:space="preserve"> </w:t>
      </w:r>
      <w:r>
        <w:t xml:space="preserve">Van Wagoner 2017, PMID 29183075.</w:t>
      </w:r>
    </w:p>
  </w:footnote>
  <w:footnote w:id="2743">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Fabresse 2021, PMID 33838562.</w:t>
      </w:r>
    </w:p>
  </w:footnote>
  <w:footnote w:id="2745">
    <w:p>
      <w:pPr>
        <w:pStyle w:val="FootnoteText"/>
      </w:pPr>
      <w:r>
        <w:rPr>
          <w:rStyle w:val="FootnoteReference"/>
        </w:rPr>
        <w:footnoteRef/>
      </w:r>
      <w:r>
        <w:t xml:space="preserve"> </w:t>
      </w:r>
      <w:r>
        <w:t xml:space="preserve">Barrios 2025, PMID 40551438.</w:t>
      </w:r>
    </w:p>
  </w:footnote>
  <w:footnote w:id="2747">
    <w:p>
      <w:pPr>
        <w:pStyle w:val="FootnoteText"/>
      </w:pPr>
      <w:r>
        <w:rPr>
          <w:rStyle w:val="FootnoteReference"/>
        </w:rPr>
        <w:footnoteRef/>
      </w:r>
      <w:r>
        <w:t xml:space="preserve"> </w:t>
      </w:r>
      <w:r>
        <w:t xml:space="preserve">Janvier 2018, PMID 30029448.</w:t>
      </w:r>
    </w:p>
  </w:footnote>
  <w:footnote w:id="2748">
    <w:p>
      <w:pPr>
        <w:pStyle w:val="FootnoteText"/>
      </w:pPr>
      <w:r>
        <w:rPr>
          <w:rStyle w:val="FootnoteReference"/>
        </w:rPr>
        <w:footnoteRef/>
      </w:r>
      <w:r>
        <w:t xml:space="preserve"> </w:t>
      </w:r>
      <w:r>
        <w:t xml:space="preserve">Mongongu 2021, PMID 33587816.</w:t>
      </w:r>
    </w:p>
  </w:footnote>
  <w:footnote w:id="2749">
    <w:p>
      <w:pPr>
        <w:pStyle w:val="FootnoteText"/>
      </w:pPr>
      <w:r>
        <w:rPr>
          <w:rStyle w:val="FootnoteReference"/>
        </w:rPr>
        <w:footnoteRef/>
      </w:r>
      <w:r>
        <w:t xml:space="preserve"> </w:t>
      </w:r>
      <w:r>
        <w:t xml:space="preserve">Deville 2024, PMID 39302005.</w:t>
      </w:r>
    </w:p>
  </w:footnote>
  <w:footnote w:id="2750">
    <w:p>
      <w:pPr>
        <w:pStyle w:val="FootnoteText"/>
      </w:pPr>
      <w:r>
        <w:rPr>
          <w:rStyle w:val="FootnoteReference"/>
        </w:rPr>
        <w:footnoteRef/>
      </w:r>
      <w:r>
        <w:t xml:space="preserve"> </w:t>
      </w:r>
      <w:r>
        <w:t xml:space="preserve">Gajda 2019, PMID 30136411.</w:t>
      </w:r>
    </w:p>
  </w:footnote>
  <w:footnote w:id="2752">
    <w:p>
      <w:pPr>
        <w:pStyle w:val="FootnoteText"/>
      </w:pPr>
      <w:r>
        <w:rPr>
          <w:rStyle w:val="FootnoteReference"/>
        </w:rPr>
        <w:footnoteRef/>
      </w:r>
      <w:r>
        <w:t xml:space="preserve"> </w:t>
      </w:r>
      <w:r>
        <w:t xml:space="preserve">Janvier 2018, PMID 30029448.</w:t>
      </w:r>
    </w:p>
  </w:footnote>
  <w:footnote w:id="2753">
    <w:p>
      <w:pPr>
        <w:pStyle w:val="FootnoteText"/>
      </w:pPr>
      <w:r>
        <w:rPr>
          <w:rStyle w:val="FootnoteReference"/>
        </w:rPr>
        <w:footnoteRef/>
      </w:r>
      <w:r>
        <w:t xml:space="preserve"> </w:t>
      </w:r>
      <w:r>
        <w:t xml:space="preserve">Janvier 2018, PMID 28941153.</w:t>
      </w:r>
    </w:p>
  </w:footnote>
  <w:footnote w:id="2754">
    <w:p>
      <w:pPr>
        <w:pStyle w:val="FootnoteText"/>
      </w:pPr>
      <w:r>
        <w:rPr>
          <w:rStyle w:val="FootnoteReference"/>
        </w:rPr>
        <w:footnoteRef/>
      </w:r>
      <w:r>
        <w:t xml:space="preserve"> </w:t>
      </w:r>
      <w:r>
        <w:t xml:space="preserve">Ashraf 2024, PMID 39509151.</w:t>
      </w:r>
    </w:p>
  </w:footnote>
  <w:footnote w:id="2757">
    <w:p>
      <w:pPr>
        <w:pStyle w:val="FootnoteText"/>
      </w:pPr>
      <w:r>
        <w:rPr>
          <w:rStyle w:val="FootnoteReference"/>
        </w:rPr>
        <w:footnoteRef/>
      </w:r>
      <w:r>
        <w:t xml:space="preserve"> </w:t>
      </w:r>
      <w:r>
        <w:t xml:space="preserve">Deconinck 2021, PMID 33453144.</w:t>
      </w:r>
    </w:p>
  </w:footnote>
  <w:footnote w:id="2758">
    <w:p>
      <w:pPr>
        <w:pStyle w:val="FootnoteText"/>
      </w:pPr>
      <w:r>
        <w:rPr>
          <w:rStyle w:val="FootnoteReference"/>
        </w:rPr>
        <w:footnoteRef/>
      </w:r>
      <w:r>
        <w:t xml:space="preserve"> </w:t>
      </w:r>
      <w:r>
        <w:t xml:space="preserve">Vanhee 2015, PMID 25535022.</w:t>
      </w:r>
    </w:p>
  </w:footnote>
  <w:footnote w:id="2759">
    <w:p>
      <w:pPr>
        <w:pStyle w:val="FootnoteText"/>
      </w:pPr>
      <w:r>
        <w:rPr>
          <w:rStyle w:val="FootnoteReference"/>
        </w:rPr>
        <w:footnoteRef/>
      </w:r>
      <w:r>
        <w:t xml:space="preserve"> </w:t>
      </w:r>
      <w:r>
        <w:t xml:space="preserve">Vanhee 2020, PMID 31667971.</w:t>
      </w:r>
    </w:p>
  </w:footnote>
  <w:footnote w:id="2760">
    <w:p>
      <w:pPr>
        <w:pStyle w:val="FootnoteText"/>
      </w:pPr>
      <w:r>
        <w:rPr>
          <w:rStyle w:val="FootnoteReference"/>
        </w:rPr>
        <w:footnoteRef/>
      </w:r>
      <w:r>
        <w:t xml:space="preserve"> </w:t>
      </w:r>
      <w:r>
        <w:t xml:space="preserve">White 2026, PMID 41480958.</w:t>
      </w:r>
    </w:p>
  </w:footnote>
  <w:footnote w:id="2761">
    <w:p>
      <w:pPr>
        <w:pStyle w:val="FootnoteText"/>
      </w:pPr>
      <w:r>
        <w:rPr>
          <w:rStyle w:val="FootnoteReference"/>
        </w:rPr>
        <w:footnoteRef/>
      </w:r>
      <w:r>
        <w:t xml:space="preserve"> </w:t>
      </w:r>
      <w:r>
        <w:t xml:space="preserve">Barrios 2025, PMID 40551438.</w:t>
      </w:r>
    </w:p>
  </w:footnote>
  <w:footnote w:id="2764">
    <w:p>
      <w:pPr>
        <w:pStyle w:val="FootnoteText"/>
      </w:pPr>
      <w:r>
        <w:rPr>
          <w:rStyle w:val="FootnoteReference"/>
        </w:rPr>
        <w:footnoteRef/>
      </w:r>
      <w:r>
        <w:t xml:space="preserve"> </w:t>
      </w:r>
      <w:r>
        <w:t xml:space="preserve">Gaw 2024, PMID 38421490.</w:t>
      </w:r>
    </w:p>
  </w:footnote>
  <w:footnote w:id="2765">
    <w:p>
      <w:pPr>
        <w:pStyle w:val="FootnoteText"/>
      </w:pPr>
      <w:r>
        <w:rPr>
          <w:rStyle w:val="FootnoteReference"/>
        </w:rPr>
        <w:footnoteRef/>
      </w:r>
      <w:r>
        <w:t xml:space="preserve"> </w:t>
      </w:r>
      <w:r>
        <w:t xml:space="preserve">Senthilkumar 2026, PMID 41784916.</w:t>
      </w:r>
    </w:p>
  </w:footnote>
  <w:footnote w:id="2766">
    <w:p>
      <w:pPr>
        <w:pStyle w:val="FootnoteText"/>
      </w:pPr>
      <w:r>
        <w:rPr>
          <w:rStyle w:val="FootnoteReference"/>
        </w:rPr>
        <w:footnoteRef/>
      </w:r>
      <w:r>
        <w:t xml:space="preserve"> </w:t>
      </w:r>
      <w:r>
        <w:t xml:space="preserve">Gaw 2024, PMID 38421490; Ho 2025, PMID 40371098.</w:t>
      </w:r>
    </w:p>
  </w:footnote>
  <w:footnote w:id="2767">
    <w:p>
      <w:pPr>
        <w:pStyle w:val="FootnoteText"/>
      </w:pPr>
      <w:r>
        <w:rPr>
          <w:rStyle w:val="FootnoteReference"/>
        </w:rPr>
        <w:footnoteRef/>
      </w:r>
      <w:r>
        <w:t xml:space="preserve"> </w:t>
      </w:r>
      <w:r>
        <w:t xml:space="preserve">Marshall 2024, PMID 38861153.</w:t>
      </w:r>
    </w:p>
  </w:footnote>
  <w:footnote w:id="2768">
    <w:p>
      <w:pPr>
        <w:pStyle w:val="FootnoteText"/>
      </w:pPr>
      <w:r>
        <w:rPr>
          <w:rStyle w:val="FootnoteReference"/>
        </w:rPr>
        <w:footnoteRef/>
      </w:r>
      <w:r>
        <w:t xml:space="preserve"> </w:t>
      </w:r>
      <w:r>
        <w:t xml:space="preserve">Ho 2025, PMID 40371098.</w:t>
      </w:r>
    </w:p>
  </w:footnote>
  <w:footnote w:id="2769">
    <w:p>
      <w:pPr>
        <w:pStyle w:val="FootnoteText"/>
      </w:pPr>
      <w:r>
        <w:rPr>
          <w:rStyle w:val="FootnoteReference"/>
        </w:rPr>
        <w:footnoteRef/>
      </w:r>
      <w:r>
        <w:t xml:space="preserve"> </w:t>
      </w:r>
      <w:r>
        <w:t xml:space="preserve">Gaw 2024, PMID 38421490; Senthilkumar 2026, PMID 41784916.</w:t>
      </w:r>
    </w:p>
  </w:footnote>
  <w:footnote w:id="2770">
    <w:p>
      <w:pPr>
        <w:pStyle w:val="FootnoteText"/>
      </w:pPr>
      <w:r>
        <w:rPr>
          <w:rStyle w:val="FootnoteReference"/>
        </w:rPr>
        <w:footnoteRef/>
      </w:r>
      <w:r>
        <w:t xml:space="preserve"> </w:t>
      </w:r>
      <w:r>
        <w:t xml:space="preserve">Muschler 2025, PMID 39803696.</w:t>
      </w:r>
    </w:p>
  </w:footnote>
  <w:footnote w:id="2771">
    <w:p>
      <w:pPr>
        <w:pStyle w:val="FootnoteText"/>
      </w:pPr>
      <w:r>
        <w:rPr>
          <w:rStyle w:val="FootnoteReference"/>
        </w:rPr>
        <w:footnoteRef/>
      </w:r>
      <w:r>
        <w:t xml:space="preserve"> </w:t>
      </w:r>
      <w:r>
        <w:t xml:space="preserve">Ho 2025, PMID 40371098.</w:t>
      </w:r>
    </w:p>
  </w:footnote>
  <w:footnote w:id="2772">
    <w:p>
      <w:pPr>
        <w:pStyle w:val="FootnoteText"/>
      </w:pPr>
      <w:r>
        <w:rPr>
          <w:rStyle w:val="FootnoteReference"/>
        </w:rPr>
        <w:footnoteRef/>
      </w:r>
      <w:r>
        <w:t xml:space="preserve"> </w:t>
      </w:r>
      <w:r>
        <w:t xml:space="preserve">Marshall 2024, PMID 38861153.</w:t>
      </w:r>
    </w:p>
  </w:footnote>
  <w:footnote w:id="2773">
    <w:p>
      <w:pPr>
        <w:pStyle w:val="FootnoteText"/>
      </w:pPr>
      <w:r>
        <w:rPr>
          <w:rStyle w:val="FootnoteReference"/>
        </w:rPr>
        <w:footnoteRef/>
      </w:r>
      <w:r>
        <w:t xml:space="preserve"> </w:t>
      </w:r>
      <w:r>
        <w:t xml:space="preserve">Kraft 2026, PMID 42194666.</w:t>
      </w:r>
    </w:p>
  </w:footnote>
  <w:footnote w:id="2774">
    <w:p>
      <w:pPr>
        <w:pStyle w:val="FootnoteText"/>
      </w:pPr>
      <w:r>
        <w:rPr>
          <w:rStyle w:val="FootnoteReference"/>
        </w:rPr>
        <w:footnoteRef/>
      </w:r>
      <w:r>
        <w:t xml:space="preserve"> </w:t>
      </w:r>
      <w:r>
        <w:t xml:space="preserve">Senthilkumar 2026, PMID 41784916.</w:t>
      </w:r>
    </w:p>
  </w:footnote>
  <w:footnote w:id="2779">
    <w:p>
      <w:pPr>
        <w:pStyle w:val="FootnoteText"/>
      </w:pPr>
      <w:r>
        <w:rPr>
          <w:rStyle w:val="FootnoteReference"/>
        </w:rPr>
        <w:footnoteRef/>
      </w:r>
      <w:r>
        <w:t xml:space="preserve"> </w:t>
      </w:r>
      <w:r>
        <w:t xml:space="preserve">Cesta 2024, PMID 38079178.</w:t>
      </w:r>
    </w:p>
  </w:footnote>
  <w:footnote w:id="2780">
    <w:p>
      <w:pPr>
        <w:pStyle w:val="FootnoteText"/>
      </w:pPr>
      <w:r>
        <w:rPr>
          <w:rStyle w:val="FootnoteReference"/>
        </w:rPr>
        <w:footnoteRef/>
      </w:r>
      <w:r>
        <w:t xml:space="preserve"> </w:t>
      </w:r>
      <w:r>
        <w:t xml:space="preserve">Dao 2024, PMID 38663923.</w:t>
      </w:r>
    </w:p>
  </w:footnote>
  <w:footnote w:id="2781">
    <w:p>
      <w:pPr>
        <w:pStyle w:val="FootnoteText"/>
      </w:pPr>
      <w:r>
        <w:rPr>
          <w:rStyle w:val="FootnoteReference"/>
        </w:rPr>
        <w:footnoteRef/>
      </w:r>
      <w:r>
        <w:t xml:space="preserve"> </w:t>
      </w:r>
      <w:r>
        <w:t xml:space="preserve">Brown 2026, PMID 42258827.</w:t>
      </w:r>
    </w:p>
  </w:footnote>
  <w:footnote w:id="2782">
    <w:p>
      <w:pPr>
        <w:pStyle w:val="FootnoteText"/>
      </w:pPr>
      <w:r>
        <w:rPr>
          <w:rStyle w:val="FootnoteReference"/>
        </w:rPr>
        <w:footnoteRef/>
      </w:r>
      <w:r>
        <w:t xml:space="preserve"> </w:t>
      </w:r>
      <w:r>
        <w:t xml:space="preserve">Uysal 2026, PMID 42420519.</w:t>
      </w:r>
    </w:p>
  </w:footnote>
  <w:footnote w:id="2783">
    <w:p>
      <w:pPr>
        <w:pStyle w:val="FootnoteText"/>
      </w:pPr>
      <w:r>
        <w:rPr>
          <w:rStyle w:val="FootnoteReference"/>
        </w:rPr>
        <w:footnoteRef/>
      </w:r>
      <w:r>
        <w:t xml:space="preserve"> </w:t>
      </w:r>
      <w:r>
        <w:t xml:space="preserve">NCT06867835.</w:t>
      </w:r>
    </w:p>
  </w:footnote>
  <w:footnote w:id="2785">
    <w:p>
      <w:pPr>
        <w:pStyle w:val="FootnoteText"/>
      </w:pPr>
      <w:r>
        <w:rPr>
          <w:rStyle w:val="FootnoteReference"/>
        </w:rPr>
        <w:footnoteRef/>
      </w:r>
      <w:r>
        <w:t xml:space="preserve"> </w:t>
      </w:r>
      <w:r>
        <w:t xml:space="preserve">Kapitza 2015, PMID 25475122.</w:t>
      </w:r>
    </w:p>
  </w:footnote>
  <w:footnote w:id="2786">
    <w:p>
      <w:pPr>
        <w:pStyle w:val="FootnoteText"/>
      </w:pPr>
      <w:r>
        <w:rPr>
          <w:rStyle w:val="FootnoteReference"/>
        </w:rPr>
        <w:footnoteRef/>
      </w:r>
      <w:r>
        <w:t xml:space="preserve"> </w:t>
      </w:r>
      <w:r>
        <w:t xml:space="preserve">Skelley 2024, PMID 37940101.</w:t>
      </w:r>
    </w:p>
  </w:footnote>
  <w:footnote w:id="2787">
    <w:p>
      <w:pPr>
        <w:pStyle w:val="FootnoteText"/>
      </w:pPr>
      <w:r>
        <w:rPr>
          <w:rStyle w:val="FootnoteReference"/>
        </w:rPr>
        <w:footnoteRef/>
      </w:r>
      <w:r>
        <w:t xml:space="preserve"> </w:t>
      </w:r>
      <w:r>
        <w:t xml:space="preserve">Clayton 2022, PMID 35147466.</w:t>
      </w:r>
    </w:p>
  </w:footnote>
  <w:footnote w:id="2788">
    <w:p>
      <w:pPr>
        <w:pStyle w:val="FootnoteText"/>
      </w:pPr>
      <w:r>
        <w:rPr>
          <w:rStyle w:val="FootnoteReference"/>
        </w:rPr>
        <w:footnoteRef/>
      </w:r>
      <w:r>
        <w:t xml:space="preserve"> </w:t>
      </w:r>
      <w:r>
        <w:t xml:space="preserve">Lissy 2021, PMID 32961034.</w:t>
      </w:r>
    </w:p>
  </w:footnote>
  <w:footnote w:id="2790">
    <w:p>
      <w:pPr>
        <w:pStyle w:val="FootnoteText"/>
      </w:pPr>
      <w:r>
        <w:rPr>
          <w:rStyle w:val="FootnoteReference"/>
        </w:rPr>
        <w:footnoteRef/>
      </w:r>
      <w:r>
        <w:t xml:space="preserve"> </w:t>
      </w:r>
      <w:r>
        <w:t xml:space="preserve">Baig 2025, PMID 39694296.</w:t>
      </w:r>
    </w:p>
  </w:footnote>
  <w:footnote w:id="2791">
    <w:p>
      <w:pPr>
        <w:pStyle w:val="FootnoteText"/>
      </w:pPr>
      <w:r>
        <w:rPr>
          <w:rStyle w:val="FootnoteReference"/>
        </w:rPr>
        <w:footnoteRef/>
      </w:r>
      <w:r>
        <w:t xml:space="preserve"> </w:t>
      </w:r>
      <w:r>
        <w:t xml:space="preserve">Vlaeminck 2026, PMID 41631344.</w:t>
      </w:r>
    </w:p>
  </w:footnote>
  <w:footnote w:id="2792">
    <w:p>
      <w:pPr>
        <w:pStyle w:val="FootnoteText"/>
      </w:pPr>
      <w:r>
        <w:rPr>
          <w:rStyle w:val="FootnoteReference"/>
        </w:rPr>
        <w:footnoteRef/>
      </w:r>
      <w:r>
        <w:t xml:space="preserve"> </w:t>
      </w:r>
      <w:r>
        <w:t xml:space="preserve">Wu 2026, PMID 40940281.</w:t>
      </w:r>
    </w:p>
  </w:footnote>
  <w:footnote w:id="2793">
    <w:p>
      <w:pPr>
        <w:pStyle w:val="FootnoteText"/>
      </w:pPr>
      <w:r>
        <w:rPr>
          <w:rStyle w:val="FootnoteReference"/>
        </w:rPr>
        <w:footnoteRef/>
      </w:r>
      <w:r>
        <w:t xml:space="preserve"> </w:t>
      </w:r>
      <w:r>
        <w:t xml:space="preserve">NCT07276763.</w:t>
      </w:r>
    </w:p>
  </w:footnote>
  <w:footnote w:id="2795">
    <w:p>
      <w:pPr>
        <w:pStyle w:val="FootnoteText"/>
      </w:pPr>
      <w:r>
        <w:rPr>
          <w:rStyle w:val="FootnoteReference"/>
        </w:rPr>
        <w:footnoteRef/>
      </w:r>
      <w:r>
        <w:t xml:space="preserve"> </w:t>
      </w:r>
      <w:r>
        <w:t xml:space="preserve">Kendall 2005, PMID 15855571.</w:t>
      </w:r>
    </w:p>
  </w:footnote>
  <w:footnote w:id="2796">
    <w:p>
      <w:pPr>
        <w:pStyle w:val="FootnoteText"/>
      </w:pPr>
      <w:r>
        <w:rPr>
          <w:rStyle w:val="FootnoteReference"/>
        </w:rPr>
        <w:footnoteRef/>
      </w:r>
      <w:r>
        <w:t xml:space="preserve"> </w:t>
      </w:r>
      <w:r>
        <w:t xml:space="preserve">Edelman 2006, PMID 17003291.</w:t>
      </w:r>
    </w:p>
  </w:footnote>
  <w:footnote w:id="2798">
    <w:p>
      <w:pPr>
        <w:pStyle w:val="FootnoteText"/>
      </w:pPr>
      <w:r>
        <w:rPr>
          <w:rStyle w:val="FootnoteReference"/>
        </w:rPr>
        <w:footnoteRef/>
      </w:r>
      <w:r>
        <w:t xml:space="preserve"> </w:t>
      </w:r>
      <w:r>
        <w:t xml:space="preserve">Kelly 2020, PMID 32233338.</w:t>
      </w:r>
    </w:p>
  </w:footnote>
  <w:footnote w:id="2799">
    <w:p>
      <w:pPr>
        <w:pStyle w:val="FootnoteText"/>
      </w:pPr>
      <w:r>
        <w:rPr>
          <w:rStyle w:val="FootnoteReference"/>
        </w:rPr>
        <w:footnoteRef/>
      </w:r>
      <w:r>
        <w:t xml:space="preserve"> </w:t>
      </w:r>
      <w:r>
        <w:t xml:space="preserve">Silva 2026, PMID 42115753.</w:t>
      </w:r>
    </w:p>
  </w:footnote>
  <w:footnote w:id="2800">
    <w:p>
      <w:pPr>
        <w:pStyle w:val="FootnoteText"/>
      </w:pPr>
      <w:r>
        <w:rPr>
          <w:rStyle w:val="FootnoteReference"/>
        </w:rPr>
        <w:footnoteRef/>
      </w:r>
      <w:r>
        <w:t xml:space="preserve"> </w:t>
      </w:r>
      <w:r>
        <w:t xml:space="preserve">Senthilkumar 2026, PMID 41784916.</w:t>
      </w:r>
    </w:p>
  </w:footnote>
  <w:footnote w:id="2801">
    <w:p>
      <w:pPr>
        <w:pStyle w:val="FootnoteText"/>
      </w:pPr>
      <w:r>
        <w:rPr>
          <w:rStyle w:val="FootnoteReference"/>
        </w:rPr>
        <w:footnoteRef/>
      </w:r>
      <w:r>
        <w:t xml:space="preserve"> </w:t>
      </w:r>
      <w:r>
        <w:t xml:space="preserve">Coutinho 2026, PMID 41880199.</w:t>
      </w:r>
    </w:p>
  </w:footnote>
  <w:footnote w:id="2803">
    <w:p>
      <w:pPr>
        <w:pStyle w:val="FootnoteText"/>
      </w:pPr>
      <w:r>
        <w:rPr>
          <w:rStyle w:val="FootnoteReference"/>
        </w:rPr>
        <w:footnoteRef/>
      </w:r>
      <w:r>
        <w:t xml:space="preserve"> </w:t>
      </w:r>
      <w:r>
        <w:t xml:space="preserve">Liu 2007, PMID 17227934.</w:t>
      </w:r>
    </w:p>
  </w:footnote>
  <w:footnote w:id="2804">
    <w:p>
      <w:pPr>
        <w:pStyle w:val="FootnoteText"/>
      </w:pPr>
      <w:r>
        <w:rPr>
          <w:rStyle w:val="FootnoteReference"/>
        </w:rPr>
        <w:footnoteRef/>
      </w:r>
      <w:r>
        <w:t xml:space="preserve"> </w:t>
      </w:r>
      <w:r>
        <w:t xml:space="preserve">Adunsky 2011, PMID 21067829.</w:t>
      </w:r>
    </w:p>
  </w:footnote>
  <w:footnote w:id="2806">
    <w:p>
      <w:pPr>
        <w:pStyle w:val="FootnoteText"/>
      </w:pPr>
      <w:r>
        <w:rPr>
          <w:rStyle w:val="FootnoteReference"/>
        </w:rPr>
        <w:footnoteRef/>
      </w:r>
      <w:r>
        <w:t xml:space="preserve"> </w:t>
      </w:r>
      <w:r>
        <w:t xml:space="preserve">Look 2025, PMID 39996356.</w:t>
      </w:r>
    </w:p>
  </w:footnote>
  <w:footnote w:id="2807">
    <w:p>
      <w:pPr>
        <w:pStyle w:val="FootnoteText"/>
      </w:pPr>
      <w:r>
        <w:rPr>
          <w:rStyle w:val="FootnoteReference"/>
        </w:rPr>
        <w:footnoteRef/>
      </w:r>
      <w:r>
        <w:t xml:space="preserve"> </w:t>
      </w:r>
      <w:r>
        <w:t xml:space="preserve">Karakasis 2025, PMID 39719170.</w:t>
      </w:r>
    </w:p>
  </w:footnote>
  <w:footnote w:id="2808">
    <w:p>
      <w:pPr>
        <w:pStyle w:val="FootnoteText"/>
      </w:pPr>
      <w:r>
        <w:rPr>
          <w:rStyle w:val="FootnoteReference"/>
        </w:rPr>
        <w:footnoteRef/>
      </w:r>
      <w:r>
        <w:t xml:space="preserve"> </w:t>
      </w:r>
      <w:r>
        <w:t xml:space="preserve">Batsis 2026, PMID 41996180.</w:t>
      </w:r>
    </w:p>
  </w:footnote>
  <w:footnote w:id="2809">
    <w:p>
      <w:pPr>
        <w:pStyle w:val="FootnoteText"/>
      </w:pPr>
      <w:r>
        <w:rPr>
          <w:rStyle w:val="FootnoteReference"/>
        </w:rPr>
        <w:footnoteRef/>
      </w:r>
      <w:r>
        <w:t xml:space="preserve"> </w:t>
      </w:r>
      <w:r>
        <w:t xml:space="preserve">Laverde 2026, PMID 42321502.</w:t>
      </w:r>
    </w:p>
  </w:footnote>
  <w:footnote w:id="2811">
    <w:p>
      <w:pPr>
        <w:pStyle w:val="FootnoteText"/>
      </w:pPr>
      <w:r>
        <w:rPr>
          <w:rStyle w:val="FootnoteReference"/>
        </w:rPr>
        <w:footnoteRef/>
      </w:r>
      <w:r>
        <w:t xml:space="preserve"> </w:t>
      </w:r>
      <w:r>
        <w:t xml:space="preserve">Guerdjikova 2024, PMID 38329147.</w:t>
      </w:r>
    </w:p>
  </w:footnote>
  <w:footnote w:id="2812">
    <w:p>
      <w:pPr>
        <w:pStyle w:val="FootnoteText"/>
      </w:pPr>
      <w:r>
        <w:rPr>
          <w:rStyle w:val="FootnoteReference"/>
        </w:rPr>
        <w:footnoteRef/>
      </w:r>
      <w:r>
        <w:t xml:space="preserve"> </w:t>
      </w:r>
      <w:r>
        <w:t xml:space="preserve">Peiper 2026, PMID 42340738.</w:t>
      </w:r>
    </w:p>
  </w:footnote>
  <w:footnote w:id="2813">
    <w:p>
      <w:pPr>
        <w:pStyle w:val="FootnoteText"/>
      </w:pPr>
      <w:r>
        <w:rPr>
          <w:rStyle w:val="FootnoteReference"/>
        </w:rPr>
        <w:footnoteRef/>
      </w:r>
      <w:r>
        <w:t xml:space="preserve"> </w:t>
      </w:r>
      <w:r>
        <w:t xml:space="preserve">Keshen 2026, PMID 42742590.</w:t>
      </w:r>
    </w:p>
  </w:footnote>
  <w:footnote w:id="2814">
    <w:p>
      <w:pPr>
        <w:pStyle w:val="FootnoteText"/>
      </w:pPr>
      <w:r>
        <w:rPr>
          <w:rStyle w:val="FootnoteReference"/>
        </w:rPr>
        <w:footnoteRef/>
      </w:r>
      <w:r>
        <w:t xml:space="preserve"> </w:t>
      </w:r>
      <w:r>
        <w:t xml:space="preserve">Keshen 2026, PMID 42742590.</w:t>
      </w:r>
    </w:p>
  </w:footnote>
  <w:footnote w:id="2816">
    <w:p>
      <w:pPr>
        <w:pStyle w:val="FootnoteText"/>
      </w:pPr>
      <w:r>
        <w:rPr>
          <w:rStyle w:val="FootnoteReference"/>
        </w:rPr>
        <w:footnoteRef/>
      </w:r>
      <w:r>
        <w:t xml:space="preserve"> </w:t>
      </w:r>
      <w:r>
        <w:t xml:space="preserve">Borschel 2026, PMID 42874322.</w:t>
      </w:r>
    </w:p>
  </w:footnote>
  <w:footnote w:id="2817">
    <w:p>
      <w:pPr>
        <w:pStyle w:val="FootnoteText"/>
      </w:pPr>
      <w:r>
        <w:rPr>
          <w:rStyle w:val="FootnoteReference"/>
        </w:rPr>
        <w:footnoteRef/>
      </w:r>
      <w:r>
        <w:t xml:space="preserve"> </w:t>
      </w:r>
      <w:r>
        <w:t xml:space="preserve">Barrios 2025, PMID 40551438.</w:t>
      </w:r>
    </w:p>
  </w:footnote>
  <w:footnote w:id="2818">
    <w:p>
      <w:pPr>
        <w:pStyle w:val="FootnoteText"/>
      </w:pPr>
      <w:r>
        <w:rPr>
          <w:rStyle w:val="FootnoteReference"/>
        </w:rPr>
        <w:footnoteRef/>
      </w:r>
      <w:r>
        <w:t xml:space="preserve"> </w:t>
      </w:r>
      <w:r>
        <w:t xml:space="preserve">Gajda 2019, PMID 30136411.</w:t>
      </w:r>
    </w:p>
  </w:footnote>
  <w:footnote w:id="2819">
    <w:p>
      <w:pPr>
        <w:pStyle w:val="FootnoteText"/>
      </w:pPr>
      <w:r>
        <w:rPr>
          <w:rStyle w:val="FootnoteReference"/>
        </w:rPr>
        <w:footnoteRef/>
      </w:r>
      <w:r>
        <w:t xml:space="preserve"> </w:t>
      </w:r>
      <w:r>
        <w:t xml:space="preserve">La Vignera 2026, PMID 42511463.</w:t>
      </w:r>
    </w:p>
  </w:footnote>
  <w:footnote w:id="2820">
    <w:p>
      <w:pPr>
        <w:pStyle w:val="FootnoteText"/>
      </w:pPr>
      <w:r>
        <w:rPr>
          <w:rStyle w:val="FootnoteReference"/>
        </w:rPr>
        <w:footnoteRef/>
      </w:r>
      <w:r>
        <w:t xml:space="preserve"> </w:t>
      </w:r>
      <w:r>
        <w:t xml:space="preserve">Villegas Meza 2026, PMID 42160466.</w:t>
      </w:r>
    </w:p>
  </w:footnote>
  <w:footnote w:id="2825">
    <w:p>
      <w:pPr>
        <w:pStyle w:val="FootnoteText"/>
      </w:pPr>
      <w:r>
        <w:rPr>
          <w:rStyle w:val="FootnoteReference"/>
        </w:rPr>
        <w:footnoteRef/>
      </w:r>
      <w:r>
        <w:t xml:space="preserve"> </w:t>
      </w:r>
      <w:r>
        <w:t xml:space="preserve">NCT07543458.</w:t>
      </w:r>
    </w:p>
  </w:footnote>
  <w:footnote w:id="2826">
    <w:p>
      <w:pPr>
        <w:pStyle w:val="FootnoteText"/>
      </w:pPr>
      <w:r>
        <w:rPr>
          <w:rStyle w:val="FootnoteReference"/>
        </w:rPr>
        <w:footnoteRef/>
      </w:r>
      <w:r>
        <w:t xml:space="preserve"> </w:t>
      </w:r>
      <w:r>
        <w:t xml:space="preserve">NCT04020055, NCT06904261.</w:t>
      </w:r>
    </w:p>
  </w:footnote>
  <w:footnote w:id="2828">
    <w:p>
      <w:pPr>
        <w:pStyle w:val="FootnoteText"/>
      </w:pPr>
      <w:r>
        <w:rPr>
          <w:rStyle w:val="FootnoteReference"/>
        </w:rPr>
        <w:footnoteRef/>
      </w:r>
      <w:r>
        <w:t xml:space="preserve"> </w:t>
      </w:r>
      <w:r>
        <w:t xml:space="preserve">NCT05086614.</w:t>
      </w:r>
    </w:p>
  </w:footnote>
  <w:footnote w:id="2829">
    <w:p>
      <w:pPr>
        <w:pStyle w:val="FootnoteText"/>
      </w:pPr>
      <w:r>
        <w:rPr>
          <w:rStyle w:val="FootnoteReference"/>
        </w:rPr>
        <w:footnoteRef/>
      </w:r>
      <w:r>
        <w:t xml:space="preserve"> </w:t>
      </w:r>
      <w:r>
        <w:t xml:space="preserve">NCT05555589.</w:t>
      </w:r>
    </w:p>
  </w:footnote>
  <w:footnote w:id="2830">
    <w:p>
      <w:pPr>
        <w:pStyle w:val="FootnoteText"/>
      </w:pPr>
      <w:r>
        <w:rPr>
          <w:rStyle w:val="FootnoteReference"/>
        </w:rPr>
        <w:footnoteRef/>
      </w:r>
      <w:r>
        <w:t xml:space="preserve"> </w:t>
      </w:r>
      <w:r>
        <w:t xml:space="preserve">NCT06373731.</w:t>
      </w:r>
    </w:p>
  </w:footnote>
  <w:footnote w:id="2831">
    <w:p>
      <w:pPr>
        <w:pStyle w:val="FootnoteText"/>
      </w:pPr>
      <w:r>
        <w:rPr>
          <w:rStyle w:val="FootnoteReference"/>
        </w:rPr>
        <w:footnoteRef/>
      </w:r>
      <w:r>
        <w:t xml:space="preserve"> </w:t>
      </w:r>
      <w:r>
        <w:t xml:space="preserve">NCT06109649.</w:t>
      </w:r>
    </w:p>
  </w:footnote>
  <w:footnote w:id="2832">
    <w:p>
      <w:pPr>
        <w:pStyle w:val="FootnoteText"/>
      </w:pPr>
      <w:r>
        <w:rPr>
          <w:rStyle w:val="FootnoteReference"/>
        </w:rPr>
        <w:footnoteRef/>
      </w:r>
      <w:r>
        <w:t xml:space="preserve"> </w:t>
      </w:r>
      <w:r>
        <w:t xml:space="preserve">NCT06948214.</w:t>
      </w:r>
    </w:p>
  </w:footnote>
  <w:footnote w:id="2833">
    <w:p>
      <w:pPr>
        <w:pStyle w:val="FootnoteText"/>
      </w:pPr>
      <w:r>
        <w:rPr>
          <w:rStyle w:val="FootnoteReference"/>
        </w:rPr>
        <w:footnoteRef/>
      </w:r>
      <w:r>
        <w:t xml:space="preserve"> </w:t>
      </w:r>
      <w:r>
        <w:t xml:space="preserve">NCT04903002.</w:t>
      </w:r>
    </w:p>
  </w:footnote>
  <w:footnote w:id="2834">
    <w:p>
      <w:pPr>
        <w:pStyle w:val="FootnoteText"/>
      </w:pPr>
      <w:r>
        <w:rPr>
          <w:rStyle w:val="FootnoteReference"/>
        </w:rPr>
        <w:footnoteRef/>
      </w:r>
      <w:r>
        <w:t xml:space="preserve"> </w:t>
      </w:r>
      <w:r>
        <w:t xml:space="preserve">NCT07675980.</w:t>
      </w:r>
    </w:p>
  </w:footnote>
  <w:footnote w:id="2837">
    <w:p>
      <w:pPr>
        <w:pStyle w:val="FootnoteText"/>
      </w:pPr>
      <w:r>
        <w:rPr>
          <w:rStyle w:val="FootnoteReference"/>
        </w:rPr>
        <w:footnoteRef/>
      </w:r>
      <w:r>
        <w:t xml:space="preserve"> </w:t>
      </w:r>
      <w:r>
        <w:t xml:space="preserve">NCT06662383.</w:t>
      </w:r>
    </w:p>
  </w:footnote>
  <w:footnote w:id="2838">
    <w:p>
      <w:pPr>
        <w:pStyle w:val="FootnoteText"/>
      </w:pPr>
      <w:r>
        <w:rPr>
          <w:rStyle w:val="FootnoteReference"/>
        </w:rPr>
        <w:footnoteRef/>
      </w:r>
      <w:r>
        <w:t xml:space="preserve"> </w:t>
      </w:r>
      <w:r>
        <w:t xml:space="preserve">NCT07889648.</w:t>
      </w:r>
    </w:p>
  </w:footnote>
  <w:footnote w:id="2839">
    <w:p>
      <w:pPr>
        <w:pStyle w:val="FootnoteText"/>
      </w:pPr>
      <w:r>
        <w:rPr>
          <w:rStyle w:val="FootnoteReference"/>
        </w:rPr>
        <w:footnoteRef/>
      </w:r>
      <w:r>
        <w:t xml:space="preserve"> </w:t>
      </w:r>
      <w:r>
        <w:t xml:space="preserve">NCT06780449.</w:t>
      </w:r>
    </w:p>
  </w:footnote>
  <w:footnote w:id="2840">
    <w:p>
      <w:pPr>
        <w:pStyle w:val="FootnoteText"/>
      </w:pPr>
      <w:r>
        <w:rPr>
          <w:rStyle w:val="FootnoteReference"/>
        </w:rPr>
        <w:footnoteRef/>
      </w:r>
      <w:r>
        <w:t xml:space="preserve"> </w:t>
      </w:r>
      <w:r>
        <w:t xml:space="preserve">NCT07575399.</w:t>
      </w:r>
    </w:p>
  </w:footnote>
  <w:footnote w:id="2841">
    <w:p>
      <w:pPr>
        <w:pStyle w:val="FootnoteText"/>
      </w:pPr>
      <w:r>
        <w:rPr>
          <w:rStyle w:val="FootnoteReference"/>
        </w:rPr>
        <w:footnoteRef/>
      </w:r>
      <w:r>
        <w:t xml:space="preserve"> </w:t>
      </w:r>
      <w:r>
        <w:t xml:space="preserve">NCT07845500.</w:t>
      </w:r>
    </w:p>
  </w:footnote>
  <w:footnote w:id="2842">
    <w:p>
      <w:pPr>
        <w:pStyle w:val="FootnoteText"/>
      </w:pPr>
      <w:r>
        <w:rPr>
          <w:rStyle w:val="FootnoteReference"/>
        </w:rPr>
        <w:footnoteRef/>
      </w:r>
      <w:r>
        <w:t xml:space="preserve"> </w:t>
      </w:r>
      <w:r>
        <w:t xml:space="preserve">Aronne 2024, PMID 38078870.</w:t>
      </w:r>
    </w:p>
  </w:footnote>
  <w:footnote w:id="2843">
    <w:p>
      <w:pPr>
        <w:pStyle w:val="FootnoteText"/>
      </w:pPr>
      <w:r>
        <w:rPr>
          <w:rStyle w:val="FootnoteReference"/>
        </w:rPr>
        <w:footnoteRef/>
      </w:r>
      <w:r>
        <w:t xml:space="preserve"> </w:t>
      </w:r>
      <w:r>
        <w:t xml:space="preserve">NCT06257966.</w:t>
      </w:r>
    </w:p>
  </w:footnote>
  <w:footnote w:id="2844">
    <w:p>
      <w:pPr>
        <w:pStyle w:val="FootnoteText"/>
      </w:pPr>
      <w:r>
        <w:rPr>
          <w:rStyle w:val="FootnoteReference"/>
        </w:rPr>
        <w:footnoteRef/>
      </w:r>
      <w:r>
        <w:t xml:space="preserve"> </w:t>
      </w:r>
      <w:r>
        <w:t xml:space="preserve">NCT06439277, NCT07817875.</w:t>
      </w:r>
    </w:p>
  </w:footnote>
  <w:footnote w:id="2845">
    <w:p>
      <w:pPr>
        <w:pStyle w:val="FootnoteText"/>
      </w:pPr>
      <w:r>
        <w:rPr>
          <w:rStyle w:val="FootnoteReference"/>
        </w:rPr>
        <w:footnoteRef/>
      </w:r>
      <w:r>
        <w:t xml:space="preserve"> </w:t>
      </w:r>
      <w:r>
        <w:t xml:space="preserve">NCT06672939.</w:t>
      </w:r>
    </w:p>
  </w:footnote>
  <w:footnote w:id="2847">
    <w:p>
      <w:pPr>
        <w:pStyle w:val="FootnoteText"/>
      </w:pPr>
      <w:r>
        <w:rPr>
          <w:rStyle w:val="FootnoteReference"/>
        </w:rPr>
        <w:footnoteRef/>
      </w:r>
      <w:r>
        <w:t xml:space="preserve"> </w:t>
      </w:r>
      <w:r>
        <w:t xml:space="preserve">Jastreboff 2023, PMID 37366315.</w:t>
      </w:r>
    </w:p>
  </w:footnote>
  <w:footnote w:id="2848">
    <w:p>
      <w:pPr>
        <w:pStyle w:val="FootnoteText"/>
      </w:pPr>
      <w:r>
        <w:rPr>
          <w:rStyle w:val="FootnoteReference"/>
        </w:rPr>
        <w:footnoteRef/>
      </w:r>
      <w:r>
        <w:t xml:space="preserve"> </w:t>
      </w:r>
      <w:r>
        <w:t xml:space="preserve">Jastreboff 2026, PMID 42814954.</w:t>
      </w:r>
    </w:p>
  </w:footnote>
  <w:footnote w:id="2849">
    <w:p>
      <w:pPr>
        <w:pStyle w:val="FootnoteText"/>
      </w:pPr>
      <w:r>
        <w:rPr>
          <w:rStyle w:val="FootnoteReference"/>
        </w:rPr>
        <w:footnoteRef/>
      </w:r>
      <w:r>
        <w:t xml:space="preserve"> </w:t>
      </w:r>
      <w:r>
        <w:t xml:space="preserve">NCT06383390.</w:t>
      </w:r>
    </w:p>
  </w:footnote>
  <w:footnote w:id="2851">
    <w:p>
      <w:pPr>
        <w:pStyle w:val="FootnoteText"/>
      </w:pPr>
      <w:r>
        <w:rPr>
          <w:rStyle w:val="FootnoteReference"/>
        </w:rPr>
        <w:footnoteRef/>
      </w:r>
      <w:r>
        <w:t xml:space="preserve"> </w:t>
      </w:r>
      <w:r>
        <w:t xml:space="preserve">Garvey 2025, PMID 40544433.</w:t>
      </w:r>
    </w:p>
  </w:footnote>
  <w:footnote w:id="2852">
    <w:p>
      <w:pPr>
        <w:pStyle w:val="FootnoteText"/>
      </w:pPr>
      <w:r>
        <w:rPr>
          <w:rStyle w:val="FootnoteReference"/>
        </w:rPr>
        <w:footnoteRef/>
      </w:r>
      <w:r>
        <w:t xml:space="preserve"> </w:t>
      </w:r>
      <w:r>
        <w:t xml:space="preserve">Dahl 2025, PMID 40550231.</w:t>
      </w:r>
    </w:p>
  </w:footnote>
  <w:footnote w:id="2853">
    <w:p>
      <w:pPr>
        <w:pStyle w:val="FootnoteText"/>
      </w:pPr>
      <w:r>
        <w:rPr>
          <w:rStyle w:val="FootnoteReference"/>
        </w:rPr>
        <w:footnoteRef/>
      </w:r>
      <w:r>
        <w:t xml:space="preserve"> </w:t>
      </w:r>
      <w:r>
        <w:t xml:space="preserve">Billings 2025, PMID 41207310.</w:t>
      </w:r>
    </w:p>
  </w:footnote>
  <w:footnote w:id="2854">
    <w:p>
      <w:pPr>
        <w:pStyle w:val="FootnoteText"/>
      </w:pPr>
      <w:r>
        <w:rPr>
          <w:rStyle w:val="FootnoteReference"/>
        </w:rPr>
        <w:footnoteRef/>
      </w:r>
      <w:r>
        <w:t xml:space="preserve"> </w:t>
      </w:r>
      <w:r>
        <w:t xml:space="preserve">Garvey 2026, PMID 42810355.</w:t>
      </w:r>
    </w:p>
  </w:footnote>
  <w:footnote w:id="2856">
    <w:p>
      <w:pPr>
        <w:pStyle w:val="FootnoteText"/>
      </w:pPr>
      <w:r>
        <w:rPr>
          <w:rStyle w:val="FootnoteReference"/>
        </w:rPr>
        <w:footnoteRef/>
      </w:r>
      <w:r>
        <w:t xml:space="preserve"> </w:t>
      </w:r>
      <w:r>
        <w:t xml:space="preserve">Yie 2026, PMID 42592044.</w:t>
      </w:r>
    </w:p>
  </w:footnote>
  <w:footnote w:id="2857">
    <w:p>
      <w:pPr>
        <w:pStyle w:val="FootnoteText"/>
      </w:pPr>
      <w:r>
        <w:rPr>
          <w:rStyle w:val="FootnoteReference"/>
        </w:rPr>
        <w:footnoteRef/>
      </w:r>
      <w:r>
        <w:t xml:space="preserve"> </w:t>
      </w:r>
      <w:r>
        <w:t xml:space="preserve">Jastreboff 2025, PMID 40549887.</w:t>
      </w:r>
    </w:p>
  </w:footnote>
  <w:footnote w:id="2859">
    <w:p>
      <w:pPr>
        <w:pStyle w:val="FootnoteText"/>
      </w:pPr>
      <w:r>
        <w:rPr>
          <w:rStyle w:val="FootnoteReference"/>
        </w:rPr>
        <w:footnoteRef/>
      </w:r>
      <w:r>
        <w:t xml:space="preserve"> </w:t>
      </w:r>
      <w:r>
        <w:t xml:space="preserve">Heymsfield 2021, PMID 33439265.</w:t>
      </w:r>
    </w:p>
  </w:footnote>
  <w:footnote w:id="2860">
    <w:p>
      <w:pPr>
        <w:pStyle w:val="FootnoteText"/>
      </w:pPr>
      <w:r>
        <w:rPr>
          <w:rStyle w:val="FootnoteReference"/>
        </w:rPr>
        <w:footnoteRef/>
      </w:r>
      <w:r>
        <w:t xml:space="preserve"> </w:t>
      </w:r>
      <w:r>
        <w:t xml:space="preserve">Heymsfield 2026, PMID 41772149.</w:t>
      </w:r>
    </w:p>
  </w:footnote>
  <w:footnote w:id="2861">
    <w:p>
      <w:pPr>
        <w:pStyle w:val="FootnoteText"/>
      </w:pPr>
      <w:r>
        <w:rPr>
          <w:rStyle w:val="FootnoteReference"/>
        </w:rPr>
        <w:footnoteRef/>
      </w:r>
      <w:r>
        <w:t xml:space="preserve"> </w:t>
      </w:r>
      <w:r>
        <w:t xml:space="preserve">NCT05933499.</w:t>
      </w:r>
    </w:p>
  </w:footnote>
  <w:footnote w:id="2867">
    <w:p>
      <w:pPr>
        <w:pStyle w:val="FootnoteText"/>
      </w:pPr>
      <w:r>
        <w:rPr>
          <w:rStyle w:val="FootnoteReference"/>
        </w:rPr>
        <w:footnoteRef/>
      </w:r>
      <w:r>
        <w:t xml:space="preserve"> </w:t>
      </w:r>
      <w:r>
        <w:t xml:space="preserve">Drucker 2020, PMID 31848464.</w:t>
      </w:r>
    </w:p>
  </w:footnote>
  <w:footnote w:id="2868">
    <w:p>
      <w:pPr>
        <w:pStyle w:val="FootnoteText"/>
      </w:pPr>
      <w:r>
        <w:rPr>
          <w:rStyle w:val="FootnoteReference"/>
        </w:rPr>
        <w:footnoteRef/>
      </w:r>
      <w:r>
        <w:t xml:space="preserve"> </w:t>
      </w:r>
      <w:r>
        <w:t xml:space="preserve">Vahora 2026, PMID 42687069.</w:t>
      </w:r>
    </w:p>
  </w:footnote>
  <w:footnote w:id="2870">
    <w:p>
      <w:pPr>
        <w:pStyle w:val="FootnoteText"/>
      </w:pPr>
      <w:r>
        <w:rPr>
          <w:rStyle w:val="FootnoteReference"/>
        </w:rPr>
        <w:footnoteRef/>
      </w:r>
      <w:r>
        <w:t xml:space="preserve"> </w:t>
      </w:r>
      <w:r>
        <w:t xml:space="preserve">Levi 2026, PMID 42437874.</w:t>
      </w:r>
    </w:p>
  </w:footnote>
  <w:footnote w:id="2872">
    <w:p>
      <w:pPr>
        <w:pStyle w:val="FootnoteText"/>
      </w:pPr>
      <w:r>
        <w:rPr>
          <w:rStyle w:val="FootnoteReference"/>
        </w:rPr>
        <w:footnoteRef/>
      </w:r>
      <w:r>
        <w:t xml:space="preserve"> </w:t>
      </w:r>
      <w:r>
        <w:t xml:space="preserve">McGuire 2025, PMID 40162642.</w:t>
      </w:r>
    </w:p>
  </w:footnote>
  <w:footnote w:id="2874">
    <w:p>
      <w:pPr>
        <w:pStyle w:val="FootnoteText"/>
      </w:pPr>
      <w:r>
        <w:rPr>
          <w:rStyle w:val="FootnoteReference"/>
        </w:rPr>
        <w:footnoteRef/>
      </w:r>
      <w:r>
        <w:t xml:space="preserve"> </w:t>
      </w:r>
      <w:r>
        <w:t xml:space="preserve">Mora 2026, PMID 42532079.</w:t>
      </w:r>
    </w:p>
  </w:footnote>
  <w:footnote w:id="2875">
    <w:p>
      <w:pPr>
        <w:pStyle w:val="FootnoteText"/>
      </w:pPr>
      <w:r>
        <w:rPr>
          <w:rStyle w:val="FootnoteReference"/>
        </w:rPr>
        <w:footnoteRef/>
      </w:r>
      <w:r>
        <w:t xml:space="preserve"> </w:t>
      </w:r>
      <w:r>
        <w:t xml:space="preserve">NCT07815067.</w:t>
      </w:r>
    </w:p>
  </w:footnote>
  <w:footnote w:id="2877">
    <w:p>
      <w:pPr>
        <w:pStyle w:val="FootnoteText"/>
      </w:pPr>
      <w:r>
        <w:rPr>
          <w:rStyle w:val="FootnoteReference"/>
        </w:rPr>
        <w:footnoteRef/>
      </w:r>
      <w:r>
        <w:t xml:space="preserve"> </w:t>
      </w:r>
      <w:r>
        <w:t xml:space="preserve">Johns 2023, PMID 37125593.</w:t>
      </w:r>
    </w:p>
  </w:footnote>
  <w:footnote w:id="2878">
    <w:p>
      <w:pPr>
        <w:pStyle w:val="FootnoteText"/>
      </w:pPr>
      <w:r>
        <w:rPr>
          <w:rStyle w:val="FootnoteReference"/>
        </w:rPr>
        <w:footnoteRef/>
      </w:r>
      <w:r>
        <w:t xml:space="preserve"> </w:t>
      </w:r>
      <w:r>
        <w:t xml:space="preserve">Navar 2026, PMID 41879224.</w:t>
      </w:r>
    </w:p>
  </w:footnote>
  <w:footnote w:id="2879">
    <w:p>
      <w:pPr>
        <w:pStyle w:val="FootnoteText"/>
      </w:pPr>
      <w:r>
        <w:rPr>
          <w:rStyle w:val="FootnoteReference"/>
        </w:rPr>
        <w:footnoteRef/>
      </w:r>
      <w:r>
        <w:t xml:space="preserve"> </w:t>
      </w:r>
      <w:r>
        <w:t xml:space="preserve">Bissonnette 2025, PMID 41191940.</w:t>
      </w:r>
    </w:p>
  </w:footnote>
  <w:footnote w:id="2880">
    <w:p>
      <w:pPr>
        <w:pStyle w:val="FootnoteText"/>
      </w:pPr>
      <w:r>
        <w:rPr>
          <w:rStyle w:val="FootnoteReference"/>
        </w:rPr>
        <w:footnoteRef/>
      </w:r>
      <w:r>
        <w:t xml:space="preserve"> </w:t>
      </w:r>
      <w:r>
        <w:t xml:space="preserve">Knight 2025, PMID 40629250.</w:t>
      </w:r>
    </w:p>
  </w:footnote>
  <w:footnote w:id="2883">
    <w:p>
      <w:pPr>
        <w:pStyle w:val="FootnoteText"/>
      </w:pPr>
      <w:r>
        <w:rPr>
          <w:rStyle w:val="FootnoteReference"/>
        </w:rPr>
        <w:footnoteRef/>
      </w:r>
      <w:r>
        <w:t xml:space="preserve"> </w:t>
      </w:r>
      <w:r>
        <w:t xml:space="preserve">Rosenstock 2026, PMID 41765029.</w:t>
      </w:r>
    </w:p>
  </w:footnote>
  <w:footnote w:id="2884">
    <w:p>
      <w:pPr>
        <w:pStyle w:val="FootnoteText"/>
      </w:pPr>
      <w:r>
        <w:rPr>
          <w:rStyle w:val="FootnoteReference"/>
        </w:rPr>
        <w:footnoteRef/>
      </w:r>
      <w:r>
        <w:t xml:space="preserve"> </w:t>
      </w:r>
      <w:r>
        <w:t xml:space="preserve">Wharton 2025, PMID 40960239.</w:t>
      </w:r>
    </w:p>
  </w:footnote>
  <w:footnote w:id="2885">
    <w:p>
      <w:pPr>
        <w:pStyle w:val="FootnoteText"/>
      </w:pPr>
      <w:r>
        <w:rPr>
          <w:rStyle w:val="FootnoteReference"/>
        </w:rPr>
        <w:footnoteRef/>
      </w:r>
      <w:r>
        <w:t xml:space="preserve"> </w:t>
      </w:r>
      <w:r>
        <w:t xml:space="preserve">Rosenstock 2026, PMID 41765029.</w:t>
      </w:r>
    </w:p>
  </w:footnote>
  <w:footnote w:id="2886">
    <w:p>
      <w:pPr>
        <w:pStyle w:val="FootnoteText"/>
      </w:pPr>
      <w:r>
        <w:rPr>
          <w:rStyle w:val="FootnoteReference"/>
        </w:rPr>
        <w:footnoteRef/>
      </w:r>
      <w:r>
        <w:t xml:space="preserve"> </w:t>
      </w:r>
      <w:r>
        <w:t xml:space="preserve">Aronne 2026, PMID 42120723.</w:t>
      </w:r>
    </w:p>
  </w:footnote>
  <w:footnote w:id="2887">
    <w:p>
      <w:pPr>
        <w:pStyle w:val="FootnoteText"/>
      </w:pPr>
      <w:r>
        <w:rPr>
          <w:rStyle w:val="FootnoteReference"/>
        </w:rPr>
        <w:footnoteRef/>
      </w:r>
      <w:r>
        <w:t xml:space="preserve"> </w:t>
      </w:r>
      <w:r>
        <w:t xml:space="preserve">Wharton 2026, PMID 42338042.</w:t>
      </w:r>
    </w:p>
  </w:footnote>
  <w:footnote w:id="2889">
    <w:p>
      <w:pPr>
        <w:pStyle w:val="FootnoteText"/>
      </w:pPr>
      <w:r>
        <w:rPr>
          <w:rStyle w:val="FootnoteReference"/>
        </w:rPr>
        <w:footnoteRef/>
      </w:r>
      <w:r>
        <w:t xml:space="preserve"> </w:t>
      </w:r>
      <w:r>
        <w:t xml:space="preserve">Buckeridge 2025, PMID 40539310.</w:t>
      </w:r>
    </w:p>
  </w:footnote>
  <w:footnote w:id="2892">
    <w:p>
      <w:pPr>
        <w:pStyle w:val="FootnoteText"/>
      </w:pPr>
      <w:r>
        <w:rPr>
          <w:rStyle w:val="FootnoteReference"/>
        </w:rPr>
        <w:footnoteRef/>
      </w:r>
      <w:r>
        <w:t xml:space="preserve"> </w:t>
      </w:r>
      <w:r>
        <w:t xml:space="preserve">Michalak 2026, PMID 42225305.</w:t>
      </w:r>
    </w:p>
  </w:footnote>
  <w:footnote w:id="2894">
    <w:p>
      <w:pPr>
        <w:pStyle w:val="FootnoteText"/>
      </w:pPr>
      <w:r>
        <w:rPr>
          <w:rStyle w:val="FootnoteReference"/>
        </w:rPr>
        <w:footnoteRef/>
      </w:r>
      <w:r>
        <w:t xml:space="preserve"> </w:t>
      </w:r>
      <w:r>
        <w:t xml:space="preserve">Vahora 2026, PMID 42687069.</w:t>
      </w:r>
    </w:p>
  </w:footnote>
  <w:footnote w:id="2895">
    <w:p>
      <w:pPr>
        <w:pStyle w:val="FootnoteText"/>
      </w:pPr>
      <w:r>
        <w:rPr>
          <w:rStyle w:val="FootnoteReference"/>
        </w:rPr>
        <w:footnoteRef/>
      </w:r>
      <w:r>
        <w:t xml:space="preserve"> </w:t>
      </w:r>
      <w:r>
        <w:t xml:space="preserve">NCT07241390.</w:t>
      </w:r>
    </w:p>
  </w:footnote>
  <w:footnote w:id="2896">
    <w:p>
      <w:pPr>
        <w:pStyle w:val="FootnoteText"/>
      </w:pPr>
      <w:r>
        <w:rPr>
          <w:rStyle w:val="FootnoteReference"/>
        </w:rPr>
        <w:footnoteRef/>
      </w:r>
      <w:r>
        <w:t xml:space="preserve"> </w:t>
      </w:r>
      <w:r>
        <w:t xml:space="preserve">Levi 2026, PMID 42437874.</w:t>
      </w:r>
    </w:p>
  </w:footnote>
  <w:footnote w:id="2897">
    <w:p>
      <w:pPr>
        <w:pStyle w:val="FootnoteText"/>
      </w:pPr>
      <w:r>
        <w:rPr>
          <w:rStyle w:val="FootnoteReference"/>
        </w:rPr>
        <w:footnoteRef/>
      </w:r>
      <w:r>
        <w:t xml:space="preserve"> </w:t>
      </w:r>
      <w:r>
        <w:t xml:space="preserve">Belcourt 2026, PMID 41689811.</w:t>
      </w:r>
    </w:p>
  </w:footnote>
  <w:footnote w:id="2898">
    <w:p>
      <w:pPr>
        <w:pStyle w:val="FootnoteText"/>
      </w:pPr>
      <w:r>
        <w:rPr>
          <w:rStyle w:val="FootnoteReference"/>
        </w:rPr>
        <w:footnoteRef/>
      </w:r>
      <w:r>
        <w:t xml:space="preserve"> </w:t>
      </w:r>
      <w:r>
        <w:t xml:space="preserve">Hach 2024, PMID 39379664.</w:t>
      </w:r>
    </w:p>
  </w:footnote>
  <w:footnote w:id="2903">
    <w:p>
      <w:pPr>
        <w:pStyle w:val="FootnoteText"/>
      </w:pPr>
      <w:r>
        <w:rPr>
          <w:rStyle w:val="FootnoteReference"/>
        </w:rPr>
        <w:footnoteRef/>
      </w:r>
      <w:r>
        <w:t xml:space="preserve"> </w:t>
      </w:r>
      <w:r>
        <w:t xml:space="preserve">Hach 2024, PMID 39379664.</w:t>
      </w:r>
    </w:p>
  </w:footnote>
  <w:footnote w:id="2905">
    <w:p>
      <w:pPr>
        <w:pStyle w:val="FootnoteText"/>
      </w:pPr>
      <w:r>
        <w:rPr>
          <w:rStyle w:val="FootnoteReference"/>
        </w:rPr>
        <w:footnoteRef/>
      </w:r>
      <w:r>
        <w:t xml:space="preserve"> </w:t>
      </w:r>
      <w:r>
        <w:t xml:space="preserve">Rubino 2022, PMID 35015037.</w:t>
      </w:r>
    </w:p>
  </w:footnote>
  <w:footnote w:id="2907">
    <w:p>
      <w:pPr>
        <w:pStyle w:val="FootnoteText"/>
      </w:pPr>
      <w:r>
        <w:rPr>
          <w:rStyle w:val="FootnoteReference"/>
        </w:rPr>
        <w:footnoteRef/>
      </w:r>
      <w:r>
        <w:t xml:space="preserve"> </w:t>
      </w:r>
      <w:r>
        <w:t xml:space="preserve">Levi 2026, PMID 42437874.</w:t>
      </w:r>
    </w:p>
  </w:footnote>
  <w:footnote w:id="2908">
    <w:p>
      <w:pPr>
        <w:pStyle w:val="FootnoteText"/>
      </w:pPr>
      <w:r>
        <w:rPr>
          <w:rStyle w:val="FootnoteReference"/>
        </w:rPr>
        <w:footnoteRef/>
      </w:r>
      <w:r>
        <w:t xml:space="preserve"> </w:t>
      </w:r>
      <w:r>
        <w:t xml:space="preserve">Mohan 2026, PMID 42747945.</w:t>
      </w:r>
    </w:p>
  </w:footnote>
  <w:footnote w:id="2909">
    <w:p>
      <w:pPr>
        <w:pStyle w:val="FootnoteText"/>
      </w:pPr>
      <w:r>
        <w:rPr>
          <w:rStyle w:val="FootnoteReference"/>
        </w:rPr>
        <w:footnoteRef/>
      </w:r>
      <w:r>
        <w:t xml:space="preserve"> </w:t>
      </w:r>
      <w:r>
        <w:t xml:space="preserve">Mani 2025, PMID 41358329.</w:t>
      </w:r>
    </w:p>
  </w:footnote>
  <w:footnote w:id="2910">
    <w:p>
      <w:pPr>
        <w:pStyle w:val="FootnoteText"/>
      </w:pPr>
      <w:r>
        <w:rPr>
          <w:rStyle w:val="FootnoteReference"/>
        </w:rPr>
        <w:footnoteRef/>
      </w:r>
      <w:r>
        <w:t xml:space="preserve"> </w:t>
      </w:r>
      <w:r>
        <w:t xml:space="preserve">Celletti 2026, PMID 41324410.</w:t>
      </w:r>
    </w:p>
  </w:footnote>
  <w:footnote w:id="2913">
    <w:p>
      <w:pPr>
        <w:pStyle w:val="FootnoteText"/>
      </w:pPr>
      <w:r>
        <w:rPr>
          <w:rStyle w:val="FootnoteReference"/>
        </w:rPr>
        <w:footnoteRef/>
      </w:r>
      <w:r>
        <w:t xml:space="preserve"> </w:t>
      </w:r>
      <w:r>
        <w:t xml:space="preserve">DiStefano 2025, PMID 39776466.</w:t>
      </w:r>
    </w:p>
  </w:footnote>
  <w:footnote w:id="2914">
    <w:p>
      <w:pPr>
        <w:pStyle w:val="FootnoteText"/>
      </w:pPr>
      <w:r>
        <w:rPr>
          <w:rStyle w:val="FootnoteReference"/>
        </w:rPr>
        <w:footnoteRef/>
      </w:r>
      <w:r>
        <w:t xml:space="preserve"> </w:t>
      </w:r>
      <w:r>
        <w:t xml:space="preserve">Belcourt 2026, PMID 41689811.</w:t>
      </w:r>
    </w:p>
  </w:footnote>
  <w:footnote w:id="2915">
    <w:p>
      <w:pPr>
        <w:pStyle w:val="FootnoteText"/>
      </w:pPr>
      <w:r>
        <w:rPr>
          <w:rStyle w:val="FootnoteReference"/>
        </w:rPr>
        <w:footnoteRef/>
      </w:r>
      <w:r>
        <w:t xml:space="preserve"> </w:t>
      </w:r>
      <w:r>
        <w:t xml:space="preserve">Jordan 2026, PMID 42010938.</w:t>
      </w:r>
    </w:p>
  </w:footnote>
  <w:footnote w:id="2917">
    <w:p>
      <w:pPr>
        <w:pStyle w:val="FootnoteText"/>
      </w:pPr>
      <w:r>
        <w:rPr>
          <w:rStyle w:val="FootnoteReference"/>
        </w:rPr>
        <w:footnoteRef/>
      </w:r>
      <w:r>
        <w:t xml:space="preserve"> </w:t>
      </w:r>
      <w:r>
        <w:t xml:space="preserve">Mailhac 2024, PMID 38685990.</w:t>
      </w:r>
    </w:p>
  </w:footnote>
  <w:footnote w:id="2918">
    <w:p>
      <w:pPr>
        <w:pStyle w:val="FootnoteText"/>
      </w:pPr>
      <w:r>
        <w:rPr>
          <w:rStyle w:val="FootnoteReference"/>
        </w:rPr>
        <w:footnoteRef/>
      </w:r>
      <w:r>
        <w:t xml:space="preserve"> </w:t>
      </w:r>
      <w:r>
        <w:t xml:space="preserve">Gasoyan 2025, PMID 41039650.</w:t>
      </w:r>
    </w:p>
  </w:footnote>
  <w:footnote w:id="2920">
    <w:p>
      <w:pPr>
        <w:pStyle w:val="FootnoteText"/>
      </w:pPr>
      <w:r>
        <w:rPr>
          <w:rStyle w:val="FootnoteReference"/>
        </w:rPr>
        <w:footnoteRef/>
      </w:r>
      <w:r>
        <w:t xml:space="preserve"> </w:t>
      </w:r>
      <w:r>
        <w:t xml:space="preserve">Hwang 2025, PMID 40085108.</w:t>
      </w:r>
    </w:p>
  </w:footnote>
  <w:footnote w:id="2921">
    <w:p>
      <w:pPr>
        <w:pStyle w:val="FootnoteText"/>
      </w:pPr>
      <w:r>
        <w:rPr>
          <w:rStyle w:val="FootnoteReference"/>
        </w:rPr>
        <w:footnoteRef/>
      </w:r>
      <w:r>
        <w:t xml:space="preserve"> </w:t>
      </w:r>
      <w:r>
        <w:t xml:space="preserve">Dhippayom 2026, PMID 41365841.</w:t>
      </w:r>
    </w:p>
  </w:footnote>
  <w:footnote w:id="2922">
    <w:p>
      <w:pPr>
        <w:pStyle w:val="FootnoteText"/>
      </w:pPr>
      <w:r>
        <w:rPr>
          <w:rStyle w:val="FootnoteReference"/>
        </w:rPr>
        <w:footnoteRef/>
      </w:r>
      <w:r>
        <w:t xml:space="preserve"> </w:t>
      </w:r>
      <w:r>
        <w:t xml:space="preserve">Hennessy 2026, PMID 41637062.</w:t>
      </w:r>
    </w:p>
  </w:footnote>
  <w:footnote w:id="2923">
    <w:p>
      <w:pPr>
        <w:pStyle w:val="FootnoteText"/>
      </w:pPr>
      <w:r>
        <w:rPr>
          <w:rStyle w:val="FootnoteReference"/>
        </w:rPr>
        <w:footnoteRef/>
      </w:r>
      <w:r>
        <w:t xml:space="preserve"> </w:t>
      </w:r>
      <w:r>
        <w:t xml:space="preserve">Scannell 2026, PMID 42640207.</w:t>
      </w:r>
    </w:p>
  </w:footnote>
  <w:footnote w:id="2926">
    <w:p>
      <w:pPr>
        <w:pStyle w:val="FootnoteText"/>
      </w:pPr>
      <w:r>
        <w:rPr>
          <w:rStyle w:val="FootnoteReference"/>
        </w:rPr>
        <w:footnoteRef/>
      </w:r>
      <w:r>
        <w:t xml:space="preserve"> </w:t>
      </w:r>
      <w:r>
        <w:t xml:space="preserve">Wilding 2022, PMID 35441470.</w:t>
      </w:r>
    </w:p>
  </w:footnote>
  <w:footnote w:id="2930">
    <w:p>
      <w:pPr>
        <w:pStyle w:val="FootnoteText"/>
      </w:pPr>
      <w:r>
        <w:rPr>
          <w:rStyle w:val="FootnoteReference"/>
        </w:rPr>
        <w:footnoteRef/>
      </w:r>
      <w:r>
        <w:t xml:space="preserve"> </w:t>
      </w:r>
      <w:r>
        <w:t xml:space="preserve">Cummings 2026, PMID 41865758.</w:t>
      </w:r>
    </w:p>
  </w:footnote>
  <w:footnote w:id="2931">
    <w:p>
      <w:pPr>
        <w:pStyle w:val="FootnoteText"/>
      </w:pPr>
      <w:r>
        <w:rPr>
          <w:rStyle w:val="FootnoteReference"/>
        </w:rPr>
        <w:footnoteRef/>
      </w:r>
      <w:r>
        <w:t xml:space="preserve"> </w:t>
      </w:r>
      <w:r>
        <w:t xml:space="preserve">Vijiaratnam 2025, PMID 39919773.</w:t>
      </w:r>
    </w:p>
  </w:footnote>
  <w:footnote w:id="2932">
    <w:p>
      <w:pPr>
        <w:pStyle w:val="FootnoteText"/>
      </w:pPr>
      <w:r>
        <w:rPr>
          <w:rStyle w:val="FootnoteReference"/>
        </w:rPr>
        <w:footnoteRef/>
      </w:r>
      <w:r>
        <w:t xml:space="preserve"> </w:t>
      </w:r>
      <w:r>
        <w:t xml:space="preserve">NCT05556512.</w:t>
      </w:r>
    </w:p>
  </w:footnote>
  <w:footnote w:id="2933">
    <w:p>
      <w:pPr>
        <w:pStyle w:val="FootnoteText"/>
      </w:pPr>
      <w:r>
        <w:rPr>
          <w:rStyle w:val="FootnoteReference"/>
        </w:rPr>
        <w:footnoteRef/>
      </w:r>
      <w:r>
        <w:t xml:space="preserve"> </w:t>
      </w:r>
      <w:r>
        <w:t xml:space="preserve">NCT05669755.</w:t>
      </w:r>
    </w:p>
  </w:footnote>
  <w:footnote w:id="2934">
    <w:p>
      <w:pPr>
        <w:pStyle w:val="FootnoteText"/>
      </w:pPr>
      <w:r>
        <w:rPr>
          <w:rStyle w:val="FootnoteReference"/>
        </w:rPr>
        <w:footnoteRef/>
      </w:r>
      <w:r>
        <w:t xml:space="preserve"> </w:t>
      </w:r>
      <w:r>
        <w:t xml:space="preserve">NCT06383390.</w:t>
      </w:r>
    </w:p>
  </w:footnote>
  <w:footnote w:id="2935">
    <w:p>
      <w:pPr>
        <w:pStyle w:val="FootnoteText"/>
      </w:pPr>
      <w:r>
        <w:rPr>
          <w:rStyle w:val="FootnoteReference"/>
        </w:rPr>
        <w:footnoteRef/>
      </w:r>
      <w:r>
        <w:t xml:space="preserve"> </w:t>
      </w:r>
      <w:r>
        <w:t xml:space="preserve">NCT06632457.</w:t>
      </w:r>
    </w:p>
  </w:footnote>
  <w:footnote w:id="2936">
    <w:p>
      <w:pPr>
        <w:pStyle w:val="FootnoteText"/>
      </w:pPr>
      <w:r>
        <w:rPr>
          <w:rStyle w:val="FootnoteReference"/>
        </w:rPr>
        <w:footnoteRef/>
      </w:r>
      <w:r>
        <w:t xml:space="preserve"> </w:t>
      </w:r>
      <w:r>
        <w:t xml:space="preserve">NCT07037433, NCT07037459.</w:t>
      </w:r>
    </w:p>
  </w:footnote>
  <w:footnote w:id="2937">
    <w:p>
      <w:pPr>
        <w:pStyle w:val="FootnoteText"/>
      </w:pPr>
      <w:r>
        <w:rPr>
          <w:rStyle w:val="FootnoteReference"/>
        </w:rPr>
        <w:footnoteRef/>
      </w:r>
      <w:r>
        <w:t xml:space="preserve"> </w:t>
      </w:r>
      <w:r>
        <w:t xml:space="preserve">NCT07861100.</w:t>
      </w:r>
    </w:p>
  </w:footnote>
  <w:footnote w:id="2938">
    <w:p>
      <w:pPr>
        <w:pStyle w:val="FootnoteText"/>
      </w:pPr>
      <w:r>
        <w:rPr>
          <w:rStyle w:val="FootnoteReference"/>
        </w:rPr>
        <w:footnoteRef/>
      </w:r>
      <w:r>
        <w:t xml:space="preserve"> </w:t>
      </w:r>
      <w:r>
        <w:t xml:space="preserve">NCT07241390.</w:t>
      </w:r>
    </w:p>
  </w:footnote>
  <w:footnote w:id="2939">
    <w:p>
      <w:pPr>
        <w:pStyle w:val="FootnoteText"/>
      </w:pPr>
      <w:r>
        <w:rPr>
          <w:rStyle w:val="FootnoteReference"/>
        </w:rPr>
        <w:footnoteRef/>
      </w:r>
      <w:r>
        <w:t xml:space="preserve"> </w:t>
      </w:r>
      <w:r>
        <w:t xml:space="preserve">NCT07165028.</w:t>
      </w:r>
    </w:p>
  </w:footnote>
  <w:footnote w:id="2940">
    <w:p>
      <w:pPr>
        <w:pStyle w:val="FootnoteText"/>
      </w:pPr>
      <w:r>
        <w:rPr>
          <w:rStyle w:val="FootnoteReference"/>
        </w:rPr>
        <w:footnoteRef/>
      </w:r>
      <w:r>
        <w:t xml:space="preserve"> </w:t>
      </w:r>
      <w:r>
        <w:t xml:space="preserve">Levi 2026, PMID 42437874.</w:t>
      </w:r>
    </w:p>
  </w:footnote>
  <w:footnote w:id="2942">
    <w:p>
      <w:pPr>
        <w:pStyle w:val="FootnoteText"/>
      </w:pPr>
      <w:r>
        <w:rPr>
          <w:rStyle w:val="FootnoteReference"/>
        </w:rPr>
        <w:footnoteRef/>
      </w:r>
      <w:r>
        <w:t xml:space="preserve"> </w:t>
      </w:r>
      <w:r>
        <w:t xml:space="preserve">NCT05086614.</w:t>
      </w:r>
    </w:p>
  </w:footnote>
  <w:footnote w:id="2943">
    <w:p>
      <w:pPr>
        <w:pStyle w:val="FootnoteText"/>
      </w:pPr>
      <w:r>
        <w:rPr>
          <w:rStyle w:val="FootnoteReference"/>
        </w:rPr>
        <w:footnoteRef/>
      </w:r>
      <w:r>
        <w:t xml:space="preserve"> </w:t>
      </w:r>
      <w:r>
        <w:t xml:space="preserve">NCT05555589.</w:t>
      </w:r>
    </w:p>
  </w:footnote>
  <w:footnote w:id="2945">
    <w:p>
      <w:pPr>
        <w:pStyle w:val="FootnoteText"/>
      </w:pPr>
      <w:r>
        <w:rPr>
          <w:rStyle w:val="FootnoteReference"/>
        </w:rPr>
        <w:footnoteRef/>
      </w:r>
      <w:r>
        <w:t xml:space="preserve"> </w:t>
      </w:r>
      <w:r>
        <w:t xml:space="preserve">NCT00903110.</w:t>
      </w:r>
    </w:p>
  </w:footnote>
  <w:footnote w:id="2947">
    <w:p>
      <w:pPr>
        <w:pStyle w:val="FootnoteText"/>
      </w:pPr>
      <w:r>
        <w:rPr>
          <w:rStyle w:val="FootnoteReference"/>
        </w:rPr>
        <w:footnoteRef/>
      </w:r>
      <w:r>
        <w:t xml:space="preserve"> </w:t>
      </w:r>
      <w:r>
        <w:t xml:space="preserve">NCT06373731.</w:t>
      </w:r>
    </w:p>
  </w:footnote>
  <w:footnote w:id="2948">
    <w:p>
      <w:pPr>
        <w:pStyle w:val="FootnoteText"/>
      </w:pPr>
      <w:r>
        <w:rPr>
          <w:rStyle w:val="FootnoteReference"/>
        </w:rPr>
        <w:footnoteRef/>
      </w:r>
      <w:r>
        <w:t xml:space="preserve"> </w:t>
      </w:r>
      <w:r>
        <w:t xml:space="preserve">NCT05755997.</w:t>
      </w:r>
    </w:p>
  </w:footnote>
  <w:footnote w:id="2949">
    <w:p>
      <w:pPr>
        <w:pStyle w:val="FootnoteText"/>
      </w:pPr>
      <w:r>
        <w:rPr>
          <w:rStyle w:val="FootnoteReference"/>
        </w:rPr>
        <w:footnoteRef/>
      </w:r>
      <w:r>
        <w:t xml:space="preserve"> </w:t>
      </w:r>
      <w:r>
        <w:t xml:space="preserve">NCT07888595.</w:t>
      </w:r>
    </w:p>
  </w:footnote>
  <w:footnote w:id="2951">
    <w:p>
      <w:pPr>
        <w:pStyle w:val="FootnoteText"/>
      </w:pPr>
      <w:r>
        <w:rPr>
          <w:rStyle w:val="FootnoteReference"/>
        </w:rPr>
        <w:footnoteRef/>
      </w:r>
      <w:r>
        <w:t xml:space="preserve"> </w:t>
      </w:r>
      <w:r>
        <w:t xml:space="preserve">NCT06109649.</w:t>
      </w:r>
    </w:p>
  </w:footnote>
  <w:footnote w:id="2954">
    <w:p>
      <w:pPr>
        <w:pStyle w:val="FootnoteText"/>
      </w:pPr>
      <w:r>
        <w:rPr>
          <w:rStyle w:val="FootnoteReference"/>
        </w:rPr>
        <w:footnoteRef/>
      </w:r>
      <w:r>
        <w:t xml:space="preserve"> </w:t>
      </w:r>
      <w:r>
        <w:t xml:space="preserve">Celletti 2026, PMID 41324410.</w:t>
      </w:r>
    </w:p>
  </w:footnote>
  <w:footnote w:id="2956">
    <w:p>
      <w:pPr>
        <w:pStyle w:val="FootnoteText"/>
      </w:pPr>
      <w:r>
        <w:rPr>
          <w:rStyle w:val="FootnoteReference"/>
        </w:rPr>
        <w:footnoteRef/>
      </w:r>
      <w:r>
        <w:t xml:space="preserve"> </w:t>
      </w:r>
      <w:r>
        <w:t xml:space="preserve">Wilding 2022, PMID 35441470.</w:t>
      </w:r>
    </w:p>
  </w:footnote>
  <w:footnote w:id="2957">
    <w:p>
      <w:pPr>
        <w:pStyle w:val="FootnoteText"/>
      </w:pPr>
      <w:r>
        <w:rPr>
          <w:rStyle w:val="FootnoteReference"/>
        </w:rPr>
        <w:footnoteRef/>
      </w:r>
      <w:r>
        <w:t xml:space="preserve"> </w:t>
      </w:r>
      <w:r>
        <w:t xml:space="preserve">Aronne 2024, PMID 38078870.</w:t>
      </w:r>
    </w:p>
  </w:footnote>
  <w:footnote w:id="2958">
    <w:p>
      <w:pPr>
        <w:pStyle w:val="FootnoteText"/>
      </w:pPr>
      <w:r>
        <w:rPr>
          <w:rStyle w:val="FootnoteReference"/>
        </w:rPr>
        <w:footnoteRef/>
      </w:r>
      <w:r>
        <w:t xml:space="preserve"> </w:t>
      </w:r>
      <w:r>
        <w:t xml:space="preserve">Aronne 2026, PMID 42120723.</w:t>
      </w:r>
    </w:p>
  </w:footnote>
  <w:footnote w:id="2959">
    <w:p>
      <w:pPr>
        <w:pStyle w:val="FootnoteText"/>
      </w:pPr>
      <w:r>
        <w:rPr>
          <w:rStyle w:val="FootnoteReference"/>
        </w:rPr>
        <w:footnoteRef/>
      </w:r>
      <w:r>
        <w:t xml:space="preserve"> </w:t>
      </w:r>
      <w:r>
        <w:t xml:space="preserve">Cengiz 2025, PMID 39950222.</w:t>
      </w:r>
    </w:p>
  </w:footnote>
  <w:footnote w:id="2961">
    <w:p>
      <w:pPr>
        <w:pStyle w:val="FootnoteText"/>
      </w:pPr>
      <w:r>
        <w:rPr>
          <w:rStyle w:val="FootnoteReference"/>
        </w:rPr>
        <w:footnoteRef/>
      </w:r>
      <w:r>
        <w:t xml:space="preserve"> </w:t>
      </w:r>
      <w:r>
        <w:t xml:space="preserve">Celletti 2026, PMID 41324410.</w:t>
      </w:r>
    </w:p>
  </w:footnote>
  <w:footnote w:id="2963">
    <w:p>
      <w:pPr>
        <w:pStyle w:val="FootnoteText"/>
      </w:pPr>
      <w:r>
        <w:rPr>
          <w:rStyle w:val="FootnoteReference"/>
        </w:rPr>
        <w:footnoteRef/>
      </w:r>
      <w:r>
        <w:t xml:space="preserve"> </w:t>
      </w:r>
      <w:r>
        <w:t xml:space="preserve">Rubin 2026, PMID 42853576.</w:t>
      </w:r>
    </w:p>
  </w:footnote>
  <w:footnote w:id="2964">
    <w:p>
      <w:pPr>
        <w:pStyle w:val="FootnoteText"/>
      </w:pPr>
      <w:r>
        <w:rPr>
          <w:rStyle w:val="FootnoteReference"/>
        </w:rPr>
        <w:footnoteRef/>
      </w:r>
      <w:r>
        <w:t xml:space="preserve"> </w:t>
      </w:r>
      <w:r>
        <w:t xml:space="preserve">Belcourt 2026, PMID 41689811.</w:t>
      </w:r>
    </w:p>
  </w:footnote>
  <w:footnote w:id="2965">
    <w:p>
      <w:pPr>
        <w:pStyle w:val="FootnoteText"/>
      </w:pPr>
      <w:r>
        <w:rPr>
          <w:rStyle w:val="FootnoteReference"/>
        </w:rPr>
        <w:footnoteRef/>
      </w:r>
      <w:r>
        <w:t xml:space="preserve"> </w:t>
      </w:r>
      <w:r>
        <w:t xml:space="preserve">Willis 2026, PMID 42752426.</w:t>
      </w:r>
    </w:p>
  </w:footnote>
  <w:footnote w:id="2967">
    <w:p>
      <w:pPr>
        <w:pStyle w:val="FootnoteText"/>
      </w:pPr>
      <w:r>
        <w:rPr>
          <w:rStyle w:val="FootnoteReference"/>
        </w:rPr>
        <w:footnoteRef/>
      </w:r>
      <w:r>
        <w:t xml:space="preserve"> </w:t>
      </w:r>
      <w:r>
        <w:t xml:space="preserve">Wei 2025, PMID 40787887.</w:t>
      </w:r>
    </w:p>
  </w:footnote>
  <w:footnote w:id="2968">
    <w:p>
      <w:pPr>
        <w:pStyle w:val="FootnoteText"/>
      </w:pPr>
      <w:r>
        <w:rPr>
          <w:rStyle w:val="FootnoteReference"/>
        </w:rPr>
        <w:footnoteRef/>
      </w:r>
      <w:r>
        <w:t xml:space="preserve"> </w:t>
      </w:r>
      <w:r>
        <w:t xml:space="preserve">Rettie 2025, PMID 40542165.</w:t>
      </w:r>
    </w:p>
  </w:footnote>
  <w:footnote w:id="2969">
    <w:p>
      <w:pPr>
        <w:pStyle w:val="FootnoteText"/>
      </w:pPr>
      <w:r>
        <w:rPr>
          <w:rStyle w:val="FootnoteReference"/>
        </w:rPr>
        <w:footnoteRef/>
      </w:r>
      <w:r>
        <w:t xml:space="preserve"> </w:t>
      </w:r>
      <w:r>
        <w:t xml:space="preserve">Wang 2025, PMID 39825096.</w:t>
      </w:r>
    </w:p>
  </w:footnote>
  <w:footnote w:id="2970">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peptiden, van semaglutide tot BPC-157: wat studies bij mensen echt laten zien, welke risico’s bekend zijn, hoe de wetgeving eruitziet en waar het onderzoek naartoe gaat.</dc:description>
  <dc:language>nl-NL</dc:language>
  <dc:subject/>
  <cp:keywords/>
  <dcterms:created xsi:type="dcterms:W3CDTF">2026-10-29T19:56:09Z</dcterms:created>
  <dcterms:modified xsi:type="dcterms:W3CDTF">2026-10-29T19:56:09Z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rechten voorbehouden.</vt:lpwstr>
  </property>
  <property fmtid="{D5CDD505-2E9C-101B-9397-08002B2CF9AE}" pid="5" name="toc-title">
    <vt:lpwstr>Inhoud</vt:lpwstr>
  </property>
</Properties>
</file>