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0" w:name="copyright"/>
    <w:p>
      <w:pPr>
        <w:pStyle w:val="Heading1"/>
      </w:pPr>
      <w:r>
        <w:t xml:space="preserve">Copyright</w:t>
      </w:r>
    </w:p>
    <w:p>
      <w:pPr>
        <w:pStyle w:val="FirstParagraph"/>
      </w:pPr>
      <w:r>
        <w:rPr>
          <w:bCs/>
          <w:b/>
        </w:rPr>
        <w:t xml:space="preserve">The Peptide Handbook</w:t>
      </w:r>
      <w:r>
        <w:t xml:space="preserve"> </w:t>
      </w:r>
      <w:r>
        <w:t xml:space="preserve">Every Human Study Compared – Effects, Risks, Legal Status and Outlook</w:t>
      </w:r>
    </w:p>
    <w:p>
      <w:pPr>
        <w:pStyle w:val="BodyText"/>
      </w:pPr>
      <w:r>
        <w:t xml:space="preserve">© 2026 Josef Gallab. All rights reserved.</w:t>
      </w:r>
    </w:p>
    <w:p>
      <w:pPr>
        <w:pStyle w:val="BodyText"/>
      </w:pPr>
      <w:r>
        <w:t xml:space="preserve">First edition. Research status: October/November 2026. Translated from the German original.</w:t>
      </w:r>
    </w:p>
    <w:p>
      <w:pPr>
        <w:pStyle w:val="BodyText"/>
      </w:pPr>
      <w:r>
        <w:t xml:space="preserve">This book is for information only. It does not replace medical advice, diagnosis or treatment</w:t>
      </w:r>
      <w:r>
        <w:t xml:space="preserve"> </w:t>
      </w:r>
      <w:r>
        <w:t xml:space="preserve">and contains no recommendations for use. Many of the substances described are not approved as medicines.</w:t>
      </w:r>
    </w:p>
    <w:p>
      <w:pPr>
        <w:pStyle w:val="BodyText"/>
      </w:pPr>
      <w:r>
        <w:t xml:space="preserve">Cover: Josef Gallab</w:t>
      </w:r>
    </w:p>
    <w:p>
      <w:pPr>
        <w:pStyle w:val="BodyText"/>
      </w:pPr>
      <w:r>
        <w:t xml:space="preserve">Information on approval, legal status and anti-doping status reflects the situation in October/November 2026. It can change at any time – please check for updates before any decision. The sources for every statement are given in the footnotes and in the index of studies.</w:t>
      </w:r>
    </w:p>
    <w:p>
      <w:pPr>
        <w:pStyle w:val="BodyText"/>
      </w:pPr>
      <w:r>
        <w:t xml:space="preserve">No part of this work may be reproduced or distributed without the author’s written permission.</w:t>
      </w:r>
    </w:p>
    <w:bookmarkEnd w:id="20"/>
    <w:bookmarkStart w:id="21" w:name="preface"/>
    <w:p>
      <w:pPr>
        <w:pStyle w:val="Heading1"/>
      </w:pPr>
      <w:r>
        <w:t xml:space="preserve">Preface</w:t>
      </w:r>
    </w:p>
    <w:p>
      <w:pPr>
        <w:pStyle w:val="FirstParagraph"/>
      </w:pPr>
      <w:r>
        <w:t xml:space="preserve">For more than five years, peptides haven’t let go of me. It started the way it does for many people: with sport, with the wish to recover faster, to perform better and to get more out of my body. Through biohacking I came across substances most people have never heard of – BPC-157, MOTS-c, Semax, GHK-Cu, later retatrutide. I dug deep into them, read countless personal reports and talked with many people who use them.</w:t>
      </w:r>
    </w:p>
    <w:p>
      <w:pPr>
        <w:pStyle w:val="BodyText"/>
      </w:pPr>
      <w:r>
        <w:t xml:space="preserve">What kept bothering me along the way: the information you find is either advertising or scaremongering. Vendor sites promise miracles, forums swing between enthusiasm and horror stories, and on the other side there is often blanket rejection. What is almost always missing is a sober look at the studies. What was actually investigated – in humans, not just in rats? How large were the studies? What is known about the risks?</w:t>
      </w:r>
    </w:p>
    <w:p>
      <w:pPr>
        <w:pStyle w:val="BodyText"/>
      </w:pPr>
      <w:r>
        <w:t xml:space="preserve">This book is the book I wish I’d had myself five years ago.</w:t>
      </w:r>
    </w:p>
    <w:p>
      <w:pPr>
        <w:pStyle w:val="BodyText"/>
      </w:pPr>
      <w:r>
        <w:t xml:space="preserve">I am convinced that peptides are among the most exciting developments in medicine. Within just a few years, the GLP-1 drugs have changed how we think about obesity, diabetes and heart health. Many other peptides show a potential in the lab and in early studies that thrills me. I believe that one day they can solve many of our health problems and help us get the best out of our bodies.</w:t>
      </w:r>
    </w:p>
    <w:p>
      <w:pPr>
        <w:pStyle w:val="BodyText"/>
      </w:pPr>
      <w:r>
        <w:t xml:space="preserve">But – and this is exactly why this book turned out the way it did – enthusiasm is no substitute for evidence. For many peptides celebrated on the internet, there is still not a single meaningful study in humans to this day. No matter how many personal reports there are, they remain individual cases, not proof. Anyone who blindly follows every hype takes risks that often nobody knows: contaminated products from the grey market, unknown long-term effects, legal problems.</w:t>
      </w:r>
    </w:p>
    <w:p>
      <w:pPr>
        <w:pStyle w:val="BodyText"/>
      </w:pPr>
      <w:r>
        <w:t xml:space="preserve">That’s why, for each of the 58 peptides, this book gives you both: the potential and the open questions. Every statement is backed by a source you can look up yourself. The evidence levels from A to D show you at a glance how solid the knowledge is. And where the data are thin, it says so explicitly.</w:t>
      </w:r>
    </w:p>
    <w:p>
      <w:pPr>
        <w:pStyle w:val="BodyText"/>
      </w:pPr>
      <w:r>
        <w:t xml:space="preserve">You won’t find dosages or places to buy here. That’s intentional. This book is meant to help you form your own judgement – and to ask the right questions when you talk to your doctor.</w:t>
      </w:r>
    </w:p>
    <w:p>
      <w:pPr>
        <w:pStyle w:val="BodyText"/>
      </w:pPr>
      <w:r>
        <w:t xml:space="preserve">Research is moving faster than ever. Much of what is still open today will be answered within a few years. I’m looking forward to it – and I hope this book accompanies you along the way.</w:t>
      </w:r>
    </w:p>
    <w:p>
      <w:pPr>
        <w:pStyle w:val="BodyText"/>
      </w:pPr>
      <w:r>
        <w:rPr>
          <w:iCs/>
          <w:i/>
        </w:rPr>
        <w:t xml:space="preserve">Josef Gallab</w:t>
      </w:r>
    </w:p>
    <w:bookmarkEnd w:id="21"/>
    <w:bookmarkStart w:id="28" w:name="important-notice"/>
    <w:p>
      <w:pPr>
        <w:pStyle w:val="Heading1"/>
      </w:pPr>
      <w:r>
        <w:t xml:space="preserve">Important Notice</w:t>
      </w:r>
    </w:p>
    <w:bookmarkStart w:id="22" w:name="no-substitute-for-medical-advice"/>
    <w:p>
      <w:pPr>
        <w:pStyle w:val="Heading3"/>
      </w:pPr>
      <w:r>
        <w:t xml:space="preserve">No Substitute for Medical Advice</w:t>
      </w:r>
    </w:p>
    <w:p>
      <w:pPr>
        <w:pStyle w:val="FirstParagraph"/>
      </w:pPr>
      <w:r>
        <w:t xml:space="preserve">This book is intended solely for general information and education. It does not replace medical advice, diagnosis, or treatment. Before you make decisions about your health or start, stop, or change a medication, please talk to a physician or a pharmacist. If you have acute symptoms, contact an emergency medical service or call the emergency number.</w:t>
      </w:r>
    </w:p>
    <w:bookmarkEnd w:id="22"/>
    <w:bookmarkStart w:id="23" w:name="no-recommendations-for-use"/>
    <w:p>
      <w:pPr>
        <w:pStyle w:val="Heading3"/>
      </w:pPr>
      <w:r>
        <w:t xml:space="preserve">No Recommendations for Use</w:t>
      </w:r>
    </w:p>
    <w:p>
      <w:pPr>
        <w:pStyle w:val="FirstParagraph"/>
      </w:pPr>
      <w:r>
        <w:t xml:space="preserve">This book deliberately contains no recommendations on the use of peptides, no dosages, no instructions for taking or injecting them, no usage cycles, and no recommendations for combinations. When a dose is mentioned in the text, it describes only what was investigated in a specific study. It is not a recommendation and cannot be applied to your personal situation. For approved medicines, the summary of product characteristics (prescribing information), the patient leaflet, and medical supervision are authoritative.</w:t>
      </w:r>
    </w:p>
    <w:bookmarkEnd w:id="23"/>
    <w:bookmarkStart w:id="24" w:name="many-substances-are-not-approved"/>
    <w:p>
      <w:pPr>
        <w:pStyle w:val="Heading3"/>
      </w:pPr>
      <w:r>
        <w:t xml:space="preserve">Many Substances Are Not Approved</w:t>
      </w:r>
    </w:p>
    <w:p>
      <w:pPr>
        <w:pStyle w:val="FirstParagraph"/>
      </w:pPr>
      <w:r>
        <w:t xml:space="preserve">Many of the peptides described in this book are</w:t>
      </w:r>
      <w:r>
        <w:t xml:space="preserve"> </w:t>
      </w:r>
      <w:r>
        <w:rPr>
          <w:bCs/>
          <w:b/>
        </w:rPr>
        <w:t xml:space="preserve">not</w:t>
      </w:r>
      <w:r>
        <w:t xml:space="preserve"> </w:t>
      </w:r>
      <w:r>
        <w:t xml:space="preserve">approved as medicines in the European Union, in Austria, in Germany, or in the USA. For many of them, only animal or laboratory studies are available. The presentation of such substances in this book is not a statement about their efficacy or safety in humans and is not an invitation to use them. Products offered on the internet as</w:t>
      </w:r>
      <w:r>
        <w:t xml:space="preserve"> </w:t>
      </w:r>
      <w:r>
        <w:t xml:space="preserve">“</w:t>
      </w:r>
      <w:r>
        <w:t xml:space="preserve">research peptides</w:t>
      </w:r>
      <w:r>
        <w:t xml:space="preserve">”</w:t>
      </w:r>
      <w:r>
        <w:t xml:space="preserve"> </w:t>
      </w:r>
      <w:r>
        <w:t xml:space="preserve">or</w:t>
      </w:r>
      <w:r>
        <w:t xml:space="preserve"> </w:t>
      </w:r>
      <w:r>
        <w:t xml:space="preserve">“</w:t>
      </w:r>
      <w:r>
        <w:t xml:space="preserve">for research purposes only</w:t>
      </w:r>
      <w:r>
        <w:t xml:space="preserve">”</w:t>
      </w:r>
      <w:r>
        <w:t xml:space="preserve"> </w:t>
      </w:r>
      <w:r>
        <w:t xml:space="preserve">may be incorrectly dosed, contaminated, or counterfeit. Using them can have serious health and legal consequences.</w:t>
      </w:r>
    </w:p>
    <w:bookmarkEnd w:id="24"/>
    <w:bookmarkStart w:id="25" w:name="doping"/>
    <w:p>
      <w:pPr>
        <w:pStyle w:val="Heading3"/>
      </w:pPr>
      <w:r>
        <w:t xml:space="preserve">Doping</w:t>
      </w:r>
    </w:p>
    <w:p>
      <w:pPr>
        <w:pStyle w:val="FirstParagraph"/>
      </w:pPr>
      <w:r>
        <w:t xml:space="preserve">Many of the peptides described are on the Prohibited List of the World Anti-Doping Agency (WADA). For athletes who are subject to doping controls, their use can lead to suspensions. In Austria and Germany, trafficking, passing on, and in certain cases even possessing doping substances can be a criminal offense.</w:t>
      </w:r>
    </w:p>
    <w:bookmarkEnd w:id="25"/>
    <w:bookmarkStart w:id="26" w:name="currency-and-disclaimer"/>
    <w:p>
      <w:pPr>
        <w:pStyle w:val="Heading3"/>
      </w:pPr>
      <w:r>
        <w:t xml:space="preserve">Currency and Disclaimer</w:t>
      </w:r>
    </w:p>
    <w:p>
      <w:pPr>
        <w:pStyle w:val="FirstParagraph"/>
      </w:pPr>
      <w:r>
        <w:t xml:space="preserve">The information in this book reflects the</w:t>
      </w:r>
      <w:r>
        <w:t xml:space="preserve"> </w:t>
      </w:r>
      <w:r>
        <w:rPr>
          <w:bCs/>
          <w:b/>
        </w:rPr>
        <w:t xml:space="preserve">status as of November 2026</w:t>
      </w:r>
      <w:r>
        <w:t xml:space="preserve">. The database research was carried out in October 2026. Medical knowledge, approvals, laws, and anti-doping regulations change constantly. All information has been compiled to the best of our knowledge and with great care, but no guarantee is given for its accuracy, completeness, or currency. The author accepts no liability for damages arising from the use of the information in this book, to the extent permitted by law. The presentation of the legal situation does not constitute legal advice.</w:t>
      </w:r>
    </w:p>
    <w:bookmarkEnd w:id="26"/>
    <w:bookmarkStart w:id="27" w:name="how-this-book-was-created"/>
    <w:p>
      <w:pPr>
        <w:pStyle w:val="Heading3"/>
      </w:pPr>
      <w:r>
        <w:t xml:space="preserve">How This Book Was Created</w:t>
      </w:r>
    </w:p>
    <w:p>
      <w:pPr>
        <w:pStyle w:val="FirstParagraph"/>
      </w:pPr>
      <w:r>
        <w:t xml:space="preserve">For this book, the PubMed and ClinicalTrials.gov databases were systematically searched and the summaries of the studies found were evaluated.</w:t>
      </w:r>
    </w:p>
    <w:p>
      <w:pPr>
        <w:pStyle w:val="BodyText"/>
      </w:pPr>
      <w:r>
        <w:t xml:space="preserve">To avoid errors, strict rules apply: Every study mentioned is cited with its PubMed number (PMID) or its ClinicalTrials.gov registry number (NCT number). Every figure comes from the summary of the respective publication or from the registry entry. All cited numbers were additionally checked automatically against the databases. This allows you to look up every source yourself and verify the information. How to do this is explained in the following section; details on the research can be found in the appendix</w:t>
      </w:r>
      <w:r>
        <w:t xml:space="preserve"> </w:t>
      </w:r>
      <w:r>
        <w:t xml:space="preserve">“</w:t>
      </w:r>
      <w:r>
        <w:t xml:space="preserve">Methodology.</w:t>
      </w:r>
      <w:r>
        <w:t xml:space="preserve">”</w:t>
      </w:r>
    </w:p>
    <w:bookmarkEnd w:id="27"/>
    <w:bookmarkEnd w:id="28"/>
    <w:bookmarkStart w:id="37" w:name="about-this-book"/>
    <w:p>
      <w:pPr>
        <w:pStyle w:val="Heading1"/>
      </w:pPr>
      <w:r>
        <w:t xml:space="preserve">About This Book</w:t>
      </w:r>
    </w:p>
    <w:bookmarkStart w:id="29" w:name="what-this-book-is-for"/>
    <w:p>
      <w:pPr>
        <w:pStyle w:val="Heading3"/>
      </w:pPr>
      <w:r>
        <w:t xml:space="preserve">What This Book Is For</w:t>
      </w:r>
    </w:p>
    <w:p>
      <w:pPr>
        <w:pStyle w:val="FirstParagraph"/>
      </w:pPr>
      <w:r>
        <w:t xml:space="preserve">Peptides are on everyone’s lips. Weight-loss injections such as semaglutide and tirzepatide have changed the treatment of overweight, and dozens of other peptides are offered on the internet – for faster healing, more muscle, better skin, more energy, or a longer life. Between the promises made in forums, on social media, and in online shops and what has actually been studied in humans, there is often a wide gap.</w:t>
      </w:r>
    </w:p>
    <w:p>
      <w:pPr>
        <w:pStyle w:val="BodyText"/>
      </w:pPr>
      <w:r>
        <w:t xml:space="preserve">This book aims to make this gap visible. For each peptide covered, it sets out soberly which human studies exist, what they show and what they do not, which risks are known, and what the legal situation is. It compares the peptides with one another and assesses how robust the evidence is in each case. It is meant to help you critically examine claims and have informed conversations with physicians and pharmacies.</w:t>
      </w:r>
    </w:p>
    <w:bookmarkEnd w:id="29"/>
    <w:bookmarkStart w:id="30" w:name="who-this-book-is-written-for"/>
    <w:p>
      <w:pPr>
        <w:pStyle w:val="Heading3"/>
      </w:pPr>
      <w:r>
        <w:t xml:space="preserve">Who This Book Is Written For</w:t>
      </w:r>
    </w:p>
    <w:p>
      <w:pPr>
        <w:numPr>
          <w:ilvl w:val="0"/>
          <w:numId w:val="1001"/>
        </w:numPr>
        <w:pStyle w:val="Compact"/>
      </w:pPr>
      <w:r>
        <w:t xml:space="preserve">For</w:t>
      </w:r>
      <w:r>
        <w:t xml:space="preserve"> </w:t>
      </w:r>
      <w:r>
        <w:rPr>
          <w:bCs/>
          <w:b/>
        </w:rPr>
        <w:t xml:space="preserve">interested lay readers</w:t>
      </w:r>
      <w:r>
        <w:t xml:space="preserve"> </w:t>
      </w:r>
      <w:r>
        <w:t xml:space="preserve">who want to know what lies behind the peptide boom.</w:t>
      </w:r>
    </w:p>
    <w:p>
      <w:pPr>
        <w:numPr>
          <w:ilvl w:val="0"/>
          <w:numId w:val="1001"/>
        </w:numPr>
        <w:pStyle w:val="Compact"/>
      </w:pPr>
      <w:r>
        <w:t xml:space="preserve">For people who have been prescribed an</w:t>
      </w:r>
      <w:r>
        <w:t xml:space="preserve"> </w:t>
      </w:r>
      <w:r>
        <w:rPr>
          <w:bCs/>
          <w:b/>
        </w:rPr>
        <w:t xml:space="preserve">approved peptide medication</w:t>
      </w:r>
      <w:r>
        <w:t xml:space="preserve"> </w:t>
      </w:r>
      <w:r>
        <w:t xml:space="preserve">or are considering one and want to understand the evidence.</w:t>
      </w:r>
    </w:p>
    <w:p>
      <w:pPr>
        <w:numPr>
          <w:ilvl w:val="0"/>
          <w:numId w:val="1001"/>
        </w:numPr>
        <w:pStyle w:val="Compact"/>
      </w:pPr>
      <w:r>
        <w:t xml:space="preserve">For</w:t>
      </w:r>
      <w:r>
        <w:t xml:space="preserve"> </w:t>
      </w:r>
      <w:r>
        <w:rPr>
          <w:bCs/>
          <w:b/>
        </w:rPr>
        <w:t xml:space="preserve">athletes</w:t>
      </w:r>
      <w:r>
        <w:t xml:space="preserve"> </w:t>
      </w:r>
      <w:r>
        <w:t xml:space="preserve">and coaches who want to assess advertising claims and doping risks.</w:t>
      </w:r>
    </w:p>
    <w:p>
      <w:pPr>
        <w:numPr>
          <w:ilvl w:val="0"/>
          <w:numId w:val="1001"/>
        </w:numPr>
        <w:pStyle w:val="Compact"/>
      </w:pPr>
      <w:r>
        <w:t xml:space="preserve">For</w:t>
      </w:r>
      <w:r>
        <w:t xml:space="preserve"> </w:t>
      </w:r>
      <w:r>
        <w:rPr>
          <w:bCs/>
          <w:b/>
        </w:rPr>
        <w:t xml:space="preserve">professionals</w:t>
      </w:r>
      <w:r>
        <w:t xml:space="preserve"> </w:t>
      </w:r>
      <w:r>
        <w:t xml:space="preserve">in pharmacy, medicine, nutrition counseling, cosmetics, and journalism who are looking for a quick, source-based overview.</w:t>
      </w:r>
    </w:p>
    <w:p>
      <w:pPr>
        <w:pStyle w:val="FirstParagraph"/>
      </w:pPr>
      <w:r>
        <w:t xml:space="preserve">No prior knowledge is required. Technical terms are explained when they first appear and are also listed in the glossary.</w:t>
      </w:r>
    </w:p>
    <w:bookmarkEnd w:id="30"/>
    <w:bookmarkStart w:id="31" w:name="how-the-book-is-structured"/>
    <w:p>
      <w:pPr>
        <w:pStyle w:val="Heading3"/>
      </w:pPr>
      <w:r>
        <w:t xml:space="preserve">How the Book Is Structured</w:t>
      </w:r>
    </w:p>
    <w:p>
      <w:pPr>
        <w:pStyle w:val="FirstParagraph"/>
      </w:pPr>
      <w:r>
        <w:rPr>
          <w:bCs/>
          <w:b/>
        </w:rPr>
        <w:t xml:space="preserve">Part I – Fundamentals</w:t>
      </w:r>
      <w:r>
        <w:t xml:space="preserve"> </w:t>
      </w:r>
      <w:r>
        <w:t xml:space="preserve">explains what peptides are, how peptide medicine has developed, how peptides get into the body, how to read studies, what happens on the gray market, and which legal framework applies. If you are not familiar with these topics, you should start here.</w:t>
      </w:r>
    </w:p>
    <w:p>
      <w:pPr>
        <w:pStyle w:val="BodyText"/>
      </w:pPr>
      <w:r>
        <w:rPr>
          <w:bCs/>
          <w:b/>
        </w:rPr>
        <w:t xml:space="preserve">Part II – The Peptides</w:t>
      </w:r>
      <w:r>
        <w:t xml:space="preserve"> </w:t>
      </w:r>
      <w:r>
        <w:t xml:space="preserve">presents the individual substances in six groups: metabolism and weight; healing, regeneration, and the immune system; the growth hormone axis; brain, sleep, and longevity; hormones, sexuality, and pigmentation; collagen, nutrition, and cosmetics. Each chapter follows the same structure: profile, mechanism of action, human studies, animal and laboratory studies, risks and side effects, legal status, ongoing studies and outlook, conclusion. This makes it easy for you to compare peptides with one another and to look things up in a targeted way.</w:t>
      </w:r>
    </w:p>
    <w:p>
      <w:pPr>
        <w:pStyle w:val="BodyText"/>
      </w:pPr>
      <w:r>
        <w:rPr>
          <w:bCs/>
          <w:b/>
        </w:rPr>
        <w:t xml:space="preserve">Part III – The Big Comparison</w:t>
      </w:r>
      <w:r>
        <w:t xml:space="preserve"> </w:t>
      </w:r>
      <w:r>
        <w:t xml:space="preserve">places all peptides side by side and compares the GLP-1 medications directly.</w:t>
      </w:r>
    </w:p>
    <w:p>
      <w:pPr>
        <w:pStyle w:val="BodyText"/>
      </w:pPr>
      <w:r>
        <w:rPr>
          <w:bCs/>
          <w:b/>
        </w:rPr>
        <w:t xml:space="preserve">Part IV – Risks</w:t>
      </w:r>
      <w:r>
        <w:t xml:space="preserve"> </w:t>
      </w:r>
      <w:r>
        <w:t xml:space="preserve">summarizes side effects, cancer and immune risks, problems with gray-market products, and special risk groups.</w:t>
      </w:r>
    </w:p>
    <w:p>
      <w:pPr>
        <w:pStyle w:val="BodyText"/>
      </w:pPr>
      <w:r>
        <w:rPr>
          <w:bCs/>
          <w:b/>
        </w:rPr>
        <w:t xml:space="preserve">Part V – The Future</w:t>
      </w:r>
      <w:r>
        <w:t xml:space="preserve"> </w:t>
      </w:r>
      <w:r>
        <w:t xml:space="preserve">looks at the development pipeline, new dosage forms, patent expirations, and prices. Established facts and assessments are clearly separated.</w:t>
      </w:r>
    </w:p>
    <w:p>
      <w:pPr>
        <w:pStyle w:val="BodyText"/>
      </w:pPr>
      <w:r>
        <w:t xml:space="preserve">In the</w:t>
      </w:r>
      <w:r>
        <w:t xml:space="preserve"> </w:t>
      </w:r>
      <w:r>
        <w:rPr>
          <w:bCs/>
          <w:b/>
        </w:rPr>
        <w:t xml:space="preserve">appendix</w:t>
      </w:r>
      <w:r>
        <w:t xml:space="preserve"> </w:t>
      </w:r>
      <w:r>
        <w:t xml:space="preserve">you will find the glossary, the research methodology, and the index of the studies evaluated.</w:t>
      </w:r>
    </w:p>
    <w:bookmarkEnd w:id="31"/>
    <w:bookmarkStart w:id="32" w:name="the-evidence-levels"/>
    <w:p>
      <w:pPr>
        <w:pStyle w:val="Heading3"/>
      </w:pPr>
      <w:r>
        <w:t xml:space="preserve">The Evidence Levels</w:t>
      </w:r>
    </w:p>
    <w:p>
      <w:pPr>
        <w:pStyle w:val="FirstParagraph"/>
      </w:pPr>
      <w:r>
        <w:t xml:space="preserve">Each peptide is assigned an evidence level in its profile. It describes how good the data are</w:t>
      </w:r>
      <w:r>
        <w:t xml:space="preserve"> </w:t>
      </w:r>
      <w:r>
        <w:rPr>
          <w:bCs/>
          <w:b/>
        </w:rPr>
        <w:t xml:space="preserve">in humans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Meaning</w:t>
            </w:r>
          </w:p>
        </w:tc>
      </w:tr>
      <w:tr>
        <w:tc>
          <w:tcPr/>
          <w:p>
            <w:pPr>
              <w:pStyle w:val="Compact"/>
              <w:jc w:val="left"/>
            </w:pPr>
            <w:r>
              <w:t xml:space="preserve">A</w:t>
            </w:r>
          </w:p>
        </w:tc>
        <w:tc>
          <w:tcPr/>
          <w:p>
            <w:pPr>
              <w:pStyle w:val="Compact"/>
              <w:jc w:val="left"/>
            </w:pPr>
            <w:r>
              <w:t xml:space="preserve">several large randomized studies in humans, approval as a medicine</w:t>
            </w:r>
          </w:p>
        </w:tc>
      </w:tr>
      <w:tr>
        <w:tc>
          <w:tcPr/>
          <w:p>
            <w:pPr>
              <w:pStyle w:val="Compact"/>
              <w:jc w:val="left"/>
            </w:pPr>
            <w:r>
              <w:t xml:space="preserve">B</w:t>
            </w:r>
          </w:p>
        </w:tc>
        <w:tc>
          <w:tcPr/>
          <w:p>
            <w:pPr>
              <w:pStyle w:val="Compact"/>
              <w:jc w:val="left"/>
            </w:pPr>
            <w:r>
              <w:t xml:space="preserve">individual randomized studies in humans</w:t>
            </w:r>
          </w:p>
        </w:tc>
      </w:tr>
      <w:tr>
        <w:tc>
          <w:tcPr/>
          <w:p>
            <w:pPr>
              <w:pStyle w:val="Compact"/>
              <w:jc w:val="left"/>
            </w:pPr>
            <w:r>
              <w:t xml:space="preserve">C</w:t>
            </w:r>
          </w:p>
        </w:tc>
        <w:tc>
          <w:tcPr/>
          <w:p>
            <w:pPr>
              <w:pStyle w:val="Compact"/>
              <w:jc w:val="left"/>
            </w:pPr>
            <w:r>
              <w:t xml:space="preserve">only small or uncontrolled studies in humans</w:t>
            </w:r>
          </w:p>
        </w:tc>
      </w:tr>
      <w:tr>
        <w:tc>
          <w:tcPr/>
          <w:p>
            <w:pPr>
              <w:pStyle w:val="Compact"/>
              <w:jc w:val="left"/>
            </w:pPr>
            <w:r>
              <w:t xml:space="preserve">D</w:t>
            </w:r>
          </w:p>
        </w:tc>
        <w:tc>
          <w:tcPr/>
          <w:p>
            <w:pPr>
              <w:pStyle w:val="Compact"/>
              <w:jc w:val="left"/>
            </w:pPr>
            <w:r>
              <w:t xml:space="preserve">only animal and laboratory studies</w:t>
            </w:r>
          </w:p>
        </w:tc>
      </w:tr>
    </w:tbl>
    <w:p>
      <w:pPr>
        <w:pStyle w:val="BodyText"/>
      </w:pPr>
      <w:r>
        <w:t xml:space="preserve">The evidence level is not a recommendation and not a statement about whether a substance is safe. Even a substance at level A has side effects, and a substance at level D is not necessarily ineffective – it simply has not yet been adequately studied in humans. What lies behind the terms</w:t>
      </w:r>
      <w:r>
        <w:t xml:space="preserve"> </w:t>
      </w:r>
      <w:r>
        <w:t xml:space="preserve">“</w:t>
      </w:r>
      <w:r>
        <w:t xml:space="preserve">randomized,</w:t>
      </w:r>
      <w:r>
        <w:t xml:space="preserve">”</w:t>
      </w:r>
      <w:r>
        <w:t xml:space="preserve"> </w:t>
      </w:r>
      <w:r>
        <w:t xml:space="preserve">“</w:t>
      </w:r>
      <w:r>
        <w:t xml:space="preserve">controlled,</w:t>
      </w:r>
      <w:r>
        <w:t xml:space="preserve">”</w:t>
      </w:r>
      <w:r>
        <w:t xml:space="preserve"> </w:t>
      </w:r>
      <w:r>
        <w:t xml:space="preserve">or</w:t>
      </w:r>
      <w:r>
        <w:t xml:space="preserve"> </w:t>
      </w:r>
      <w:r>
        <w:t xml:space="preserve">“</w:t>
      </w:r>
      <w:r>
        <w:t xml:space="preserve">surrogate endpoint</w:t>
      </w:r>
      <w:r>
        <w:t xml:space="preserve">”</w:t>
      </w:r>
      <w:r>
        <w:t xml:space="preserve"> </w:t>
      </w:r>
      <w:r>
        <w:t xml:space="preserve">is explained in the chapter</w:t>
      </w:r>
      <w:r>
        <w:t xml:space="preserve"> </w:t>
      </w:r>
      <w:r>
        <w:t xml:space="preserve">“</w:t>
      </w:r>
      <w:r>
        <w:t xml:space="preserve">Reading Studies Correctly.</w:t>
      </w:r>
      <w:r>
        <w:t xml:space="preserve">”</w:t>
      </w:r>
    </w:p>
    <w:bookmarkEnd w:id="32"/>
    <w:bookmarkStart w:id="33" w:name="how-sources-are-cited"/>
    <w:p>
      <w:pPr>
        <w:pStyle w:val="Heading3"/>
      </w:pPr>
      <w:r>
        <w:t xml:space="preserve">How Sources Are Cited</w:t>
      </w:r>
    </w:p>
    <w:p>
      <w:pPr>
        <w:pStyle w:val="FirstParagraph"/>
      </w:pPr>
      <w:r>
        <w:t xml:space="preserve">To keep the text readable, sources are given in footnotes. In the e-book a small superscript number appears at the relevant point; tapping it shows the source. Each footnote names the first author, the year of publication and the PubMed number, for example: Wilding 2021, PMID 33567185.</w:t>
      </w:r>
    </w:p>
    <w:p>
      <w:pPr>
        <w:pStyle w:val="BodyText"/>
      </w:pPr>
      <w:r>
        <w:t xml:space="preserve">Registered studies, especially ongoing ones, are given with their number in the US trial registry ClinicalTrials.gov, for example NCT03548935. In tables, sources appear directly in the first column.</w:t>
      </w:r>
    </w:p>
    <w:p>
      <w:pPr>
        <w:pStyle w:val="BodyText"/>
      </w:pPr>
      <w:r>
        <w:t xml:space="preserve">The footnotes are collected at the end of each chapter; the complete index of studies is in the appendix.</w:t>
      </w:r>
    </w:p>
    <w:bookmarkEnd w:id="33"/>
    <w:bookmarkStart w:id="34" w:name="how-to-look-up-a-source"/>
    <w:p>
      <w:pPr>
        <w:pStyle w:val="Heading3"/>
      </w:pPr>
      <w:r>
        <w:t xml:space="preserve">How to Look Up a Source</w:t>
      </w:r>
    </w:p>
    <w:p>
      <w:pPr>
        <w:pStyle w:val="FirstParagraph"/>
      </w:pPr>
      <w:r>
        <w:rPr>
          <w:bCs/>
          <w:b/>
        </w:rPr>
        <w:t xml:space="preserve">PMID</w:t>
      </w:r>
      <w:r>
        <w:t xml:space="preserve">: The PubMed identifier is a unique number for each entry in PubMed, the freely accessible literature database of the US National Library of Medicine.</w:t>
      </w:r>
    </w:p>
    <w:p>
      <w:pPr>
        <w:numPr>
          <w:ilvl w:val="0"/>
          <w:numId w:val="1002"/>
        </w:numPr>
        <w:pStyle w:val="Compact"/>
      </w:pPr>
      <w:r>
        <w:t xml:space="preserve">Open the page pubmed.ncbi.nlm.nih.gov in your browser.</w:t>
      </w:r>
    </w:p>
    <w:p>
      <w:pPr>
        <w:numPr>
          <w:ilvl w:val="0"/>
          <w:numId w:val="1002"/>
        </w:numPr>
        <w:pStyle w:val="Compact"/>
      </w:pPr>
      <w:r>
        <w:t xml:space="preserve">Enter the number in the search field, for example 33567185, and start the search.</w:t>
      </w:r>
    </w:p>
    <w:p>
      <w:pPr>
        <w:numPr>
          <w:ilvl w:val="0"/>
          <w:numId w:val="1002"/>
        </w:numPr>
        <w:pStyle w:val="Compact"/>
      </w:pPr>
      <w:r>
        <w:t xml:space="preserve">You will be taken directly to the entry with the title, authors, journal, and usually a summary (abstract).</w:t>
      </w:r>
    </w:p>
    <w:p>
      <w:pPr>
        <w:pStyle w:val="FirstParagraph"/>
      </w:pPr>
      <w:r>
        <w:t xml:space="preserve">Alternatively, you can append the number directly to the address: pubmed.ncbi.nlm.nih.gov/33567185. Many entries contain a link to the full text, which is sometimes freely available and sometimes available only for a fee.</w:t>
      </w:r>
    </w:p>
    <w:p>
      <w:pPr>
        <w:pStyle w:val="BodyText"/>
      </w:pPr>
      <w:r>
        <w:rPr>
          <w:bCs/>
          <w:b/>
        </w:rPr>
        <w:t xml:space="preserve">NCT number</w:t>
      </w:r>
      <w:r>
        <w:t xml:space="preserve">: You can find registered studies on clinicaltrials.gov by entering the number in the search field or appending it to the address clinicaltrials.gov/study/, for example clinicaltrials.gov/study/NCT03548935. There you will see the study design, number of participants, endpoints, and current status.</w:t>
      </w:r>
    </w:p>
    <w:bookmarkEnd w:id="34"/>
    <w:bookmarkStart w:id="35" w:name="X1cd777e868272124a957b96de52307e7f168d3e"/>
    <w:p>
      <w:pPr>
        <w:pStyle w:val="Heading3"/>
      </w:pPr>
      <w:r>
        <w:t xml:space="preserve">What This Book Deliberately Does Not Contain</w:t>
      </w:r>
    </w:p>
    <w:p>
      <w:pPr>
        <w:numPr>
          <w:ilvl w:val="0"/>
          <w:numId w:val="1003"/>
        </w:numPr>
        <w:pStyle w:val="Compact"/>
      </w:pPr>
      <w:r>
        <w:rPr>
          <w:bCs/>
          <w:b/>
        </w:rPr>
        <w:t xml:space="preserve">No dosages or instructions for use.</w:t>
      </w:r>
      <w:r>
        <w:t xml:space="preserve"> </w:t>
      </w:r>
      <w:r>
        <w:t xml:space="preserve">There is no information on how much, how often, or for how long a peptide should be used, no instructions for reconstituting or injecting, and no combinations of several substances. For approved medicines, the book refers to the prescribing information and medical supervision.</w:t>
      </w:r>
    </w:p>
    <w:p>
      <w:pPr>
        <w:numPr>
          <w:ilvl w:val="0"/>
          <w:numId w:val="1003"/>
        </w:numPr>
        <w:pStyle w:val="Compact"/>
      </w:pPr>
      <w:r>
        <w:rPr>
          <w:bCs/>
          <w:b/>
        </w:rPr>
        <w:t xml:space="preserve">No sources of supply.</w:t>
      </w:r>
      <w:r>
        <w:t xml:space="preserve"> </w:t>
      </w:r>
      <w:r>
        <w:t xml:space="preserve">No shops, manufacturers, pharmacies, or countries where peptides can be purchased are named, and no hints are given on how to circumvent controls.</w:t>
      </w:r>
    </w:p>
    <w:p>
      <w:pPr>
        <w:numPr>
          <w:ilvl w:val="0"/>
          <w:numId w:val="1003"/>
        </w:numPr>
        <w:pStyle w:val="Compact"/>
      </w:pPr>
      <w:r>
        <w:rPr>
          <w:bCs/>
          <w:b/>
        </w:rPr>
        <w:t xml:space="preserve">No promises of cures.</w:t>
      </w:r>
      <w:r>
        <w:t xml:space="preserve"> </w:t>
      </w:r>
      <w:r>
        <w:t xml:space="preserve">The book reports what was observed in studies – not what a substance will do for you.</w:t>
      </w:r>
    </w:p>
    <w:p>
      <w:pPr>
        <w:numPr>
          <w:ilvl w:val="0"/>
          <w:numId w:val="1003"/>
        </w:numPr>
        <w:pStyle w:val="Compact"/>
      </w:pPr>
      <w:r>
        <w:rPr>
          <w:bCs/>
          <w:b/>
        </w:rPr>
        <w:t xml:space="preserve">No product recommendations.</w:t>
      </w:r>
      <w:r>
        <w:t xml:space="preserve"> </w:t>
      </w:r>
      <w:r>
        <w:t xml:space="preserve">Neither brands nor suppliers are recommended. Brand names of approved medicines are mentioned only when they are necessary for understanding.</w:t>
      </w:r>
    </w:p>
    <w:bookmarkEnd w:id="35"/>
    <w:bookmarkStart w:id="36" w:name="a-final-word"/>
    <w:p>
      <w:pPr>
        <w:pStyle w:val="Heading3"/>
      </w:pPr>
      <w:r>
        <w:t xml:space="preserve">A Final Word</w:t>
      </w:r>
    </w:p>
    <w:p>
      <w:pPr>
        <w:pStyle w:val="FirstParagraph"/>
      </w:pPr>
      <w:r>
        <w:t xml:space="preserve">This book is a tool for reflection, not a guide to self-treatment. If you have more questions after reading it than before, that is not a bad sign: often the most honest answer to the question</w:t>
      </w:r>
      <w:r>
        <w:t xml:space="preserve"> </w:t>
      </w:r>
      <w:r>
        <w:t xml:space="preserve">“</w:t>
      </w:r>
      <w:r>
        <w:t xml:space="preserve">Does this peptide work?</w:t>
      </w:r>
      <w:r>
        <w:t xml:space="preserve">”</w:t>
      </w:r>
      <w:r>
        <w:t xml:space="preserve"> </w:t>
      </w:r>
      <w:r>
        <w:t xml:space="preserve">is</w:t>
      </w:r>
      <w:r>
        <w:t xml:space="preserve"> </w:t>
      </w:r>
      <w:r>
        <w:t xml:space="preserve">“</w:t>
      </w:r>
      <w:r>
        <w:t xml:space="preserve">Nobody knows yet.</w:t>
      </w:r>
      <w:r>
        <w:t xml:space="preserve">”</w:t>
      </w:r>
    </w:p>
    <w:bookmarkEnd w:id="36"/>
    <w:bookmarkEnd w:id="37"/>
    <w:bookmarkStart w:id="231" w:name="part-i-fundamentals"/>
    <w:p>
      <w:pPr>
        <w:pStyle w:val="Heading1"/>
      </w:pPr>
      <w:r>
        <w:t xml:space="preserve">Part I – Fundamentals</w:t>
      </w:r>
    </w:p>
    <w:p>
      <w:pPr>
        <w:pStyle w:val="FirstParagraph"/>
      </w:pPr>
      <w:r>
        <w:t xml:space="preserve">Before Part II turns to individual substances, this part lays the foundation. You will learn what a peptide actually is chemically, how an extract from dog pancreases became one of the world’s highest-grossing groups of medicines within a century, why most peptides have to be injected, how to read a study without being misled by headlines, what is actually in the vials on the gray market, and which legal rules apply.</w:t>
      </w:r>
    </w:p>
    <w:p>
      <w:pPr>
        <w:pStyle w:val="BodyText"/>
      </w:pPr>
      <w:r>
        <w:t xml:space="preserve">If you only want to look up a specific peptide, you can jump straight to Part II. However, the chapters in this part explain the terms and standards that are used constantly there – such as</w:t>
      </w:r>
      <w:r>
        <w:t xml:space="preserve"> </w:t>
      </w:r>
      <w:r>
        <w:t xml:space="preserve">“</w:t>
      </w:r>
      <w:r>
        <w:t xml:space="preserve">randomized,</w:t>
      </w:r>
      <w:r>
        <w:t xml:space="preserve">”</w:t>
      </w:r>
      <w:r>
        <w:t xml:space="preserve"> </w:t>
      </w:r>
      <w:r>
        <w:t xml:space="preserve">“</w:t>
      </w:r>
      <w:r>
        <w:t xml:space="preserve">surrogate endpoint,</w:t>
      </w:r>
      <w:r>
        <w:t xml:space="preserve">”</w:t>
      </w:r>
      <w:r>
        <w:t xml:space="preserve"> </w:t>
      </w:r>
      <w:r>
        <w:t xml:space="preserve">“</w:t>
      </w:r>
      <w:r>
        <w:t xml:space="preserve">evidence level B,</w:t>
      </w:r>
      <w:r>
        <w:t xml:space="preserve">”</w:t>
      </w:r>
      <w:r>
        <w:t xml:space="preserve"> </w:t>
      </w:r>
      <w:r>
        <w:t xml:space="preserve">or</w:t>
      </w:r>
      <w:r>
        <w:t xml:space="preserve"> </w:t>
      </w:r>
      <w:r>
        <w:t xml:space="preserve">“</w:t>
      </w:r>
      <w:r>
        <w:t xml:space="preserve">research peptide.</w:t>
      </w:r>
      <w:r>
        <w:t xml:space="preserve">”</w:t>
      </w:r>
      <w:r>
        <w:t xml:space="preserve"> </w:t>
      </w:r>
      <w:r>
        <w:t xml:space="preserve">A brief look is therefore worthwhile even for readers in a hurry.</w:t>
      </w:r>
    </w:p>
    <w:bookmarkStart w:id="63" w:name="what-peptides-are-and-what-they-are-not"/>
    <w:p>
      <w:pPr>
        <w:pStyle w:val="Heading2"/>
      </w:pPr>
      <w:r>
        <w:t xml:space="preserve">What Peptides Are – and What They Are Not</w:t>
      </w:r>
    </w:p>
    <w:p>
      <w:pPr>
        <w:pStyle w:val="FirstParagraph"/>
      </w:pPr>
      <w:r>
        <w:t xml:space="preserve">The word</w:t>
      </w:r>
      <w:r>
        <w:t xml:space="preserve"> </w:t>
      </w:r>
      <w:r>
        <w:t xml:space="preserve">“</w:t>
      </w:r>
      <w:r>
        <w:t xml:space="preserve">peptide</w:t>
      </w:r>
      <w:r>
        <w:t xml:space="preserve">”</w:t>
      </w:r>
      <w:r>
        <w:t xml:space="preserve"> </w:t>
      </w:r>
      <w:r>
        <w:t xml:space="preserve">has had a remarkable career in recent years. It appears on skin creams and protein powders, in advertisements for weight-loss injections, and in online forums where</w:t>
      </w:r>
      <w:r>
        <w:t xml:space="preserve"> </w:t>
      </w:r>
      <w:r>
        <w:t xml:space="preserve">“</w:t>
      </w:r>
      <w:r>
        <w:t xml:space="preserve">healing peptides</w:t>
      </w:r>
      <w:r>
        <w:t xml:space="preserve">”</w:t>
      </w:r>
      <w:r>
        <w:t xml:space="preserve"> </w:t>
      </w:r>
      <w:r>
        <w:t xml:space="preserve">are discussed. Yet the term initially refers only to a particular chemical structure – nothing more and nothing less. It says nothing about whether a substance works, whether it is safe, or whether it even gets into the body. This chapter clarifies the basic terms and clears up some common misconceptions.</w:t>
      </w:r>
    </w:p>
    <w:bookmarkStart w:id="38" w:name="amino-acids-the-building-blocks"/>
    <w:p>
      <w:pPr>
        <w:pStyle w:val="Heading3"/>
      </w:pPr>
      <w:r>
        <w:t xml:space="preserve">Amino Acids: The Building Blocks</w:t>
      </w:r>
    </w:p>
    <w:p>
      <w:pPr>
        <w:pStyle w:val="FirstParagraph"/>
      </w:pPr>
      <w:r>
        <w:t xml:space="preserve">All peptides and proteins are made of amino acids. An amino acid is a small molecule with two characteristic components: an amino group (it contains nitrogen) and an acid group (carboxyl group). Between them sits a central carbon atom to which a so-called side chain is attached. This side chain distinguishes the amino acids from one another: it can be small and inconspicuous, as in glycine; oily and water-repellent, as in leucine; electrically charged, as in lysine; or sulfur-containing, as in cysteine.</w:t>
      </w:r>
    </w:p>
    <w:p>
      <w:pPr>
        <w:pStyle w:val="BodyText"/>
      </w:pPr>
      <w:r>
        <w:t xml:space="preserve">The human body builds its proteins essentially from 20 standard amino acids. It can produce some of them itself; others – the</w:t>
      </w:r>
      <w:r>
        <w:t xml:space="preserve"> </w:t>
      </w:r>
      <w:r>
        <w:t xml:space="preserve">“</w:t>
      </w:r>
      <w:r>
        <w:t xml:space="preserve">essential</w:t>
      </w:r>
      <w:r>
        <w:t xml:space="preserve">”</w:t>
      </w:r>
      <w:r>
        <w:t xml:space="preserve"> </w:t>
      </w:r>
      <w:r>
        <w:t xml:space="preserve">amino acids – must be obtained from food. In addition, there are hundreds of other amino acids that occur in nature or are produced in the laboratory. Such</w:t>
      </w:r>
      <w:r>
        <w:t xml:space="preserve"> </w:t>
      </w:r>
      <w:r>
        <w:t xml:space="preserve">“</w:t>
      </w:r>
      <w:r>
        <w:t xml:space="preserve">non-natural</w:t>
      </w:r>
      <w:r>
        <w:t xml:space="preserve">”</w:t>
      </w:r>
      <w:r>
        <w:t xml:space="preserve"> </w:t>
      </w:r>
      <w:r>
        <w:t xml:space="preserve">amino acids are important for drug development because they can make a peptide more stable. You will find an example below in the case of semaglutide.</w:t>
      </w:r>
    </w:p>
    <w:p>
      <w:pPr>
        <w:pStyle w:val="BodyText"/>
      </w:pPr>
      <w:r>
        <w:t xml:space="preserve">Important for understanding many advertising claims: individual amino acids are not peptides. A dietary supplement containing arginine, glutamine, or</w:t>
      </w:r>
      <w:r>
        <w:t xml:space="preserve"> </w:t>
      </w:r>
      <w:r>
        <w:t xml:space="preserve">“</w:t>
      </w:r>
      <w:r>
        <w:t xml:space="preserve">BCAAs</w:t>
      </w:r>
      <w:r>
        <w:t xml:space="preserve">”</w:t>
      </w:r>
      <w:r>
        <w:t xml:space="preserve"> </w:t>
      </w:r>
      <w:r>
        <w:t xml:space="preserve">contains free amino acids, i.e., loose building blocks – not a peptide.</w:t>
      </w:r>
    </w:p>
    <w:bookmarkEnd w:id="38"/>
    <w:bookmarkStart w:id="39" w:name="the-peptide-bond"/>
    <w:p>
      <w:pPr>
        <w:pStyle w:val="Heading3"/>
      </w:pPr>
      <w:r>
        <w:t xml:space="preserve">The Peptide Bond</w:t>
      </w:r>
    </w:p>
    <w:p>
      <w:pPr>
        <w:pStyle w:val="FirstParagraph"/>
      </w:pPr>
      <w:r>
        <w:t xml:space="preserve">When two amino acids join, the acid group of one reacts with the amino group of the other. A water molecule is split off in the process, and a stable link is formed: the peptide bond. The result is called a dipeptide. If another amino acid is added, a tripeptide is formed, then a tetrapeptide, and so on. Such a chain always has a direction: it begins with a free amino group (the</w:t>
      </w:r>
      <w:r>
        <w:t xml:space="preserve"> </w:t>
      </w:r>
      <w:r>
        <w:t xml:space="preserve">“</w:t>
      </w:r>
      <w:r>
        <w:t xml:space="preserve">N-terminus</w:t>
      </w:r>
      <w:r>
        <w:t xml:space="preserve">”</w:t>
      </w:r>
      <w:r>
        <w:t xml:space="preserve">) and ends with a free acid group (the</w:t>
      </w:r>
      <w:r>
        <w:t xml:space="preserve"> </w:t>
      </w:r>
      <w:r>
        <w:t xml:space="preserve">“</w:t>
      </w:r>
      <w:r>
        <w:t xml:space="preserve">C-terminus</w:t>
      </w:r>
      <w:r>
        <w:t xml:space="preserve">”</w:t>
      </w:r>
      <w:r>
        <w:t xml:space="preserve">). In scientific articles, amino acids are therefore always written from left to right, from the N-terminus to the C-terminus – often using one-letter abbreviations. The tripeptide</w:t>
      </w:r>
      <w:r>
        <w:t xml:space="preserve"> </w:t>
      </w:r>
      <w:r>
        <w:t xml:space="preserve">“</w:t>
      </w:r>
      <w:r>
        <w:t xml:space="preserve">GHK,</w:t>
      </w:r>
      <w:r>
        <w:t xml:space="preserve">”</w:t>
      </w:r>
      <w:r>
        <w:t xml:space="preserve"> </w:t>
      </w:r>
      <w:r>
        <w:t xml:space="preserve">for example, stands for glycine–histidine–lysine.</w:t>
      </w:r>
    </w:p>
    <w:p>
      <w:pPr>
        <w:pStyle w:val="BodyText"/>
      </w:pPr>
      <w:r>
        <w:t xml:space="preserve">The order of the amino acids is called the sequence or primary structure. It is crucial: two peptides made of the same building blocks in a different order are different substances with different properties – just as</w:t>
      </w:r>
      <w:r>
        <w:t xml:space="preserve"> </w:t>
      </w:r>
      <w:r>
        <w:t xml:space="preserve">“</w:t>
      </w:r>
      <w:r>
        <w:t xml:space="preserve">rose</w:t>
      </w:r>
      <w:r>
        <w:t xml:space="preserve">”</w:t>
      </w:r>
      <w:r>
        <w:t xml:space="preserve"> </w:t>
      </w:r>
      <w:r>
        <w:t xml:space="preserve">and</w:t>
      </w:r>
      <w:r>
        <w:t xml:space="preserve"> </w:t>
      </w:r>
      <w:r>
        <w:t xml:space="preserve">“</w:t>
      </w:r>
      <w:r>
        <w:t xml:space="preserve">eros</w:t>
      </w:r>
      <w:r>
        <w:t xml:space="preserve">”</w:t>
      </w:r>
      <w:r>
        <w:t xml:space="preserve"> </w:t>
      </w:r>
      <w:r>
        <w:t xml:space="preserve">consist of the same letters.</w:t>
      </w:r>
    </w:p>
    <w:bookmarkEnd w:id="39"/>
    <w:bookmarkStart w:id="42" w:name="peptide-or-protein-a-question-of-length"/>
    <w:p>
      <w:pPr>
        <w:pStyle w:val="Heading3"/>
      </w:pPr>
      <w:r>
        <w:t xml:space="preserve">Peptide or Protein? A Question of Length</w:t>
      </w:r>
    </w:p>
    <w:p>
      <w:pPr>
        <w:pStyle w:val="FirstParagraph"/>
      </w:pPr>
      <w:r>
        <w:t xml:space="preserve">There is no sharp scientific boundary between peptides and proteins, only a convention. Roughly speaking:</w:t>
      </w:r>
    </w:p>
    <w:p>
      <w:pPr>
        <w:numPr>
          <w:ilvl w:val="0"/>
          <w:numId w:val="1004"/>
        </w:numPr>
        <w:pStyle w:val="Compact"/>
      </w:pPr>
      <w:r>
        <w:rPr>
          <w:bCs/>
          <w:b/>
        </w:rPr>
        <w:t xml:space="preserve">Oligopeptides</w:t>
      </w:r>
      <w:r>
        <w:t xml:space="preserve">: about 2 to 10 amino acids, for example the tripeptide glutathione or the dipeptide carnosine.</w:t>
      </w:r>
    </w:p>
    <w:p>
      <w:pPr>
        <w:numPr>
          <w:ilvl w:val="0"/>
          <w:numId w:val="1004"/>
        </w:numPr>
        <w:pStyle w:val="Compact"/>
      </w:pPr>
      <w:r>
        <w:rPr>
          <w:bCs/>
          <w:b/>
        </w:rPr>
        <w:t xml:space="preserve">Polypeptides</w:t>
      </w:r>
      <w:r>
        <w:t xml:space="preserve">: longer chains of up to about 50 amino acids.</w:t>
      </w:r>
    </w:p>
    <w:p>
      <w:pPr>
        <w:numPr>
          <w:ilvl w:val="0"/>
          <w:numId w:val="1004"/>
        </w:numPr>
        <w:pStyle w:val="Compact"/>
      </w:pPr>
      <w:r>
        <w:rPr>
          <w:bCs/>
          <w:b/>
        </w:rPr>
        <w:t xml:space="preserve">Proteins</w:t>
      </w:r>
      <w:r>
        <w:t xml:space="preserve">: larger molecules, usually with more than 50 amino acids and a fixed three-dimensional fold.</w:t>
      </w:r>
    </w:p>
    <w:p>
      <w:pPr>
        <w:pStyle w:val="FirstParagraph"/>
      </w:pPr>
      <w:r>
        <w:t xml:space="preserve">Insulin, with 51 amino acids, lies right at this boundary. It consists of two chains connected by sulfur bridges and, depending on the textbook, is called either a peptide or a small protein. Human growth hormone, by contrast, is clearly a protein: its most common form consists of 191 amino acids and weighs around 22,000 daltons</w:t>
      </w:r>
      <w:r>
        <w:rPr>
          <w:rStyle w:val="FootnoteReference"/>
        </w:rPr>
        <w:footnoteReference w:id="40"/>
      </w:r>
      <w:r>
        <w:t xml:space="preserve">. The dalton is the unit for the mass of molecules; an average amino acid in a chain weighs a little more than 100 daltons.</w:t>
      </w:r>
    </w:p>
    <w:p>
      <w:pPr>
        <w:pStyle w:val="BodyText"/>
      </w:pPr>
      <w:r>
        <w:t xml:space="preserve">Some examples from this book for orientation: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Substance</w:t>
            </w:r>
          </w:p>
        </w:tc>
        <w:tc>
          <w:tcPr/>
          <w:p>
            <w:pPr>
              <w:pStyle w:val="Compact"/>
              <w:jc w:val="left"/>
            </w:pPr>
            <w:r>
              <w:t xml:space="preserve">Length</w:t>
            </w:r>
          </w:p>
        </w:tc>
        <w:tc>
          <w:tcPr/>
          <w:p>
            <w:pPr>
              <w:pStyle w:val="Compact"/>
              <w:jc w:val="left"/>
            </w:pPr>
            <w:r>
              <w:t xml:space="preserve">Remark</w:t>
            </w:r>
          </w:p>
        </w:tc>
      </w:tr>
      <w:tr>
        <w:tc>
          <w:tcPr/>
          <w:p>
            <w:pPr>
              <w:pStyle w:val="Compact"/>
              <w:jc w:val="left"/>
            </w:pPr>
            <w:r>
              <w:t xml:space="preserve">Carnosine</w:t>
            </w:r>
          </w:p>
        </w:tc>
        <w:tc>
          <w:tcPr/>
          <w:p>
            <w:pPr>
              <w:pStyle w:val="Compact"/>
              <w:jc w:val="left"/>
            </w:pPr>
            <w:r>
              <w:t xml:space="preserve">2 amino acids</w:t>
            </w:r>
          </w:p>
        </w:tc>
        <w:tc>
          <w:tcPr/>
          <w:p>
            <w:pPr>
              <w:pStyle w:val="Compact"/>
              <w:jc w:val="left"/>
            </w:pPr>
            <w:r>
              <w:t xml:space="preserve">found in muscle</w:t>
            </w:r>
          </w:p>
        </w:tc>
      </w:tr>
      <w:tr>
        <w:tc>
          <w:tcPr/>
          <w:p>
            <w:pPr>
              <w:pStyle w:val="Compact"/>
              <w:jc w:val="left"/>
            </w:pPr>
            <w:r>
              <w:t xml:space="preserve">Glutathione</w:t>
            </w:r>
          </w:p>
        </w:tc>
        <w:tc>
          <w:tcPr/>
          <w:p>
            <w:pPr>
              <w:pStyle w:val="Compact"/>
              <w:jc w:val="left"/>
            </w:pPr>
            <w:r>
              <w:t xml:space="preserve">3 amino acids</w:t>
            </w:r>
          </w:p>
        </w:tc>
        <w:tc>
          <w:tcPr/>
          <w:p>
            <w:pPr>
              <w:pStyle w:val="Compact"/>
              <w:jc w:val="left"/>
            </w:pPr>
            <w:r>
              <w:t xml:space="preserve">endogenous protective molecule</w:t>
            </w:r>
          </w:p>
        </w:tc>
      </w:tr>
      <w:tr>
        <w:tc>
          <w:tcPr/>
          <w:p>
            <w:pPr>
              <w:pStyle w:val="Compact"/>
              <w:jc w:val="left"/>
            </w:pPr>
            <w:r>
              <w:t xml:space="preserve">Oxytocin</w:t>
            </w:r>
          </w:p>
        </w:tc>
        <w:tc>
          <w:tcPr/>
          <w:p>
            <w:pPr>
              <w:pStyle w:val="Compact"/>
              <w:jc w:val="left"/>
            </w:pPr>
            <w:r>
              <w:t xml:space="preserve">9 amino acids</w:t>
            </w:r>
          </w:p>
        </w:tc>
        <w:tc>
          <w:tcPr/>
          <w:p>
            <w:pPr>
              <w:pStyle w:val="Compact"/>
              <w:jc w:val="left"/>
            </w:pPr>
            <w:r>
              <w:t xml:space="preserve">hormone, ring-shaped structure</w:t>
            </w:r>
          </w:p>
        </w:tc>
      </w:tr>
      <w:tr>
        <w:tc>
          <w:tcPr/>
          <w:p>
            <w:pPr>
              <w:pStyle w:val="Compact"/>
              <w:jc w:val="left"/>
            </w:pPr>
            <w:r>
              <w:t xml:space="preserve">GLP-1 (active form)</w:t>
            </w:r>
          </w:p>
        </w:tc>
        <w:tc>
          <w:tcPr/>
          <w:p>
            <w:pPr>
              <w:pStyle w:val="Compact"/>
              <w:jc w:val="left"/>
            </w:pPr>
            <w:r>
              <w:t xml:space="preserve">30 amino acids</w:t>
            </w:r>
          </w:p>
        </w:tc>
        <w:tc>
          <w:tcPr/>
          <w:p>
            <w:pPr>
              <w:pStyle w:val="Compact"/>
              <w:jc w:val="left"/>
            </w:pPr>
            <w:r>
              <w:t xml:space="preserve">gut hormone</w:t>
            </w:r>
          </w:p>
        </w:tc>
      </w:tr>
      <w:tr>
        <w:tc>
          <w:tcPr/>
          <w:p>
            <w:pPr>
              <w:pStyle w:val="Compact"/>
              <w:jc w:val="left"/>
            </w:pPr>
            <w:r>
              <w:t xml:space="preserve">Exendin-4 (exenatide)</w:t>
            </w:r>
          </w:p>
        </w:tc>
        <w:tc>
          <w:tcPr/>
          <w:p>
            <w:pPr>
              <w:pStyle w:val="Compact"/>
              <w:jc w:val="left"/>
            </w:pPr>
            <w:r>
              <w:t xml:space="preserve">39 amino acids</w:t>
            </w:r>
          </w:p>
        </w:tc>
        <w:tc>
          <w:tcPr/>
          <w:p>
            <w:pPr>
              <w:pStyle w:val="Compact"/>
              <w:jc w:val="left"/>
            </w:pPr>
            <w:r>
              <w:t xml:space="preserve">from lizard venom</w:t>
            </w:r>
          </w:p>
        </w:tc>
      </w:tr>
      <w:tr>
        <w:tc>
          <w:tcPr/>
          <w:p>
            <w:pPr>
              <w:pStyle w:val="Compact"/>
              <w:jc w:val="left"/>
            </w:pPr>
            <w:r>
              <w:t xml:space="preserve">Insulin</w:t>
            </w:r>
          </w:p>
        </w:tc>
        <w:tc>
          <w:tcPr/>
          <w:p>
            <w:pPr>
              <w:pStyle w:val="Compact"/>
              <w:jc w:val="left"/>
            </w:pPr>
            <w:r>
              <w:t xml:space="preserve">51 amino acids</w:t>
            </w:r>
          </w:p>
        </w:tc>
        <w:tc>
          <w:tcPr/>
          <w:p>
            <w:pPr>
              <w:pStyle w:val="Compact"/>
              <w:jc w:val="left"/>
            </w:pPr>
            <w:r>
              <w:t xml:space="preserve">two chains</w:t>
            </w:r>
          </w:p>
        </w:tc>
      </w:tr>
      <w:tr>
        <w:tc>
          <w:tcPr/>
          <w:p>
            <w:pPr>
              <w:pStyle w:val="Compact"/>
              <w:jc w:val="left"/>
            </w:pPr>
            <w:r>
              <w:t xml:space="preserve">Growth hormone</w:t>
            </w:r>
          </w:p>
        </w:tc>
        <w:tc>
          <w:tcPr/>
          <w:p>
            <w:pPr>
              <w:pStyle w:val="Compact"/>
              <w:jc w:val="left"/>
            </w:pPr>
            <w:r>
              <w:t xml:space="preserve">191 amino acids</w:t>
            </w:r>
          </w:p>
        </w:tc>
        <w:tc>
          <w:tcPr/>
          <w:p>
            <w:pPr>
              <w:pStyle w:val="Compact"/>
              <w:jc w:val="left"/>
            </w:pPr>
            <w:r>
              <w:t xml:space="preserve">protein</w:t>
            </w:r>
          </w:p>
        </w:tc>
      </w:tr>
    </w:tbl>
    <w:p>
      <w:pPr>
        <w:pStyle w:val="BodyText"/>
      </w:pPr>
      <w:r>
        <w:t xml:space="preserve">The length of exendin-4 is given in its first description</w:t>
      </w:r>
      <w:r>
        <w:rPr>
          <w:rStyle w:val="FootnoteReference"/>
        </w:rPr>
        <w:footnoteReference w:id="41"/>
      </w:r>
      <w:r>
        <w:t xml:space="preserve">; the other figures reflect textbook knowledge.</w:t>
      </w:r>
    </w:p>
    <w:p>
      <w:pPr>
        <w:pStyle w:val="BodyText"/>
      </w:pPr>
      <w:r>
        <w:t xml:space="preserve">In practice, length matters for several reasons. Short peptides are easier and cheaper to produce chemically. Long chains fold into complex shapes that can be indispensable for their effect. And the larger a molecule, the harder it is for it to pass through the skin or the intestinal wall – more on this in the chapter on dosage forms.</w:t>
      </w:r>
    </w:p>
    <w:bookmarkEnd w:id="42"/>
    <w:bookmarkStart w:id="44" w:name="how-peptides-work-in-the-body"/>
    <w:p>
      <w:pPr>
        <w:pStyle w:val="Heading3"/>
      </w:pPr>
      <w:r>
        <w:t xml:space="preserve">How Peptides Work in the Body</w:t>
      </w:r>
    </w:p>
    <w:p>
      <w:pPr>
        <w:pStyle w:val="FirstParagraph"/>
      </w:pPr>
      <w:r>
        <w:t xml:space="preserve">The human body uses peptides primarily as messengers. A peptide hormone is produced in one cell, released into the blood or tissue, and docks onto a matching receptor on another cell. Receptors are protein molecules in the cell membrane that function like a lock: only the matching key triggers a signal inside the cell.</w:t>
      </w:r>
    </w:p>
    <w:p>
      <w:pPr>
        <w:pStyle w:val="BodyText"/>
      </w:pPr>
      <w:r>
        <w:t xml:space="preserve">Because peptides are usually too large and too water-soluble to slip through the fatty cell membrane, most of them act via receptors on the cell surface. Many of these belong to the large family of G protein-coupled receptors. The GLP-1 receptor, through which semaglutide or liraglutide act, is such a receptor. It is found not only in the pancreas but also in the gastrointestinal tract, heart, lungs, kidneys, and brain</w:t>
      </w:r>
      <w:r>
        <w:rPr>
          <w:rStyle w:val="FootnoteReference"/>
        </w:rPr>
        <w:footnoteReference w:id="43"/>
      </w:r>
      <w:r>
        <w:t xml:space="preserve"> </w:t>
      </w:r>
      <w:r>
        <w:t xml:space="preserve">– which explains why these drugs have so many different effects.</w:t>
      </w:r>
    </w:p>
    <w:p>
      <w:pPr>
        <w:pStyle w:val="BodyText"/>
      </w:pPr>
      <w:r>
        <w:t xml:space="preserve">Peptides perform very different tasks in the body:</w:t>
      </w:r>
    </w:p>
    <w:p>
      <w:pPr>
        <w:numPr>
          <w:ilvl w:val="0"/>
          <w:numId w:val="1005"/>
        </w:numPr>
        <w:pStyle w:val="Compact"/>
      </w:pPr>
      <w:r>
        <w:rPr>
          <w:bCs/>
          <w:b/>
        </w:rPr>
        <w:t xml:space="preserve">Hormones</w:t>
      </w:r>
      <w:r>
        <w:t xml:space="preserve"> </w:t>
      </w:r>
      <w:r>
        <w:t xml:space="preserve">such as insulin, glucagon, GLP-1, oxytocin, or vasopressin regulate metabolism, fluid balance, and reproduction.</w:t>
      </w:r>
    </w:p>
    <w:p>
      <w:pPr>
        <w:numPr>
          <w:ilvl w:val="0"/>
          <w:numId w:val="1005"/>
        </w:numPr>
        <w:pStyle w:val="Compact"/>
      </w:pPr>
      <w:r>
        <w:rPr>
          <w:bCs/>
          <w:b/>
        </w:rPr>
        <w:t xml:space="preserve">Releasing factors</w:t>
      </w:r>
      <w:r>
        <w:t xml:space="preserve"> </w:t>
      </w:r>
      <w:r>
        <w:t xml:space="preserve">from the diencephalon, such as gonadotropin-releasing hormone (GnRH), give commands to the pituitary gland.</w:t>
      </w:r>
    </w:p>
    <w:p>
      <w:pPr>
        <w:numPr>
          <w:ilvl w:val="0"/>
          <w:numId w:val="1005"/>
        </w:numPr>
        <w:pStyle w:val="Compact"/>
      </w:pPr>
      <w:r>
        <w:rPr>
          <w:bCs/>
          <w:b/>
        </w:rPr>
        <w:t xml:space="preserve">Neuropeptides</w:t>
      </w:r>
      <w:r>
        <w:t xml:space="preserve"> </w:t>
      </w:r>
      <w:r>
        <w:t xml:space="preserve">such as endorphins act as signaling substances in the nervous system.</w:t>
      </w:r>
    </w:p>
    <w:p>
      <w:pPr>
        <w:numPr>
          <w:ilvl w:val="0"/>
          <w:numId w:val="1005"/>
        </w:numPr>
        <w:pStyle w:val="Compact"/>
      </w:pPr>
      <w:r>
        <w:rPr>
          <w:bCs/>
          <w:b/>
        </w:rPr>
        <w:t xml:space="preserve">Antimicrobial peptides</w:t>
      </w:r>
      <w:r>
        <w:t xml:space="preserve"> </w:t>
      </w:r>
      <w:r>
        <w:t xml:space="preserve">such as LL-37 are part of the innate immune defense.</w:t>
      </w:r>
    </w:p>
    <w:p>
      <w:pPr>
        <w:numPr>
          <w:ilvl w:val="0"/>
          <w:numId w:val="1005"/>
        </w:numPr>
        <w:pStyle w:val="Compact"/>
      </w:pPr>
      <w:r>
        <w:rPr>
          <w:bCs/>
          <w:b/>
        </w:rPr>
        <w:t xml:space="preserve">Structural components and breakdown products</w:t>
      </w:r>
      <w:r>
        <w:t xml:space="preserve">: when collagen or milk protein is digested, short peptides are formed, some of which can be detected in the blood.</w:t>
      </w:r>
    </w:p>
    <w:p>
      <w:pPr>
        <w:pStyle w:val="FirstParagraph"/>
      </w:pPr>
      <w:r>
        <w:t xml:space="preserve">This diversity explains why such different substances are grouped under the term</w:t>
      </w:r>
      <w:r>
        <w:t xml:space="preserve"> </w:t>
      </w:r>
      <w:r>
        <w:t xml:space="preserve">“</w:t>
      </w:r>
      <w:r>
        <w:t xml:space="preserve">peptide</w:t>
      </w:r>
      <w:r>
        <w:t xml:space="preserve">”</w:t>
      </w:r>
      <w:r>
        <w:t xml:space="preserve">: a highly potent prescription diabetes medication as well as a collagen powder from the supermarket.</w:t>
      </w:r>
    </w:p>
    <w:bookmarkEnd w:id="44"/>
    <w:bookmarkStart w:id="48" w:name="X2ef1213a8daa169471112df234d75b0b4f9b94a"/>
    <w:p>
      <w:pPr>
        <w:pStyle w:val="Heading3"/>
      </w:pPr>
      <w:r>
        <w:t xml:space="preserve">Short Lifespan: The Fundamental Problem of Natural Peptides</w:t>
      </w:r>
    </w:p>
    <w:p>
      <w:pPr>
        <w:pStyle w:val="FirstParagraph"/>
      </w:pPr>
      <w:r>
        <w:t xml:space="preserve">The body’s own peptides are usually built for a short, precise effect. The body keeps a wide range of enzymes on hand that cleave peptide bonds – so-called peptidases or proteases. This makes sense: a hormone signal is meant to come after a meal and then go away again.</w:t>
      </w:r>
    </w:p>
    <w:p>
      <w:pPr>
        <w:pStyle w:val="BodyText"/>
      </w:pPr>
      <w:r>
        <w:t xml:space="preserve">For a medication, however, this short lifespan is a problem. Natural GLP-1 is rapidly cut up by the enzyme dipeptidyl peptidase-4 (DPP-4). In human blood plasma in the test tube, its half-life was around 20 minutes</w:t>
      </w:r>
      <w:r>
        <w:rPr>
          <w:rStyle w:val="FootnoteReference"/>
        </w:rPr>
        <w:footnoteReference w:id="45"/>
      </w:r>
      <w:r>
        <w:t xml:space="preserve">; in the body, GLP-1 is additionally cleared rapidly from the circulation. Unmodified GLP-1 would therefore hardly be usable as a medication.</w:t>
      </w:r>
    </w:p>
    <w:p>
      <w:pPr>
        <w:pStyle w:val="BodyText"/>
      </w:pPr>
      <w:r>
        <w:t xml:space="preserve">The solution found by pharmaceutical research was to modify the molecule in a targeted way. In semaglutide, two amino acids of natural GLP-1 were exchanged – at position 8 there is the non-natural amino acid Aib, which protects the molecule from DPP-4 – and a fatty acid was attached to the chain via a linker. The fatty acid causes semaglutide to bind reversibly to the transport protein albumin in the blood</w:t>
      </w:r>
      <w:r>
        <w:rPr>
          <w:rStyle w:val="FootnoteReference"/>
        </w:rPr>
        <w:footnoteReference w:id="46"/>
      </w:r>
      <w:r>
        <w:t xml:space="preserve">. This creates a depot from which the drug is released slowly. The half-life in humans is about one week</w:t>
      </w:r>
      <w:r>
        <w:rPr>
          <w:rStyle w:val="FootnoteReference"/>
        </w:rPr>
        <w:footnoteReference w:id="47"/>
      </w:r>
      <w:r>
        <w:t xml:space="preserve"> </w:t>
      </w:r>
      <w:r>
        <w:t xml:space="preserve">– which is why one injection per week is sufficient.</w:t>
      </w:r>
    </w:p>
    <w:p>
      <w:pPr>
        <w:pStyle w:val="BodyText"/>
      </w:pPr>
      <w:r>
        <w:t xml:space="preserve">This principle – a natural model, specifically stabilized – runs through modern peptide medicine. But it also means that a peptide drug is usually</w:t>
      </w:r>
      <w:r>
        <w:t xml:space="preserve"> </w:t>
      </w:r>
      <w:r>
        <w:rPr>
          <w:bCs/>
          <w:b/>
        </w:rPr>
        <w:t xml:space="preserve">not</w:t>
      </w:r>
      <w:r>
        <w:t xml:space="preserve"> </w:t>
      </w:r>
      <w:r>
        <w:t xml:space="preserve">a</w:t>
      </w:r>
      <w:r>
        <w:t xml:space="preserve"> </w:t>
      </w:r>
      <w:r>
        <w:t xml:space="preserve">“</w:t>
      </w:r>
      <w:r>
        <w:t xml:space="preserve">natural</w:t>
      </w:r>
      <w:r>
        <w:t xml:space="preserve">”</w:t>
      </w:r>
      <w:r>
        <w:t xml:space="preserve"> </w:t>
      </w:r>
      <w:r>
        <w:t xml:space="preserve">substance in the sense of being unchanged and endogenous. It is a molecule inspired by nature but optimized in the laboratory.</w:t>
      </w:r>
    </w:p>
    <w:bookmarkEnd w:id="48"/>
    <w:bookmarkStart w:id="52" w:name="how-peptides-are-produced"/>
    <w:p>
      <w:pPr>
        <w:pStyle w:val="Heading3"/>
      </w:pPr>
      <w:r>
        <w:t xml:space="preserve">How Peptides Are Produced</w:t>
      </w:r>
    </w:p>
    <w:p>
      <w:pPr>
        <w:pStyle w:val="FirstParagraph"/>
      </w:pPr>
      <w:r>
        <w:t xml:space="preserve">There are three basic ways to obtain peptides:</w:t>
      </w:r>
    </w:p>
    <w:p>
      <w:pPr>
        <w:pStyle w:val="BodyText"/>
      </w:pPr>
      <w:r>
        <w:rPr>
          <w:bCs/>
          <w:b/>
        </w:rPr>
        <w:t xml:space="preserve">Chemical synthesis.</w:t>
      </w:r>
      <w:r>
        <w:t xml:space="preserve"> </w:t>
      </w:r>
      <w:r>
        <w:t xml:space="preserve">Since the 1960s, peptides have been built up building block by building block on a solid support material. This process of solid-phase peptide synthesis was developed by Robert Bruce Merrifield</w:t>
      </w:r>
      <w:r>
        <w:rPr>
          <w:rStyle w:val="FootnoteReference"/>
        </w:rPr>
        <w:footnoteReference w:id="49"/>
      </w:r>
      <w:r>
        <w:t xml:space="preserve">, who received the Nobel Prize in Chemistry for it in 1984. Today, such syntheses are largely automated. They are the basis of almost all short peptides, including those offered on the gray market. However, errors can occur at every coupling step – such as missing or duplicated amino acids. A careful purification step is therefore indispensable.</w:t>
      </w:r>
    </w:p>
    <w:p>
      <w:pPr>
        <w:pStyle w:val="BodyText"/>
      </w:pPr>
      <w:r>
        <w:rPr>
          <w:bCs/>
          <w:b/>
        </w:rPr>
        <w:t xml:space="preserve">Genetic engineering (recombinant) production.</w:t>
      </w:r>
      <w:r>
        <w:t xml:space="preserve"> </w:t>
      </w:r>
      <w:r>
        <w:t xml:space="preserve">Here, the blueprint for the peptide is introduced into bacteria or yeast cells, which then produce it in large tanks. Human insulin was the first medication produced in this way; it was used in clinical studies in humans from 1980 onward</w:t>
      </w:r>
      <w:r>
        <w:rPr>
          <w:rStyle w:val="FootnoteReference"/>
        </w:rPr>
        <w:footnoteReference w:id="50"/>
      </w:r>
      <w:r>
        <w:t xml:space="preserve">. Larger peptides and proteins are still predominantly obtained in this way today, sometimes combined with chemical modification steps.</w:t>
      </w:r>
    </w:p>
    <w:p>
      <w:pPr>
        <w:pStyle w:val="BodyText"/>
      </w:pPr>
      <w:r>
        <w:rPr>
          <w:bCs/>
          <w:b/>
        </w:rPr>
        <w:t xml:space="preserve">Extraction from natural sources.</w:t>
      </w:r>
      <w:r>
        <w:t xml:space="preserve"> </w:t>
      </w:r>
      <w:r>
        <w:t xml:space="preserve">Early insulins were obtained from the pancreases of cattle and pigs. Collagen peptides are produced today by breaking down collagen from skin, bones, or fish scales into smaller pieces using enzymes (hydrolysis). Such hydrolysates are mixtures of many different peptides – not a uniform active substance.</w:t>
      </w:r>
    </w:p>
    <w:p>
      <w:pPr>
        <w:pStyle w:val="BodyText"/>
      </w:pPr>
      <w:r>
        <w:t xml:space="preserve">The production route is significant for safety. One investigation compared copycat products of semaglutide and liraglutide with the originator products and found new impurities in some of the copycat active substances, including higher-molecular-weight proteins, trace metals, and solvent residues</w:t>
      </w:r>
      <w:r>
        <w:rPr>
          <w:rStyle w:val="FootnoteReference"/>
        </w:rPr>
        <w:footnoteReference w:id="51"/>
      </w:r>
      <w:r>
        <w:t xml:space="preserve">. Whether such differences are clinically relevant remains open – but they show that</w:t>
      </w:r>
      <w:r>
        <w:t xml:space="preserve"> </w:t>
      </w:r>
      <w:r>
        <w:t xml:space="preserve">“</w:t>
      </w:r>
      <w:r>
        <w:t xml:space="preserve">the same active substance</w:t>
      </w:r>
      <w:r>
        <w:t xml:space="preserve">”</w:t>
      </w:r>
      <w:r>
        <w:t xml:space="preserve"> </w:t>
      </w:r>
      <w:r>
        <w:t xml:space="preserve">does not automatically mean</w:t>
      </w:r>
      <w:r>
        <w:t xml:space="preserve"> </w:t>
      </w:r>
      <w:r>
        <w:t xml:space="preserve">“</w:t>
      </w:r>
      <w:r>
        <w:t xml:space="preserve">the same product.</w:t>
      </w:r>
      <w:r>
        <w:t xml:space="preserve">”</w:t>
      </w:r>
      <w:r>
        <w:t xml:space="preserve"> </w:t>
      </w:r>
      <w:r>
        <w:t xml:space="preserve">Incidentally, the investigation was carried out by the manufacturer of the originator products, which should be taken into account in the assessment.</w:t>
      </w:r>
    </w:p>
    <w:bookmarkEnd w:id="52"/>
    <w:bookmarkStart w:id="55" w:name="peptides-as-medicines-a-growing-group"/>
    <w:p>
      <w:pPr>
        <w:pStyle w:val="Heading3"/>
      </w:pPr>
      <w:r>
        <w:t xml:space="preserve">Peptides as Medicines: A Growing Group</w:t>
      </w:r>
    </w:p>
    <w:p>
      <w:pPr>
        <w:pStyle w:val="FirstParagraph"/>
      </w:pPr>
      <w:r>
        <w:t xml:space="preserve">Peptides occupy a niche between classic</w:t>
      </w:r>
      <w:r>
        <w:t xml:space="preserve"> </w:t>
      </w:r>
      <w:r>
        <w:t xml:space="preserve">“</w:t>
      </w:r>
      <w:r>
        <w:t xml:space="preserve">small molecules</w:t>
      </w:r>
      <w:r>
        <w:t xml:space="preserve">”</w:t>
      </w:r>
      <w:r>
        <w:t xml:space="preserve"> </w:t>
      </w:r>
      <w:r>
        <w:t xml:space="preserve">(such as aspirin or metformin) and large biologics (such as antibodies). They can bind very specifically to a receptor, which often leads to few undesirable side effects elsewhere. At the same time, they are harder to put into tablet form and often expensive to produce.</w:t>
      </w:r>
    </w:p>
    <w:p>
      <w:pPr>
        <w:pStyle w:val="BodyText"/>
      </w:pPr>
      <w:r>
        <w:t xml:space="preserve">According to one review, more than 80 peptide drugs have reached the market since the introduction of insulin, for example for diabetes, cancer, osteoporosis, multiple sclerosis, HIV infection, and chronic pain</w:t>
      </w:r>
      <w:r>
        <w:rPr>
          <w:rStyle w:val="FootnoteReference"/>
        </w:rPr>
        <w:footnoteReference w:id="53"/>
      </w:r>
      <w:r>
        <w:t xml:space="preserve">. Another analysis counted over 150 peptides in active clinical development</w:t>
      </w:r>
      <w:r>
        <w:rPr>
          <w:rStyle w:val="FootnoteReference"/>
        </w:rPr>
        <w:footnoteReference w:id="54"/>
      </w:r>
      <w:r>
        <w:t xml:space="preserve">. The figures differ depending on how they are counted, but they point in the same direction: peptides are an established and growing part of medicine.</w:t>
      </w:r>
    </w:p>
    <w:p>
      <w:pPr>
        <w:pStyle w:val="BodyText"/>
      </w:pPr>
      <w:r>
        <w:t xml:space="preserve">You may know many peptide drugs without having perceived them as peptides: insulin; the osteoporosis drug teriparatide (a fragment of parathyroid hormone consisting of 34 amino acids); prostate cancer drugs that influence the GnRH system; the labor-inducing drug oxytocin; or the antibiotic vancomycin, a glycopeptide.</w:t>
      </w:r>
    </w:p>
    <w:bookmarkEnd w:id="55"/>
    <w:bookmarkStart w:id="57" w:name="what-peptides-are-not"/>
    <w:p>
      <w:pPr>
        <w:pStyle w:val="Heading3"/>
      </w:pPr>
      <w:r>
        <w:t xml:space="preserve">What Peptides Are Not</w:t>
      </w:r>
    </w:p>
    <w:p>
      <w:pPr>
        <w:pStyle w:val="FirstParagraph"/>
      </w:pPr>
      <w:r>
        <w:t xml:space="preserve">Precisely because the term has become so popular, it is worth looking at common misconceptions.</w:t>
      </w:r>
    </w:p>
    <w:p>
      <w:pPr>
        <w:pStyle w:val="BodyText"/>
      </w:pPr>
      <w:r>
        <w:rPr>
          <w:bCs/>
          <w:b/>
        </w:rPr>
        <w:t xml:space="preserve">“</w:t>
      </w:r>
      <w:r>
        <w:rPr>
          <w:bCs/>
          <w:b/>
        </w:rPr>
        <w:t xml:space="preserve">Peptide</w:t>
      </w:r>
      <w:r>
        <w:rPr>
          <w:bCs/>
          <w:b/>
        </w:rPr>
        <w:t xml:space="preserve">”</w:t>
      </w:r>
      <w:r>
        <w:rPr>
          <w:bCs/>
          <w:b/>
        </w:rPr>
        <w:t xml:space="preserve"> </w:t>
      </w:r>
      <w:r>
        <w:rPr>
          <w:bCs/>
          <w:b/>
        </w:rPr>
        <w:t xml:space="preserve">is not a mark of quality.</w:t>
      </w:r>
      <w:r>
        <w:t xml:space="preserve"> </w:t>
      </w:r>
      <w:r>
        <w:t xml:space="preserve">The chemical structure says nothing about benefit or risk. Insulin saves lives every day – in the wrong amount it can be fatal. A peptide is not automatically gentler than a</w:t>
      </w:r>
      <w:r>
        <w:t xml:space="preserve"> </w:t>
      </w:r>
      <w:r>
        <w:t xml:space="preserve">“</w:t>
      </w:r>
      <w:r>
        <w:t xml:space="preserve">chemical</w:t>
      </w:r>
      <w:r>
        <w:t xml:space="preserve">”</w:t>
      </w:r>
      <w:r>
        <w:t xml:space="preserve"> </w:t>
      </w:r>
      <w:r>
        <w:t xml:space="preserve">medication.</w:t>
      </w:r>
    </w:p>
    <w:p>
      <w:pPr>
        <w:pStyle w:val="BodyText"/>
      </w:pPr>
      <w:r>
        <w:rPr>
          <w:bCs/>
          <w:b/>
        </w:rPr>
        <w:t xml:space="preserve">“</w:t>
      </w:r>
      <w:r>
        <w:rPr>
          <w:bCs/>
          <w:b/>
        </w:rPr>
        <w:t xml:space="preserve">Endogenous</w:t>
      </w:r>
      <w:r>
        <w:rPr>
          <w:bCs/>
          <w:b/>
        </w:rPr>
        <w:t xml:space="preserve">”</w:t>
      </w:r>
      <w:r>
        <w:rPr>
          <w:bCs/>
          <w:b/>
        </w:rPr>
        <w:t xml:space="preserve"> </w:t>
      </w:r>
      <w:r>
        <w:rPr>
          <w:bCs/>
          <w:b/>
        </w:rPr>
        <w:t xml:space="preserve">does not mean</w:t>
      </w:r>
      <w:r>
        <w:rPr>
          <w:bCs/>
          <w:b/>
        </w:rPr>
        <w:t xml:space="preserve"> </w:t>
      </w:r>
      <w:r>
        <w:rPr>
          <w:bCs/>
          <w:b/>
        </w:rPr>
        <w:t xml:space="preserve">“</w:t>
      </w:r>
      <w:r>
        <w:rPr>
          <w:bCs/>
          <w:b/>
        </w:rPr>
        <w:t xml:space="preserve">harmless.</w:t>
      </w:r>
      <w:r>
        <w:rPr>
          <w:bCs/>
          <w:b/>
        </w:rPr>
        <w:t xml:space="preserve">”</w:t>
      </w:r>
      <w:r>
        <w:t xml:space="preserve"> </w:t>
      </w:r>
      <w:r>
        <w:t xml:space="preserve">Many gray-market peptides are advertised as</w:t>
      </w:r>
      <w:r>
        <w:t xml:space="preserve"> </w:t>
      </w:r>
      <w:r>
        <w:t xml:space="preserve">“</w:t>
      </w:r>
      <w:r>
        <w:t xml:space="preserve">endogenous</w:t>
      </w:r>
      <w:r>
        <w:t xml:space="preserve">”</w:t>
      </w:r>
      <w:r>
        <w:t xml:space="preserve"> </w:t>
      </w:r>
      <w:r>
        <w:t xml:space="preserve">or</w:t>
      </w:r>
      <w:r>
        <w:t xml:space="preserve"> </w:t>
      </w:r>
      <w:r>
        <w:t xml:space="preserve">“</w:t>
      </w:r>
      <w:r>
        <w:t xml:space="preserve">bioidentical.</w:t>
      </w:r>
      <w:r>
        <w:t xml:space="preserve">”</w:t>
      </w:r>
      <w:r>
        <w:t xml:space="preserve"> </w:t>
      </w:r>
      <w:r>
        <w:t xml:space="preserve">But even substances produced by the body can cause harm in unnaturally high amounts, in the wrong place, or over long periods. One example is the growth hormone system: a deficiency makes you ill, and so does a permanent excess. In addition, many supposedly endogenous peptides are in fact modifications or fragments that do not occur in this form in the body at all. BPC-157, for instance, is a sequence of 15 amino acids</w:t>
      </w:r>
      <w:r>
        <w:rPr>
          <w:rStyle w:val="FootnoteReference"/>
        </w:rPr>
        <w:footnoteReference w:id="56"/>
      </w:r>
      <w:r>
        <w:t xml:space="preserve"> </w:t>
      </w:r>
      <w:r>
        <w:t xml:space="preserve">that its discoverers derived from gastric juice; it is not established as a human hormone in its own right.</w:t>
      </w:r>
    </w:p>
    <w:p>
      <w:pPr>
        <w:pStyle w:val="BodyText"/>
      </w:pPr>
      <w:r>
        <w:rPr>
          <w:bCs/>
          <w:b/>
        </w:rPr>
        <w:t xml:space="preserve">Peptides are not steroids.</w:t>
      </w:r>
      <w:r>
        <w:t xml:space="preserve"> </w:t>
      </w:r>
      <w:r>
        <w:t xml:space="preserve">Anabolic agents such as testosterone are steroid hormones with a completely different chemical framework made of carbon rings. They act via receptors inside the cell. In the fitness world, the two groups are sometimes lumped together; chemically and pharmacologically, they have little in common.</w:t>
      </w:r>
    </w:p>
    <w:p>
      <w:pPr>
        <w:pStyle w:val="BodyText"/>
      </w:pPr>
      <w:r>
        <w:rPr>
          <w:bCs/>
          <w:b/>
        </w:rPr>
        <w:t xml:space="preserve">Not everything that acts similarly is a peptide.</w:t>
      </w:r>
      <w:r>
        <w:t xml:space="preserve"> </w:t>
      </w:r>
      <w:r>
        <w:t xml:space="preserve">Orforglipron, for example, activates the GLP-1 receptor like semaglutide but is a small, non-peptide molecule. Ibutamoren (MK-677) stimulates growth hormone release like some peptides but is not one itself. Both are therefore covered in this book only for comparison.</w:t>
      </w:r>
    </w:p>
    <w:p>
      <w:pPr>
        <w:pStyle w:val="BodyText"/>
      </w:pPr>
      <w:r>
        <w:rPr>
          <w:bCs/>
          <w:b/>
        </w:rPr>
        <w:t xml:space="preserve">A peptide in a cream is not the same as a peptide in a syringe.</w:t>
      </w:r>
      <w:r>
        <w:t xml:space="preserve"> </w:t>
      </w:r>
      <w:r>
        <w:t xml:space="preserve">Cosmetic peptides such as palmitoyl pentapeptide-4 are specifically designed to act in the uppermost layer of the skin. Whether and how deeply they penetrate is a separate question. Conversely, a peptide that is injected as a medication does not simply pass through the skin when applied to it.</w:t>
      </w:r>
    </w:p>
    <w:p>
      <w:pPr>
        <w:pStyle w:val="BodyText"/>
      </w:pPr>
      <w:r>
        <w:rPr>
          <w:bCs/>
          <w:b/>
        </w:rPr>
        <w:t xml:space="preserve">Peptides that are eaten are usually digested.</w:t>
      </w:r>
      <w:r>
        <w:t xml:space="preserve"> </w:t>
      </w:r>
      <w:r>
        <w:t xml:space="preserve">The gastrointestinal tract is designed to break down proteins into amino acids and very short fragments. A peptide hormone that is swallowed is therefore, as a rule, broken down before it can act. Exceptions – such as very small peptides from collagen that can be detected in the blood, or the semaglutide tablet with its excipient – are explained in the chapter after next.</w:t>
      </w:r>
    </w:p>
    <w:bookmarkEnd w:id="57"/>
    <w:bookmarkStart w:id="58" w:name="natural-nature-identical-modified"/>
    <w:p>
      <w:pPr>
        <w:pStyle w:val="Heading3"/>
      </w:pPr>
      <w:r>
        <w:t xml:space="preserve">Natural, Nature-Identical, Modified</w:t>
      </w:r>
    </w:p>
    <w:p>
      <w:pPr>
        <w:pStyle w:val="FirstParagraph"/>
      </w:pPr>
      <w:r>
        <w:t xml:space="preserve">A simple distinction helps to classify the peptides in Part II:</w:t>
      </w:r>
    </w:p>
    <w:p>
      <w:pPr>
        <w:numPr>
          <w:ilvl w:val="0"/>
          <w:numId w:val="1006"/>
        </w:numPr>
        <w:pStyle w:val="Compact"/>
      </w:pPr>
      <w:r>
        <w:rPr>
          <w:bCs/>
          <w:b/>
        </w:rPr>
        <w:t xml:space="preserve">Nature-identical peptides</w:t>
      </w:r>
      <w:r>
        <w:t xml:space="preserve"> </w:t>
      </w:r>
      <w:r>
        <w:t xml:space="preserve">correspond exactly to an endogenous molecule, such as oxytocin or glutathione.</w:t>
      </w:r>
    </w:p>
    <w:p>
      <w:pPr>
        <w:numPr>
          <w:ilvl w:val="0"/>
          <w:numId w:val="1006"/>
        </w:numPr>
        <w:pStyle w:val="Compact"/>
      </w:pPr>
      <w:r>
        <w:rPr>
          <w:bCs/>
          <w:b/>
        </w:rPr>
        <w:t xml:space="preserve">Modified analogs</w:t>
      </w:r>
      <w:r>
        <w:t xml:space="preserve"> </w:t>
      </w:r>
      <w:r>
        <w:t xml:space="preserve">are derived from the natural model but deliberately altered – by exchanged amino acids, attached fatty acids, or ring-shaped structures. Almost all modern peptide drugs belong to this group.</w:t>
      </w:r>
    </w:p>
    <w:p>
      <w:pPr>
        <w:numPr>
          <w:ilvl w:val="0"/>
          <w:numId w:val="1006"/>
        </w:numPr>
        <w:pStyle w:val="Compact"/>
      </w:pPr>
      <w:r>
        <w:rPr>
          <w:bCs/>
          <w:b/>
        </w:rPr>
        <w:t xml:space="preserve">Foreign or newly designed peptides</w:t>
      </w:r>
      <w:r>
        <w:t xml:space="preserve"> </w:t>
      </w:r>
      <w:r>
        <w:t xml:space="preserve">come from other organisms (such as exendin-4 from the saliva of the Gila monster) or were newly developed in the laboratory (such as the cosmetic peptides or the dual and triple agonists tirzepatide and retatrutide).</w:t>
      </w:r>
    </w:p>
    <w:p>
      <w:pPr>
        <w:pStyle w:val="FirstParagraph"/>
      </w:pPr>
      <w:r>
        <w:t xml:space="preserve">This classification alone is not decisive for safety. But it helps to understand why human studies are indispensable for all three groups: even a nature-identical molecule behaves differently when it is supplied from outside in large amounts.</w:t>
      </w:r>
    </w:p>
    <w:bookmarkEnd w:id="58"/>
    <w:bookmarkStart w:id="61" w:name="Xe8a9237400f558f43e15212d32d79f189b268f4"/>
    <w:p>
      <w:pPr>
        <w:pStyle w:val="Heading3"/>
      </w:pPr>
      <w:r>
        <w:t xml:space="preserve">Why Peptides Are Getting So Much Attention Right Now</w:t>
      </w:r>
    </w:p>
    <w:p>
      <w:pPr>
        <w:pStyle w:val="FirstParagraph"/>
      </w:pPr>
      <w:r>
        <w:t xml:space="preserve">Three developments explain the boom of recent years:</w:t>
      </w:r>
    </w:p>
    <w:p>
      <w:pPr>
        <w:pStyle w:val="BodyText"/>
      </w:pPr>
      <w:r>
        <w:rPr>
          <w:bCs/>
          <w:b/>
        </w:rPr>
        <w:t xml:space="preserve">First, the GLP-1 medications.</w:t>
      </w:r>
      <w:r>
        <w:t xml:space="preserve"> </w:t>
      </w:r>
      <w:r>
        <w:t xml:space="preserve">The results of drugs such as semaglutide and tirzepatide in overweight have brought peptides into the headlines. In the pivotal trial STEP 1, participants on semaglutide lost on average 14.9% of their body weight, compared with 2.4% on placebo</w:t>
      </w:r>
      <w:r>
        <w:rPr>
          <w:rStyle w:val="FootnoteReference"/>
        </w:rPr>
        <w:footnoteReference w:id="59"/>
      </w:r>
      <w:r>
        <w:t xml:space="preserve">. Such figures had never before been achieved with medications.</w:t>
      </w:r>
    </w:p>
    <w:p>
      <w:pPr>
        <w:pStyle w:val="BodyText"/>
      </w:pPr>
      <w:r>
        <w:rPr>
          <w:bCs/>
          <w:b/>
        </w:rPr>
        <w:t xml:space="preserve">Second, easy availability.</w:t>
      </w:r>
      <w:r>
        <w:t xml:space="preserve"> </w:t>
      </w:r>
      <w:r>
        <w:t xml:space="preserve">Short peptides can now be synthesized cheaply in many countries and are offered worldwide over the internet – often labeled</w:t>
      </w:r>
      <w:r>
        <w:t xml:space="preserve"> </w:t>
      </w:r>
      <w:r>
        <w:t xml:space="preserve">“</w:t>
      </w:r>
      <w:r>
        <w:t xml:space="preserve">for research purposes only.</w:t>
      </w:r>
      <w:r>
        <w:t xml:space="preserve">”</w:t>
      </w:r>
      <w:r>
        <w:t xml:space="preserve"> </w:t>
      </w:r>
      <w:r>
        <w:t xml:space="preserve">What this means is covered in the chapter on the gray market.</w:t>
      </w:r>
    </w:p>
    <w:p>
      <w:pPr>
        <w:pStyle w:val="BodyText"/>
      </w:pPr>
      <w:r>
        <w:rPr>
          <w:bCs/>
          <w:b/>
        </w:rPr>
        <w:t xml:space="preserve">Third, social media.</w:t>
      </w:r>
      <w:r>
        <w:t xml:space="preserve"> </w:t>
      </w:r>
      <w:r>
        <w:t xml:space="preserve">Personal testimonials, before-and-after pictures, and influencer recommendations spread faster than scientific data. One review describes how digital advertising, gray-market access, and self-injection interact and normalize products whose identity, purity, and safety are unclear</w:t>
      </w:r>
      <w:r>
        <w:rPr>
          <w:rStyle w:val="FootnoteReference"/>
        </w:rPr>
        <w:footnoteReference w:id="60"/>
      </w:r>
      <w:r>
        <w:t xml:space="preserve">.</w:t>
      </w:r>
    </w:p>
    <w:p>
      <w:pPr>
        <w:pStyle w:val="BodyText"/>
      </w:pPr>
      <w:r>
        <w:t xml:space="preserve">This book aims to offer a sober counterweight here: for each peptide, it examines what has actually been studied in humans – and what has not.</w:t>
      </w:r>
    </w:p>
    <w:bookmarkEnd w:id="61"/>
    <w:bookmarkStart w:id="62" w:name="key-points-in-brief"/>
    <w:p>
      <w:pPr>
        <w:pStyle w:val="Heading3"/>
      </w:pPr>
      <w:r>
        <w:t xml:space="preserve">Key Points in Brief</w:t>
      </w:r>
    </w:p>
    <w:p>
      <w:pPr>
        <w:numPr>
          <w:ilvl w:val="0"/>
          <w:numId w:val="1007"/>
        </w:numPr>
        <w:pStyle w:val="Compact"/>
      </w:pPr>
      <w:r>
        <w:t xml:space="preserve">Peptides are chains of amino acids linked by peptide bonds. From about 50 amino acids upward, they are usually called proteins.</w:t>
      </w:r>
    </w:p>
    <w:p>
      <w:pPr>
        <w:numPr>
          <w:ilvl w:val="0"/>
          <w:numId w:val="1007"/>
        </w:numPr>
        <w:pStyle w:val="Compact"/>
      </w:pPr>
      <w:r>
        <w:t xml:space="preserve">In the body, peptides act primarily as messengers via receptors on the cell surface.</w:t>
      </w:r>
    </w:p>
    <w:p>
      <w:pPr>
        <w:numPr>
          <w:ilvl w:val="0"/>
          <w:numId w:val="1007"/>
        </w:numPr>
        <w:pStyle w:val="Compact"/>
      </w:pPr>
      <w:r>
        <w:t xml:space="preserve">Natural peptides are broken down quickly. Modern peptide drugs are therefore almost always deliberately modified molecules.</w:t>
      </w:r>
    </w:p>
    <w:p>
      <w:pPr>
        <w:numPr>
          <w:ilvl w:val="0"/>
          <w:numId w:val="1007"/>
        </w:numPr>
        <w:pStyle w:val="Compact"/>
      </w:pPr>
      <w:r>
        <w:t xml:space="preserve">Peptides are chemically synthesized, produced by genetic engineering, or obtained from natural sources. The production route and purity influence safety.</w:t>
      </w:r>
    </w:p>
    <w:p>
      <w:pPr>
        <w:numPr>
          <w:ilvl w:val="0"/>
          <w:numId w:val="1007"/>
        </w:numPr>
        <w:pStyle w:val="Compact"/>
      </w:pPr>
      <w:r>
        <w:t xml:space="preserve">“</w:t>
      </w:r>
      <w:r>
        <w:t xml:space="preserve">Peptide</w:t>
      </w:r>
      <w:r>
        <w:t xml:space="preserve">”</w:t>
      </w:r>
      <w:r>
        <w:t xml:space="preserve"> </w:t>
      </w:r>
      <w:r>
        <w:t xml:space="preserve">is a chemical description, not a seal of quality. Only good studies can show whether a particular peptide works in humans and is safe.</w:t>
      </w:r>
    </w:p>
    <w:bookmarkEnd w:id="62"/>
    <w:bookmarkEnd w:id="63"/>
    <w:bookmarkStart w:id="100" w:name="X4d3140ce8d911340c9e7f6411cbb6db5b67b859"/>
    <w:p>
      <w:pPr>
        <w:pStyle w:val="Heading2"/>
      </w:pPr>
      <w:r>
        <w:t xml:space="preserve">A Brief History: From Insulin to the GLP-1 Medications</w:t>
      </w:r>
    </w:p>
    <w:p>
      <w:pPr>
        <w:pStyle w:val="FirstParagraph"/>
      </w:pPr>
      <w:r>
        <w:t xml:space="preserve">The history of peptide medications is a history of breakthroughs, wrong turns, and astonishing coincidences. It begins with a desperate experiment in Toronto, leads via the venom of an American desert lizard, and ends – for now – with weight-loss injections that are among the best-selling medicines in the world. This chapter tells the most important milestones. It is meant to help you put today’s excitement about peptides into perspective: much of what is sold as revolutionary stands on the shoulders of a hundred years of painstaking research.</w:t>
      </w:r>
    </w:p>
    <w:bookmarkStart w:id="64" w:name="before-1922-messengers-are-discovered"/>
    <w:p>
      <w:pPr>
        <w:pStyle w:val="Heading3"/>
      </w:pPr>
      <w:r>
        <w:t xml:space="preserve">Before 1922: Messengers Are Discovered</w:t>
      </w:r>
    </w:p>
    <w:p>
      <w:pPr>
        <w:pStyle w:val="FirstParagraph"/>
      </w:pPr>
      <w:r>
        <w:t xml:space="preserve">Around 1900, a new idea took hold in physiology: organs communicate not only via nerves but also via chemical messengers in the blood. In 1902, the British physiologists William Bayliss and Ernest Starling described secretin, a substance from the intestinal wall that stimulates the pancreas to produce its juice. Shortly afterward, Starling coined the term</w:t>
      </w:r>
      <w:r>
        <w:t xml:space="preserve"> </w:t>
      </w:r>
      <w:r>
        <w:t xml:space="preserve">“</w:t>
      </w:r>
      <w:r>
        <w:t xml:space="preserve">hormone</w:t>
      </w:r>
      <w:r>
        <w:t xml:space="preserve">”</w:t>
      </w:r>
      <w:r>
        <w:t xml:space="preserve"> </w:t>
      </w:r>
      <w:r>
        <w:t xml:space="preserve">for such messengers. Secretin is – as we know today – a peptide. A peptide thus stood at the very beginning of all hormone research.</w:t>
      </w:r>
    </w:p>
    <w:p>
      <w:pPr>
        <w:pStyle w:val="BodyText"/>
      </w:pPr>
      <w:r>
        <w:t xml:space="preserve">At the same time, it was known that diabetes mellitus was connected with the pancreas. Dogs whose pancreas had been removed developed fatal diabetes. Many research groups tried to extract the suspected blood-sugar-lowering substance from the gland. However, the extracts were either ineffective or so contaminated that they triggered severe reactions.</w:t>
      </w:r>
    </w:p>
    <w:bookmarkEnd w:id="64"/>
    <w:bookmarkStart w:id="68" w:name="insulin-the-first-peptide-medication"/>
    <w:p>
      <w:pPr>
        <w:pStyle w:val="Heading3"/>
      </w:pPr>
      <w:r>
        <w:t xml:space="preserve">1922: Insulin – The First Peptide Medication</w:t>
      </w:r>
    </w:p>
    <w:p>
      <w:pPr>
        <w:pStyle w:val="FirstParagraph"/>
      </w:pPr>
      <w:r>
        <w:t xml:space="preserve">In the summer of 1921, a group at the University of Toronto achieved the decisive step. Frederick Banting and Charles Best, under the direction of John Macleod, obtained an extract that lowered blood sugar in dogs without a pancreas. The biochemist James Collip improved the purification to the point where the extract could be tested in humans. In January 1922, a 14-year-old boy with severe diabetes received the first injections in Toronto. In the same year, the group reported on its experience in patients</w:t>
      </w:r>
      <w:r>
        <w:rPr>
          <w:rStyle w:val="FootnoteReference"/>
        </w:rPr>
        <w:footnoteReference w:id="65"/>
      </w:r>
      <w:r>
        <w:t xml:space="preserve">.</w:t>
      </w:r>
    </w:p>
    <w:p>
      <w:pPr>
        <w:pStyle w:val="BodyText"/>
      </w:pPr>
      <w:r>
        <w:t xml:space="preserve">The effect was dramatic: type 1 diabetes, until then fatal within a short time, became a treatable chronic disease. A review marking the centenary describes precisely this transformation as the core of the discovery</w:t>
      </w:r>
      <w:r>
        <w:rPr>
          <w:rStyle w:val="FootnoteReference"/>
        </w:rPr>
        <w:footnoteReference w:id="66"/>
      </w:r>
      <w:r>
        <w:t xml:space="preserve">. Banting and Macleod received the Nobel Prize in Medicine in 1923.</w:t>
      </w:r>
    </w:p>
    <w:p>
      <w:pPr>
        <w:pStyle w:val="BodyText"/>
      </w:pPr>
      <w:r>
        <w:t xml:space="preserve">The following decades, as one historical review summarizes, revolved around very practical questions: producing enough insulin, making it purer to avoid allergic reactions, establishing standards, and extending its duration of action so that fewer injections were needed</w:t>
      </w:r>
      <w:r>
        <w:rPr>
          <w:rStyle w:val="FootnoteReference"/>
        </w:rPr>
        <w:footnoteReference w:id="67"/>
      </w:r>
      <w:r>
        <w:t xml:space="preserve">. Exactly these themes – production, purity, duration of action, administration – accompany peptide medicine to this day.</w:t>
      </w:r>
    </w:p>
    <w:bookmarkEnd w:id="68"/>
    <w:bookmarkStart w:id="71" w:name="X4897d6fb02d4ff8ab60a71d190fae775eaa60d8"/>
    <w:p>
      <w:pPr>
        <w:pStyle w:val="Heading3"/>
      </w:pPr>
      <w:r>
        <w:t xml:space="preserve">The 1950s: Peptides Become Readable and Producible</w:t>
      </w:r>
    </w:p>
    <w:p>
      <w:pPr>
        <w:pStyle w:val="FirstParagraph"/>
      </w:pPr>
      <w:r>
        <w:t xml:space="preserve">For a long time, it was unclear how insulin was chemically structured. In the early 1950s, the British biochemist Frederick Sanger deciphered, step by step, the sequence of amino acids in the two insulin chains</w:t>
      </w:r>
      <w:r>
        <w:rPr>
          <w:rStyle w:val="FootnoteReference"/>
        </w:rPr>
        <w:footnoteReference w:id="69"/>
      </w:r>
      <w:r>
        <w:t xml:space="preserve">. Insulin thus became the first protein molecule whose complete sequence was known. Sanger received the Nobel Prize in Chemistry for this in 1958. The realization that proteins have a fixed, precisely defined order of building blocks was fundamental to all of molecular biology.</w:t>
      </w:r>
    </w:p>
    <w:p>
      <w:pPr>
        <w:pStyle w:val="BodyText"/>
      </w:pPr>
      <w:r>
        <w:t xml:space="preserve">At almost the same time, the American chemist Vincent du Vigneaud achieved the first chemical synthesis of a peptide hormone: oxytocin, a hormone consisting of nine amino acids that triggers labor contractions and milk flow. He was awarded the Nobel Prize in Chemistry in 1955 for this. For the first time, an endogenous hormone had been</w:t>
      </w:r>
      <w:r>
        <w:t xml:space="preserve"> </w:t>
      </w:r>
      <w:r>
        <w:t xml:space="preserve">“</w:t>
      </w:r>
      <w:r>
        <w:t xml:space="preserve">rebuilt</w:t>
      </w:r>
      <w:r>
        <w:t xml:space="preserve">”</w:t>
      </w:r>
      <w:r>
        <w:t xml:space="preserve"> </w:t>
      </w:r>
      <w:r>
        <w:t xml:space="preserve">in the laboratory – synthetic oxytocin is still used in obstetrics today.</w:t>
      </w:r>
    </w:p>
    <w:p>
      <w:pPr>
        <w:pStyle w:val="BodyText"/>
      </w:pPr>
      <w:r>
        <w:t xml:space="preserve">In the 1960s, Robert Bruce Merrifield developed solid-phase synthesis, in which a peptide chain is extended building block by building block on a solid support</w:t>
      </w:r>
      <w:r>
        <w:rPr>
          <w:rStyle w:val="FootnoteReference"/>
        </w:rPr>
        <w:footnoteReference w:id="70"/>
      </w:r>
      <w:r>
        <w:t xml:space="preserve">. The process could be automated and made the production of any short peptide practical for the first time. Merrifield received the Nobel Prize in Chemistry in 1984. Without this technique, neither most modern peptide drugs nor today’s gray market would exist.</w:t>
      </w:r>
    </w:p>
    <w:bookmarkEnd w:id="71"/>
    <w:bookmarkStart w:id="73" w:name="X8aa0eae33cc7abf98307d7af0d8e9de35bb2c43"/>
    <w:p>
      <w:pPr>
        <w:pStyle w:val="Heading3"/>
      </w:pPr>
      <w:r>
        <w:t xml:space="preserve">The 1960s and 1970s: Measuring and Controlling</w:t>
      </w:r>
    </w:p>
    <w:p>
      <w:pPr>
        <w:pStyle w:val="FirstParagraph"/>
      </w:pPr>
      <w:r>
        <w:t xml:space="preserve">Another obstacle was measurability. Peptide hormones occur in the blood in tiny amounts. Rosalyn Yalow and Solomon Berson developed a measurement method using antibodies and radioactively labeled molecules, the radioimmunoassay, and with it measured insulin in human blood for the first time</w:t>
      </w:r>
      <w:r>
        <w:rPr>
          <w:rStyle w:val="FootnoteReference"/>
        </w:rPr>
        <w:footnoteReference w:id="72"/>
      </w:r>
      <w:r>
        <w:t xml:space="preserve">. Yalow received the Nobel Prize in 1977. Suddenly it was possible to track when the body releases which peptide hormones.</w:t>
      </w:r>
    </w:p>
    <w:p>
      <w:pPr>
        <w:pStyle w:val="BodyText"/>
      </w:pPr>
      <w:r>
        <w:t xml:space="preserve">In the same year, Roger Guillemin and Andrew Schally were honored. They had deciphered the peptide messengers of the hypothalamus – the brain region that gives commands to the pituitary gland. Entire classes of medicines emerged from these discoveries: modified forms of gonadotropin-releasing hormone (GnRH) are used, for example, in prostate cancer, endometriosis, and fertility treatment. The hormone somatostatin became the model for octreotide, which is used for hormone-producing tumors and acromegaly. The growth hormone-releasing peptides, which are covered in detail in Part II, also have their roots here.</w:t>
      </w:r>
    </w:p>
    <w:bookmarkEnd w:id="73"/>
    <w:bookmarkStart w:id="77" w:name="X941771aa8f2540e406f73d4bea26d2e6164cd5a"/>
    <w:p>
      <w:pPr>
        <w:pStyle w:val="Heading3"/>
      </w:pPr>
      <w:r>
        <w:t xml:space="preserve">The 1980s: Genetic Engineering Changes Everything</w:t>
      </w:r>
    </w:p>
    <w:p>
      <w:pPr>
        <w:pStyle w:val="FirstParagraph"/>
      </w:pPr>
      <w:r>
        <w:t xml:space="preserve">Until the 1980s, insulin came from the pancreases of slaughtered animals. Human growth hormone was obtained from the pituitary glands of deceased people; this period lasted from 1958 to 1985</w:t>
      </w:r>
      <w:r>
        <w:rPr>
          <w:rStyle w:val="FootnoteReference"/>
        </w:rPr>
        <w:footnoteReference w:id="74"/>
      </w:r>
      <w:r>
        <w:t xml:space="preserve">. This method of extraction had a tragic downside: some children who had received such hormone developed Creutzfeldt-Jakob disease years later, transmitted through contaminated preparations. The episode remains a stark reminder of how important purity and origin are for biological active substances.</w:t>
      </w:r>
    </w:p>
    <w:p>
      <w:pPr>
        <w:pStyle w:val="BodyText"/>
      </w:pPr>
      <w:r>
        <w:t xml:space="preserve">Genetic engineering offered a way out. Human insulin, produced in bacteria, was used in clinical studies in humans from 1980 onward and was the first medicine made using recombinant DNA technology</w:t>
      </w:r>
      <w:r>
        <w:rPr>
          <w:rStyle w:val="FootnoteReference"/>
        </w:rPr>
        <w:footnoteReference w:id="75"/>
      </w:r>
      <w:r>
        <w:t xml:space="preserve">. Recombinant growth hormone followed a few years later. For the first time, human peptides and proteins were available in practically unlimited quantities.</w:t>
      </w:r>
    </w:p>
    <w:p>
      <w:pPr>
        <w:pStyle w:val="BodyText"/>
      </w:pPr>
      <w:r>
        <w:t xml:space="preserve">In the 1990s, manufacturers went one step further: they deliberately modified insulin molecules to make them act faster or more slowly. These</w:t>
      </w:r>
      <w:r>
        <w:t xml:space="preserve"> </w:t>
      </w:r>
      <w:r>
        <w:t xml:space="preserve">“</w:t>
      </w:r>
      <w:r>
        <w:t xml:space="preserve">insulin analogs</w:t>
      </w:r>
      <w:r>
        <w:t xml:space="preserve">”</w:t>
      </w:r>
      <w:r>
        <w:t xml:space="preserve"> </w:t>
      </w:r>
      <w:r>
        <w:t xml:space="preserve">were a forerunner of the principle that later made the GLP-1 medications so successful: a natural model, optimized in the laboratory for clinical use.</w:t>
      </w:r>
    </w:p>
    <w:p>
      <w:pPr>
        <w:pStyle w:val="BodyText"/>
      </w:pPr>
      <w:r>
        <w:t xml:space="preserve">Other peptide drugs also became established. One example is teriparatide, a fragment of parathyroid hormone. In a large study of 1,637 postmenopausal women with osteoporosis, new vertebral fractures occurred in 14% of the women on placebo, but in only 5% and 4%, respectively, in the two teriparatide groups</w:t>
      </w:r>
      <w:r>
        <w:rPr>
          <w:rStyle w:val="FootnoteReference"/>
        </w:rPr>
        <w:footnoteReference w:id="76"/>
      </w:r>
      <w:r>
        <w:t xml:space="preserve">. Such studies with</w:t>
      </w:r>
      <w:r>
        <w:t xml:space="preserve"> </w:t>
      </w:r>
      <w:r>
        <w:t xml:space="preserve">“</w:t>
      </w:r>
      <w:r>
        <w:t xml:space="preserve">hard</w:t>
      </w:r>
      <w:r>
        <w:t xml:space="preserve">”</w:t>
      </w:r>
      <w:r>
        <w:t xml:space="preserve"> </w:t>
      </w:r>
      <w:r>
        <w:t xml:space="preserve">endpoints such as bone fractures set the standard against which new peptides must also be measured.</w:t>
      </w:r>
    </w:p>
    <w:bookmarkEnd w:id="77"/>
    <w:bookmarkStart w:id="80" w:name="X5b2861459e37b0075f127d48468a046dcdf24e7"/>
    <w:p>
      <w:pPr>
        <w:pStyle w:val="Heading3"/>
      </w:pPr>
      <w:r>
        <w:t xml:space="preserve">The Incretins: From the Gut to the Medication</w:t>
      </w:r>
    </w:p>
    <w:p>
      <w:pPr>
        <w:pStyle w:val="FirstParagraph"/>
      </w:pPr>
      <w:r>
        <w:t xml:space="preserve">The story of the GLP-1 medications begins with an observation from the 1960s: sugar that is swallowed triggers a much stronger insulin release than the same amount of sugar injected directly into the blood. The gut must therefore send signals to the pancreas during a meal. These signaling substances were called incretins.</w:t>
      </w:r>
    </w:p>
    <w:p>
      <w:pPr>
        <w:pStyle w:val="BodyText"/>
      </w:pPr>
      <w:r>
        <w:t xml:space="preserve">The first known incretin was GIP (glucose-dependent insulinotropic polypeptide). In the 1980s, a second one was discovered: glucagon-like peptide-1, or GLP-1 for short. In 1987, a British group showed that GLP-1 rises in human blood after a meal, that – when infused in amounts similar to those after eating – it increased insulin release and lowered blood sugar in seven volunteers, and that it was more effective than GIP in doing so</w:t>
      </w:r>
      <w:r>
        <w:rPr>
          <w:rStyle w:val="FootnoteReference"/>
        </w:rPr>
        <w:footnoteReference w:id="78"/>
      </w:r>
      <w:r>
        <w:t xml:space="preserve">.</w:t>
      </w:r>
    </w:p>
    <w:p>
      <w:pPr>
        <w:pStyle w:val="BodyText"/>
      </w:pPr>
      <w:r>
        <w:t xml:space="preserve">The problem: natural GLP-1 is broken down in the blood within minutes by the enzyme DPP-4</w:t>
      </w:r>
      <w:r>
        <w:rPr>
          <w:rStyle w:val="FootnoteReference"/>
        </w:rPr>
        <w:footnoteReference w:id="79"/>
      </w:r>
      <w:r>
        <w:t xml:space="preserve">. As a medication, it was therefore hardly usable. Two approaches were pursued: inhibitors of the degrading enzyme (the so-called gliptins, which are approved as tablets and are not peptides) and stable mimetics of GLP-1 itself.</w:t>
      </w:r>
    </w:p>
    <w:bookmarkEnd w:id="80"/>
    <w:bookmarkStart w:id="83" w:name="the-lizard-venom-exenatide"/>
    <w:p>
      <w:pPr>
        <w:pStyle w:val="Heading3"/>
      </w:pPr>
      <w:r>
        <w:t xml:space="preserve">The Lizard Venom: Exenatide</w:t>
      </w:r>
    </w:p>
    <w:p>
      <w:pPr>
        <w:pStyle w:val="FirstParagraph"/>
      </w:pPr>
      <w:r>
        <w:t xml:space="preserve">The first stable mimetic came from an unexpected direction. In the early 1990s, the American endocrinologist John Eng studied the venom of the Gila monster (Heloderma suspectum), a venomous reptile from the southwestern USA. From it he isolated a peptide of 39 amino acids, which he named exendin-4</w:t>
      </w:r>
      <w:r>
        <w:rPr>
          <w:rStyle w:val="FootnoteReference"/>
        </w:rPr>
        <w:footnoteReference w:id="81"/>
      </w:r>
      <w:r>
        <w:t xml:space="preserve">. Exendin-4 resembles human GLP-1 and activates the same receptor, but is barely attacked by DPP-4.</w:t>
      </w:r>
    </w:p>
    <w:p>
      <w:pPr>
        <w:pStyle w:val="BodyText"/>
      </w:pPr>
      <w:r>
        <w:t xml:space="preserve">Synthetic exendin-4 was given the name exenatide and, in 2005, was approved in the USA as the first medication in this class. In one of the pivotal trials involving 336 people with type 2 diabetes who were already taking metformin, the long-term blood sugar value HbA1c fell after 30 weeks by 0.78 percentage points in the higher-dose group, while on placebo it rose slightly by 0.08 percentage points. At the same time, participants on exenatide lost weight, 2.8 kg at the higher dose</w:t>
      </w:r>
      <w:r>
        <w:rPr>
          <w:rStyle w:val="FootnoteReference"/>
        </w:rPr>
        <w:footnoteReference w:id="82"/>
      </w:r>
      <w:r>
        <w:t xml:space="preserve">. Initially, exenatide had to be injected twice daily.</w:t>
      </w:r>
    </w:p>
    <w:p>
      <w:pPr>
        <w:pStyle w:val="BodyText"/>
      </w:pPr>
      <w:r>
        <w:t xml:space="preserve">At the time, the weight loss was regarded as a welcome side effect. Few people probably suspected that precisely this effect would make the entire class famous two decades later.</w:t>
      </w:r>
    </w:p>
    <w:bookmarkEnd w:id="83"/>
    <w:bookmarkStart w:id="88" w:name="X23563e47f1a38d0c5824d0b3e312cb5f3bf8482"/>
    <w:p>
      <w:pPr>
        <w:pStyle w:val="Heading3"/>
      </w:pPr>
      <w:r>
        <w:t xml:space="preserve">Longer-Acting: Liraglutide and Semaglutide</w:t>
      </w:r>
    </w:p>
    <w:p>
      <w:pPr>
        <w:pStyle w:val="FirstParagraph"/>
      </w:pPr>
      <w:r>
        <w:t xml:space="preserve">The Danish manufacturer Novo Nordisk took a different path. Instead of using a foreign peptide, it modified human GLP-1 so that it binds to the transport protein albumin in the blood and is therefore broken down more slowly. The result was liraglutide, which is injected once daily and was approved in the EU in 2009. A review by the developers describes how suitable combinations of fatty acid and linker were sought to maximize albumin binding without losing activity at the receptor</w:t>
      </w:r>
      <w:r>
        <w:rPr>
          <w:rStyle w:val="FootnoteReference"/>
        </w:rPr>
        <w:footnoteReference w:id="84"/>
      </w:r>
      <w:r>
        <w:t xml:space="preserve">.</w:t>
      </w:r>
    </w:p>
    <w:p>
      <w:pPr>
        <w:pStyle w:val="BodyText"/>
      </w:pPr>
      <w:r>
        <w:t xml:space="preserve">Liraglutide was later also tested at a higher dose for weight management. In the SCALE trial with 3,731 participants without diabetes, people on liraglutide lost on average 8.4 kg over 56 weeks, compared with 2.8 kg on placebo</w:t>
      </w:r>
      <w:r>
        <w:rPr>
          <w:rStyle w:val="FootnoteReference"/>
        </w:rPr>
        <w:footnoteReference w:id="85"/>
      </w:r>
      <w:r>
        <w:t xml:space="preserve">.</w:t>
      </w:r>
    </w:p>
    <w:p>
      <w:pPr>
        <w:pStyle w:val="BodyText"/>
      </w:pPr>
      <w:r>
        <w:t xml:space="preserve">The next step was marked by semaglutide: a molecule bound even more strongly to albumin that needs to be injected only once a week</w:t>
      </w:r>
      <w:r>
        <w:rPr>
          <w:rStyle w:val="FootnoteReference"/>
        </w:rPr>
        <w:footnoteReference w:id="86"/>
      </w:r>
      <w:r>
        <w:t xml:space="preserve">. In the pivotal trial STEP 1 with 1,961 adults with overweight or obesity, body weight fell on average by 14.9% over 68 weeks, compared with 2.4% on placebo</w:t>
      </w:r>
      <w:r>
        <w:rPr>
          <w:rStyle w:val="FootnoteReference"/>
        </w:rPr>
        <w:footnoteReference w:id="87"/>
      </w:r>
      <w:r>
        <w:t xml:space="preserve">. This magnitude was well above anything that earlier weight-loss medications had achieved.</w:t>
      </w:r>
    </w:p>
    <w:bookmarkEnd w:id="88"/>
    <w:bookmarkStart w:id="92" w:name="from-blood-sugar-to-the-heart"/>
    <w:p>
      <w:pPr>
        <w:pStyle w:val="Heading3"/>
      </w:pPr>
      <w:r>
        <w:t xml:space="preserve">From Blood Sugar to the Heart</w:t>
      </w:r>
    </w:p>
    <w:p>
      <w:pPr>
        <w:pStyle w:val="FirstParagraph"/>
      </w:pPr>
      <w:r>
        <w:t xml:space="preserve">A turning point came when, after problems with another diabetes drug, the authorities began requiring from 2008 onward that new diabetes medications demonstrate their cardiovascular safety in large studies. These studies were actually only meant to show that the drugs did not endanger the heart. In the case of the GLP-1 medications, they showed more.</w:t>
      </w:r>
    </w:p>
    <w:p>
      <w:pPr>
        <w:pStyle w:val="BodyText"/>
      </w:pPr>
      <w:r>
        <w:t xml:space="preserve">In the LEADER trial with 9,340 people with type 2 diabetes and high cardiovascular risk, the composite event of cardiovascular death, nonfatal myocardial infarction, or stroke occurred in 13.0% on liraglutide and 14.9% on placebo</w:t>
      </w:r>
      <w:r>
        <w:rPr>
          <w:rStyle w:val="FootnoteReference"/>
        </w:rPr>
        <w:footnoteReference w:id="89"/>
      </w:r>
      <w:r>
        <w:t xml:space="preserve">. In the SUSTAIN-6 trial with 3,297 participants, the figures were 6.6% on semaglutide and 8.9% on placebo; however, retinal complications occurred more frequently on semaglutide</w:t>
      </w:r>
      <w:r>
        <w:rPr>
          <w:rStyle w:val="FootnoteReference"/>
        </w:rPr>
        <w:footnoteReference w:id="90"/>
      </w:r>
      <w:r>
        <w:t xml:space="preserve">.</w:t>
      </w:r>
    </w:p>
    <w:p>
      <w:pPr>
        <w:pStyle w:val="BodyText"/>
      </w:pPr>
      <w:r>
        <w:t xml:space="preserve">In 2023 came the SELECT trial, which for the first time studied people with overweight and cardiovascular disease but without diabetes. Among 17,604 participants, the composite cardiovascular event occurred over a mean of 39.8 months in 6.5% on semaglutide and 8.0% on placebo</w:t>
      </w:r>
      <w:r>
        <w:rPr>
          <w:rStyle w:val="FootnoteReference"/>
        </w:rPr>
        <w:footnoteReference w:id="91"/>
      </w:r>
      <w:r>
        <w:t xml:space="preserve">. This showed that a peptide medication in obesity can influence not only weight but also hard events such as heart attacks. What these percentages mean – and why one must distinguish between relative and absolute differences – is explained in the chapter</w:t>
      </w:r>
      <w:r>
        <w:t xml:space="preserve"> </w:t>
      </w:r>
      <w:r>
        <w:t xml:space="preserve">“</w:t>
      </w:r>
      <w:r>
        <w:t xml:space="preserve">Reading Studies Correctly.</w:t>
      </w:r>
      <w:r>
        <w:t xml:space="preserve">”</w:t>
      </w:r>
    </w:p>
    <w:bookmarkEnd w:id="92"/>
    <w:bookmarkStart w:id="96" w:name="the-tablet-and-the-multi-agonists"/>
    <w:p>
      <w:pPr>
        <w:pStyle w:val="Heading3"/>
      </w:pPr>
      <w:r>
        <w:t xml:space="preserve">The Tablet and the Multi-Agonists</w:t>
      </w:r>
    </w:p>
    <w:p>
      <w:pPr>
        <w:pStyle w:val="FirstParagraph"/>
      </w:pPr>
      <w:r>
        <w:t xml:space="preserve">Two further developments have shaped recent years.</w:t>
      </w:r>
    </w:p>
    <w:p>
      <w:pPr>
        <w:pStyle w:val="BodyText"/>
      </w:pPr>
      <w:r>
        <w:rPr>
          <w:bCs/>
          <w:b/>
        </w:rPr>
        <w:t xml:space="preserve">The first peptide tablet in this class.</w:t>
      </w:r>
      <w:r>
        <w:t xml:space="preserve"> </w:t>
      </w:r>
      <w:r>
        <w:t xml:space="preserve">With a special excipient, it became possible to make semaglutide available as a tablet. In the PIONEER 1 trial, oral semaglutide lowered HbA1c in people with type 2 diabetes considerably more than placebo</w:t>
      </w:r>
      <w:r>
        <w:rPr>
          <w:rStyle w:val="FootnoteReference"/>
        </w:rPr>
        <w:footnoteReference w:id="93"/>
      </w:r>
      <w:r>
        <w:t xml:space="preserve">. How this works technically is explained in the next chapter.</w:t>
      </w:r>
    </w:p>
    <w:p>
      <w:pPr>
        <w:pStyle w:val="BodyText"/>
      </w:pPr>
      <w:r>
        <w:rPr>
          <w:bCs/>
          <w:b/>
        </w:rPr>
        <w:t xml:space="preserve">Combined active substances.</w:t>
      </w:r>
      <w:r>
        <w:t xml:space="preserve"> </w:t>
      </w:r>
      <w:r>
        <w:t xml:space="preserve">Tirzepatide simultaneously activates the GLP-1 and the GIP receptor. In the SURMOUNT-1 trial with 2,539 adults with obesity, mean weight loss after 72 weeks was 15.0% to 20.9% depending on the dose, compared with 3.1% on placebo</w:t>
      </w:r>
      <w:r>
        <w:rPr>
          <w:rStyle w:val="FootnoteReference"/>
        </w:rPr>
        <w:footnoteReference w:id="94"/>
      </w:r>
      <w:r>
        <w:t xml:space="preserve">. Triple agonists such as retatrutide and combinations with the hormone amylin are now being tested in large studies. Part II presents them individually, and Part V takes a look at the pipeline.</w:t>
      </w:r>
    </w:p>
    <w:p>
      <w:pPr>
        <w:pStyle w:val="BodyText"/>
      </w:pPr>
      <w:r>
        <w:t xml:space="preserve">It is remarkable that the incretin GIP, which in the 1980s was considered weaker than GLP-1</w:t>
      </w:r>
      <w:r>
        <w:rPr>
          <w:rStyle w:val="FootnoteReference"/>
        </w:rPr>
        <w:footnoteReference w:id="95"/>
      </w:r>
      <w:r>
        <w:t xml:space="preserve">, is playing a role again in combination. Research rarely proceeds in a straight line.</w:t>
      </w:r>
    </w:p>
    <w:bookmarkEnd w:id="96"/>
    <w:bookmarkStart w:id="97" w:name="the-downside-of-success"/>
    <w:p>
      <w:pPr>
        <w:pStyle w:val="Heading3"/>
      </w:pPr>
      <w:r>
        <w:t xml:space="preserve">The Downside of Success</w:t>
      </w:r>
    </w:p>
    <w:p>
      <w:pPr>
        <w:pStyle w:val="FirstParagraph"/>
      </w:pPr>
      <w:r>
        <w:t xml:space="preserve">The enormous success of the GLP-1 medications had side effects beyond pharmacology. Supply shortages from 2022 onward meant that people with diabetes were at times unable to obtain their medications. In the USA, pharmacies used an exemption rule to produce copycat preparations. Counterfeits appeared worldwide, some of which contained insulin instead of semaglutide. And the growing interest in</w:t>
      </w:r>
      <w:r>
        <w:t xml:space="preserve"> </w:t>
      </w:r>
      <w:r>
        <w:t xml:space="preserve">“</w:t>
      </w:r>
      <w:r>
        <w:t xml:space="preserve">peptides</w:t>
      </w:r>
      <w:r>
        <w:t xml:space="preserve">”</w:t>
      </w:r>
      <w:r>
        <w:t xml:space="preserve"> </w:t>
      </w:r>
      <w:r>
        <w:t xml:space="preserve">in general opened up a market for substances that have never been properly studied in humans. The chapter on the gray market covers this in detail.</w:t>
      </w:r>
    </w:p>
    <w:bookmarkEnd w:id="97"/>
    <w:bookmarkStart w:id="98" w:name="what-history-teaches"/>
    <w:p>
      <w:pPr>
        <w:pStyle w:val="Heading3"/>
      </w:pPr>
      <w:r>
        <w:t xml:space="preserve">What History Teaches</w:t>
      </w:r>
    </w:p>
    <w:p>
      <w:pPr>
        <w:pStyle w:val="FirstParagraph"/>
      </w:pPr>
      <w:r>
        <w:t xml:space="preserve">From a hundred years of peptide medicine, several lessons can be drawn that are useful for evaluating the substances in this book:</w:t>
      </w:r>
    </w:p>
    <w:p>
      <w:pPr>
        <w:numPr>
          <w:ilvl w:val="0"/>
          <w:numId w:val="1008"/>
        </w:numPr>
        <w:pStyle w:val="Compact"/>
      </w:pPr>
      <w:r>
        <w:rPr>
          <w:bCs/>
          <w:b/>
        </w:rPr>
        <w:t xml:space="preserve">Purity is not a detail.</w:t>
      </w:r>
      <w:r>
        <w:t xml:space="preserve"> </w:t>
      </w:r>
      <w:r>
        <w:t xml:space="preserve">From the contaminated insulin extracts of the early days to growth hormone from cadaver pituitary glands, history shows that manufacturing quality can be a matter of life and death.</w:t>
      </w:r>
    </w:p>
    <w:p>
      <w:pPr>
        <w:numPr>
          <w:ilvl w:val="0"/>
          <w:numId w:val="1008"/>
        </w:numPr>
        <w:pStyle w:val="Compact"/>
      </w:pPr>
      <w:r>
        <w:rPr>
          <w:bCs/>
          <w:b/>
        </w:rPr>
        <w:t xml:space="preserve">Mechanism of action does not equal benefit.</w:t>
      </w:r>
      <w:r>
        <w:t xml:space="preserve"> </w:t>
      </w:r>
      <w:r>
        <w:t xml:space="preserve">That a peptide acts on a receptor does not yet mean that it benefits people. For the GLP-1 medications, large studies with thousands of participants and several years of follow-up were needed to show this.</w:t>
      </w:r>
    </w:p>
    <w:p>
      <w:pPr>
        <w:numPr>
          <w:ilvl w:val="0"/>
          <w:numId w:val="1008"/>
        </w:numPr>
        <w:pStyle w:val="Compact"/>
      </w:pPr>
      <w:r>
        <w:rPr>
          <w:bCs/>
          <w:b/>
        </w:rPr>
        <w:t xml:space="preserve">Surprises happen in both directions.</w:t>
      </w:r>
      <w:r>
        <w:t xml:space="preserve"> </w:t>
      </w:r>
      <w:r>
        <w:t xml:space="preserve">The weight loss with exenatide was initially a side note, and the heart-protective effects were discovered in safety studies. Conversely, large studies also revealed unexpected risks, such as the retinal complications in SUSTAIN-6.</w:t>
      </w:r>
    </w:p>
    <w:p>
      <w:pPr>
        <w:numPr>
          <w:ilvl w:val="0"/>
          <w:numId w:val="1008"/>
        </w:numPr>
        <w:pStyle w:val="Compact"/>
      </w:pPr>
      <w:r>
        <w:rPr>
          <w:bCs/>
          <w:b/>
        </w:rPr>
        <w:t xml:space="preserve">Good ideas take time.</w:t>
      </w:r>
      <w:r>
        <w:t xml:space="preserve"> </w:t>
      </w:r>
      <w:r>
        <w:t xml:space="preserve">More than three decades passed between the description of GLP-1 in humans in 1987 and the approval of semaglutide for weight management. Peptides that are advertised on the internet today as a</w:t>
      </w:r>
      <w:r>
        <w:t xml:space="preserve"> </w:t>
      </w:r>
      <w:r>
        <w:t xml:space="preserve">“</w:t>
      </w:r>
      <w:r>
        <w:t xml:space="preserve">breakthrough</w:t>
      </w:r>
      <w:r>
        <w:t xml:space="preserve">”</w:t>
      </w:r>
      <w:r>
        <w:t xml:space="preserve"> </w:t>
      </w:r>
      <w:r>
        <w:t xml:space="preserve">without a single controlled human study are, at best, at the beginning of such a path.</w:t>
      </w:r>
    </w:p>
    <w:bookmarkEnd w:id="98"/>
    <w:bookmarkStart w:id="99" w:name="timeline"/>
    <w:p>
      <w:pPr>
        <w:pStyle w:val="Heading3"/>
      </w:pPr>
      <w:r>
        <w:t xml:space="preserve">Timeline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Year</w:t>
            </w:r>
          </w:p>
        </w:tc>
        <w:tc>
          <w:tcPr/>
          <w:p>
            <w:pPr>
              <w:pStyle w:val="Compact"/>
              <w:jc w:val="left"/>
            </w:pPr>
            <w:r>
              <w:t xml:space="preserve">Event</w:t>
            </w:r>
          </w:p>
        </w:tc>
      </w:tr>
      <w:tr>
        <w:tc>
          <w:tcPr/>
          <w:p>
            <w:pPr>
              <w:pStyle w:val="Compact"/>
              <w:jc w:val="left"/>
            </w:pPr>
            <w:r>
              <w:t xml:space="preserve">1902</w:t>
            </w:r>
          </w:p>
        </w:tc>
        <w:tc>
          <w:tcPr/>
          <w:p>
            <w:pPr>
              <w:pStyle w:val="Compact"/>
              <w:jc w:val="left"/>
            </w:pPr>
            <w:r>
              <w:t xml:space="preserve">Secretin described, the first hormone (a peptide)</w:t>
            </w:r>
          </w:p>
        </w:tc>
      </w:tr>
      <w:tr>
        <w:tc>
          <w:tcPr/>
          <w:p>
            <w:pPr>
              <w:pStyle w:val="Compact"/>
              <w:jc w:val="left"/>
            </w:pPr>
            <w:r>
              <w:t xml:space="preserve">1922</w:t>
            </w:r>
          </w:p>
        </w:tc>
        <w:tc>
          <w:tcPr/>
          <w:p>
            <w:pPr>
              <w:pStyle w:val="Compact"/>
              <w:jc w:val="left"/>
            </w:pPr>
            <w:r>
              <w:t xml:space="preserve">First insulin treatment of a human in Toronto</w:t>
            </w:r>
          </w:p>
        </w:tc>
      </w:tr>
      <w:tr>
        <w:tc>
          <w:tcPr/>
          <w:p>
            <w:pPr>
              <w:pStyle w:val="Compact"/>
              <w:jc w:val="left"/>
            </w:pPr>
            <w:r>
              <w:t xml:space="preserve">1951–1955</w:t>
            </w:r>
          </w:p>
        </w:tc>
        <w:tc>
          <w:tcPr/>
          <w:p>
            <w:pPr>
              <w:pStyle w:val="Compact"/>
              <w:jc w:val="left"/>
            </w:pPr>
            <w:r>
              <w:t xml:space="preserve">Sanger deciphers the insulin sequence</w:t>
            </w:r>
          </w:p>
        </w:tc>
      </w:tr>
      <w:tr>
        <w:tc>
          <w:tcPr/>
          <w:p>
            <w:pPr>
              <w:pStyle w:val="Compact"/>
              <w:jc w:val="left"/>
            </w:pPr>
            <w:r>
              <w:t xml:space="preserve">1953</w:t>
            </w:r>
          </w:p>
        </w:tc>
        <w:tc>
          <w:tcPr/>
          <w:p>
            <w:pPr>
              <w:pStyle w:val="Compact"/>
              <w:jc w:val="left"/>
            </w:pPr>
            <w:r>
              <w:t xml:space="preserve">First chemical synthesis of a peptide hormone (oxytocin)</w:t>
            </w:r>
          </w:p>
        </w:tc>
      </w:tr>
      <w:tr>
        <w:tc>
          <w:tcPr/>
          <w:p>
            <w:pPr>
              <w:pStyle w:val="Compact"/>
              <w:jc w:val="left"/>
            </w:pPr>
            <w:r>
              <w:t xml:space="preserve">1960s</w:t>
            </w:r>
          </w:p>
        </w:tc>
        <w:tc>
          <w:tcPr/>
          <w:p>
            <w:pPr>
              <w:pStyle w:val="Compact"/>
              <w:jc w:val="left"/>
            </w:pPr>
            <w:r>
              <w:t xml:space="preserve">Solid-phase synthesis (Merrifield), radioimmunoassay</w:t>
            </w:r>
          </w:p>
        </w:tc>
      </w:tr>
      <w:tr>
        <w:tc>
          <w:tcPr/>
          <w:p>
            <w:pPr>
              <w:pStyle w:val="Compact"/>
              <w:jc w:val="left"/>
            </w:pPr>
            <w:r>
              <w:t xml:space="preserve">1980</w:t>
            </w:r>
          </w:p>
        </w:tc>
        <w:tc>
          <w:tcPr/>
          <w:p>
            <w:pPr>
              <w:pStyle w:val="Compact"/>
              <w:jc w:val="left"/>
            </w:pPr>
            <w:r>
              <w:t xml:space="preserve">Genetically engineered human insulin in clinical studies</w:t>
            </w:r>
          </w:p>
        </w:tc>
      </w:tr>
      <w:tr>
        <w:tc>
          <w:tcPr/>
          <w:p>
            <w:pPr>
              <w:pStyle w:val="Compact"/>
              <w:jc w:val="left"/>
            </w:pPr>
            <w:r>
              <w:t xml:space="preserve">1985</w:t>
            </w:r>
          </w:p>
        </w:tc>
        <w:tc>
          <w:tcPr/>
          <w:p>
            <w:pPr>
              <w:pStyle w:val="Compact"/>
              <w:jc w:val="left"/>
            </w:pPr>
            <w:r>
              <w:t xml:space="preserve">End of growth hormone extraction from pituitary glands</w:t>
            </w:r>
          </w:p>
        </w:tc>
      </w:tr>
      <w:tr>
        <w:tc>
          <w:tcPr/>
          <w:p>
            <w:pPr>
              <w:pStyle w:val="Compact"/>
              <w:jc w:val="left"/>
            </w:pPr>
            <w:r>
              <w:t xml:space="preserve">1987</w:t>
            </w:r>
          </w:p>
        </w:tc>
        <w:tc>
          <w:tcPr/>
          <w:p>
            <w:pPr>
              <w:pStyle w:val="Compact"/>
              <w:jc w:val="left"/>
            </w:pPr>
            <w:r>
              <w:t xml:space="preserve">GLP-1 described as an incretin in humans</w:t>
            </w:r>
          </w:p>
        </w:tc>
      </w:tr>
      <w:tr>
        <w:tc>
          <w:tcPr/>
          <w:p>
            <w:pPr>
              <w:pStyle w:val="Compact"/>
              <w:jc w:val="left"/>
            </w:pPr>
            <w:r>
              <w:t xml:space="preserve">1992</w:t>
            </w:r>
          </w:p>
        </w:tc>
        <w:tc>
          <w:tcPr/>
          <w:p>
            <w:pPr>
              <w:pStyle w:val="Compact"/>
              <w:jc w:val="left"/>
            </w:pPr>
            <w:r>
              <w:t xml:space="preserve">Exendin-4 discovered in lizard venom</w:t>
            </w:r>
          </w:p>
        </w:tc>
      </w:tr>
      <w:tr>
        <w:tc>
          <w:tcPr/>
          <w:p>
            <w:pPr>
              <w:pStyle w:val="Compact"/>
              <w:jc w:val="left"/>
            </w:pPr>
            <w:r>
              <w:t xml:space="preserve">2005</w:t>
            </w:r>
          </w:p>
        </w:tc>
        <w:tc>
          <w:tcPr/>
          <w:p>
            <w:pPr>
              <w:pStyle w:val="Compact"/>
              <w:jc w:val="left"/>
            </w:pPr>
            <w:r>
              <w:t xml:space="preserve">Exenatide approved in the USA</w:t>
            </w:r>
          </w:p>
        </w:tc>
      </w:tr>
      <w:tr>
        <w:tc>
          <w:tcPr/>
          <w:p>
            <w:pPr>
              <w:pStyle w:val="Compact"/>
              <w:jc w:val="left"/>
            </w:pPr>
            <w:r>
              <w:t xml:space="preserve">2009</w:t>
            </w:r>
          </w:p>
        </w:tc>
        <w:tc>
          <w:tcPr/>
          <w:p>
            <w:pPr>
              <w:pStyle w:val="Compact"/>
              <w:jc w:val="left"/>
            </w:pPr>
            <w:r>
              <w:t xml:space="preserve">Liraglutide approved in the EU</w:t>
            </w:r>
          </w:p>
        </w:tc>
      </w:tr>
      <w:tr>
        <w:tc>
          <w:tcPr/>
          <w:p>
            <w:pPr>
              <w:pStyle w:val="Compact"/>
              <w:jc w:val="left"/>
            </w:pPr>
            <w:r>
              <w:t xml:space="preserve">2016</w:t>
            </w:r>
          </w:p>
        </w:tc>
        <w:tc>
          <w:tcPr/>
          <w:p>
            <w:pPr>
              <w:pStyle w:val="Compact"/>
              <w:jc w:val="left"/>
            </w:pPr>
            <w:r>
              <w:t xml:space="preserve">LEADER and SUSTAIN-6: fewer cardiovascular events</w:t>
            </w:r>
          </w:p>
        </w:tc>
      </w:tr>
      <w:tr>
        <w:tc>
          <w:tcPr/>
          <w:p>
            <w:pPr>
              <w:pStyle w:val="Compact"/>
              <w:jc w:val="left"/>
            </w:pPr>
            <w:r>
              <w:t xml:space="preserve">2019</w:t>
            </w:r>
          </w:p>
        </w:tc>
        <w:tc>
          <w:tcPr/>
          <w:p>
            <w:pPr>
              <w:pStyle w:val="Compact"/>
              <w:jc w:val="left"/>
            </w:pPr>
            <w:r>
              <w:t xml:space="preserve">First GLP-1 tablet (oral semaglutide)</w:t>
            </w:r>
          </w:p>
        </w:tc>
      </w:tr>
      <w:tr>
        <w:tc>
          <w:tcPr/>
          <w:p>
            <w:pPr>
              <w:pStyle w:val="Compact"/>
              <w:jc w:val="left"/>
            </w:pPr>
            <w:r>
              <w:t xml:space="preserve">2021</w:t>
            </w:r>
          </w:p>
        </w:tc>
        <w:tc>
          <w:tcPr/>
          <w:p>
            <w:pPr>
              <w:pStyle w:val="Compact"/>
              <w:jc w:val="left"/>
            </w:pPr>
            <w:r>
              <w:t xml:space="preserve">Semaglutide for weight management (STEP program)</w:t>
            </w:r>
          </w:p>
        </w:tc>
      </w:tr>
      <w:tr>
        <w:tc>
          <w:tcPr/>
          <w:p>
            <w:pPr>
              <w:pStyle w:val="Compact"/>
              <w:jc w:val="left"/>
            </w:pPr>
            <w:r>
              <w:t xml:space="preserve">2022</w:t>
            </w:r>
          </w:p>
        </w:tc>
        <w:tc>
          <w:tcPr/>
          <w:p>
            <w:pPr>
              <w:pStyle w:val="Compact"/>
              <w:jc w:val="left"/>
            </w:pPr>
            <w:r>
              <w:t xml:space="preserve">Tirzepatide: first GIP/GLP-1 dual agonist</w:t>
            </w:r>
          </w:p>
        </w:tc>
      </w:tr>
      <w:tr>
        <w:tc>
          <w:tcPr/>
          <w:p>
            <w:pPr>
              <w:pStyle w:val="Compact"/>
              <w:jc w:val="left"/>
            </w:pPr>
            <w:r>
              <w:t xml:space="preserve">2023</w:t>
            </w:r>
          </w:p>
        </w:tc>
        <w:tc>
          <w:tcPr/>
          <w:p>
            <w:pPr>
              <w:pStyle w:val="Compact"/>
              <w:jc w:val="left"/>
            </w:pPr>
            <w:r>
              <w:t xml:space="preserve">SELECT: cardioprotection in obesity without diabetes</w:t>
            </w:r>
          </w:p>
        </w:tc>
      </w:tr>
    </w:tbl>
    <w:p>
      <w:pPr>
        <w:pStyle w:val="BodyText"/>
      </w:pPr>
      <w:r>
        <w:t xml:space="preserve">The approval years refer to the respective first approval; in other countries and for further indications, different dates sometimes apply. Status as of 2026; please check for current information if needed.</w:t>
      </w:r>
    </w:p>
    <w:bookmarkEnd w:id="99"/>
    <w:bookmarkEnd w:id="100"/>
    <w:bookmarkStart w:id="135" w:name="Xaec05fd6613ddc919103ad689deab410e66aa52"/>
    <w:p>
      <w:pPr>
        <w:pStyle w:val="Heading2"/>
      </w:pPr>
      <w:r>
        <w:t xml:space="preserve">How Peptides Get into the Body – and Why That Is Difficult</w:t>
      </w:r>
    </w:p>
    <w:p>
      <w:pPr>
        <w:pStyle w:val="FirstParagraph"/>
      </w:pPr>
      <w:r>
        <w:t xml:space="preserve">Almost every peptide medication you know is injected: insulin, semaglutide, tirzepatide, teriparatide. This is neither a coincidence nor a preference of the pharmaceutical industry, but a consequence of biology. The human body is extremely good at breaking down proteins and peptides – after all, it lives by splitting the proteins in food into their building blocks. This chapter explains which hurdles a peptide must overcome on its way to its site of action, which routes medicine has found, and why many promises about drops, capsules, and creams should be viewed with caution.</w:t>
      </w:r>
    </w:p>
    <w:bookmarkStart w:id="102" w:name="the-fundamental-problem-bioavailability"/>
    <w:p>
      <w:pPr>
        <w:pStyle w:val="Heading3"/>
      </w:pPr>
      <w:r>
        <w:t xml:space="preserve">The Fundamental Problem: Bioavailability</w:t>
      </w:r>
    </w:p>
    <w:p>
      <w:pPr>
        <w:pStyle w:val="FirstParagraph"/>
      </w:pPr>
      <w:r>
        <w:t xml:space="preserve">A key term in this chapter is</w:t>
      </w:r>
      <w:r>
        <w:t xml:space="preserve"> </w:t>
      </w:r>
      <w:r>
        <w:rPr>
          <w:bCs/>
          <w:b/>
        </w:rPr>
        <w:t xml:space="preserve">bioavailability</w:t>
      </w:r>
      <w:r>
        <w:t xml:space="preserve">. It indicates what proportion of an administered amount actually arrives unchanged in the bloodstream. With an infusion directly into a vein, this is by definition 100%. With all other routes, part of it is lost – through breakdown, through barriers, or because the substance is simply excreted again.</w:t>
      </w:r>
    </w:p>
    <w:p>
      <w:pPr>
        <w:pStyle w:val="BodyText"/>
      </w:pPr>
      <w:r>
        <w:t xml:space="preserve">For peptides, bioavailability is particularly critical because three properties come together:</w:t>
      </w:r>
    </w:p>
    <w:p>
      <w:pPr>
        <w:numPr>
          <w:ilvl w:val="0"/>
          <w:numId w:val="1009"/>
        </w:numPr>
        <w:pStyle w:val="Compact"/>
      </w:pPr>
      <w:r>
        <w:rPr>
          <w:bCs/>
          <w:b/>
        </w:rPr>
        <w:t xml:space="preserve">They are sensitive to enzymes.</w:t>
      </w:r>
      <w:r>
        <w:t xml:space="preserve"> </w:t>
      </w:r>
      <w:r>
        <w:t xml:space="preserve">Peptide bonds are specifically cleaved by digestive enzymes such as pepsin in the stomach or trypsin in the small intestine, as well as by numerous enzymes in the blood and tissues.</w:t>
      </w:r>
    </w:p>
    <w:p>
      <w:pPr>
        <w:numPr>
          <w:ilvl w:val="0"/>
          <w:numId w:val="1009"/>
        </w:numPr>
        <w:pStyle w:val="Compact"/>
      </w:pPr>
      <w:r>
        <w:rPr>
          <w:bCs/>
          <w:b/>
        </w:rPr>
        <w:t xml:space="preserve">They are large.</w:t>
      </w:r>
      <w:r>
        <w:t xml:space="preserve"> </w:t>
      </w:r>
      <w:r>
        <w:t xml:space="preserve">Compared with classic drugs such as ibuprofen, most peptides are huge. Even a peptide of ten amino acids weighs more than 1,000 daltons.</w:t>
      </w:r>
    </w:p>
    <w:p>
      <w:pPr>
        <w:numPr>
          <w:ilvl w:val="0"/>
          <w:numId w:val="1009"/>
        </w:numPr>
        <w:pStyle w:val="Compact"/>
      </w:pPr>
      <w:r>
        <w:rPr>
          <w:bCs/>
          <w:b/>
        </w:rPr>
        <w:t xml:space="preserve">They are mostly water-soluble and often electrically charged.</w:t>
      </w:r>
      <w:r>
        <w:t xml:space="preserve"> </w:t>
      </w:r>
      <w:r>
        <w:t xml:space="preserve">This makes it difficult for them to pass through the fatty membranes of cells.</w:t>
      </w:r>
    </w:p>
    <w:p>
      <w:pPr>
        <w:pStyle w:val="FirstParagraph"/>
      </w:pPr>
      <w:r>
        <w:t xml:space="preserve">Every route of administration is an attempt to get around these hurdles. A review of oral peptides summarizes that protein and peptide drugs generally have to be administered by bypassing the digestive tract, which can impair treatment adherence</w:t>
      </w:r>
      <w:r>
        <w:rPr>
          <w:rStyle w:val="FootnoteReference"/>
        </w:rPr>
        <w:footnoteReference w:id="101"/>
      </w:r>
      <w:r>
        <w:t xml:space="preserve">.</w:t>
      </w:r>
    </w:p>
    <w:bookmarkEnd w:id="102"/>
    <w:bookmarkStart w:id="106" w:name="X91af59c520524263703bea400965de31670c6cb"/>
    <w:p>
      <w:pPr>
        <w:pStyle w:val="Heading3"/>
      </w:pPr>
      <w:r>
        <w:t xml:space="preserve">The Injection: Standard Route with Drawbacks</w:t>
      </w:r>
    </w:p>
    <w:p>
      <w:pPr>
        <w:pStyle w:val="FirstParagraph"/>
      </w:pPr>
      <w:r>
        <w:t xml:space="preserve">Most peptide medications are injected</w:t>
      </w:r>
      <w:r>
        <w:t xml:space="preserve"> </w:t>
      </w:r>
      <w:r>
        <w:rPr>
          <w:bCs/>
          <w:b/>
        </w:rPr>
        <w:t xml:space="preserve">subcutaneously</w:t>
      </w:r>
      <w:r>
        <w:t xml:space="preserve">, i.e., into the fatty tissue under the skin – typically in the abdomen, thigh, or upper arm. From there, the drug enters the circulation via small blood vessels and lymphatic vessels. Bioavailability is high, and patients can administer the injection themselves after training. Less often, peptides are given into the muscle (</w:t>
      </w:r>
      <w:r>
        <w:rPr>
          <w:bCs/>
          <w:b/>
        </w:rPr>
        <w:t xml:space="preserve">intramuscularly</w:t>
      </w:r>
      <w:r>
        <w:t xml:space="preserve">) or directly into a vein (</w:t>
      </w:r>
      <w:r>
        <w:rPr>
          <w:bCs/>
          <w:b/>
        </w:rPr>
        <w:t xml:space="preserve">intravenously</w:t>
      </w:r>
      <w:r>
        <w:t xml:space="preserve">), for example in the hospital.</w:t>
      </w:r>
    </w:p>
    <w:p>
      <w:pPr>
        <w:pStyle w:val="BodyText"/>
      </w:pPr>
      <w:r>
        <w:t xml:space="preserve">Although injection bypasses the digestive tract, it does not bypass the enzymes in the blood. Pharmaceutical research has therefore put a great deal of effort into making peptides last longer:</w:t>
      </w:r>
    </w:p>
    <w:p>
      <w:pPr>
        <w:numPr>
          <w:ilvl w:val="0"/>
          <w:numId w:val="1010"/>
        </w:numPr>
        <w:pStyle w:val="Compact"/>
      </w:pPr>
      <w:r>
        <w:rPr>
          <w:bCs/>
          <w:b/>
        </w:rPr>
        <w:t xml:space="preserve">Exchanging amino acids</w:t>
      </w:r>
      <w:r>
        <w:t xml:space="preserve"> </w:t>
      </w:r>
      <w:r>
        <w:t xml:space="preserve">at the sites where enzymes attack.</w:t>
      </w:r>
    </w:p>
    <w:p>
      <w:pPr>
        <w:numPr>
          <w:ilvl w:val="0"/>
          <w:numId w:val="1010"/>
        </w:numPr>
        <w:pStyle w:val="Compact"/>
      </w:pPr>
      <w:r>
        <w:rPr>
          <w:bCs/>
          <w:b/>
        </w:rPr>
        <w:t xml:space="preserve">Attaching fatty acids</w:t>
      </w:r>
      <w:r>
        <w:t xml:space="preserve"> </w:t>
      </w:r>
      <w:r>
        <w:t xml:space="preserve">so that the peptide binds to the blood protein albumin. Liraglutide and semaglutide use this principle</w:t>
      </w:r>
      <w:r>
        <w:rPr>
          <w:rStyle w:val="FootnoteReference"/>
        </w:rPr>
        <w:footnoteReference w:id="103"/>
      </w:r>
      <w:r>
        <w:t xml:space="preserve">. In semaglutide, this results in a half-life of about one week</w:t>
      </w:r>
      <w:r>
        <w:rPr>
          <w:rStyle w:val="FootnoteReference"/>
        </w:rPr>
        <w:footnoteReference w:id="104"/>
      </w:r>
      <w:r>
        <w:t xml:space="preserve">.</w:t>
      </w:r>
    </w:p>
    <w:p>
      <w:pPr>
        <w:numPr>
          <w:ilvl w:val="0"/>
          <w:numId w:val="1010"/>
        </w:numPr>
        <w:pStyle w:val="Compact"/>
      </w:pPr>
      <w:r>
        <w:rPr>
          <w:bCs/>
          <w:b/>
        </w:rPr>
        <w:t xml:space="preserve">Coupling to larger molecules</w:t>
      </w:r>
      <w:r>
        <w:t xml:space="preserve">, for example to parts of antibodies or to polymers such as polyethylene glycol. Dulaglutide is an example of a GLP-1 molecule bound to an antibody fragment.</w:t>
      </w:r>
    </w:p>
    <w:p>
      <w:pPr>
        <w:numPr>
          <w:ilvl w:val="0"/>
          <w:numId w:val="1010"/>
        </w:numPr>
        <w:pStyle w:val="Compact"/>
      </w:pPr>
      <w:r>
        <w:rPr>
          <w:bCs/>
          <w:b/>
        </w:rPr>
        <w:t xml:space="preserve">Depot formulations</w:t>
      </w:r>
      <w:r>
        <w:t xml:space="preserve">, in which the drug is embedded in tiny microspheres or gels from which it is released slowly.</w:t>
      </w:r>
    </w:p>
    <w:p>
      <w:pPr>
        <w:pStyle w:val="FirstParagraph"/>
      </w:pPr>
      <w:r>
        <w:t xml:space="preserve">For users, injections also come with obligations: the product must be sterile, the needle may only be used once, and many preparations must be stored refrigerated. Prefilled pens with set dose increments considerably reduce the risk of errors. How important this is is shown by a case series from a US poison control center: with semaglutide that had been dispensed by pharmacies as vials with syringes, tenfold overdoses occurred, partly because milliliters,</w:t>
      </w:r>
      <w:r>
        <w:t xml:space="preserve"> </w:t>
      </w:r>
      <w:r>
        <w:t xml:space="preserve">“</w:t>
      </w:r>
      <w:r>
        <w:t xml:space="preserve">units,</w:t>
      </w:r>
      <w:r>
        <w:t xml:space="preserve">”</w:t>
      </w:r>
      <w:r>
        <w:t xml:space="preserve"> </w:t>
      </w:r>
      <w:r>
        <w:t xml:space="preserve">and milligrams were confused</w:t>
      </w:r>
      <w:r>
        <w:rPr>
          <w:rStyle w:val="FootnoteReference"/>
        </w:rPr>
        <w:footnoteReference w:id="105"/>
      </w:r>
      <w:r>
        <w:t xml:space="preserve">. More on this in the chapter on the gray market.</w:t>
      </w:r>
    </w:p>
    <w:bookmarkEnd w:id="106"/>
    <w:bookmarkStart w:id="108" w:name="the-tablet-the-most-difficult-route"/>
    <w:p>
      <w:pPr>
        <w:pStyle w:val="Heading3"/>
      </w:pPr>
      <w:r>
        <w:t xml:space="preserve">The Tablet: The Most Difficult Route</w:t>
      </w:r>
    </w:p>
    <w:p>
      <w:pPr>
        <w:pStyle w:val="FirstParagraph"/>
      </w:pPr>
      <w:r>
        <w:t xml:space="preserve">For most people, a tablet would be the most convenient solution. For peptides, it is also the most demanding. Several obstacles lie in wait on the way from the mouth to the blood:</w:t>
      </w:r>
    </w:p>
    <w:p>
      <w:pPr>
        <w:numPr>
          <w:ilvl w:val="0"/>
          <w:numId w:val="1011"/>
        </w:numPr>
        <w:pStyle w:val="Compact"/>
      </w:pPr>
      <w:r>
        <w:rPr>
          <w:bCs/>
          <w:b/>
        </w:rPr>
        <w:t xml:space="preserve">Stomach acid</w:t>
      </w:r>
      <w:r>
        <w:t xml:space="preserve"> </w:t>
      </w:r>
      <w:r>
        <w:t xml:space="preserve">can destroy the three-dimensional structure of peptides.</w:t>
      </w:r>
    </w:p>
    <w:p>
      <w:pPr>
        <w:numPr>
          <w:ilvl w:val="0"/>
          <w:numId w:val="1011"/>
        </w:numPr>
        <w:pStyle w:val="Compact"/>
      </w:pPr>
      <w:r>
        <w:rPr>
          <w:bCs/>
          <w:b/>
        </w:rPr>
        <w:t xml:space="preserve">Pepsin</w:t>
      </w:r>
      <w:r>
        <w:t xml:space="preserve"> </w:t>
      </w:r>
      <w:r>
        <w:t xml:space="preserve">in the stomach and</w:t>
      </w:r>
      <w:r>
        <w:t xml:space="preserve"> </w:t>
      </w:r>
      <w:r>
        <w:rPr>
          <w:bCs/>
          <w:b/>
        </w:rPr>
        <w:t xml:space="preserve">pancreatic enzymes</w:t>
      </w:r>
      <w:r>
        <w:t xml:space="preserve"> </w:t>
      </w:r>
      <w:r>
        <w:t xml:space="preserve">in the small intestine break peptides down into small fragments.</w:t>
      </w:r>
    </w:p>
    <w:p>
      <w:pPr>
        <w:numPr>
          <w:ilvl w:val="0"/>
          <w:numId w:val="1011"/>
        </w:numPr>
        <w:pStyle w:val="Compact"/>
      </w:pPr>
      <w:r>
        <w:t xml:space="preserve">A</w:t>
      </w:r>
      <w:r>
        <w:t xml:space="preserve"> </w:t>
      </w:r>
      <w:r>
        <w:rPr>
          <w:bCs/>
          <w:b/>
        </w:rPr>
        <w:t xml:space="preserve">mucus layer</w:t>
      </w:r>
      <w:r>
        <w:t xml:space="preserve"> </w:t>
      </w:r>
      <w:r>
        <w:t xml:space="preserve">over the intestinal lining holds back large molecules.</w:t>
      </w:r>
    </w:p>
    <w:p>
      <w:pPr>
        <w:numPr>
          <w:ilvl w:val="0"/>
          <w:numId w:val="1011"/>
        </w:numPr>
        <w:pStyle w:val="Compact"/>
      </w:pPr>
      <w:r>
        <w:t xml:space="preserve">The</w:t>
      </w:r>
      <w:r>
        <w:t xml:space="preserve"> </w:t>
      </w:r>
      <w:r>
        <w:rPr>
          <w:bCs/>
          <w:b/>
        </w:rPr>
        <w:t xml:space="preserve">intestinal cells</w:t>
      </w:r>
      <w:r>
        <w:t xml:space="preserve"> </w:t>
      </w:r>
      <w:r>
        <w:t xml:space="preserve">themselves are tightly joined to one another. Large, water-soluble molecules can pass neither through the cells nor between them.</w:t>
      </w:r>
    </w:p>
    <w:p>
      <w:pPr>
        <w:numPr>
          <w:ilvl w:val="0"/>
          <w:numId w:val="1011"/>
        </w:numPr>
        <w:pStyle w:val="Compact"/>
      </w:pPr>
      <w:r>
        <w:t xml:space="preserve">Whatever does make it into the blood first passes through the</w:t>
      </w:r>
      <w:r>
        <w:t xml:space="preserve"> </w:t>
      </w:r>
      <w:r>
        <w:rPr>
          <w:bCs/>
          <w:b/>
        </w:rPr>
        <w:t xml:space="preserve">liver</w:t>
      </w:r>
      <w:r>
        <w:t xml:space="preserve">, which can break down another portion.</w:t>
      </w:r>
    </w:p>
    <w:p>
      <w:pPr>
        <w:pStyle w:val="FirstParagraph"/>
      </w:pPr>
      <w:r>
        <w:t xml:space="preserve">Drucker’s review names as possible solutions substances that increase permeability, inhibitors of digestive enzymes, and mucus- and cell-penetrating carrier peptides. In clinical studies, oral forms of insulin, calcitonin, parathyroid hormone, and vasopressin, among others, have been tested</w:t>
      </w:r>
      <w:r>
        <w:rPr>
          <w:rStyle w:val="FootnoteReference"/>
        </w:rPr>
        <w:footnoteReference w:id="107"/>
      </w:r>
      <w:r>
        <w:t xml:space="preserve">. The breakthrough for a widely used drug, however, came only with the semaglutide tablet.</w:t>
      </w:r>
    </w:p>
    <w:bookmarkEnd w:id="108"/>
    <w:bookmarkStart w:id="118" w:name="Xa0c0265146d845497c7d03ef00e30e78f4383b1"/>
    <w:p>
      <w:pPr>
        <w:pStyle w:val="Heading3"/>
      </w:pPr>
      <w:r>
        <w:t xml:space="preserve">The SNAC Technology: How the Semaglutide Tablet Works</w:t>
      </w:r>
    </w:p>
    <w:p>
      <w:pPr>
        <w:pStyle w:val="FirstParagraph"/>
      </w:pPr>
      <w:r>
        <w:t xml:space="preserve">In addition to the drug, the semaglutide tablet contains an excipient called</w:t>
      </w:r>
      <w:r>
        <w:t xml:space="preserve"> </w:t>
      </w:r>
      <w:r>
        <w:rPr>
          <w:bCs/>
          <w:b/>
        </w:rPr>
        <w:t xml:space="preserve">SNAC</w:t>
      </w:r>
      <w:r>
        <w:t xml:space="preserve"> </w:t>
      </w:r>
      <w:r>
        <w:t xml:space="preserve">(sodium N-[8-(2-hydroxybenzoyl)amino]caprylate). A study that combined data from investigations in humans and dogs clarified what happens</w:t>
      </w:r>
      <w:r>
        <w:rPr>
          <w:rStyle w:val="FootnoteReference"/>
        </w:rPr>
        <w:footnoteReference w:id="109"/>
      </w:r>
      <w:r>
        <w:t xml:space="preserve">:</w:t>
      </w:r>
    </w:p>
    <w:p>
      <w:pPr>
        <w:numPr>
          <w:ilvl w:val="0"/>
          <w:numId w:val="1012"/>
        </w:numPr>
        <w:pStyle w:val="Compact"/>
      </w:pPr>
      <w:r>
        <w:t xml:space="preserve">Surprisingly, absorption does not take place in the intestine but</w:t>
      </w:r>
      <w:r>
        <w:t xml:space="preserve"> </w:t>
      </w:r>
      <w:r>
        <w:rPr>
          <w:bCs/>
          <w:b/>
        </w:rPr>
        <w:t xml:space="preserve">in the stomach</w:t>
      </w:r>
      <w:r>
        <w:t xml:space="preserve">.</w:t>
      </w:r>
    </w:p>
    <w:p>
      <w:pPr>
        <w:numPr>
          <w:ilvl w:val="0"/>
          <w:numId w:val="1012"/>
        </w:numPr>
        <w:pStyle w:val="Compact"/>
      </w:pPr>
      <w:r>
        <w:t xml:space="preserve">It is limited to a small area</w:t>
      </w:r>
      <w:r>
        <w:t xml:space="preserve"> </w:t>
      </w:r>
      <w:r>
        <w:rPr>
          <w:bCs/>
          <w:b/>
        </w:rPr>
        <w:t xml:space="preserve">directly at the tablet surface</w:t>
      </w:r>
      <w:r>
        <w:t xml:space="preserve">.</w:t>
      </w:r>
    </w:p>
    <w:p>
      <w:pPr>
        <w:numPr>
          <w:ilvl w:val="0"/>
          <w:numId w:val="1012"/>
        </w:numPr>
        <w:pStyle w:val="Compact"/>
      </w:pPr>
      <w:r>
        <w:t xml:space="preserve">There, SNAC locally buffers the stomach acid and thus</w:t>
      </w:r>
      <w:r>
        <w:t xml:space="preserve"> </w:t>
      </w:r>
      <w:r>
        <w:rPr>
          <w:bCs/>
          <w:b/>
        </w:rPr>
        <w:t xml:space="preserve">protects</w:t>
      </w:r>
      <w:r>
        <w:t xml:space="preserve"> </w:t>
      </w:r>
      <w:r>
        <w:t xml:space="preserve">semaglutide from breakdown by enzymes.</w:t>
      </w:r>
    </w:p>
    <w:p>
      <w:pPr>
        <w:numPr>
          <w:ilvl w:val="0"/>
          <w:numId w:val="1012"/>
        </w:numPr>
        <w:pStyle w:val="Compact"/>
      </w:pPr>
      <w:r>
        <w:t xml:space="preserve">SNAC increases the permeability of the gastric mucosa only</w:t>
      </w:r>
      <w:r>
        <w:t xml:space="preserve"> </w:t>
      </w:r>
      <w:r>
        <w:rPr>
          <w:bCs/>
          <w:b/>
        </w:rPr>
        <w:t xml:space="preserve">briefly</w:t>
      </w:r>
      <w:r>
        <w:t xml:space="preserve">.</w:t>
      </w:r>
    </w:p>
    <w:p>
      <w:pPr>
        <w:numPr>
          <w:ilvl w:val="0"/>
          <w:numId w:val="1012"/>
        </w:numPr>
        <w:pStyle w:val="Compact"/>
      </w:pPr>
      <w:r>
        <w:t xml:space="preserve">Semaglutide passes</w:t>
      </w:r>
      <w:r>
        <w:t xml:space="preserve"> </w:t>
      </w:r>
      <w:r>
        <w:rPr>
          <w:bCs/>
          <w:b/>
        </w:rPr>
        <w:t xml:space="preserve">through the cells</w:t>
      </w:r>
      <w:r>
        <w:t xml:space="preserve"> </w:t>
      </w:r>
      <w:r>
        <w:t xml:space="preserve">into the blood without opening the junctions between cells.</w:t>
      </w:r>
    </w:p>
    <w:p>
      <w:pPr>
        <w:pStyle w:val="FirstParagraph"/>
      </w:pPr>
      <w:r>
        <w:t xml:space="preserve">A more recent review adds that SNAC raises the pH in the immediate vicinity, dampens the activation of pepsin, and helps semaglutide to exist as single molecules instead of clustering into larger assemblies that are less easily absorbed</w:t>
      </w:r>
      <w:r>
        <w:rPr>
          <w:rStyle w:val="FootnoteReference"/>
        </w:rPr>
        <w:footnoteReference w:id="110"/>
      </w:r>
      <w:r>
        <w:t xml:space="preserve">.</w:t>
      </w:r>
    </w:p>
    <w:p>
      <w:pPr>
        <w:pStyle w:val="BodyText"/>
      </w:pPr>
      <w:r>
        <w:t xml:space="preserve">Despite this technology, the yield is low. The same review gives the absolute bioavailability of oral semaglutide as only about 0.4 to 1% – and that under optimized conditions: on an empty stomach and with little water. After a meal, practically no semaglutide can be detected in the blood</w:t>
      </w:r>
      <w:r>
        <w:rPr>
          <w:rStyle w:val="FootnoteReference"/>
        </w:rPr>
        <w:footnoteReference w:id="111"/>
      </w:r>
      <w:r>
        <w:t xml:space="preserve">. For this reason, strict rules for taking the tablet apply; they are described in the prescribing information and should be discussed with the treating physician.</w:t>
      </w:r>
    </w:p>
    <w:p>
      <w:pPr>
        <w:pStyle w:val="BodyText"/>
      </w:pPr>
      <w:r>
        <w:t xml:space="preserve">The low bioavailability has a practical consequence: the tablet requires many times more drug. In the SUSTAIN-6 trial, participants received 0.5 or 1.0 mg semaglutide once a week as an injection</w:t>
      </w:r>
      <w:r>
        <w:rPr>
          <w:rStyle w:val="FootnoteReference"/>
        </w:rPr>
        <w:footnoteReference w:id="112"/>
      </w:r>
      <w:r>
        <w:t xml:space="preserve">. In the tablet trial PIONEER 1, by contrast, daily doses of 3, 7, or 14 mg were studied</w:t>
      </w:r>
      <w:r>
        <w:rPr>
          <w:rStyle w:val="FootnoteReference"/>
        </w:rPr>
        <w:footnoteReference w:id="113"/>
      </w:r>
      <w:r>
        <w:t xml:space="preserve">. The fact that the long-term effect is nevertheless steady is due to the long half-life: day-to-day fluctuations in absorption largely even out over the week</w:t>
      </w:r>
      <w:r>
        <w:rPr>
          <w:rStyle w:val="FootnoteReference"/>
        </w:rPr>
        <w:footnoteReference w:id="114"/>
      </w:r>
      <w:r>
        <w:t xml:space="preserve">.</w:t>
      </w:r>
    </w:p>
    <w:p>
      <w:pPr>
        <w:pStyle w:val="BodyText"/>
      </w:pPr>
      <w:r>
        <w:t xml:space="preserve">The tablet works, as the studies show. In PIONEER 1 with 703 people with type 2 diabetes, HbA1c fell after 26 weeks at the highest dose by 1.1 percentage points more than on placebo</w:t>
      </w:r>
      <w:r>
        <w:rPr>
          <w:rStyle w:val="FootnoteReference"/>
        </w:rPr>
        <w:footnoteReference w:id="115"/>
      </w:r>
      <w:r>
        <w:t xml:space="preserve">. In the OASIS 1 trial, a higher dose of 50 mg daily was tested in 667 adults with overweight or obesity without diabetes. After 68 weeks, mean weight loss was 15.1%, compared with 2.4% on placebo</w:t>
      </w:r>
      <w:r>
        <w:rPr>
          <w:rStyle w:val="FootnoteReference"/>
        </w:rPr>
        <w:footnoteReference w:id="116"/>
      </w:r>
      <w:r>
        <w:t xml:space="preserve">. Gastrointestinal complaints occurred in 80% of participants on semaglutide and in 46% on placebo.</w:t>
      </w:r>
    </w:p>
    <w:p>
      <w:pPr>
        <w:pStyle w:val="BodyText"/>
      </w:pPr>
      <w:r>
        <w:t xml:space="preserve">An important note for practice: the SNAC technology is tied to the exact composition of the tablet. An investigation of copycat products found considerably less drug than stated in several oral semaglutide preparations, as well as a different release behavior of semaglutide and SNAC, which could reduce absorption</w:t>
      </w:r>
      <w:r>
        <w:rPr>
          <w:rStyle w:val="FootnoteReference"/>
        </w:rPr>
        <w:footnoteReference w:id="117"/>
      </w:r>
      <w:r>
        <w:t xml:space="preserve">. A tablet that contains</w:t>
      </w:r>
      <w:r>
        <w:t xml:space="preserve"> </w:t>
      </w:r>
      <w:r>
        <w:t xml:space="preserve">“</w:t>
      </w:r>
      <w:r>
        <w:t xml:space="preserve">semaglutide</w:t>
      </w:r>
      <w:r>
        <w:t xml:space="preserve">”</w:t>
      </w:r>
      <w:r>
        <w:t xml:space="preserve"> </w:t>
      </w:r>
      <w:r>
        <w:t xml:space="preserve">is therefore not automatically as effective as the approved preparation.</w:t>
      </w:r>
    </w:p>
    <w:p>
      <w:pPr>
        <w:pStyle w:val="BodyText"/>
      </w:pPr>
      <w:r>
        <w:t xml:space="preserve">In parallel with the peptide tablets, small non-peptide molecules are being developed that activate the same receptor and can be taken as ordinary tablets, such as orforglipron. They are presented for comparison in Part II and discussed in Part V in connection with the future of tablet therapies.</w:t>
      </w:r>
    </w:p>
    <w:bookmarkEnd w:id="118"/>
    <w:bookmarkStart w:id="120" w:name="X25777323d36911cc500d60c3da36d6cf7ad7fdd"/>
    <w:p>
      <w:pPr>
        <w:pStyle w:val="Heading3"/>
      </w:pPr>
      <w:r>
        <w:t xml:space="preserve">The Food Exception: Short Peptides from Collagen and Milk</w:t>
      </w:r>
    </w:p>
    <w:p>
      <w:pPr>
        <w:pStyle w:val="FirstParagraph"/>
      </w:pPr>
      <w:r>
        <w:t xml:space="preserve">If peptides are broken down in the gastrointestinal tract, how can collagen peptides or milk peptides that are consumed as powder or drinks have any effect? The answer is nuanced.</w:t>
      </w:r>
    </w:p>
    <w:p>
      <w:pPr>
        <w:pStyle w:val="BodyText"/>
      </w:pPr>
      <w:r>
        <w:t xml:space="preserve">Digestion produces not only individual amino acids but also very short fragments of two or three building blocks. Some of these are relatively resistant to enzymes and are absorbed via their own transport systems. For example, after consumption of collagen hydrolysate by five healthy volunteers, the dipeptides prolyl-hydroxyproline and hydroxyprolyl-glycine were measured in blood plasma</w:t>
      </w:r>
      <w:r>
        <w:rPr>
          <w:rStyle w:val="FootnoteReference"/>
        </w:rPr>
        <w:footnoteReference w:id="119"/>
      </w:r>
      <w:r>
        <w:t xml:space="preserve">.</w:t>
      </w:r>
    </w:p>
    <w:p>
      <w:pPr>
        <w:pStyle w:val="BodyText"/>
      </w:pPr>
      <w:r>
        <w:t xml:space="preserve">However, it does not automatically follow that these fragments exert a particular effect in the body – for example on the skin or the joints. Whether this is the case can only be clarified in controlled studies with clinical endpoints. These data are discussed in Part II in the chapter on collagen peptides. For larger peptides such as hormones, on the other hand, the rule is: if swallowed, they are digested.</w:t>
      </w:r>
    </w:p>
    <w:bookmarkEnd w:id="120"/>
    <w:bookmarkStart w:id="122" w:name="under-the-tongue-little-evidence"/>
    <w:p>
      <w:pPr>
        <w:pStyle w:val="Heading3"/>
      </w:pPr>
      <w:r>
        <w:t xml:space="preserve">Under the Tongue: Little Evidence</w:t>
      </w:r>
    </w:p>
    <w:p>
      <w:pPr>
        <w:pStyle w:val="FirstParagraph"/>
      </w:pPr>
      <w:r>
        <w:t xml:space="preserve">The oral mucosa, especially under the tongue, has a good blood supply. Substances absorbed here bypass the stomach and liver. This works well for some small drugs, but for peptides the mucosa is a considerable barrier.</w:t>
      </w:r>
    </w:p>
    <w:p>
      <w:pPr>
        <w:pStyle w:val="BodyText"/>
      </w:pPr>
      <w:r>
        <w:t xml:space="preserve">Nevertheless, semaglutide and tirzepatide are offered, especially in the USA, as drops or orally disintegrating tablets for use under the tongue. An analysis of offerings from US compounding pharmacies found 33 products that differ from the approved preparations. Of the 17 products with only one active ingredient, 82% were intended for use under the tongue and the rest as orally disintegrating tablets. The authors consider such a dosage form understandable in principle, but note that an advantage over the approved preparations has not been demonstrated and that data on safety and efficacy are lacking</w:t>
      </w:r>
      <w:r>
        <w:rPr>
          <w:rStyle w:val="FootnoteReference"/>
        </w:rPr>
        <w:footnoteReference w:id="121"/>
      </w:r>
      <w:r>
        <w:t xml:space="preserve">.</w:t>
      </w:r>
    </w:p>
    <w:bookmarkEnd w:id="122"/>
    <w:bookmarkStart w:id="124" w:name="the-nasal-spray-fast-but-limited"/>
    <w:p>
      <w:pPr>
        <w:pStyle w:val="Heading3"/>
      </w:pPr>
      <w:r>
        <w:t xml:space="preserve">The Nasal Spray: Fast but Limited</w:t>
      </w:r>
    </w:p>
    <w:p>
      <w:pPr>
        <w:pStyle w:val="FirstParagraph"/>
      </w:pPr>
      <w:r>
        <w:t xml:space="preserve">The nasal mucosa has a large surface area with a good blood supply, and substances pass from there directly into the blood. Some peptide medications have used this route for a long time, such as the vasopressin analog desmopressin. Oxytocin is also being studied as a nasal spray.</w:t>
      </w:r>
    </w:p>
    <w:p>
      <w:pPr>
        <w:pStyle w:val="BodyText"/>
      </w:pPr>
      <w:r>
        <w:t xml:space="preserve">The limitations, however, are clear:</w:t>
      </w:r>
    </w:p>
    <w:p>
      <w:pPr>
        <w:numPr>
          <w:ilvl w:val="0"/>
          <w:numId w:val="1013"/>
        </w:numPr>
        <w:pStyle w:val="Compact"/>
      </w:pPr>
      <w:r>
        <w:t xml:space="preserve">Absorption is low for larger peptides and varies greatly – depending on spray technique, a cold, or the amount of mucus.</w:t>
      </w:r>
    </w:p>
    <w:p>
      <w:pPr>
        <w:numPr>
          <w:ilvl w:val="0"/>
          <w:numId w:val="1013"/>
        </w:numPr>
        <w:pStyle w:val="Compact"/>
      </w:pPr>
      <w:r>
        <w:t xml:space="preserve">A large part of each spray is swallowed or carried away by the cilia.</w:t>
      </w:r>
    </w:p>
    <w:p>
      <w:pPr>
        <w:numPr>
          <w:ilvl w:val="0"/>
          <w:numId w:val="1013"/>
        </w:numPr>
        <w:pStyle w:val="Compact"/>
      </w:pPr>
      <w:r>
        <w:t xml:space="preserve">Frequently used irritants or excipients can strain the mucosa.</w:t>
      </w:r>
    </w:p>
    <w:p>
      <w:pPr>
        <w:pStyle w:val="FirstParagraph"/>
      </w:pPr>
      <w:r>
        <w:t xml:space="preserve">A particularly popular notion is that peptides could reach the brain</w:t>
      </w:r>
      <w:r>
        <w:t xml:space="preserve"> </w:t>
      </w:r>
      <w:r>
        <w:t xml:space="preserve">“</w:t>
      </w:r>
      <w:r>
        <w:t xml:space="preserve">directly</w:t>
      </w:r>
      <w:r>
        <w:t xml:space="preserve">”</w:t>
      </w:r>
      <w:r>
        <w:t xml:space="preserve"> </w:t>
      </w:r>
      <w:r>
        <w:t xml:space="preserve">via the nose. For some substances there are indications of such routes via the olfactory and facial nerves, but the data are thin. A much-cited critical review concluded for oxytocin that only very little of the oxytocin given via the nose arrives in the cerebrospinal fluid, while blood concentrations rise to values above the natural level – with possible effects on the gastrointestinal tract, heart, and reproductive organs</w:t>
      </w:r>
      <w:r>
        <w:rPr>
          <w:rStyle w:val="FootnoteReference"/>
        </w:rPr>
        <w:footnoteReference w:id="123"/>
      </w:r>
      <w:r>
        <w:t xml:space="preserve">. The authors urge skepticism toward studies reporting behavioral effects and call for preregistered studies. This is relevant for all peptides marketed as a</w:t>
      </w:r>
      <w:r>
        <w:t xml:space="preserve"> </w:t>
      </w:r>
      <w:r>
        <w:t xml:space="preserve">“</w:t>
      </w:r>
      <w:r>
        <w:t xml:space="preserve">nasal spray for the brain,</w:t>
      </w:r>
      <w:r>
        <w:t xml:space="preserve">”</w:t>
      </w:r>
      <w:r>
        <w:t xml:space="preserve"> </w:t>
      </w:r>
      <w:r>
        <w:t xml:space="preserve">such as Semax or Selank, which are covered in Part II.</w:t>
      </w:r>
    </w:p>
    <w:bookmarkEnd w:id="124"/>
    <w:bookmarkStart w:id="126" w:name="inhalation-an-instructive-failure"/>
    <w:p>
      <w:pPr>
        <w:pStyle w:val="Heading3"/>
      </w:pPr>
      <w:r>
        <w:t xml:space="preserve">Inhalation: An Instructive Failure</w:t>
      </w:r>
    </w:p>
    <w:p>
      <w:pPr>
        <w:pStyle w:val="FirstParagraph"/>
      </w:pPr>
      <w:r>
        <w:t xml:space="preserve">The lungs offer an enormous surface area with a very thin barrier to the blood. For this reason, intensive work was done on inhalable insulin. A first product came onto the market but was soon withdrawn; other developments were stopped. A commentary from that time describes the advantages and disadvantages from the perspective of patients, physicians, industry, and payers – including the size of the inhalation devices and the costs</w:t>
      </w:r>
      <w:r>
        <w:rPr>
          <w:rStyle w:val="FootnoteReference"/>
        </w:rPr>
        <w:footnoteReference w:id="125"/>
      </w:r>
      <w:r>
        <w:t xml:space="preserve">. Later, a different inhalable insulin was approved in the USA. For most other peptides, inhalation has so far played no role.</w:t>
      </w:r>
    </w:p>
    <w:bookmarkEnd w:id="126"/>
    <w:bookmarkStart w:id="128" w:name="the-skin-a-very-good-barrier"/>
    <w:p>
      <w:pPr>
        <w:pStyle w:val="Heading3"/>
      </w:pPr>
      <w:r>
        <w:t xml:space="preserve">The Skin: A Very Good Barrier</w:t>
      </w:r>
    </w:p>
    <w:p>
      <w:pPr>
        <w:pStyle w:val="FirstParagraph"/>
      </w:pPr>
      <w:r>
        <w:t xml:space="preserve">The skin is one of the densest organs of the body. Its outermost layer, the stratum corneum, consists of dead cells embedded in lipids – a kind of brickwork with mortar. A well-known rule of thumb from dermatology states that a substance must be smaller than about 500 daltons to pass through the skin to any significant extent. The authors justify this, among other things, by the fact that practically all known contact allergens and all drugs used in transdermal patches lie below this limit</w:t>
      </w:r>
      <w:r>
        <w:rPr>
          <w:rStyle w:val="FootnoteReference"/>
        </w:rPr>
        <w:footnoteReference w:id="127"/>
      </w:r>
      <w:r>
        <w:t xml:space="preserve">.</w:t>
      </w:r>
    </w:p>
    <w:p>
      <w:pPr>
        <w:pStyle w:val="BodyText"/>
      </w:pPr>
      <w:r>
        <w:t xml:space="preserve">For peptides this means: from about four to five amino acids upward, they generally lie above this limit. A tripeptide such as GHK can fall below it, while peptides such as palmitoyl pentapeptide-4 or acetyl hexapeptide-8 lie well above it. Cosmetic manufacturers try to improve penetration through fatty acid attachments (as with the</w:t>
      </w:r>
      <w:r>
        <w:t xml:space="preserve"> </w:t>
      </w:r>
      <w:r>
        <w:t xml:space="preserve">“</w:t>
      </w:r>
      <w:r>
        <w:t xml:space="preserve">palmitoyl</w:t>
      </w:r>
      <w:r>
        <w:t xml:space="preserve">”</w:t>
      </w:r>
      <w:r>
        <w:t xml:space="preserve"> </w:t>
      </w:r>
      <w:r>
        <w:t xml:space="preserve">peptide) or special carrier systems. Whether the peptides reach their presumed target cells in deeper skin layers in sufficient quantities is a question that would have to be investigated separately for each product. The study data on this are discussed in Part II.</w:t>
      </w:r>
    </w:p>
    <w:p>
      <w:pPr>
        <w:pStyle w:val="BodyText"/>
      </w:pPr>
      <w:r>
        <w:t xml:space="preserve">A rule of thumb is only a rule of thumb: there are exceptions, and aids such as microneedle patches can overcome the barrier. Such patches carry tiny needles that penetrate only the uppermost layer of skin. For peptides, they are still largely under development.</w:t>
      </w:r>
    </w:p>
    <w:p>
      <w:pPr>
        <w:pStyle w:val="BodyText"/>
      </w:pPr>
      <w:r>
        <w:t xml:space="preserve">For drug peptides such as GLP-1 analogs, growth hormone secretagogues, or melanotan, the following applies: a simple cream or gel does not get them into the blood in any appreciable quantity. You should view internet offers claiming otherwise with great skepticism.</w:t>
      </w:r>
    </w:p>
    <w:bookmarkEnd w:id="128"/>
    <w:bookmarkStart w:id="130" w:name="stability-the-underestimated-problem"/>
    <w:p>
      <w:pPr>
        <w:pStyle w:val="Heading3"/>
      </w:pPr>
      <w:r>
        <w:t xml:space="preserve">Stability: The Underestimated Problem</w:t>
      </w:r>
    </w:p>
    <w:p>
      <w:pPr>
        <w:pStyle w:val="FirstParagraph"/>
      </w:pPr>
      <w:r>
        <w:t xml:space="preserve">Peptides are sensitive outside the body as well. They can decompose, change chemically (for example through oxidation), or clump into larger assemblies. Such clumping – experts speak of aggregation or fibril formation – can reduce efficacy and irritate the immune system. One investigation found a greater tendency to fibril formation and lower physical stability in copycat preparations of liraglutide than in the original</w:t>
      </w:r>
      <w:r>
        <w:rPr>
          <w:rStyle w:val="FootnoteReference"/>
        </w:rPr>
        <w:footnoteReference w:id="129"/>
      </w:r>
      <w:r>
        <w:t xml:space="preserve">.</w:t>
      </w:r>
    </w:p>
    <w:p>
      <w:pPr>
        <w:pStyle w:val="BodyText"/>
      </w:pPr>
      <w:r>
        <w:t xml:space="preserve">For this reason, approved peptide medications are manufactured, packaged, transported under refrigeration, and labeled with expiration dates under precisely defined conditions. Gray-market peptides, on the other hand, are usually sold as freeze-dried powder that has to be reconstituted by the user before use. Each of these steps – transport without refrigeration, storage, reconstitution, drawing up – is a possible source of error.</w:t>
      </w:r>
    </w:p>
    <w:bookmarkEnd w:id="130"/>
    <w:bookmarkStart w:id="132" w:name="immune-reactions"/>
    <w:p>
      <w:pPr>
        <w:pStyle w:val="Heading3"/>
      </w:pPr>
      <w:r>
        <w:t xml:space="preserve">Immune Reactions</w:t>
      </w:r>
    </w:p>
    <w:p>
      <w:pPr>
        <w:pStyle w:val="FirstParagraph"/>
      </w:pPr>
      <w:r>
        <w:t xml:space="preserve">Peptides are proteinaceous substances and can be recognized by the immune system as foreign, especially if they do not correspond exactly to an endogenous molecule or contain impurities. Possible consequences are reactions at the injection site, allergic reactions, or the formation of antibodies that can weaken the effect. In the analysis of copycat semaglutide, computationally predicted new binding sites for the immune system were found, indicating a possible risk of immune reactions</w:t>
      </w:r>
      <w:r>
        <w:rPr>
          <w:rStyle w:val="FootnoteReference"/>
        </w:rPr>
        <w:footnoteReference w:id="131"/>
      </w:r>
      <w:r>
        <w:t xml:space="preserve">. Part IV covers immune reactions in detail.</w:t>
      </w:r>
    </w:p>
    <w:bookmarkEnd w:id="132"/>
    <w:bookmarkStart w:id="133" w:name="Xc71f6878a86aae68f0ba3b271041ea3d421c87c"/>
    <w:p>
      <w:pPr>
        <w:pStyle w:val="Heading3"/>
      </w:pPr>
      <w:r>
        <w:t xml:space="preserve">Overview: Routes of Administration Compared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w:t>
            </w:r>
          </w:p>
        </w:tc>
        <w:tc>
          <w:tcPr/>
          <w:p>
            <w:pPr>
              <w:pStyle w:val="Compact"/>
              <w:jc w:val="left"/>
            </w:pPr>
            <w:r>
              <w:t xml:space="preserve">Main problem</w:t>
            </w:r>
          </w:p>
        </w:tc>
        <w:tc>
          <w:tcPr/>
          <w:p>
            <w:pPr>
              <w:pStyle w:val="Compact"/>
              <w:jc w:val="left"/>
            </w:pPr>
            <w:r>
              <w:t xml:space="preserve">Examples</w:t>
            </w:r>
          </w:p>
        </w:tc>
      </w:tr>
      <w:tr>
        <w:tc>
          <w:tcPr/>
          <w:p>
            <w:pPr>
              <w:pStyle w:val="Compact"/>
              <w:jc w:val="left"/>
            </w:pPr>
            <w:r>
              <w:t xml:space="preserve">Injection under the skin</w:t>
            </w:r>
          </w:p>
        </w:tc>
        <w:tc>
          <w:tcPr/>
          <w:p>
            <w:pPr>
              <w:pStyle w:val="Compact"/>
              <w:jc w:val="left"/>
            </w:pPr>
            <w:r>
              <w:t xml:space="preserve">needle, sterility, refrigeration</w:t>
            </w:r>
          </w:p>
        </w:tc>
        <w:tc>
          <w:tcPr/>
          <w:p>
            <w:pPr>
              <w:pStyle w:val="Compact"/>
              <w:jc w:val="left"/>
            </w:pPr>
            <w:r>
              <w:t xml:space="preserve">insulin, semaglutide, tirzepatide</w:t>
            </w:r>
          </w:p>
        </w:tc>
      </w:tr>
      <w:tr>
        <w:tc>
          <w:tcPr/>
          <w:p>
            <w:pPr>
              <w:pStyle w:val="Compact"/>
              <w:jc w:val="left"/>
            </w:pPr>
            <w:r>
              <w:t xml:space="preserve">Tablet</w:t>
            </w:r>
          </w:p>
        </w:tc>
        <w:tc>
          <w:tcPr/>
          <w:p>
            <w:pPr>
              <w:pStyle w:val="Compact"/>
              <w:jc w:val="left"/>
            </w:pPr>
            <w:r>
              <w:t xml:space="preserve">breakdown in the gastrointestinal tract</w:t>
            </w:r>
          </w:p>
        </w:tc>
        <w:tc>
          <w:tcPr/>
          <w:p>
            <w:pPr>
              <w:pStyle w:val="Compact"/>
              <w:jc w:val="left"/>
            </w:pPr>
            <w:r>
              <w:t xml:space="preserve">semaglutide with SNAC</w:t>
            </w:r>
          </w:p>
        </w:tc>
      </w:tr>
      <w:tr>
        <w:tc>
          <w:tcPr/>
          <w:p>
            <w:pPr>
              <w:pStyle w:val="Compact"/>
              <w:jc w:val="left"/>
            </w:pPr>
            <w:r>
              <w:t xml:space="preserve">Under the tongue</w:t>
            </w:r>
          </w:p>
        </w:tc>
        <w:tc>
          <w:tcPr/>
          <w:p>
            <w:pPr>
              <w:pStyle w:val="Compact"/>
              <w:jc w:val="left"/>
            </w:pPr>
            <w:r>
              <w:t xml:space="preserve">mucosa as a barrier</w:t>
            </w:r>
          </w:p>
        </w:tc>
        <w:tc>
          <w:tcPr/>
          <w:p>
            <w:pPr>
              <w:pStyle w:val="Compact"/>
              <w:jc w:val="left"/>
            </w:pPr>
            <w:r>
              <w:t xml:space="preserve">no robust data</w:t>
            </w:r>
          </w:p>
        </w:tc>
      </w:tr>
      <w:tr>
        <w:tc>
          <w:tcPr/>
          <w:p>
            <w:pPr>
              <w:pStyle w:val="Compact"/>
              <w:jc w:val="left"/>
            </w:pPr>
            <w:r>
              <w:t xml:space="preserve">Nasal spray</w:t>
            </w:r>
          </w:p>
        </w:tc>
        <w:tc>
          <w:tcPr/>
          <w:p>
            <w:pPr>
              <w:pStyle w:val="Compact"/>
              <w:jc w:val="left"/>
            </w:pPr>
            <w:r>
              <w:t xml:space="preserve">low, variable absorption</w:t>
            </w:r>
          </w:p>
        </w:tc>
        <w:tc>
          <w:tcPr/>
          <w:p>
            <w:pPr>
              <w:pStyle w:val="Compact"/>
              <w:jc w:val="left"/>
            </w:pPr>
            <w:r>
              <w:t xml:space="preserve">desmopressin, oxytocin</w:t>
            </w:r>
          </w:p>
        </w:tc>
      </w:tr>
      <w:tr>
        <w:tc>
          <w:tcPr/>
          <w:p>
            <w:pPr>
              <w:pStyle w:val="Compact"/>
              <w:jc w:val="left"/>
            </w:pPr>
            <w:r>
              <w:t xml:space="preserve">Inhalation</w:t>
            </w:r>
          </w:p>
        </w:tc>
        <w:tc>
          <w:tcPr/>
          <w:p>
            <w:pPr>
              <w:pStyle w:val="Compact"/>
              <w:jc w:val="left"/>
            </w:pPr>
            <w:r>
              <w:t xml:space="preserve">devices, lung safety</w:t>
            </w:r>
          </w:p>
        </w:tc>
        <w:tc>
          <w:tcPr/>
          <w:p>
            <w:pPr>
              <w:pStyle w:val="Compact"/>
              <w:jc w:val="left"/>
            </w:pPr>
            <w:r>
              <w:t xml:space="preserve">inhalable insulin</w:t>
            </w:r>
          </w:p>
        </w:tc>
      </w:tr>
      <w:tr>
        <w:tc>
          <w:tcPr/>
          <w:p>
            <w:pPr>
              <w:pStyle w:val="Compact"/>
              <w:jc w:val="left"/>
            </w:pPr>
            <w:r>
              <w:t xml:space="preserve">Skin</w:t>
            </w:r>
          </w:p>
        </w:tc>
        <w:tc>
          <w:tcPr/>
          <w:p>
            <w:pPr>
              <w:pStyle w:val="Compact"/>
              <w:jc w:val="left"/>
            </w:pPr>
            <w:r>
              <w:t xml:space="preserve">stratum corneum, molecular size</w:t>
            </w:r>
          </w:p>
        </w:tc>
        <w:tc>
          <w:tcPr/>
          <w:p>
            <w:pPr>
              <w:pStyle w:val="Compact"/>
              <w:jc w:val="left"/>
            </w:pPr>
            <w:r>
              <w:t xml:space="preserve">cosmetic peptides</w:t>
            </w:r>
          </w:p>
        </w:tc>
      </w:tr>
    </w:tbl>
    <w:bookmarkEnd w:id="133"/>
    <w:bookmarkStart w:id="134" w:name="key-points-in-brief-1"/>
    <w:p>
      <w:pPr>
        <w:pStyle w:val="Heading3"/>
      </w:pPr>
      <w:r>
        <w:t xml:space="preserve">Key Points in Brief</w:t>
      </w:r>
    </w:p>
    <w:p>
      <w:pPr>
        <w:numPr>
          <w:ilvl w:val="0"/>
          <w:numId w:val="1014"/>
        </w:numPr>
        <w:pStyle w:val="Compact"/>
      </w:pPr>
      <w:r>
        <w:t xml:space="preserve">Peptides are broken down in the digestive tract, are large, and pass poorly through membranes. That is why most peptide medications are injected.</w:t>
      </w:r>
    </w:p>
    <w:p>
      <w:pPr>
        <w:numPr>
          <w:ilvl w:val="0"/>
          <w:numId w:val="1014"/>
        </w:numPr>
        <w:pStyle w:val="Compact"/>
      </w:pPr>
      <w:r>
        <w:t xml:space="preserve">A long duration of action is achieved through targeted modifications of the molecule, such as fatty acid attachments for binding to albumin.</w:t>
      </w:r>
    </w:p>
    <w:p>
      <w:pPr>
        <w:numPr>
          <w:ilvl w:val="0"/>
          <w:numId w:val="1014"/>
        </w:numPr>
        <w:pStyle w:val="Compact"/>
      </w:pPr>
      <w:r>
        <w:t xml:space="preserve">The semaglutide tablet uses the excipient SNAC, which enables absorption in the stomach. At about 0.4 to 1%, bioavailability remains very low.</w:t>
      </w:r>
    </w:p>
    <w:p>
      <w:pPr>
        <w:numPr>
          <w:ilvl w:val="0"/>
          <w:numId w:val="1014"/>
        </w:numPr>
        <w:pStyle w:val="Compact"/>
      </w:pPr>
      <w:r>
        <w:t xml:space="preserve">With nasal sprays and creams, absorption of larger peptides is limited. Promises such as</w:t>
      </w:r>
      <w:r>
        <w:t xml:space="preserve"> </w:t>
      </w:r>
      <w:r>
        <w:t xml:space="preserve">“</w:t>
      </w:r>
      <w:r>
        <w:t xml:space="preserve">directly into the brain</w:t>
      </w:r>
      <w:r>
        <w:t xml:space="preserve">”</w:t>
      </w:r>
      <w:r>
        <w:t xml:space="preserve"> </w:t>
      </w:r>
      <w:r>
        <w:t xml:space="preserve">or</w:t>
      </w:r>
      <w:r>
        <w:t xml:space="preserve"> </w:t>
      </w:r>
      <w:r>
        <w:t xml:space="preserve">“</w:t>
      </w:r>
      <w:r>
        <w:t xml:space="preserve">through the skin into the blood</w:t>
      </w:r>
      <w:r>
        <w:t xml:space="preserve">”</w:t>
      </w:r>
      <w:r>
        <w:t xml:space="preserve"> </w:t>
      </w:r>
      <w:r>
        <w:t xml:space="preserve">are mostly unsupported.</w:t>
      </w:r>
    </w:p>
    <w:p>
      <w:pPr>
        <w:numPr>
          <w:ilvl w:val="0"/>
          <w:numId w:val="1014"/>
        </w:numPr>
        <w:pStyle w:val="Compact"/>
      </w:pPr>
      <w:r>
        <w:t xml:space="preserve">With peptides, stability, sterility, and purity are not minor matters but prerequisites for safety and efficacy.</w:t>
      </w:r>
    </w:p>
    <w:bookmarkEnd w:id="134"/>
    <w:bookmarkEnd w:id="135"/>
    <w:bookmarkStart w:id="167" w:name="reading-studies-correctly"/>
    <w:p>
      <w:pPr>
        <w:pStyle w:val="Heading2"/>
      </w:pPr>
      <w:r>
        <w:t xml:space="preserve">Reading Studies Correctly</w:t>
      </w:r>
    </w:p>
    <w:p>
      <w:pPr>
        <w:pStyle w:val="FirstParagraph"/>
      </w:pPr>
      <w:r>
        <w:t xml:space="preserve">“</w:t>
      </w:r>
      <w:r>
        <w:t xml:space="preserve">Studies show …</w:t>
      </w:r>
      <w:r>
        <w:t xml:space="preserve">”</w:t>
      </w:r>
      <w:r>
        <w:t xml:space="preserve"> </w:t>
      </w:r>
      <w:r>
        <w:t xml:space="preserve">– hardly any phrase is used as often in advertising for peptides. It can mean all sorts of things: an experiment with cells in a Petri dish, an experiment on twelve rats, a testimonial from a single patient, or a study with 17,000 participants over more than three years. If you want to evaluate peptides, you need to know these differences. This chapter is a kind of toolbox. It explains the most important study types, the pitfalls in interpreting results, and how you can check for yourself what lies behind a claim.</w:t>
      </w:r>
    </w:p>
    <w:bookmarkStart w:id="136" w:name="the-evidence-pyramid"/>
    <w:p>
      <w:pPr>
        <w:pStyle w:val="Heading3"/>
      </w:pPr>
      <w:r>
        <w:t xml:space="preserve">The Evidence Pyramid</w:t>
      </w:r>
    </w:p>
    <w:p>
      <w:pPr>
        <w:pStyle w:val="FirstParagraph"/>
      </w:pPr>
      <w:r>
        <w:t xml:space="preserve">Experts often arrange study types in a pyramid. At the bottom are study designs that provide many clues but little certainty; at the top are those that show most reliably whether a treatment works in humans. From bottom to top:</w:t>
      </w:r>
    </w:p>
    <w:p>
      <w:pPr>
        <w:numPr>
          <w:ilvl w:val="0"/>
          <w:numId w:val="1015"/>
        </w:numPr>
        <w:pStyle w:val="Compact"/>
      </w:pPr>
      <w:r>
        <w:rPr>
          <w:bCs/>
          <w:b/>
        </w:rPr>
        <w:t xml:space="preserve">Laboratory and cell studies</w:t>
      </w:r>
      <w:r>
        <w:t xml:space="preserve"> </w:t>
      </w:r>
      <w:r>
        <w:t xml:space="preserve">(in vitro,</w:t>
      </w:r>
      <w:r>
        <w:t xml:space="preserve"> </w:t>
      </w:r>
      <w:r>
        <w:t xml:space="preserve">“</w:t>
      </w:r>
      <w:r>
        <w:t xml:space="preserve">in glass</w:t>
      </w:r>
      <w:r>
        <w:t xml:space="preserve">”</w:t>
      </w:r>
      <w:r>
        <w:t xml:space="preserve">): cells or tissues are exposed to a substance in the laboratory.</w:t>
      </w:r>
    </w:p>
    <w:p>
      <w:pPr>
        <w:numPr>
          <w:ilvl w:val="0"/>
          <w:numId w:val="1015"/>
        </w:numPr>
        <w:pStyle w:val="Compact"/>
      </w:pPr>
      <w:r>
        <w:rPr>
          <w:bCs/>
          <w:b/>
        </w:rPr>
        <w:t xml:space="preserve">Animal studies</w:t>
      </w:r>
      <w:r>
        <w:t xml:space="preserve"> </w:t>
      </w:r>
      <w:r>
        <w:t xml:space="preserve">(mostly in mice or rats).</w:t>
      </w:r>
    </w:p>
    <w:p>
      <w:pPr>
        <w:numPr>
          <w:ilvl w:val="0"/>
          <w:numId w:val="1015"/>
        </w:numPr>
        <w:pStyle w:val="Compact"/>
      </w:pPr>
      <w:r>
        <w:rPr>
          <w:bCs/>
          <w:b/>
        </w:rPr>
        <w:t xml:space="preserve">Case reports and case series</w:t>
      </w:r>
      <w:r>
        <w:t xml:space="preserve">: descriptions of individual patients or a small number of patients.</w:t>
      </w:r>
    </w:p>
    <w:p>
      <w:pPr>
        <w:numPr>
          <w:ilvl w:val="0"/>
          <w:numId w:val="1015"/>
        </w:numPr>
        <w:pStyle w:val="Compact"/>
      </w:pPr>
      <w:r>
        <w:rPr>
          <w:bCs/>
          <w:b/>
        </w:rPr>
        <w:t xml:space="preserve">Observational studies</w:t>
      </w:r>
      <w:r>
        <w:t xml:space="preserve">: people who take or do not take a substance anyway are observed, and what happens to them is compared.</w:t>
      </w:r>
    </w:p>
    <w:p>
      <w:pPr>
        <w:numPr>
          <w:ilvl w:val="0"/>
          <w:numId w:val="1015"/>
        </w:numPr>
        <w:pStyle w:val="Compact"/>
      </w:pPr>
      <w:r>
        <w:rPr>
          <w:bCs/>
          <w:b/>
        </w:rPr>
        <w:t xml:space="preserve">Controlled studies without random allocation</w:t>
      </w:r>
      <w:r>
        <w:t xml:space="preserve"> </w:t>
      </w:r>
      <w:r>
        <w:t xml:space="preserve">and</w:t>
      </w:r>
      <w:r>
        <w:t xml:space="preserve"> </w:t>
      </w:r>
      <w:r>
        <w:rPr>
          <w:bCs/>
          <w:b/>
        </w:rPr>
        <w:t xml:space="preserve">open-label studies</w:t>
      </w:r>
      <w:r>
        <w:t xml:space="preserve">.</w:t>
      </w:r>
    </w:p>
    <w:p>
      <w:pPr>
        <w:numPr>
          <w:ilvl w:val="0"/>
          <w:numId w:val="1015"/>
        </w:numPr>
        <w:pStyle w:val="Compact"/>
      </w:pPr>
      <w:r>
        <w:rPr>
          <w:bCs/>
          <w:b/>
        </w:rPr>
        <w:t xml:space="preserve">Randomized controlled trials</w:t>
      </w:r>
      <w:r>
        <w:t xml:space="preserve"> </w:t>
      </w:r>
      <w:r>
        <w:t xml:space="preserve">(RCTs).</w:t>
      </w:r>
    </w:p>
    <w:p>
      <w:pPr>
        <w:numPr>
          <w:ilvl w:val="0"/>
          <w:numId w:val="1015"/>
        </w:numPr>
        <w:pStyle w:val="Compact"/>
      </w:pPr>
      <w:r>
        <w:rPr>
          <w:bCs/>
          <w:b/>
        </w:rPr>
        <w:t xml:space="preserve">Systematic reviews and meta-analyses</w:t>
      </w:r>
      <w:r>
        <w:t xml:space="preserve">, which summarize all available good studies on a question.</w:t>
      </w:r>
    </w:p>
    <w:p>
      <w:pPr>
        <w:pStyle w:val="FirstParagraph"/>
      </w:pPr>
      <w:r>
        <w:t xml:space="preserve">The pyramid is a simplification. A large, careful observational study can be more informative than a tiny, poorly conducted RCT, and a meta-analysis is only as good as the studies that go into it. As a rough guide, however, it is helpful – above all for recognizing how far down the pyramid the evidence for many gray-market peptides lies.</w:t>
      </w:r>
    </w:p>
    <w:bookmarkEnd w:id="136"/>
    <w:bookmarkStart w:id="137" w:name="Xe2779363fd97c3871d1de36997c2bebb5bd14c9"/>
    <w:p>
      <w:pPr>
        <w:pStyle w:val="Heading3"/>
      </w:pPr>
      <w:r>
        <w:t xml:space="preserve">Laboratory Studies: What Happens in the Petri Dish</w:t>
      </w:r>
    </w:p>
    <w:p>
      <w:pPr>
        <w:pStyle w:val="FirstParagraph"/>
      </w:pPr>
      <w:r>
        <w:t xml:space="preserve">Mechanisms can be studied well in cell cultures: Which receptor is activated? Which genes are read? Do cells grow or migrate faster? Such studies are indispensable for basic research.</w:t>
      </w:r>
    </w:p>
    <w:p>
      <w:pPr>
        <w:pStyle w:val="BodyText"/>
      </w:pPr>
      <w:r>
        <w:t xml:space="preserve">But their limitations are considerable. Cells in a dish have no circulation, no liver that breaks down substances, no immune system, and no digestion. The concentrations used in the laboratory are often much higher than those that could ever be reached in the human body. A substance that kills cancer cells in a Petri dish may be ineffective or toxic in the body. If an advertising text refers to</w:t>
      </w:r>
      <w:r>
        <w:t xml:space="preserve"> </w:t>
      </w:r>
      <w:r>
        <w:t xml:space="preserve">“</w:t>
      </w:r>
      <w:r>
        <w:t xml:space="preserve">studies</w:t>
      </w:r>
      <w:r>
        <w:t xml:space="preserve">”</w:t>
      </w:r>
      <w:r>
        <w:t xml:space="preserve"> </w:t>
      </w:r>
      <w:r>
        <w:t xml:space="preserve">and these are cell cultures, this is an indication of a possible mechanism – not of a benefit in humans.</w:t>
      </w:r>
    </w:p>
    <w:bookmarkEnd w:id="137"/>
    <w:bookmarkStart w:id="139" w:name="X2a969ad2bcbdcff25955328e21d5b3a74ed7898"/>
    <w:p>
      <w:pPr>
        <w:pStyle w:val="Heading3"/>
      </w:pPr>
      <w:r>
        <w:t xml:space="preserve">Animal Studies: Important, but Not Transferable</w:t>
      </w:r>
    </w:p>
    <w:p>
      <w:pPr>
        <w:pStyle w:val="FirstParagraph"/>
      </w:pPr>
      <w:r>
        <w:t xml:space="preserve">Animal experiments make it possible to study effects in a whole organism and to clarify safety questions before people are exposed to a new substance. At the same time, mice and rats differ considerably from humans in metabolism, lifespan, body size, and disease development. In addition, diseases in animals are often induced artificially – for example, a tendon injury by an incision – which corresponds only partly to the situation in humans.</w:t>
      </w:r>
    </w:p>
    <w:p>
      <w:pPr>
        <w:pStyle w:val="BodyText"/>
      </w:pPr>
      <w:r>
        <w:t xml:space="preserve">How difficult the transfer is was shown by a systematic review that compared treatment effects in animal experiments with those in clinical trials</w:t>
      </w:r>
      <w:r>
        <w:rPr>
          <w:rStyle w:val="FootnoteReference"/>
        </w:rPr>
        <w:footnoteReference w:id="138"/>
      </w:r>
      <w:r>
        <w:t xml:space="preserve">. Some examples from it:</w:t>
      </w:r>
    </w:p>
    <w:p>
      <w:pPr>
        <w:numPr>
          <w:ilvl w:val="0"/>
          <w:numId w:val="1016"/>
        </w:numPr>
        <w:pStyle w:val="Compact"/>
      </w:pPr>
      <w:r>
        <w:t xml:space="preserve">Corticosteroid preparations improved outcomes after head injury in animal models; in clinical trials in humans, no benefit was seen.</w:t>
      </w:r>
    </w:p>
    <w:p>
      <w:pPr>
        <w:numPr>
          <w:ilvl w:val="0"/>
          <w:numId w:val="1016"/>
        </w:numPr>
        <w:pStyle w:val="Compact"/>
      </w:pPr>
      <w:r>
        <w:t xml:space="preserve">The drug tirilazad reduced the damaged brain area in animals with stroke by 29% and improved neurological scores by 48%. In people with stroke, it was associated with a worse outcome.</w:t>
      </w:r>
    </w:p>
    <w:p>
      <w:pPr>
        <w:numPr>
          <w:ilvl w:val="0"/>
          <w:numId w:val="1016"/>
        </w:numPr>
        <w:pStyle w:val="Compact"/>
      </w:pPr>
      <w:r>
        <w:t xml:space="preserve">Other treatments, such as dissolving blood clots in stroke, worked in both animals and humans.</w:t>
      </w:r>
    </w:p>
    <w:p>
      <w:pPr>
        <w:pStyle w:val="FirstParagraph"/>
      </w:pPr>
      <w:r>
        <w:t xml:space="preserve">The authors attribute the discrepancies to biases in the animal studies and to the fact that animal models do not adequately reflect human diseases.</w:t>
      </w:r>
    </w:p>
    <w:p>
      <w:pPr>
        <w:pStyle w:val="BodyText"/>
      </w:pPr>
      <w:r>
        <w:t xml:space="preserve">For this book, this has a clear consequence: if only animal data are available for a peptide, it receives evidence level D – regardless of how impressive the results in rats look. And the text always states explicitly when a result comes from animals or from the laboratory.</w:t>
      </w:r>
    </w:p>
    <w:bookmarkEnd w:id="139"/>
    <w:bookmarkStart w:id="140" w:name="case-reports-and-observational-studies"/>
    <w:p>
      <w:pPr>
        <w:pStyle w:val="Heading3"/>
      </w:pPr>
      <w:r>
        <w:t xml:space="preserve">Case Reports and Observational Studies</w:t>
      </w:r>
    </w:p>
    <w:p>
      <w:pPr>
        <w:pStyle w:val="FirstParagraph"/>
      </w:pPr>
      <w:r>
        <w:rPr>
          <w:bCs/>
          <w:b/>
        </w:rPr>
        <w:t xml:space="preserve">Case reports</w:t>
      </w:r>
      <w:r>
        <w:t xml:space="preserve"> </w:t>
      </w:r>
      <w:r>
        <w:t xml:space="preserve">describe individual patients. They say little about efficacy, but they can be very valuable for safety: rare or unexpected side effects are often first noticed in case reports. In the chapter on the gray market, you will encounter several such reports, for example on severe hypoglycemia caused by counterfeit preparations.</w:t>
      </w:r>
    </w:p>
    <w:p>
      <w:pPr>
        <w:pStyle w:val="BodyText"/>
      </w:pPr>
      <w:r>
        <w:rPr>
          <w:bCs/>
          <w:b/>
        </w:rPr>
        <w:t xml:space="preserve">Observational studies</w:t>
      </w:r>
      <w:r>
        <w:t xml:space="preserve"> </w:t>
      </w:r>
      <w:r>
        <w:t xml:space="preserve">compare people who take a substance with people who do not. Their main problem is so-called</w:t>
      </w:r>
      <w:r>
        <w:t xml:space="preserve"> </w:t>
      </w:r>
      <w:r>
        <w:rPr>
          <w:bCs/>
          <w:b/>
        </w:rPr>
        <w:t xml:space="preserve">confounding</w:t>
      </w:r>
      <w:r>
        <w:t xml:space="preserve">: people who take a particular preparation often also differ in other respects – for example, in income, health awareness, or pre-existing conditions. An association that is found therefore need not be a cause-and-effect relationship.</w:t>
      </w:r>
    </w:p>
    <w:p>
      <w:pPr>
        <w:pStyle w:val="BodyText"/>
      </w:pPr>
      <w:r>
        <w:t xml:space="preserve">A special form is the analysis of</w:t>
      </w:r>
      <w:r>
        <w:t xml:space="preserve"> </w:t>
      </w:r>
      <w:r>
        <w:rPr>
          <w:bCs/>
          <w:b/>
        </w:rPr>
        <w:t xml:space="preserve">adverse event reporting systems</w:t>
      </w:r>
      <w:r>
        <w:t xml:space="preserve"> </w:t>
      </w:r>
      <w:r>
        <w:t xml:space="preserve">such as the European database EudraVigilance or the US FAERS. They collect reports of suspected side effects from physicians, patients, and manufacturers. Such data reveal signals that should be investigated further, but they do not prove a connection and say nothing about how common a side effect actually is.</w:t>
      </w:r>
    </w:p>
    <w:bookmarkEnd w:id="140"/>
    <w:bookmarkStart w:id="141" w:name="the-randomized-controlled-trial-rct"/>
    <w:p>
      <w:pPr>
        <w:pStyle w:val="Heading3"/>
      </w:pPr>
      <w:r>
        <w:t xml:space="preserve">The Randomized Controlled Trial (RCT)</w:t>
      </w:r>
    </w:p>
    <w:p>
      <w:pPr>
        <w:pStyle w:val="FirstParagraph"/>
      </w:pPr>
      <w:r>
        <w:t xml:space="preserve">The RCT is considered the gold standard for testing the effect of a treatment. It is defined by three elements:</w:t>
      </w:r>
    </w:p>
    <w:p>
      <w:pPr>
        <w:pStyle w:val="BodyText"/>
      </w:pPr>
      <w:r>
        <w:rPr>
          <w:bCs/>
          <w:b/>
        </w:rPr>
        <w:t xml:space="preserve">Control group.</w:t>
      </w:r>
      <w:r>
        <w:t xml:space="preserve"> </w:t>
      </w:r>
      <w:r>
        <w:t xml:space="preserve">In addition to the group that receives the drug, there is a comparison group – with placebo, a standard treatment, or no treatment at all. Only in this way can one say whether a change is due to the drug or would have occurred without it.</w:t>
      </w:r>
    </w:p>
    <w:p>
      <w:pPr>
        <w:pStyle w:val="BodyText"/>
      </w:pPr>
      <w:r>
        <w:rPr>
          <w:bCs/>
          <w:b/>
        </w:rPr>
        <w:t xml:space="preserve">Randomization.</w:t>
      </w:r>
      <w:r>
        <w:t xml:space="preserve"> </w:t>
      </w:r>
      <w:r>
        <w:t xml:space="preserve">Chance decides who goes into which group. As a result, known and unknown influencing factors are distributed evenly between the groups. Differences in outcome can then be attributed to the treatment with high probability.</w:t>
      </w:r>
    </w:p>
    <w:p>
      <w:pPr>
        <w:pStyle w:val="BodyText"/>
      </w:pPr>
      <w:r>
        <w:rPr>
          <w:bCs/>
          <w:b/>
        </w:rPr>
        <w:t xml:space="preserve">Blinding.</w:t>
      </w:r>
      <w:r>
        <w:t xml:space="preserve"> </w:t>
      </w:r>
      <w:r>
        <w:t xml:space="preserve">In a</w:t>
      </w:r>
      <w:r>
        <w:t xml:space="preserve"> </w:t>
      </w:r>
      <w:r>
        <w:rPr>
          <w:bCs/>
          <w:b/>
        </w:rPr>
        <w:t xml:space="preserve">double-blind</w:t>
      </w:r>
      <w:r>
        <w:t xml:space="preserve"> </w:t>
      </w:r>
      <w:r>
        <w:t xml:space="preserve">study, neither the participants nor the study staff know who is receiving the drug and who is receiving the placebo. This prevents expectations from influencing the result. In an</w:t>
      </w:r>
      <w:r>
        <w:t xml:space="preserve"> </w:t>
      </w:r>
      <w:r>
        <w:rPr>
          <w:bCs/>
          <w:b/>
        </w:rPr>
        <w:t xml:space="preserve">open-label</w:t>
      </w:r>
      <w:r>
        <w:t xml:space="preserve"> </w:t>
      </w:r>
      <w:r>
        <w:t xml:space="preserve">study, everyone involved knows; sometimes this is unavoidable, but it makes the results more susceptible to bias, especially with subjective endpoints such as pain, mood, or skin appearance.</w:t>
      </w:r>
    </w:p>
    <w:bookmarkEnd w:id="141"/>
    <w:bookmarkStart w:id="144" w:name="Xe8c608abfce2ce8255d4645b53d4bb1067377a1"/>
    <w:p>
      <w:pPr>
        <w:pStyle w:val="Heading3"/>
      </w:pPr>
      <w:r>
        <w:t xml:space="preserve">The Placebo Effect and Why Control Groups Are Indispensable</w:t>
      </w:r>
    </w:p>
    <w:p>
      <w:pPr>
        <w:pStyle w:val="FirstParagraph"/>
      </w:pPr>
      <w:r>
        <w:t xml:space="preserve">People in studies often feel better even if they receive only a dummy preparation. This is due to expectations, to the extra attention, to lifestyle changes during a study, and to the fact that many complaints improve on their own anyway.</w:t>
      </w:r>
    </w:p>
    <w:p>
      <w:pPr>
        <w:pStyle w:val="BodyText"/>
      </w:pPr>
      <w:r>
        <w:t xml:space="preserve">The STEP 1 trial provides a vivid example: the placebo group also lost on average 2.4% of its body weight over 68 weeks, because all participants additionally received lifestyle counseling</w:t>
      </w:r>
      <w:r>
        <w:rPr>
          <w:rStyle w:val="FootnoteReference"/>
        </w:rPr>
        <w:footnoteReference w:id="142"/>
      </w:r>
      <w:r>
        <w:t xml:space="preserve">. The actual effect of the drug is the difference between the groups – in this case 12.4 percentage points, not 14.9%.</w:t>
      </w:r>
    </w:p>
    <w:p>
      <w:pPr>
        <w:pStyle w:val="BodyText"/>
      </w:pPr>
      <w:r>
        <w:t xml:space="preserve">A review of peptides in sports medicine explicitly points out that the placebo effect could explain part of the reported effects of unregulated peptides and that social media amplify this effect</w:t>
      </w:r>
      <w:r>
        <w:rPr>
          <w:rStyle w:val="FootnoteReference"/>
        </w:rPr>
        <w:footnoteReference w:id="143"/>
      </w:r>
      <w:r>
        <w:t xml:space="preserve">. Testimonials from forums are therefore no substitute for controlled studies.</w:t>
      </w:r>
    </w:p>
    <w:bookmarkEnd w:id="144"/>
    <w:bookmarkStart w:id="145" w:name="study-phases"/>
    <w:p>
      <w:pPr>
        <w:pStyle w:val="Heading3"/>
      </w:pPr>
      <w:r>
        <w:t xml:space="preserve">Study Phases</w:t>
      </w:r>
    </w:p>
    <w:p>
      <w:pPr>
        <w:pStyle w:val="FirstParagraph"/>
      </w:pPr>
      <w:r>
        <w:t xml:space="preserve">New medicines typically pass through four phases in humans: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Aim</w:t>
            </w:r>
          </w:p>
        </w:tc>
        <w:tc>
          <w:tcPr/>
          <w:p>
            <w:pPr>
              <w:pStyle w:val="Compact"/>
              <w:jc w:val="left"/>
            </w:pPr>
            <w:r>
              <w:t xml:space="preserve">Typical size</w:t>
            </w:r>
          </w:p>
        </w:tc>
      </w:tr>
      <w:tr>
        <w:tc>
          <w:tcPr/>
          <w:p>
            <w:pPr>
              <w:pStyle w:val="Compact"/>
              <w:jc w:val="left"/>
            </w:pPr>
            <w:r>
              <w:t xml:space="preserve">Phase 1</w:t>
            </w:r>
          </w:p>
        </w:tc>
        <w:tc>
          <w:tcPr/>
          <w:p>
            <w:pPr>
              <w:pStyle w:val="Compact"/>
              <w:jc w:val="left"/>
            </w:pPr>
            <w:r>
              <w:t xml:space="preserve">tolerability, behavior in the body</w:t>
            </w:r>
          </w:p>
        </w:tc>
        <w:tc>
          <w:tcPr/>
          <w:p>
            <w:pPr>
              <w:pStyle w:val="Compact"/>
              <w:jc w:val="left"/>
            </w:pPr>
            <w:r>
              <w:t xml:space="preserve">a few dozen healthy people</w:t>
            </w:r>
          </w:p>
        </w:tc>
      </w:tr>
      <w:tr>
        <w:tc>
          <w:tcPr/>
          <w:p>
            <w:pPr>
              <w:pStyle w:val="Compact"/>
              <w:jc w:val="left"/>
            </w:pPr>
            <w:r>
              <w:t xml:space="preserve">Phase 2</w:t>
            </w:r>
          </w:p>
        </w:tc>
        <w:tc>
          <w:tcPr/>
          <w:p>
            <w:pPr>
              <w:pStyle w:val="Compact"/>
              <w:jc w:val="left"/>
            </w:pPr>
            <w:r>
              <w:t xml:space="preserve">first efficacy, dose finding</w:t>
            </w:r>
          </w:p>
        </w:tc>
        <w:tc>
          <w:tcPr/>
          <w:p>
            <w:pPr>
              <w:pStyle w:val="Compact"/>
              <w:jc w:val="left"/>
            </w:pPr>
            <w:r>
              <w:t xml:space="preserve">about 100 to a few hundred</w:t>
            </w:r>
          </w:p>
        </w:tc>
      </w:tr>
      <w:tr>
        <w:tc>
          <w:tcPr/>
          <w:p>
            <w:pPr>
              <w:pStyle w:val="Compact"/>
              <w:jc w:val="left"/>
            </w:pPr>
            <w:r>
              <w:t xml:space="preserve">Phase 3</w:t>
            </w:r>
          </w:p>
        </w:tc>
        <w:tc>
          <w:tcPr/>
          <w:p>
            <w:pPr>
              <w:pStyle w:val="Compact"/>
              <w:jc w:val="left"/>
            </w:pPr>
            <w:r>
              <w:t xml:space="preserve">efficacy and safety in comparison</w:t>
            </w:r>
          </w:p>
        </w:tc>
        <w:tc>
          <w:tcPr/>
          <w:p>
            <w:pPr>
              <w:pStyle w:val="Compact"/>
              <w:jc w:val="left"/>
            </w:pPr>
            <w:r>
              <w:t xml:space="preserve">hundreds to thousands</w:t>
            </w:r>
          </w:p>
        </w:tc>
      </w:tr>
      <w:tr>
        <w:tc>
          <w:tcPr/>
          <w:p>
            <w:pPr>
              <w:pStyle w:val="Compact"/>
              <w:jc w:val="left"/>
            </w:pPr>
            <w:r>
              <w:t xml:space="preserve">Phase 4</w:t>
            </w:r>
          </w:p>
        </w:tc>
        <w:tc>
          <w:tcPr/>
          <w:p>
            <w:pPr>
              <w:pStyle w:val="Compact"/>
              <w:jc w:val="left"/>
            </w:pPr>
            <w:r>
              <w:t xml:space="preserve">monitoring after approval</w:t>
            </w:r>
          </w:p>
        </w:tc>
        <w:tc>
          <w:tcPr/>
          <w:p>
            <w:pPr>
              <w:pStyle w:val="Compact"/>
              <w:jc w:val="left"/>
            </w:pPr>
            <w:r>
              <w:t xml:space="preserve">often very large</w:t>
            </w:r>
          </w:p>
        </w:tc>
      </w:tr>
    </w:tbl>
    <w:p>
      <w:pPr>
        <w:pStyle w:val="BodyText"/>
      </w:pPr>
      <w:r>
        <w:t xml:space="preserve">Many drugs fail between phase 2 and phase 3. A promising phase 2 result is therefore no guarantee of later approval.</w:t>
      </w:r>
    </w:p>
    <w:bookmarkEnd w:id="145"/>
    <w:bookmarkStart w:id="147" w:name="Xc03c37e238031373feb9bdd6602494f49a9b01c"/>
    <w:p>
      <w:pPr>
        <w:pStyle w:val="Heading3"/>
      </w:pPr>
      <w:r>
        <w:t xml:space="preserve">Endpoints: What Is Actually Being Measured?</w:t>
      </w:r>
    </w:p>
    <w:p>
      <w:pPr>
        <w:pStyle w:val="FirstParagraph"/>
      </w:pPr>
      <w:r>
        <w:t xml:space="preserve">Every study defines a</w:t>
      </w:r>
      <w:r>
        <w:t xml:space="preserve"> </w:t>
      </w:r>
      <w:r>
        <w:rPr>
          <w:bCs/>
          <w:b/>
        </w:rPr>
        <w:t xml:space="preserve">primary endpoint</w:t>
      </w:r>
      <w:r>
        <w:t xml:space="preserve"> </w:t>
      </w:r>
      <w:r>
        <w:t xml:space="preserve">in advance – the main goal by which success is measured. In addition, there are secondary endpoints. If a result is highlighted as important only after the fact, caution is warranted: anyone who measures many endpoints will almost always find a</w:t>
      </w:r>
      <w:r>
        <w:t xml:space="preserve"> </w:t>
      </w:r>
      <w:r>
        <w:t xml:space="preserve">“</w:t>
      </w:r>
      <w:r>
        <w:t xml:space="preserve">significant</w:t>
      </w:r>
      <w:r>
        <w:t xml:space="preserve">”</w:t>
      </w:r>
      <w:r>
        <w:t xml:space="preserve"> </w:t>
      </w:r>
      <w:r>
        <w:t xml:space="preserve">difference somewhere.</w:t>
      </w:r>
    </w:p>
    <w:p>
      <w:pPr>
        <w:pStyle w:val="BodyText"/>
      </w:pPr>
      <w:r>
        <w:t xml:space="preserve">The distinction between</w:t>
      </w:r>
      <w:r>
        <w:t xml:space="preserve"> </w:t>
      </w:r>
      <w:r>
        <w:rPr>
          <w:bCs/>
          <w:b/>
        </w:rPr>
        <w:t xml:space="preserve">hard endpoints</w:t>
      </w:r>
      <w:r>
        <w:t xml:space="preserve"> </w:t>
      </w:r>
      <w:r>
        <w:t xml:space="preserve">and</w:t>
      </w:r>
      <w:r>
        <w:t xml:space="preserve"> </w:t>
      </w:r>
      <w:r>
        <w:rPr>
          <w:bCs/>
          <w:b/>
        </w:rPr>
        <w:t xml:space="preserve">surrogate endpoints</w:t>
      </w:r>
      <w:r>
        <w:t xml:space="preserve"> </w:t>
      </w:r>
      <w:r>
        <w:t xml:space="preserve">is particularly important:</w:t>
      </w:r>
    </w:p>
    <w:p>
      <w:pPr>
        <w:numPr>
          <w:ilvl w:val="0"/>
          <w:numId w:val="1017"/>
        </w:numPr>
        <w:pStyle w:val="Compact"/>
      </w:pPr>
      <w:r>
        <w:rPr>
          <w:bCs/>
          <w:b/>
        </w:rPr>
        <w:t xml:space="preserve">Hard endpoints</w:t>
      </w:r>
      <w:r>
        <w:t xml:space="preserve"> </w:t>
      </w:r>
      <w:r>
        <w:t xml:space="preserve">are events that matter directly to patients: death, heart attack, stroke, bone fracture, blindness, quality of life.</w:t>
      </w:r>
    </w:p>
    <w:p>
      <w:pPr>
        <w:numPr>
          <w:ilvl w:val="0"/>
          <w:numId w:val="1017"/>
        </w:numPr>
        <w:pStyle w:val="Compact"/>
      </w:pPr>
      <w:r>
        <w:rPr>
          <w:bCs/>
          <w:b/>
        </w:rPr>
        <w:t xml:space="preserve">Surrogate endpoints</w:t>
      </w:r>
      <w:r>
        <w:t xml:space="preserve"> </w:t>
      </w:r>
      <w:r>
        <w:t xml:space="preserve">(substitute endpoints) are measurements that are assumed to be related to hard endpoints: blood sugar, HbA1c, cholesterol, blood pressure, bone density, body weight, or laboratory values such as IGF-1.</w:t>
      </w:r>
    </w:p>
    <w:p>
      <w:pPr>
        <w:pStyle w:val="FirstParagraph"/>
      </w:pPr>
      <w:r>
        <w:t xml:space="preserve">Surrogate endpoints are practical because they can be measured more quickly and with fewer participants. But they can be misleading. The best-known example is the Cardiac Arrhythmia Suppression Trial (CAST) from the late 1980s. It was assumed that medications that suppress certain cardiac arrhythmias after a heart attack would also prevent deaths. The medications did indeed suppress the arrhythmias – the surrogate endpoint was achieved. But in the randomized study, more people died on two of these medications than on placebo: 43 participants on the drug died of arrhythmias, compared with 16 on placebo</w:t>
      </w:r>
      <w:r>
        <w:rPr>
          <w:rStyle w:val="FootnoteReference"/>
        </w:rPr>
        <w:footnoteReference w:id="146"/>
      </w:r>
      <w:r>
        <w:t xml:space="preserve">.</w:t>
      </w:r>
    </w:p>
    <w:p>
      <w:pPr>
        <w:pStyle w:val="BodyText"/>
      </w:pPr>
      <w:r>
        <w:t xml:space="preserve">With peptides, you will encounter surrogate endpoints constantly. For growth hormone secretagogues, often only whether the level of growth hormone or IGF-1 rises is measured – not whether people become healthier, stronger, or live longer as a result. For the GLP-1 medications, by contrast, there are now large studies with hard endpoints such as heart attack and stroke. This is one of the reasons why they receive the highest evidence level in this book.</w:t>
      </w:r>
    </w:p>
    <w:bookmarkEnd w:id="147"/>
    <w:bookmarkStart w:id="150" w:name="relative-and-absolute-risks"/>
    <w:p>
      <w:pPr>
        <w:pStyle w:val="Heading3"/>
      </w:pPr>
      <w:r>
        <w:t xml:space="preserve">Relative and Absolute Risks</w:t>
      </w:r>
    </w:p>
    <w:p>
      <w:pPr>
        <w:pStyle w:val="FirstParagraph"/>
      </w:pPr>
      <w:r>
        <w:t xml:space="preserve">Hardly any statistical detail is misunderstood as often as this one. Take the SELECT trial: over a mean of 39.8 months, the composite cardiovascular event occurred in 6.5% of participants on semaglutide and in 8.0% on placebo. The hazard ratio – a measure of relative risk over time – was 0.80</w:t>
      </w:r>
      <w:r>
        <w:rPr>
          <w:rStyle w:val="FootnoteReference"/>
        </w:rPr>
        <w:footnoteReference w:id="148"/>
      </w:r>
      <w:r>
        <w:t xml:space="preserve">.</w:t>
      </w:r>
    </w:p>
    <w:p>
      <w:pPr>
        <w:pStyle w:val="BodyText"/>
      </w:pPr>
      <w:r>
        <w:t xml:space="preserve">Two statements can be derived from this, both of which are correct:</w:t>
      </w:r>
    </w:p>
    <w:p>
      <w:pPr>
        <w:numPr>
          <w:ilvl w:val="0"/>
          <w:numId w:val="1018"/>
        </w:numPr>
        <w:pStyle w:val="Compact"/>
      </w:pPr>
      <w:r>
        <w:rPr>
          <w:bCs/>
          <w:b/>
        </w:rPr>
        <w:t xml:space="preserve">Relative:</w:t>
      </w:r>
      <w:r>
        <w:t xml:space="preserve"> </w:t>
      </w:r>
      <w:r>
        <w:t xml:space="preserve">The risk was about 20% lower.</w:t>
      </w:r>
    </w:p>
    <w:p>
      <w:pPr>
        <w:numPr>
          <w:ilvl w:val="0"/>
          <w:numId w:val="1018"/>
        </w:numPr>
        <w:pStyle w:val="Compact"/>
      </w:pPr>
      <w:r>
        <w:rPr>
          <w:bCs/>
          <w:b/>
        </w:rPr>
        <w:t xml:space="preserve">Absolute:</w:t>
      </w:r>
      <w:r>
        <w:t xml:space="preserve"> </w:t>
      </w:r>
      <w:r>
        <w:t xml:space="preserve">The proportion of those affected fell by 1.5 percentage points – from 8.0 to 6.5 out of 100 people.</w:t>
      </w:r>
    </w:p>
    <w:p>
      <w:pPr>
        <w:pStyle w:val="FirstParagraph"/>
      </w:pPr>
      <w:r>
        <w:t xml:space="preserve">From the absolute difference, the</w:t>
      </w:r>
      <w:r>
        <w:t xml:space="preserve"> </w:t>
      </w:r>
      <w:r>
        <w:rPr>
          <w:bCs/>
          <w:b/>
        </w:rPr>
        <w:t xml:space="preserve">number needed to treat (NNT)</w:t>
      </w:r>
      <w:r>
        <w:t xml:space="preserve"> </w:t>
      </w:r>
      <w:r>
        <w:t xml:space="preserve">can be calculated: how many people must be treated for one of them to avoid an event. Here, arithmetically, that is about 67 people over a good three years. This does not mean that the treatment is unimportant – with millions of people affected, the effect is significant. But it shows that most of those treated would not have had an event even without the medication, and that some have one despite the medication.</w:t>
      </w:r>
    </w:p>
    <w:p>
      <w:pPr>
        <w:pStyle w:val="BodyText"/>
      </w:pPr>
      <w:r>
        <w:t xml:space="preserve">Advertising and headlines prefer relative figures because they sound bigger. Good study reports state both. So always pay attention to the baseline frequency: a</w:t>
      </w:r>
      <w:r>
        <w:t xml:space="preserve"> </w:t>
      </w:r>
      <w:r>
        <w:t xml:space="preserve">“</w:t>
      </w:r>
      <w:r>
        <w:t xml:space="preserve">halving</w:t>
      </w:r>
      <w:r>
        <w:t xml:space="preserve">”</w:t>
      </w:r>
      <w:r>
        <w:t xml:space="preserve"> </w:t>
      </w:r>
      <w:r>
        <w:t xml:space="preserve">of the risk from 2 to 1 in 10,000 is something completely different from 20 to 10 in 100.</w:t>
      </w:r>
    </w:p>
    <w:p>
      <w:pPr>
        <w:pStyle w:val="BodyText"/>
      </w:pPr>
      <w:r>
        <w:t xml:space="preserve">The same applies to side effects. In SELECT, 16.6% of participants on semaglutide discontinued treatment because of adverse events, compared with 8.2% on placebo</w:t>
      </w:r>
      <w:r>
        <w:rPr>
          <w:rStyle w:val="FootnoteReference"/>
        </w:rPr>
        <w:footnoteReference w:id="149"/>
      </w:r>
      <w:r>
        <w:t xml:space="preserve">. In relative terms, that is a doubling; in absolute terms, a difference of 8.4 percentage points.</w:t>
      </w:r>
    </w:p>
    <w:bookmarkEnd w:id="150"/>
    <w:bookmarkStart w:id="152" w:name="X195da9b5887fc6b28745e9054e35c369a033cac"/>
    <w:p>
      <w:pPr>
        <w:pStyle w:val="Heading3"/>
      </w:pPr>
      <w:r>
        <w:t xml:space="preserve">Statistical Significance and Confidence Intervals</w:t>
      </w:r>
    </w:p>
    <w:p>
      <w:pPr>
        <w:pStyle w:val="FirstParagraph"/>
      </w:pPr>
      <w:r>
        <w:t xml:space="preserve">A</w:t>
      </w:r>
      <w:r>
        <w:t xml:space="preserve"> </w:t>
      </w:r>
      <w:r>
        <w:rPr>
          <w:bCs/>
          <w:b/>
        </w:rPr>
        <w:t xml:space="preserve">p-value</w:t>
      </w:r>
      <w:r>
        <w:t xml:space="preserve"> </w:t>
      </w:r>
      <w:r>
        <w:t xml:space="preserve">indicates how likely a difference at least as large would be if in reality there were no effect. If it is less than 0.05, a result is usually considered</w:t>
      </w:r>
      <w:r>
        <w:t xml:space="preserve"> </w:t>
      </w:r>
      <w:r>
        <w:t xml:space="preserve">“</w:t>
      </w:r>
      <w:r>
        <w:t xml:space="preserve">statistically significant.</w:t>
      </w:r>
      <w:r>
        <w:t xml:space="preserve">”</w:t>
      </w:r>
      <w:r>
        <w:t xml:space="preserve"> </w:t>
      </w:r>
      <w:r>
        <w:t xml:space="preserve">This does not mean that the effect is large or meaningful – in very large studies, even tiny differences become significant.</w:t>
      </w:r>
    </w:p>
    <w:p>
      <w:pPr>
        <w:pStyle w:val="BodyText"/>
      </w:pPr>
      <w:r>
        <w:t xml:space="preserve">The</w:t>
      </w:r>
      <w:r>
        <w:t xml:space="preserve"> </w:t>
      </w:r>
      <w:r>
        <w:rPr>
          <w:bCs/>
          <w:b/>
        </w:rPr>
        <w:t xml:space="preserve">95% confidence interval</w:t>
      </w:r>
      <w:r>
        <w:t xml:space="preserve"> </w:t>
      </w:r>
      <w:r>
        <w:t xml:space="preserve">is often more informative. It gives a range within which the true effect lies with high probability. In STEP 1, the difference in body weight between semaglutide and placebo was 12.4 percentage points, with a confidence interval of 11.5 to 13.4</w:t>
      </w:r>
      <w:r>
        <w:rPr>
          <w:rStyle w:val="FootnoteReference"/>
        </w:rPr>
        <w:footnoteReference w:id="151"/>
      </w:r>
      <w:r>
        <w:t xml:space="preserve">. Such a narrow interval indicates a precise estimate. In small studies, the intervals are often very wide – a sign that the true effect could be large, small, or even zero.</w:t>
      </w:r>
    </w:p>
    <w:bookmarkEnd w:id="152"/>
    <w:bookmarkStart w:id="154" w:name="X5650512562fc64533bce982af2043a085587ac1"/>
    <w:p>
      <w:pPr>
        <w:pStyle w:val="Heading3"/>
      </w:pPr>
      <w:r>
        <w:t xml:space="preserve">How to Count: The Question of the Estimand</w:t>
      </w:r>
    </w:p>
    <w:p>
      <w:pPr>
        <w:pStyle w:val="FirstParagraph"/>
      </w:pPr>
      <w:r>
        <w:t xml:space="preserve">A detail that has become important in more recent studies: how are people counted who discontinue treatment or take additional medications? In the PIONEER 1 trial, two analyses were reported. If all participants are analyzed, regardless of whether they continued taking the tablets, HbA1c fell at the highest dose by 1.1 percentage points more than on placebo. If only the time during which the tablets were actually taken is considered, the figure was 1.4 percentage points</w:t>
      </w:r>
      <w:r>
        <w:rPr>
          <w:rStyle w:val="FootnoteReference"/>
        </w:rPr>
        <w:footnoteReference w:id="153"/>
      </w:r>
      <w:r>
        <w:t xml:space="preserve">. Both figures are correct but answer different questions. The first is usually more realistic for everyday life.</w:t>
      </w:r>
    </w:p>
    <w:bookmarkEnd w:id="154"/>
    <w:bookmarkStart w:id="156" w:name="duration-and-size"/>
    <w:p>
      <w:pPr>
        <w:pStyle w:val="Heading3"/>
      </w:pPr>
      <w:r>
        <w:t xml:space="preserve">Duration and Size</w:t>
      </w:r>
    </w:p>
    <w:p>
      <w:pPr>
        <w:pStyle w:val="FirstParagraph"/>
      </w:pPr>
      <w:r>
        <w:t xml:space="preserve">Many peptide studies are short. A change in laboratory values after two weeks says little about what happens after two years – neither about the benefit nor about risks such as cancer, which often appear only after years. Size is just as important: rare side effects that affect one in a thousand people inevitably remain undetected in a study with 40 participants. The absence of side effects in a small study is not proof of safety.</w:t>
      </w:r>
    </w:p>
    <w:p>
      <w:pPr>
        <w:pStyle w:val="BodyText"/>
      </w:pPr>
      <w:r>
        <w:t xml:space="preserve">From theoretical considerations and simulations, the epidemiologist John Ioannidis concluded that research findings are less reliable the smaller the studies and the effects, the more questions are tested without preselection, the more flexible the design and analysis, and the greater the financial interests and prejudices in a field</w:t>
      </w:r>
      <w:r>
        <w:rPr>
          <w:rStyle w:val="FootnoteReference"/>
        </w:rPr>
        <w:footnoteReference w:id="155"/>
      </w:r>
      <w:r>
        <w:t xml:space="preserve">. Many of these characteristics apply to research on poorly studied peptides.</w:t>
      </w:r>
    </w:p>
    <w:bookmarkEnd w:id="156"/>
    <w:bookmarkStart w:id="158" w:name="conflicts-of-interest"/>
    <w:p>
      <w:pPr>
        <w:pStyle w:val="Heading3"/>
      </w:pPr>
      <w:r>
        <w:t xml:space="preserve">Conflicts of Interest</w:t>
      </w:r>
    </w:p>
    <w:p>
      <w:pPr>
        <w:pStyle w:val="FirstParagraph"/>
      </w:pPr>
      <w:r>
        <w:t xml:space="preserve">The large pivotal trials are almost always funded by the manufacturers. This is provided for by law and is not automatically a flaw – these studies are subject to strict rules, are registered in advance, and are reviewed by the authorities. Nevertheless, it is worth looking at the funding. A Cochrane review concluded that industry-sponsored studies more often reported favorable efficacy results (relative risk 1.27) and more often favorable conclusions (relative risk 1.34) than studies with other funding</w:t>
      </w:r>
      <w:r>
        <w:rPr>
          <w:rStyle w:val="FootnoteReference"/>
        </w:rPr>
        <w:footnoteReference w:id="157"/>
      </w:r>
      <w:r>
        <w:t xml:space="preserve">.</w:t>
      </w:r>
    </w:p>
    <w:p>
      <w:pPr>
        <w:pStyle w:val="BodyText"/>
      </w:pPr>
      <w:r>
        <w:t xml:space="preserve">Conflicts of interest do not exist only at pharmaceutical companies. Researchers who discovered a substance and hold patents, clinics that sell peptide therapies, or influencers with discount codes also have an interest in positive results. It is a warning sign when almost all studies on a substance come from a single research group and have not been confirmed by independent teams.</w:t>
      </w:r>
    </w:p>
    <w:bookmarkEnd w:id="158"/>
    <w:bookmarkStart w:id="160" w:name="the-problem-of-vanishing-studies"/>
    <w:p>
      <w:pPr>
        <w:pStyle w:val="Heading3"/>
      </w:pPr>
      <w:r>
        <w:t xml:space="preserve">The Problem of Vanishing Studies</w:t>
      </w:r>
    </w:p>
    <w:p>
      <w:pPr>
        <w:pStyle w:val="FirstParagraph"/>
      </w:pPr>
      <w:r>
        <w:t xml:space="preserve">Not every study is published – and it is mainly the disappointing ones that disappear. How strongly this can distort the picture was shown by an investigation of antidepressants. Of 74 studies registered with the US Food and Drug Administration (FDA), 31% were not published. According to the published literature, 94% of the studies were positive; according to the FDA’s analysis, only 51%</w:t>
      </w:r>
      <w:r>
        <w:rPr>
          <w:rStyle w:val="FootnoteReference"/>
        </w:rPr>
        <w:footnoteReference w:id="159"/>
      </w:r>
      <w:r>
        <w:t xml:space="preserve">. Anyone who reads only the journals gets an overly rosy picture.</w:t>
      </w:r>
    </w:p>
    <w:bookmarkEnd w:id="160"/>
    <w:bookmarkStart w:id="162" w:name="study-registries"/>
    <w:p>
      <w:pPr>
        <w:pStyle w:val="Heading3"/>
      </w:pPr>
      <w:r>
        <w:t xml:space="preserve">Study Registries</w:t>
      </w:r>
    </w:p>
    <w:p>
      <w:pPr>
        <w:pStyle w:val="FirstParagraph"/>
      </w:pPr>
      <w:r>
        <w:t xml:space="preserve">In response to such findings, the International Committee of Medical Journal Editors declared in 2004 that clinical trials must be entered in a public registry before they begin in order to be published later</w:t>
      </w:r>
      <w:r>
        <w:rPr>
          <w:rStyle w:val="FootnoteReference"/>
        </w:rPr>
        <w:footnoteReference w:id="161"/>
      </w:r>
      <w:r>
        <w:t xml:space="preserve">. Today, registries are a central tool:</w:t>
      </w:r>
    </w:p>
    <w:p>
      <w:pPr>
        <w:numPr>
          <w:ilvl w:val="0"/>
          <w:numId w:val="1019"/>
        </w:numPr>
        <w:pStyle w:val="Compact"/>
      </w:pPr>
      <w:r>
        <w:rPr>
          <w:bCs/>
          <w:b/>
        </w:rPr>
        <w:t xml:space="preserve">ClinicalTrials.gov</w:t>
      </w:r>
      <w:r>
        <w:t xml:space="preserve"> </w:t>
      </w:r>
      <w:r>
        <w:t xml:space="preserve">(USA) is the largest registry. Each study receives a number in the format</w:t>
      </w:r>
      <w:r>
        <w:t xml:space="preserve"> </w:t>
      </w:r>
      <w:r>
        <w:t xml:space="preserve">“</w:t>
      </w:r>
      <w:r>
        <w:t xml:space="preserve">NCT</w:t>
      </w:r>
      <w:r>
        <w:t xml:space="preserve">”</w:t>
      </w:r>
      <w:r>
        <w:t xml:space="preserve"> </w:t>
      </w:r>
      <w:r>
        <w:t xml:space="preserve">plus eight digits. The SELECT trial, for example, has the number NCT03574597.</w:t>
      </w:r>
    </w:p>
    <w:p>
      <w:pPr>
        <w:numPr>
          <w:ilvl w:val="0"/>
          <w:numId w:val="1019"/>
        </w:numPr>
        <w:pStyle w:val="Compact"/>
      </w:pPr>
      <w:r>
        <w:t xml:space="preserve">In the</w:t>
      </w:r>
      <w:r>
        <w:t xml:space="preserve"> </w:t>
      </w:r>
      <w:r>
        <w:rPr>
          <w:bCs/>
          <w:b/>
        </w:rPr>
        <w:t xml:space="preserve">EU</w:t>
      </w:r>
      <w:r>
        <w:t xml:space="preserve">, clinical trials are recorded in the Clinical Trials Information System (CTIS) of the European Medicines Agency; older studies can be found in the EU Clinical Trials Register.</w:t>
      </w:r>
    </w:p>
    <w:p>
      <w:pPr>
        <w:numPr>
          <w:ilvl w:val="0"/>
          <w:numId w:val="1019"/>
        </w:numPr>
        <w:pStyle w:val="Compact"/>
      </w:pPr>
      <w:r>
        <w:t xml:space="preserve">The</w:t>
      </w:r>
      <w:r>
        <w:t xml:space="preserve"> </w:t>
      </w:r>
      <w:r>
        <w:rPr>
          <w:bCs/>
          <w:b/>
        </w:rPr>
        <w:t xml:space="preserve">World Health Organization</w:t>
      </w:r>
      <w:r>
        <w:t xml:space="preserve"> </w:t>
      </w:r>
      <w:r>
        <w:t xml:space="preserve">brings together many national registries in a search portal (ICTRP).</w:t>
      </w:r>
    </w:p>
    <w:p>
      <w:pPr>
        <w:pStyle w:val="FirstParagraph"/>
      </w:pPr>
      <w:r>
        <w:t xml:space="preserve">Among other things, the registry lists the planned study design, the number of participants, the primary endpoint, and the status. This makes it possible to check whether a published study reports its originally planned endpoints – and whether studies on a substance were started but never published. For this book, registries were used primarily to find ongoing studies. Important: a registry entry is not a result. The fact that a study is registered says nothing about whether the substance works.</w:t>
      </w:r>
    </w:p>
    <w:bookmarkEnd w:id="162"/>
    <w:bookmarkStart w:id="163" w:name="other-warning-signs"/>
    <w:p>
      <w:pPr>
        <w:pStyle w:val="Heading3"/>
      </w:pPr>
      <w:r>
        <w:t xml:space="preserve">Other Warning Signs</w:t>
      </w:r>
    </w:p>
    <w:p>
      <w:pPr>
        <w:numPr>
          <w:ilvl w:val="0"/>
          <w:numId w:val="1020"/>
        </w:numPr>
        <w:pStyle w:val="Compact"/>
      </w:pPr>
      <w:r>
        <w:rPr>
          <w:bCs/>
          <w:b/>
        </w:rPr>
        <w:t xml:space="preserve">Only a conference abstract or a preprint.</w:t>
      </w:r>
      <w:r>
        <w:t xml:space="preserve"> </w:t>
      </w:r>
      <w:r>
        <w:t xml:space="preserve">Advance publications (for example on medRxiv) and conference contributions have not yet been fully peer-reviewed.</w:t>
      </w:r>
    </w:p>
    <w:p>
      <w:pPr>
        <w:numPr>
          <w:ilvl w:val="0"/>
          <w:numId w:val="1020"/>
        </w:numPr>
        <w:pStyle w:val="Compact"/>
      </w:pPr>
      <w:r>
        <w:rPr>
          <w:bCs/>
          <w:b/>
        </w:rPr>
        <w:t xml:space="preserve">Journals with questionable standards.</w:t>
      </w:r>
      <w:r>
        <w:t xml:space="preserve"> </w:t>
      </w:r>
      <w:r>
        <w:t xml:space="preserve">Some journals publish almost anything for a fee.</w:t>
      </w:r>
    </w:p>
    <w:p>
      <w:pPr>
        <w:numPr>
          <w:ilvl w:val="0"/>
          <w:numId w:val="1020"/>
        </w:numPr>
        <w:pStyle w:val="Compact"/>
      </w:pPr>
      <w:r>
        <w:rPr>
          <w:bCs/>
          <w:b/>
        </w:rPr>
        <w:t xml:space="preserve">Studies that cannot be found.</w:t>
      </w:r>
      <w:r>
        <w:t xml:space="preserve"> </w:t>
      </w:r>
      <w:r>
        <w:t xml:space="preserve">If a cited study cannot be found in PubMed or a registry, caution is warranted.</w:t>
      </w:r>
    </w:p>
    <w:p>
      <w:pPr>
        <w:numPr>
          <w:ilvl w:val="0"/>
          <w:numId w:val="1020"/>
        </w:numPr>
        <w:pStyle w:val="Compact"/>
      </w:pPr>
      <w:r>
        <w:rPr>
          <w:bCs/>
          <w:b/>
        </w:rPr>
        <w:t xml:space="preserve">Transfer from sick people to healthy people.</w:t>
      </w:r>
      <w:r>
        <w:t xml:space="preserve"> </w:t>
      </w:r>
      <w:r>
        <w:t xml:space="preserve">A substance that helps with a particular disease need not have any benefit in healthy people – the risk-benefit ratio there is completely different.</w:t>
      </w:r>
    </w:p>
    <w:p>
      <w:pPr>
        <w:numPr>
          <w:ilvl w:val="0"/>
          <w:numId w:val="1020"/>
        </w:numPr>
        <w:pStyle w:val="Compact"/>
      </w:pPr>
      <w:r>
        <w:rPr>
          <w:bCs/>
          <w:b/>
        </w:rPr>
        <w:t xml:space="preserve">Transfer from one substance to another.</w:t>
      </w:r>
      <w:r>
        <w:t xml:space="preserve"> </w:t>
      </w:r>
      <w:r>
        <w:t xml:space="preserve">Results on semaglutide do not automatically apply to a gray-market product labeled</w:t>
      </w:r>
      <w:r>
        <w:t xml:space="preserve"> </w:t>
      </w:r>
      <w:r>
        <w:t xml:space="preserve">“</w:t>
      </w:r>
      <w:r>
        <w:t xml:space="preserve">semaglutide</w:t>
      </w:r>
      <w:r>
        <w:t xml:space="preserve">”</w:t>
      </w:r>
      <w:r>
        <w:t xml:space="preserve"> </w:t>
      </w:r>
      <w:r>
        <w:t xml:space="preserve">– and studies on thymosin beta-4 do not automatically apply to the fragment</w:t>
      </w:r>
      <w:r>
        <w:t xml:space="preserve"> </w:t>
      </w:r>
      <w:r>
        <w:t xml:space="preserve">“</w:t>
      </w:r>
      <w:r>
        <w:t xml:space="preserve">TB-500.</w:t>
      </w:r>
      <w:r>
        <w:t xml:space="preserve">”</w:t>
      </w:r>
    </w:p>
    <w:bookmarkEnd w:id="163"/>
    <w:bookmarkStart w:id="164" w:name="ten-questions-to-ask-of-any-study"/>
    <w:p>
      <w:pPr>
        <w:pStyle w:val="Heading3"/>
      </w:pPr>
      <w:r>
        <w:t xml:space="preserve">Ten Questions to Ask of Any Study</w:t>
      </w:r>
    </w:p>
    <w:p>
      <w:pPr>
        <w:numPr>
          <w:ilvl w:val="0"/>
          <w:numId w:val="1021"/>
        </w:numPr>
        <w:pStyle w:val="Compact"/>
      </w:pPr>
      <w:r>
        <w:t xml:space="preserve">Were humans studied – or animals or cells?</w:t>
      </w:r>
    </w:p>
    <w:p>
      <w:pPr>
        <w:numPr>
          <w:ilvl w:val="0"/>
          <w:numId w:val="1021"/>
        </w:numPr>
        <w:pStyle w:val="Compact"/>
      </w:pPr>
      <w:r>
        <w:t xml:space="preserve">Was there a control group, and was allocation random?</w:t>
      </w:r>
    </w:p>
    <w:p>
      <w:pPr>
        <w:numPr>
          <w:ilvl w:val="0"/>
          <w:numId w:val="1021"/>
        </w:numPr>
        <w:pStyle w:val="Compact"/>
      </w:pPr>
      <w:r>
        <w:t xml:space="preserve">Was the study blinded?</w:t>
      </w:r>
    </w:p>
    <w:p>
      <w:pPr>
        <w:numPr>
          <w:ilvl w:val="0"/>
          <w:numId w:val="1021"/>
        </w:numPr>
        <w:pStyle w:val="Compact"/>
      </w:pPr>
      <w:r>
        <w:t xml:space="preserve">How many participants were there, and how long were they followed?</w:t>
      </w:r>
    </w:p>
    <w:p>
      <w:pPr>
        <w:numPr>
          <w:ilvl w:val="0"/>
          <w:numId w:val="1021"/>
        </w:numPr>
        <w:pStyle w:val="Compact"/>
      </w:pPr>
      <w:r>
        <w:t xml:space="preserve">Who was studied – sick or healthy people, young or old?</w:t>
      </w:r>
    </w:p>
    <w:p>
      <w:pPr>
        <w:numPr>
          <w:ilvl w:val="0"/>
          <w:numId w:val="1021"/>
        </w:numPr>
        <w:pStyle w:val="Compact"/>
      </w:pPr>
      <w:r>
        <w:t xml:space="preserve">What was the primary endpoint: a hard endpoint or a surrogate?</w:t>
      </w:r>
    </w:p>
    <w:p>
      <w:pPr>
        <w:numPr>
          <w:ilvl w:val="0"/>
          <w:numId w:val="1021"/>
        </w:numPr>
        <w:pStyle w:val="Compact"/>
      </w:pPr>
      <w:r>
        <w:t xml:space="preserve">How large was the difference in absolute terms, not just relative terms?</w:t>
      </w:r>
    </w:p>
    <w:p>
      <w:pPr>
        <w:numPr>
          <w:ilvl w:val="0"/>
          <w:numId w:val="1021"/>
        </w:numPr>
        <w:pStyle w:val="Compact"/>
      </w:pPr>
      <w:r>
        <w:t xml:space="preserve">How many dropped out, and which side effects occurred?</w:t>
      </w:r>
    </w:p>
    <w:p>
      <w:pPr>
        <w:numPr>
          <w:ilvl w:val="0"/>
          <w:numId w:val="1021"/>
        </w:numPr>
        <w:pStyle w:val="Compact"/>
      </w:pPr>
      <w:r>
        <w:t xml:space="preserve">Who paid for the study, and were the results confirmed independently?</w:t>
      </w:r>
    </w:p>
    <w:p>
      <w:pPr>
        <w:numPr>
          <w:ilvl w:val="0"/>
          <w:numId w:val="1021"/>
        </w:numPr>
        <w:pStyle w:val="Compact"/>
      </w:pPr>
      <w:r>
        <w:t xml:space="preserve">Was the study registered in advance, and do the reported endpoints match the registry?</w:t>
      </w:r>
    </w:p>
    <w:bookmarkEnd w:id="164"/>
    <w:bookmarkStart w:id="165" w:name="how-this-book-grades-the-evidence"/>
    <w:p>
      <w:pPr>
        <w:pStyle w:val="Heading3"/>
      </w:pPr>
      <w:r>
        <w:t xml:space="preserve">How This Book Grades the Evidence</w:t>
      </w:r>
    </w:p>
    <w:p>
      <w:pPr>
        <w:pStyle w:val="FirstParagraph"/>
      </w:pPr>
      <w:r>
        <w:t xml:space="preserve">Each peptide in Part II receives an evidence level:</w:t>
      </w:r>
    </w:p>
    <w:p>
      <w:pPr>
        <w:numPr>
          <w:ilvl w:val="0"/>
          <w:numId w:val="1022"/>
        </w:numPr>
        <w:pStyle w:val="Compact"/>
      </w:pPr>
      <w:r>
        <w:rPr>
          <w:bCs/>
          <w:b/>
        </w:rPr>
        <w:t xml:space="preserve">A</w:t>
      </w:r>
      <w:r>
        <w:t xml:space="preserve">: several large randomized studies in humans, approval as a medicine.</w:t>
      </w:r>
    </w:p>
    <w:p>
      <w:pPr>
        <w:numPr>
          <w:ilvl w:val="0"/>
          <w:numId w:val="1022"/>
        </w:numPr>
        <w:pStyle w:val="Compact"/>
      </w:pPr>
      <w:r>
        <w:rPr>
          <w:bCs/>
          <w:b/>
        </w:rPr>
        <w:t xml:space="preserve">B</w:t>
      </w:r>
      <w:r>
        <w:t xml:space="preserve">: individual randomized studies in humans.</w:t>
      </w:r>
    </w:p>
    <w:p>
      <w:pPr>
        <w:numPr>
          <w:ilvl w:val="0"/>
          <w:numId w:val="1022"/>
        </w:numPr>
        <w:pStyle w:val="Compact"/>
      </w:pPr>
      <w:r>
        <w:rPr>
          <w:bCs/>
          <w:b/>
        </w:rPr>
        <w:t xml:space="preserve">C</w:t>
      </w:r>
      <w:r>
        <w:t xml:space="preserve">: only small or uncontrolled human studies.</w:t>
      </w:r>
    </w:p>
    <w:p>
      <w:pPr>
        <w:numPr>
          <w:ilvl w:val="0"/>
          <w:numId w:val="1022"/>
        </w:numPr>
        <w:pStyle w:val="Compact"/>
      </w:pPr>
      <w:r>
        <w:rPr>
          <w:bCs/>
          <w:b/>
        </w:rPr>
        <w:t xml:space="preserve">D</w:t>
      </w:r>
      <w:r>
        <w:t xml:space="preserve">: only animal and laboratory studies.</w:t>
      </w:r>
    </w:p>
    <w:p>
      <w:pPr>
        <w:pStyle w:val="FirstParagraph"/>
      </w:pPr>
      <w:r>
        <w:t xml:space="preserve">The level assesses the</w:t>
      </w:r>
      <w:r>
        <w:t xml:space="preserve"> </w:t>
      </w:r>
      <w:r>
        <w:rPr>
          <w:bCs/>
          <w:b/>
        </w:rPr>
        <w:t xml:space="preserve">quantity and quality of data in humans</w:t>
      </w:r>
      <w:r>
        <w:t xml:space="preserve">, not whether a substance is</w:t>
      </w:r>
      <w:r>
        <w:t xml:space="preserve"> </w:t>
      </w:r>
      <w:r>
        <w:t xml:space="preserve">“</w:t>
      </w:r>
      <w:r>
        <w:t xml:space="preserve">good</w:t>
      </w:r>
      <w:r>
        <w:t xml:space="preserve">”</w:t>
      </w:r>
      <w:r>
        <w:t xml:space="preserve"> </w:t>
      </w:r>
      <w:r>
        <w:t xml:space="preserve">or</w:t>
      </w:r>
      <w:r>
        <w:t xml:space="preserve"> </w:t>
      </w:r>
      <w:r>
        <w:t xml:space="preserve">“</w:t>
      </w:r>
      <w:r>
        <w:t xml:space="preserve">bad.</w:t>
      </w:r>
      <w:r>
        <w:t xml:space="preserve">”</w:t>
      </w:r>
      <w:r>
        <w:t xml:space="preserve"> </w:t>
      </w:r>
      <w:r>
        <w:t xml:space="preserve">A peptide at level A can have considerable side effects, and a peptide at level D may well prove useful in the future – it simply has not yet been adequately studied. The grading also applies to a specific use: a substance can be well supported for one disease and not at all for another.</w:t>
      </w:r>
    </w:p>
    <w:bookmarkEnd w:id="165"/>
    <w:bookmarkStart w:id="166" w:name="key-points-in-brief-2"/>
    <w:p>
      <w:pPr>
        <w:pStyle w:val="Heading3"/>
      </w:pPr>
      <w:r>
        <w:t xml:space="preserve">Key Points in Brief</w:t>
      </w:r>
    </w:p>
    <w:p>
      <w:pPr>
        <w:numPr>
          <w:ilvl w:val="0"/>
          <w:numId w:val="1023"/>
        </w:numPr>
        <w:pStyle w:val="Compact"/>
      </w:pPr>
      <w:r>
        <w:t xml:space="preserve">Laboratory and animal studies provide clues to mechanisms but no proof of benefit in humans.</w:t>
      </w:r>
    </w:p>
    <w:p>
      <w:pPr>
        <w:numPr>
          <w:ilvl w:val="0"/>
          <w:numId w:val="1023"/>
        </w:numPr>
        <w:pStyle w:val="Compact"/>
      </w:pPr>
      <w:r>
        <w:t xml:space="preserve">The randomized, controlled, blinded comparison is the most reliable way to demonstrate an effect.</w:t>
      </w:r>
    </w:p>
    <w:p>
      <w:pPr>
        <w:numPr>
          <w:ilvl w:val="0"/>
          <w:numId w:val="1023"/>
        </w:numPr>
        <w:pStyle w:val="Compact"/>
      </w:pPr>
      <w:r>
        <w:t xml:space="preserve">Surrogate endpoints such as laboratory values can be misleading; hard endpoints are what count.</w:t>
      </w:r>
    </w:p>
    <w:p>
      <w:pPr>
        <w:numPr>
          <w:ilvl w:val="0"/>
          <w:numId w:val="1023"/>
        </w:numPr>
        <w:pStyle w:val="Compact"/>
      </w:pPr>
      <w:r>
        <w:t xml:space="preserve">Relative figures sound bigger than absolute ones. Always ask about the baseline frequency.</w:t>
      </w:r>
    </w:p>
    <w:p>
      <w:pPr>
        <w:numPr>
          <w:ilvl w:val="0"/>
          <w:numId w:val="1023"/>
        </w:numPr>
        <w:pStyle w:val="Compact"/>
      </w:pPr>
      <w:r>
        <w:t xml:space="preserve">Funding, publication bias, and lack of confirmation by independent groups can distort the picture. Study registries help to check this.</w:t>
      </w:r>
    </w:p>
    <w:bookmarkEnd w:id="166"/>
    <w:bookmarkEnd w:id="167"/>
    <w:bookmarkStart w:id="212" w:name="the-gray-market"/>
    <w:p>
      <w:pPr>
        <w:pStyle w:val="Heading2"/>
      </w:pPr>
      <w:r>
        <w:t xml:space="preserve">The Gray Market</w:t>
      </w:r>
    </w:p>
    <w:p>
      <w:pPr>
        <w:pStyle w:val="FirstParagraph"/>
      </w:pPr>
      <w:r>
        <w:t xml:space="preserve">If you search for peptides on the internet, you quickly end up at online shops with professional-looking websites, laboratory photos, and purity certificates. On offer are vials of white powder: BPC-157, TB-500, ipamorelin, melanotan II – and increasingly also semaglutide, tirzepatide, or drugs that are not yet approved at all, such as retatrutide. Almost always, somewhere there is the notice</w:t>
      </w:r>
      <w:r>
        <w:t xml:space="preserve"> </w:t>
      </w:r>
      <w:r>
        <w:t xml:space="preserve">“</w:t>
      </w:r>
      <w:r>
        <w:t xml:space="preserve">Research Use Only</w:t>
      </w:r>
      <w:r>
        <w:t xml:space="preserve">”</w:t>
      </w:r>
      <w:r>
        <w:t xml:space="preserve"> </w:t>
      </w:r>
      <w:r>
        <w:t xml:space="preserve">or</w:t>
      </w:r>
      <w:r>
        <w:t xml:space="preserve"> </w:t>
      </w:r>
      <w:r>
        <w:t xml:space="preserve">“</w:t>
      </w:r>
      <w:r>
        <w:t xml:space="preserve">not for human consumption.</w:t>
      </w:r>
      <w:r>
        <w:t xml:space="preserve">”</w:t>
      </w:r>
    </w:p>
    <w:p>
      <w:pPr>
        <w:pStyle w:val="BodyText"/>
      </w:pPr>
      <w:r>
        <w:t xml:space="preserve">This chapter describes what is known about this market: from laboratory analyses of purchased and seized products, from case reports of poisonings, and from analyses of adverse event reports. It is meant to help you assess the risks realistically. As a matter of principle, this book does not name sources of supply.</w:t>
      </w:r>
    </w:p>
    <w:bookmarkStart w:id="170" w:name="what-research-peptides-are"/>
    <w:p>
      <w:pPr>
        <w:pStyle w:val="Heading3"/>
      </w:pPr>
      <w:r>
        <w:t xml:space="preserve">What</w:t>
      </w:r>
      <w:r>
        <w:t xml:space="preserve"> </w:t>
      </w:r>
      <w:r>
        <w:t xml:space="preserve">“</w:t>
      </w:r>
      <w:r>
        <w:t xml:space="preserve">Research Peptides</w:t>
      </w:r>
      <w:r>
        <w:t xml:space="preserve">”</w:t>
      </w:r>
      <w:r>
        <w:t xml:space="preserve"> </w:t>
      </w:r>
      <w:r>
        <w:t xml:space="preserve">Are</w:t>
      </w:r>
    </w:p>
    <w:p>
      <w:pPr>
        <w:pStyle w:val="FirstParagraph"/>
      </w:pPr>
      <w:r>
        <w:t xml:space="preserve">“</w:t>
      </w:r>
      <w:r>
        <w:t xml:space="preserve">Research peptides</w:t>
      </w:r>
      <w:r>
        <w:t xml:space="preserve">”</w:t>
      </w:r>
      <w:r>
        <w:t xml:space="preserve"> </w:t>
      </w:r>
      <w:r>
        <w:t xml:space="preserve">or</w:t>
      </w:r>
      <w:r>
        <w:t xml:space="preserve"> </w:t>
      </w:r>
      <w:r>
        <w:t xml:space="preserve">“</w:t>
      </w:r>
      <w:r>
        <w:t xml:space="preserve">research chemicals</w:t>
      </w:r>
      <w:r>
        <w:t xml:space="preserve">”</w:t>
      </w:r>
      <w:r>
        <w:t xml:space="preserve"> </w:t>
      </w:r>
      <w:r>
        <w:t xml:space="preserve">are substances that are officially sold only to laboratories for research purposes. The label</w:t>
      </w:r>
      <w:r>
        <w:t xml:space="preserve"> </w:t>
      </w:r>
      <w:r>
        <w:t xml:space="preserve">“</w:t>
      </w:r>
      <w:r>
        <w:t xml:space="preserve">not for human use</w:t>
      </w:r>
      <w:r>
        <w:t xml:space="preserve">”</w:t>
      </w:r>
      <w:r>
        <w:t xml:space="preserve"> </w:t>
      </w:r>
      <w:r>
        <w:t xml:space="preserve">is meant to provide legal cover for the sale: a product that is not offered as a medicine – according to the vendors’ logic – does not need a marketing authorization as a medicine. In practice, however, many of these shops are recognizably aimed at private individuals who want to inject the substances themselves. Whether this construction holds up legally is discussed in the next chapter; in many cases it does not.</w:t>
      </w:r>
    </w:p>
    <w:p>
      <w:pPr>
        <w:pStyle w:val="BodyText"/>
      </w:pPr>
      <w:r>
        <w:t xml:space="preserve">One review describes the pattern using semaglutide and tirzepatide as examples: manufacturers sell vials</w:t>
      </w:r>
      <w:r>
        <w:t xml:space="preserve"> </w:t>
      </w:r>
      <w:r>
        <w:t xml:space="preserve">“</w:t>
      </w:r>
      <w:r>
        <w:t xml:space="preserve">for research purposes only</w:t>
      </w:r>
      <w:r>
        <w:t xml:space="preserve">”</w:t>
      </w:r>
      <w:r>
        <w:t xml:space="preserve"> </w:t>
      </w:r>
      <w:r>
        <w:t xml:space="preserve">or</w:t>
      </w:r>
      <w:r>
        <w:t xml:space="preserve"> </w:t>
      </w:r>
      <w:r>
        <w:t xml:space="preserve">“</w:t>
      </w:r>
      <w:r>
        <w:t xml:space="preserve">not for human consumption</w:t>
      </w:r>
      <w:r>
        <w:t xml:space="preserve">”</w:t>
      </w:r>
      <w:r>
        <w:t xml:space="preserve"> </w:t>
      </w:r>
      <w:r>
        <w:t xml:space="preserve">directly to consumers, often without the materials and knowledge needed to reconstitute, draw up, and inject the drug. This bypasses physicians and pharmacies – and with them the check for interactions and medical monitoring</w:t>
      </w:r>
      <w:r>
        <w:rPr>
          <w:rStyle w:val="FootnoteReference"/>
        </w:rPr>
        <w:footnoteReference w:id="168"/>
      </w:r>
      <w:r>
        <w:t xml:space="preserve">.</w:t>
      </w:r>
    </w:p>
    <w:p>
      <w:pPr>
        <w:pStyle w:val="BodyText"/>
      </w:pPr>
      <w:r>
        <w:t xml:space="preserve">How difficult use is for lay people was investigated by a small study at a US university. Twenty adults were asked to carry out the steps needed to reconstitute such a semaglutide powder and prepare a syringe, using information from the internet. Of 34 steps, they performed on average 15 correctly. The researchers observed errors that could lead to incorrect dosing, needlestick injuries, or infections</w:t>
      </w:r>
      <w:r>
        <w:rPr>
          <w:rStyle w:val="FootnoteReference"/>
        </w:rPr>
        <w:footnoteReference w:id="169"/>
      </w:r>
      <w:r>
        <w:t xml:space="preserve">.</w:t>
      </w:r>
    </w:p>
    <w:bookmarkEnd w:id="170"/>
    <w:bookmarkStart w:id="185" w:name="what-is-in-the-vials-laboratory-analyses"/>
    <w:p>
      <w:pPr>
        <w:pStyle w:val="Heading3"/>
      </w:pPr>
      <w:r>
        <w:t xml:space="preserve">What Is in the Vials: Laboratory Analyses</w:t>
      </w:r>
    </w:p>
    <w:p>
      <w:pPr>
        <w:pStyle w:val="FirstParagraph"/>
      </w:pPr>
      <w:r>
        <w:t xml:space="preserve">The most reliable information on gray-market products comes from laboratory analyses. These are carried out mainly by anti-doping laboratories, medicines regulators, and individual research groups that purchase products specifically or receive them from customs and police.</w:t>
      </w:r>
    </w:p>
    <w:bookmarkStart w:id="172" w:name="X12ef706948d5b220a7266f831d626ea802d313c"/>
    <w:p>
      <w:pPr>
        <w:pStyle w:val="Heading4"/>
      </w:pPr>
      <w:r>
        <w:t xml:space="preserve">Semaglutide from Illegal Online Pharmacies</w:t>
      </w:r>
    </w:p>
    <w:p>
      <w:pPr>
        <w:pStyle w:val="FirstParagraph"/>
      </w:pPr>
      <w:r>
        <w:t xml:space="preserve">A particularly thorough investigation combined a market analysis with test purchases</w:t>
      </w:r>
      <w:r>
        <w:rPr>
          <w:rStyle w:val="FootnoteReference"/>
        </w:rPr>
        <w:footnoteReference w:id="171"/>
      </w:r>
      <w:r>
        <w:t xml:space="preserve">. The researchers evaluated 1,080 links from search engines. 317 led to online pharmacies, 134 of them to 59 different illegal websites. The 30 most important domains linked to illegal pharmacies recorded more than 4.7 million visits in three months of 2023.</w:t>
      </w:r>
    </w:p>
    <w:p>
      <w:pPr>
        <w:pStyle w:val="BodyText"/>
      </w:pPr>
      <w:r>
        <w:t xml:space="preserve">Test purchases were made from six illegal vendors. The results:</w:t>
      </w:r>
    </w:p>
    <w:p>
      <w:pPr>
        <w:numPr>
          <w:ilvl w:val="0"/>
          <w:numId w:val="1024"/>
        </w:numPr>
        <w:pStyle w:val="Compact"/>
      </w:pPr>
      <w:r>
        <w:t xml:space="preserve">Three ordered Ozempic prefilled pens never arrived – these were scams with no delivery.</w:t>
      </w:r>
    </w:p>
    <w:p>
      <w:pPr>
        <w:numPr>
          <w:ilvl w:val="0"/>
          <w:numId w:val="1024"/>
        </w:numPr>
        <w:pStyle w:val="Compact"/>
      </w:pPr>
      <w:r>
        <w:t xml:space="preserve">Three vials of powder were delivered. All were considered likely substandard or counterfeit; on visual inspection, they failed 59 to 63% of the criteria.</w:t>
      </w:r>
    </w:p>
    <w:p>
      <w:pPr>
        <w:numPr>
          <w:ilvl w:val="0"/>
          <w:numId w:val="1024"/>
        </w:numPr>
        <w:pStyle w:val="Compact"/>
      </w:pPr>
      <w:r>
        <w:t xml:space="preserve">The semaglutide content was 28.6 to 38.7%</w:t>
      </w:r>
      <w:r>
        <w:t xml:space="preserve"> </w:t>
      </w:r>
      <w:r>
        <w:rPr>
          <w:bCs/>
          <w:b/>
        </w:rPr>
        <w:t xml:space="preserve">above</w:t>
      </w:r>
      <w:r>
        <w:t xml:space="preserve"> </w:t>
      </w:r>
      <w:r>
        <w:t xml:space="preserve">the stated amount.</w:t>
      </w:r>
    </w:p>
    <w:p>
      <w:pPr>
        <w:numPr>
          <w:ilvl w:val="0"/>
          <w:numId w:val="1024"/>
        </w:numPr>
        <w:pStyle w:val="Compact"/>
      </w:pPr>
      <w:r>
        <w:t xml:space="preserve">The measured purity was only 7.7 to 14.4% – instead of the 99% promised on the label.</w:t>
      </w:r>
    </w:p>
    <w:p>
      <w:pPr>
        <w:numPr>
          <w:ilvl w:val="0"/>
          <w:numId w:val="1024"/>
        </w:numPr>
        <w:pStyle w:val="Compact"/>
      </w:pPr>
      <w:r>
        <w:t xml:space="preserve">No live microorganisms were found, but endotoxins were detectable in</w:t>
      </w:r>
      <w:r>
        <w:t xml:space="preserve"> </w:t>
      </w:r>
      <w:r>
        <w:rPr>
          <w:bCs/>
          <w:b/>
        </w:rPr>
        <w:t xml:space="preserve">all</w:t>
      </w:r>
      <w:r>
        <w:t xml:space="preserve"> </w:t>
      </w:r>
      <w:r>
        <w:t xml:space="preserve">samples.</w:t>
      </w:r>
    </w:p>
    <w:p>
      <w:pPr>
        <w:pStyle w:val="FirstParagraph"/>
      </w:pPr>
      <w:r>
        <w:t xml:space="preserve">This study shows several typical problems at once: incorrect quantity information, low purity, contamination, and plain fraud.</w:t>
      </w:r>
    </w:p>
    <w:bookmarkEnd w:id="172"/>
    <w:bookmarkStart w:id="174" w:name="X02d6a12325115fd9f3c6c4ff9adef5ba262f5af"/>
    <w:p>
      <w:pPr>
        <w:pStyle w:val="Heading4"/>
      </w:pPr>
      <w:r>
        <w:t xml:space="preserve">Copycat Products Compared with the Original</w:t>
      </w:r>
    </w:p>
    <w:p>
      <w:pPr>
        <w:pStyle w:val="FirstParagraph"/>
      </w:pPr>
      <w:r>
        <w:t xml:space="preserve">Another investigation analyzed 16 injectable and 8 oral semaglutide copycat products as well as 2 liraglutide copycats and compared them with the originator products</w:t>
      </w:r>
      <w:r>
        <w:rPr>
          <w:rStyle w:val="FootnoteReference"/>
        </w:rPr>
        <w:footnoteReference w:id="173"/>
      </w:r>
      <w:r>
        <w:t xml:space="preserve">. New impurities were found, including larger protein molecules, trace metals, and solvent residues. Several oral preparations contained considerably less semaglutide than stated. In addition, structures were found that, according to computer predictions, could be recognized by the immune system. Since the study comes from the manufacturer of the originator products, it should be read with appropriate caution; however, the problems described are consistent with independent findings.</w:t>
      </w:r>
    </w:p>
    <w:bookmarkEnd w:id="174"/>
    <w:bookmarkStart w:id="176" w:name="melanotan-ii-from-online-shops"/>
    <w:p>
      <w:pPr>
        <w:pStyle w:val="Heading4"/>
      </w:pPr>
      <w:r>
        <w:t xml:space="preserve">Melanotan II from Online Shops</w:t>
      </w:r>
    </w:p>
    <w:p>
      <w:pPr>
        <w:pStyle w:val="FirstParagraph"/>
      </w:pPr>
      <w:r>
        <w:t xml:space="preserve">For the tanning peptide melanotan II, a research group examined vials from three online shops. All shops stated 10 mg per vial; in fact, the vials contained between 4.32 and 8.84 mg. Products from two shops contained unknown impurities of 4.1 to 5.9%</w:t>
      </w:r>
      <w:r>
        <w:rPr>
          <w:rStyle w:val="FootnoteReference"/>
        </w:rPr>
        <w:footnoteReference w:id="175"/>
      </w:r>
      <w:r>
        <w:t xml:space="preserve">.</w:t>
      </w:r>
    </w:p>
    <w:bookmarkEnd w:id="176"/>
    <w:bookmarkStart w:id="184" w:name="seized-products-from-the-doping-scene"/>
    <w:p>
      <w:pPr>
        <w:pStyle w:val="Heading4"/>
      </w:pPr>
      <w:r>
        <w:t xml:space="preserve">Seized Products from the Doping Scene</w:t>
      </w:r>
    </w:p>
    <w:p>
      <w:pPr>
        <w:pStyle w:val="FirstParagraph"/>
      </w:pPr>
      <w:r>
        <w:t xml:space="preserve">The Cologne anti-doping laboratory has been analyzing seized products for years. In a report on the year 2009, it described, among other things, vials labeled as growth hormone with no pharmacologically active content at all, unpurified Long-R3-IGF-1, and dietary supplements containing the growth hormone-releasing peptide GHRP-2</w:t>
      </w:r>
      <w:r>
        <w:rPr>
          <w:rStyle w:val="FootnoteReference"/>
        </w:rPr>
        <w:footnoteReference w:id="177"/>
      </w:r>
      <w:r>
        <w:t xml:space="preserve">. In tablets offered as an over-the-counter dietary supplement, about 50 micrograms of GHRP-2 per tablet were measured</w:t>
      </w:r>
      <w:r>
        <w:rPr>
          <w:rStyle w:val="FootnoteReference"/>
        </w:rPr>
        <w:footnoteReference w:id="178"/>
      </w:r>
      <w:r>
        <w:t xml:space="preserve"> </w:t>
      </w:r>
      <w:r>
        <w:t xml:space="preserve">– a substance that is prohibited in sport and for which there is no approval.</w:t>
      </w:r>
    </w:p>
    <w:p>
      <w:pPr>
        <w:pStyle w:val="BodyText"/>
      </w:pPr>
      <w:r>
        <w:t xml:space="preserve">Between 2010 and 2013, the same laboratory analyzed 337 further products. Peptide hormones and growth factors accounted for 12.8%, mainly growth hormone and growth hormone-releasing peptides. Notable findings included thymosin beta-4 and a fusion protein with unknown biological activity</w:t>
      </w:r>
      <w:r>
        <w:rPr>
          <w:rStyle w:val="FootnoteReference"/>
        </w:rPr>
        <w:footnoteReference w:id="179"/>
      </w:r>
      <w:r>
        <w:t xml:space="preserve">. In Norway, 28% of the products seized and analyzed between 2011 and 2014 contained peptide- or protein-based doping agents</w:t>
      </w:r>
      <w:r>
        <w:rPr>
          <w:rStyle w:val="FootnoteReference"/>
        </w:rPr>
        <w:footnoteReference w:id="180"/>
      </w:r>
      <w:r>
        <w:t xml:space="preserve">.</w:t>
      </w:r>
    </w:p>
    <w:p>
      <w:pPr>
        <w:pStyle w:val="BodyText"/>
      </w:pPr>
      <w:r>
        <w:t xml:space="preserve">A later Cologne report describes modified variants of known peptides that do not exist as medicines: Gly-GHRP-6, Gly-GHRP-2, and Gly-ipamorelin – i.e., the respective peptides with an additional glycine amino acid at the beginning – as well as a slightly altered form of growth hormone</w:t>
      </w:r>
      <w:r>
        <w:rPr>
          <w:rStyle w:val="FootnoteReference"/>
        </w:rPr>
        <w:footnoteReference w:id="181"/>
      </w:r>
      <w:r>
        <w:t xml:space="preserve">. Such modifications may be attempts to evade doping tests; their effects and safety in humans are unknown.</w:t>
      </w:r>
    </w:p>
    <w:p>
      <w:pPr>
        <w:pStyle w:val="BodyText"/>
      </w:pPr>
      <w:r>
        <w:t xml:space="preserve">BPC-157 has also been identified in seized vials. A research group then developed a detection method for urine samples</w:t>
      </w:r>
      <w:r>
        <w:rPr>
          <w:rStyle w:val="FootnoteReference"/>
        </w:rPr>
        <w:footnoteReference w:id="182"/>
      </w:r>
      <w:r>
        <w:t xml:space="preserve">.</w:t>
      </w:r>
    </w:p>
    <w:p>
      <w:pPr>
        <w:pStyle w:val="BodyText"/>
      </w:pPr>
      <w:r>
        <w:t xml:space="preserve">One review summarizes that counterfeit peptide and protein medicines have repeatedly been found to contain the wrong drug, the wrong amount, or no drug at all; that toxic impurities and manufacturing by-products have caused harm to health; and that seizures have also turned up substances that had failed in clinical trials or were still in the animal-testing phase</w:t>
      </w:r>
      <w:r>
        <w:rPr>
          <w:rStyle w:val="FootnoteReference"/>
        </w:rPr>
        <w:footnoteReference w:id="183"/>
      </w:r>
      <w:r>
        <w:t xml:space="preserve">.</w:t>
      </w:r>
    </w:p>
    <w:bookmarkEnd w:id="184"/>
    <w:bookmarkEnd w:id="185"/>
    <w:bookmarkStart w:id="186" w:name="overview-of-the-typical-quality-problems"/>
    <w:p>
      <w:pPr>
        <w:pStyle w:val="Heading3"/>
      </w:pPr>
      <w:r>
        <w:t xml:space="preserve">Overview of the Typical Quality Problems</w:t>
      </w:r>
    </w:p>
    <w:p>
      <w:pPr>
        <w:pStyle w:val="FirstParagraph"/>
      </w:pPr>
      <w:r>
        <w:t xml:space="preserve">A recurring picture emerges from these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Consequence</w:t>
            </w:r>
          </w:p>
        </w:tc>
        <w:tc>
          <w:tcPr/>
          <w:p>
            <w:pPr>
              <w:pStyle w:val="Compact"/>
              <w:jc w:val="left"/>
            </w:pPr>
            <w:r>
              <w:t xml:space="preserve">Example</w:t>
            </w:r>
          </w:p>
        </w:tc>
      </w:tr>
      <w:tr>
        <w:tc>
          <w:tcPr/>
          <w:p>
            <w:pPr>
              <w:pStyle w:val="Compact"/>
              <w:jc w:val="left"/>
            </w:pPr>
            <w:r>
              <w:t xml:space="preserve">Too much drug</w:t>
            </w:r>
          </w:p>
        </w:tc>
        <w:tc>
          <w:tcPr/>
          <w:p>
            <w:pPr>
              <w:pStyle w:val="Compact"/>
              <w:jc w:val="left"/>
            </w:pPr>
            <w:r>
              <w:t xml:space="preserve">overdose, more side effects</w:t>
            </w:r>
          </w:p>
        </w:tc>
        <w:tc>
          <w:tcPr/>
          <w:p>
            <w:pPr>
              <w:pStyle w:val="Compact"/>
              <w:jc w:val="left"/>
            </w:pPr>
            <w:r>
              <w:t xml:space="preserve">semaglutide up to 38.7% above label</w:t>
            </w:r>
          </w:p>
        </w:tc>
      </w:tr>
      <w:tr>
        <w:tc>
          <w:tcPr/>
          <w:p>
            <w:pPr>
              <w:pStyle w:val="Compact"/>
              <w:jc w:val="left"/>
            </w:pPr>
            <w:r>
              <w:t xml:space="preserve">Too little drug</w:t>
            </w:r>
          </w:p>
        </w:tc>
        <w:tc>
          <w:tcPr/>
          <w:p>
            <w:pPr>
              <w:pStyle w:val="Compact"/>
              <w:jc w:val="left"/>
            </w:pPr>
            <w:r>
              <w:t xml:space="preserve">lack of effect</w:t>
            </w:r>
          </w:p>
        </w:tc>
        <w:tc>
          <w:tcPr/>
          <w:p>
            <w:pPr>
              <w:pStyle w:val="Compact"/>
              <w:jc w:val="left"/>
            </w:pPr>
            <w:r>
              <w:t xml:space="preserve">melanotan II 4.32 instead of 10 mg</w:t>
            </w:r>
          </w:p>
        </w:tc>
      </w:tr>
      <w:tr>
        <w:tc>
          <w:tcPr/>
          <w:p>
            <w:pPr>
              <w:pStyle w:val="Compact"/>
              <w:jc w:val="left"/>
            </w:pPr>
            <w:r>
              <w:t xml:space="preserve">Wrong drug</w:t>
            </w:r>
          </w:p>
        </w:tc>
        <w:tc>
          <w:tcPr/>
          <w:p>
            <w:pPr>
              <w:pStyle w:val="Compact"/>
              <w:jc w:val="left"/>
            </w:pPr>
            <w:r>
              <w:t xml:space="preserve">unpredictable, sometimes life-threatening effects</w:t>
            </w:r>
          </w:p>
        </w:tc>
        <w:tc>
          <w:tcPr/>
          <w:p>
            <w:pPr>
              <w:pStyle w:val="Compact"/>
              <w:jc w:val="left"/>
            </w:pPr>
            <w:r>
              <w:t xml:space="preserve">insulin instead of semaglutide</w:t>
            </w:r>
          </w:p>
        </w:tc>
      </w:tr>
      <w:tr>
        <w:tc>
          <w:tcPr/>
          <w:p>
            <w:pPr>
              <w:pStyle w:val="Compact"/>
              <w:jc w:val="left"/>
            </w:pPr>
            <w:r>
              <w:t xml:space="preserve">No drug</w:t>
            </w:r>
          </w:p>
        </w:tc>
        <w:tc>
          <w:tcPr/>
          <w:p>
            <w:pPr>
              <w:pStyle w:val="Compact"/>
              <w:jc w:val="left"/>
            </w:pPr>
            <w:r>
              <w:t xml:space="preserve">fraud, lack of effect</w:t>
            </w:r>
          </w:p>
        </w:tc>
        <w:tc>
          <w:tcPr/>
          <w:p>
            <w:pPr>
              <w:pStyle w:val="Compact"/>
              <w:jc w:val="left"/>
            </w:pPr>
            <w:r>
              <w:t xml:space="preserve">empty</w:t>
            </w:r>
            <w:r>
              <w:t xml:space="preserve"> </w:t>
            </w:r>
            <w:r>
              <w:t xml:space="preserve">“</w:t>
            </w:r>
            <w:r>
              <w:t xml:space="preserve">growth hormone</w:t>
            </w:r>
            <w:r>
              <w:t xml:space="preserve">”</w:t>
            </w:r>
            <w:r>
              <w:t xml:space="preserve"> </w:t>
            </w:r>
            <w:r>
              <w:t xml:space="preserve">vials</w:t>
            </w:r>
          </w:p>
        </w:tc>
      </w:tr>
      <w:tr>
        <w:tc>
          <w:tcPr/>
          <w:p>
            <w:pPr>
              <w:pStyle w:val="Compact"/>
              <w:jc w:val="left"/>
            </w:pPr>
            <w:r>
              <w:t xml:space="preserve">Impurities</w:t>
            </w:r>
          </w:p>
        </w:tc>
        <w:tc>
          <w:tcPr/>
          <w:p>
            <w:pPr>
              <w:pStyle w:val="Compact"/>
              <w:jc w:val="left"/>
            </w:pPr>
            <w:r>
              <w:t xml:space="preserve">immune reactions, toxic effects</w:t>
            </w:r>
          </w:p>
        </w:tc>
        <w:tc>
          <w:tcPr/>
          <w:p>
            <w:pPr>
              <w:pStyle w:val="Compact"/>
              <w:jc w:val="left"/>
            </w:pPr>
            <w:r>
              <w:t xml:space="preserve">synthesis by-products</w:t>
            </w:r>
          </w:p>
        </w:tc>
      </w:tr>
      <w:tr>
        <w:tc>
          <w:tcPr/>
          <w:p>
            <w:pPr>
              <w:pStyle w:val="Compact"/>
              <w:jc w:val="left"/>
            </w:pPr>
            <w:r>
              <w:t xml:space="preserve">Endotoxins</w:t>
            </w:r>
          </w:p>
        </w:tc>
        <w:tc>
          <w:tcPr/>
          <w:p>
            <w:pPr>
              <w:pStyle w:val="Compact"/>
              <w:jc w:val="left"/>
            </w:pPr>
            <w:r>
              <w:t xml:space="preserve">fever, inflammation, circulatory reactions</w:t>
            </w:r>
          </w:p>
        </w:tc>
        <w:tc>
          <w:tcPr/>
          <w:p>
            <w:pPr>
              <w:pStyle w:val="Compact"/>
              <w:jc w:val="left"/>
            </w:pPr>
            <w:r>
              <w:t xml:space="preserve">in all semaglutide test purchases</w:t>
            </w:r>
          </w:p>
        </w:tc>
      </w:tr>
    </w:tbl>
    <w:bookmarkEnd w:id="186"/>
    <w:bookmarkStart w:id="188" w:name="X566628853c715ada2f99117b20afd62eb74ee30"/>
    <w:p>
      <w:pPr>
        <w:pStyle w:val="Heading3"/>
      </w:pPr>
      <w:r>
        <w:t xml:space="preserve">Purity: What the Percentage Means – and What It Does Not</w:t>
      </w:r>
    </w:p>
    <w:p>
      <w:pPr>
        <w:pStyle w:val="FirstParagraph"/>
      </w:pPr>
      <w:r>
        <w:t xml:space="preserve">Many vendors advertise</w:t>
      </w:r>
      <w:r>
        <w:t xml:space="preserve"> </w:t>
      </w:r>
      <w:r>
        <w:t xml:space="preserve">“</w:t>
      </w:r>
      <w:r>
        <w:t xml:space="preserve">99% purity</w:t>
      </w:r>
      <w:r>
        <w:t xml:space="preserve">”</w:t>
      </w:r>
      <w:r>
        <w:t xml:space="preserve"> </w:t>
      </w:r>
      <w:r>
        <w:t xml:space="preserve">and enclose certificates of analysis. A few points on this:</w:t>
      </w:r>
    </w:p>
    <w:p>
      <w:pPr>
        <w:numPr>
          <w:ilvl w:val="0"/>
          <w:numId w:val="1025"/>
        </w:numPr>
        <w:pStyle w:val="Compact"/>
      </w:pPr>
      <w:r>
        <w:rPr>
          <w:bCs/>
          <w:b/>
        </w:rPr>
        <w:t xml:space="preserve">Purity measures only certain impurities.</w:t>
      </w:r>
      <w:r>
        <w:t xml:space="preserve"> </w:t>
      </w:r>
      <w:r>
        <w:t xml:space="preserve">A typical measurement (high-performance liquid chromatography, HPLC) shows what percentage of the measurable peptide signals is accounted for by the desired substance. Salts, water, solvent residues, metals, or endotoxins are often not captured.</w:t>
      </w:r>
    </w:p>
    <w:p>
      <w:pPr>
        <w:numPr>
          <w:ilvl w:val="0"/>
          <w:numId w:val="1025"/>
        </w:numPr>
        <w:pStyle w:val="Compact"/>
      </w:pPr>
      <w:r>
        <w:rPr>
          <w:bCs/>
          <w:b/>
        </w:rPr>
        <w:t xml:space="preserve">Purity says nothing about quantity.</w:t>
      </w:r>
      <w:r>
        <w:t xml:space="preserve"> </w:t>
      </w:r>
      <w:r>
        <w:t xml:space="preserve">A vial can contain a very pure substance, but in the wrong amount.</w:t>
      </w:r>
    </w:p>
    <w:p>
      <w:pPr>
        <w:numPr>
          <w:ilvl w:val="0"/>
          <w:numId w:val="1025"/>
        </w:numPr>
        <w:pStyle w:val="Compact"/>
      </w:pPr>
      <w:r>
        <w:rPr>
          <w:bCs/>
          <w:b/>
        </w:rPr>
        <w:t xml:space="preserve">Purity says nothing about sterility.</w:t>
      </w:r>
      <w:r>
        <w:t xml:space="preserve"> </w:t>
      </w:r>
      <w:r>
        <w:t xml:space="preserve">A powder can be chemically pure and still be contaminated with bacteria or bacterial components.</w:t>
      </w:r>
    </w:p>
    <w:p>
      <w:pPr>
        <w:numPr>
          <w:ilvl w:val="0"/>
          <w:numId w:val="1025"/>
        </w:numPr>
        <w:pStyle w:val="Compact"/>
      </w:pPr>
      <w:r>
        <w:rPr>
          <w:bCs/>
          <w:b/>
        </w:rPr>
        <w:t xml:space="preserve">Certificates cannot be verified.</w:t>
      </w:r>
      <w:r>
        <w:t xml:space="preserve"> </w:t>
      </w:r>
      <w:r>
        <w:t xml:space="preserve">As a buyer, you cannot determine whether an enclosed certificate actually belongs to the vial delivered. The semaglutide test purchases showed a purity of 7.7 to 14.4% despite a label stating 99%</w:t>
      </w:r>
      <w:r>
        <w:rPr>
          <w:rStyle w:val="FootnoteReference"/>
        </w:rPr>
        <w:footnoteReference w:id="187"/>
      </w:r>
      <w:r>
        <w:t xml:space="preserve">.</w:t>
      </w:r>
    </w:p>
    <w:p>
      <w:pPr>
        <w:pStyle w:val="FirstParagraph"/>
      </w:pPr>
      <w:r>
        <w:t xml:space="preserve">In addition, there are impurities that typically arise during chemical synthesis: peptides with missing or duplicated building blocks, misfolded or chemically altered variants, residues of protecting groups and reagents. For approved medicines, limits for such impurities are specified and regularly checked.</w:t>
      </w:r>
    </w:p>
    <w:bookmarkEnd w:id="188"/>
    <w:bookmarkStart w:id="190" w:name="endotoxins-invisible-and-dangerous"/>
    <w:p>
      <w:pPr>
        <w:pStyle w:val="Heading3"/>
      </w:pPr>
      <w:r>
        <w:t xml:space="preserve">Endotoxins: Invisible and Dangerous</w:t>
      </w:r>
    </w:p>
    <w:p>
      <w:pPr>
        <w:pStyle w:val="FirstParagraph"/>
      </w:pPr>
      <w:r>
        <w:t xml:space="preserve">Endotoxins are components of the cell wall of certain bacteria. They persist even when the bacteria have been killed and are very heat-stable. If they enter the blood, they can trigger fever, chills, a drop in blood pressure, and in larger amounts a life-threatening shock. For this reason, strict limits apply to injections and infusions, and drug manufacturers test every batch.</w:t>
      </w:r>
    </w:p>
    <w:p>
      <w:pPr>
        <w:pStyle w:val="BodyText"/>
      </w:pPr>
      <w:r>
        <w:t xml:space="preserve">A powder that is</w:t>
      </w:r>
      <w:r>
        <w:t xml:space="preserve"> </w:t>
      </w:r>
      <w:r>
        <w:t xml:space="preserve">“</w:t>
      </w:r>
      <w:r>
        <w:t xml:space="preserve">sterile</w:t>
      </w:r>
      <w:r>
        <w:t xml:space="preserve">”</w:t>
      </w:r>
      <w:r>
        <w:t xml:space="preserve"> </w:t>
      </w:r>
      <w:r>
        <w:t xml:space="preserve">or</w:t>
      </w:r>
      <w:r>
        <w:t xml:space="preserve"> </w:t>
      </w:r>
      <w:r>
        <w:t xml:space="preserve">“</w:t>
      </w:r>
      <w:r>
        <w:t xml:space="preserve">germ-free</w:t>
      </w:r>
      <w:r>
        <w:t xml:space="preserve">”</w:t>
      </w:r>
      <w:r>
        <w:t xml:space="preserve"> </w:t>
      </w:r>
      <w:r>
        <w:t xml:space="preserve">can nevertheless contain endotoxins – this is exactly what the semaglutide test purchases showed: no live microorganisms, but endotoxins in all samples</w:t>
      </w:r>
      <w:r>
        <w:rPr>
          <w:rStyle w:val="FootnoteReference"/>
        </w:rPr>
        <w:footnoteReference w:id="189"/>
      </w:r>
      <w:r>
        <w:t xml:space="preserve">. Reconstituting with non-sterile water, drawing repeatedly from the same vial, or reusing needles can also introduce germs.</w:t>
      </w:r>
    </w:p>
    <w:bookmarkEnd w:id="190"/>
    <w:bookmarkStart w:id="192" w:name="dosing-errors"/>
    <w:p>
      <w:pPr>
        <w:pStyle w:val="Heading3"/>
      </w:pPr>
      <w:r>
        <w:t xml:space="preserve">Dosing Errors</w:t>
      </w:r>
    </w:p>
    <w:p>
      <w:pPr>
        <w:pStyle w:val="FirstParagraph"/>
      </w:pPr>
      <w:r>
        <w:t xml:space="preserve">Even if a product contains exactly what is on the label, correct dosing on the gray market is difficult. Powder has to be reconstituted with a specific amount of liquid; the dose then results from a conversion. Anyone who miscalculates or confuses units can easily inject many times the intended amount.</w:t>
      </w:r>
    </w:p>
    <w:p>
      <w:pPr>
        <w:pStyle w:val="BodyText"/>
      </w:pPr>
      <w:r>
        <w:t xml:space="preserve">A case series from a US poison control center describes three cases involving semaglutide from pharmacies and a beauty salon. Two people had accidentally injected ten times the amount. All had nausea, vomiting, and abdominal pain for days. One person had received a vial with syringes without any counseling; another confused milliliters,</w:t>
      </w:r>
      <w:r>
        <w:t xml:space="preserve"> </w:t>
      </w:r>
      <w:r>
        <w:t xml:space="preserve">“</w:t>
      </w:r>
      <w:r>
        <w:t xml:space="preserve">units,</w:t>
      </w:r>
      <w:r>
        <w:t xml:space="preserve">”</w:t>
      </w:r>
      <w:r>
        <w:t xml:space="preserve"> </w:t>
      </w:r>
      <w:r>
        <w:t xml:space="preserve">and milligrams</w:t>
      </w:r>
      <w:r>
        <w:rPr>
          <w:rStyle w:val="FootnoteReference"/>
        </w:rPr>
        <w:footnoteReference w:id="191"/>
      </w:r>
      <w:r>
        <w:t xml:space="preserve">. The authors emphasize that, unlike prefilled pens, vials offer no safety mechanisms against such errors.</w:t>
      </w:r>
    </w:p>
    <w:bookmarkEnd w:id="192"/>
    <w:bookmarkStart w:id="197" w:name="Xf223738bfdc537c1c68bcf11dab9f311f7e0d56"/>
    <w:p>
      <w:pPr>
        <w:pStyle w:val="Heading3"/>
      </w:pPr>
      <w:r>
        <w:t xml:space="preserve">Counterfeits of Ozempic and Other GLP-1 Medications</w:t>
      </w:r>
    </w:p>
    <w:p>
      <w:pPr>
        <w:pStyle w:val="FirstParagraph"/>
      </w:pPr>
      <w:r>
        <w:t xml:space="preserve">With the enormous demand for semaglutide, counterfeits appeared worldwide. In 2024, the World Health Organization warned about counterfeit Ozempic in the global supply chain</w:t>
      </w:r>
      <w:r>
        <w:rPr>
          <w:rStyle w:val="FootnoteReference"/>
        </w:rPr>
        <w:footnoteReference w:id="193"/>
      </w:r>
      <w:r>
        <w:t xml:space="preserve">.</w:t>
      </w:r>
    </w:p>
    <w:p>
      <w:pPr>
        <w:pStyle w:val="BodyText"/>
      </w:pPr>
      <w:r>
        <w:t xml:space="preserve">Counterfeits that contain a different drug are particularly dangerous. In Italy, a 31-year-old woman was brought to the emergency department in a hypoglycemic coma after injecting supposed Ozempic bought on the internet. Toxicological analysis revealed that the vial contained insulin instead of semaglutide</w:t>
      </w:r>
      <w:r>
        <w:rPr>
          <w:rStyle w:val="FootnoteReference"/>
        </w:rPr>
        <w:footnoteReference w:id="194"/>
      </w:r>
      <w:r>
        <w:t xml:space="preserve">. Two similar cases were reported from the Netherlands: two people without diabetes and without obesity had injected semaglutide obtained without a prescription and were in a coma with severe hypoglycemia, potassium deficiency, and hypothermia. The cause was poisoning with synthetic insulin. Continuous glucose infusion for up to two days was needed to keep blood sugar stable</w:t>
      </w:r>
      <w:r>
        <w:rPr>
          <w:rStyle w:val="FootnoteReference"/>
        </w:rPr>
        <w:footnoteReference w:id="195"/>
      </w:r>
      <w:r>
        <w:t xml:space="preserve">.</w:t>
      </w:r>
    </w:p>
    <w:p>
      <w:pPr>
        <w:pStyle w:val="BodyText"/>
      </w:pPr>
      <w:r>
        <w:t xml:space="preserve">These cases are so significant because genuine semaglutide alone hardly causes any appreciable hypoglycemia in healthy people. Hypoglycemia after a</w:t>
      </w:r>
      <w:r>
        <w:t xml:space="preserve"> </w:t>
      </w:r>
      <w:r>
        <w:t xml:space="preserve">“</w:t>
      </w:r>
      <w:r>
        <w:t xml:space="preserve">weight-loss injection</w:t>
      </w:r>
      <w:r>
        <w:t xml:space="preserve">”</w:t>
      </w:r>
      <w:r>
        <w:t xml:space="preserve"> </w:t>
      </w:r>
      <w:r>
        <w:t xml:space="preserve">is therefore a warning sign of a counterfeit product.</w:t>
      </w:r>
    </w:p>
    <w:p>
      <w:pPr>
        <w:pStyle w:val="BodyText"/>
      </w:pPr>
      <w:r>
        <w:t xml:space="preserve">An analysis of the European adverse event database EudraVigilance found a total of 234 reports of possibly counterfeit semaglutide from 2018 to 2025. 73.5% concerned women, and 89.3% of the reported side effects were serious. Vomiting, nausea, and hypoglycemia were reported most frequently. Compared with genuine semaglutide, hypoglycemia, use outside the approved indication, malaise, and lack of effect were reported disproportionately often</w:t>
      </w:r>
      <w:r>
        <w:rPr>
          <w:rStyle w:val="FootnoteReference"/>
        </w:rPr>
        <w:footnoteReference w:id="196"/>
      </w:r>
      <w:r>
        <w:t xml:space="preserve">. As with all reporting data: they show signals, not frequencies.</w:t>
      </w:r>
    </w:p>
    <w:bookmarkEnd w:id="197"/>
    <w:bookmarkStart w:id="200" w:name="unapproved-glp-1-drugs"/>
    <w:p>
      <w:pPr>
        <w:pStyle w:val="Heading3"/>
      </w:pPr>
      <w:r>
        <w:t xml:space="preserve">Unapproved GLP-1 Drugs</w:t>
      </w:r>
    </w:p>
    <w:p>
      <w:pPr>
        <w:pStyle w:val="FirstParagraph"/>
      </w:pPr>
      <w:r>
        <w:t xml:space="preserve">Drugs that are not yet approved at all, such as the triple agonist retatrutide, are now also being offered on the gray market. For such substances there are studies by the manufacturers, but no tested products – what is actually in a vial labeled</w:t>
      </w:r>
      <w:r>
        <w:t xml:space="preserve"> </w:t>
      </w:r>
      <w:r>
        <w:t xml:space="preserve">“</w:t>
      </w:r>
      <w:r>
        <w:t xml:space="preserve">retatrutide</w:t>
      </w:r>
      <w:r>
        <w:t xml:space="preserve">”</w:t>
      </w:r>
      <w:r>
        <w:t xml:space="preserve"> </w:t>
      </w:r>
      <w:r>
        <w:t xml:space="preserve">is unknown. In 2026, a medical journal devoted a dedicated report to this black market</w:t>
      </w:r>
      <w:r>
        <w:rPr>
          <w:rStyle w:val="FootnoteReference"/>
        </w:rPr>
        <w:footnoteReference w:id="198"/>
      </w:r>
      <w:r>
        <w:t xml:space="preserve">.</w:t>
      </w:r>
    </w:p>
    <w:p>
      <w:pPr>
        <w:pStyle w:val="BodyText"/>
      </w:pPr>
      <w:r>
        <w:t xml:space="preserve">One case report describes a woman in her mid-twenties who came to the hospital with five days of persistent nausea, repeated vomiting, and diarrhea. Her symptoms initially did not improve despite several anti-nausea medications. Only through repeated questioning did it emerge that a self-styled life coach without medical qualifications had given her four weekly injections of a product that allegedly contained retatrutide. She herself had not regarded the injections as medication</w:t>
      </w:r>
      <w:r>
        <w:rPr>
          <w:rStyle w:val="FootnoteReference"/>
        </w:rPr>
        <w:footnoteReference w:id="199"/>
      </w:r>
      <w:r>
        <w:t xml:space="preserve">. The case illustrates another problem: people who do not perceive peptides as medicines do not mention them to their physicians either.</w:t>
      </w:r>
    </w:p>
    <w:bookmarkEnd w:id="200"/>
    <w:bookmarkStart w:id="204" w:name="dangers-beyond-contamination"/>
    <w:p>
      <w:pPr>
        <w:pStyle w:val="Heading3"/>
      </w:pPr>
      <w:r>
        <w:t xml:space="preserve">Dangers Beyond Contamination</w:t>
      </w:r>
    </w:p>
    <w:p>
      <w:pPr>
        <w:pStyle w:val="FirstParagraph"/>
      </w:pPr>
      <w:r>
        <w:t xml:space="preserve">Even a perfectly pure gray-market peptide can be dangerous if the substance itself has never been adequately studied in humans. One case report describes a 39-year-old man who injected melanotan II bought on the internet – by his own account, six times the starting amount that had been recommended to him. He developed a racing heart, agitation, sweating, and massive muscle breakdown (rhabdomyolysis) with kidney dysfunction and had to be treated in the intensive care unit. Analysis confirmed that the product actually contained melanotan II</w:t>
      </w:r>
      <w:r>
        <w:rPr>
          <w:rStyle w:val="FootnoteReference"/>
        </w:rPr>
        <w:footnoteReference w:id="201"/>
      </w:r>
      <w:r>
        <w:t xml:space="preserve">.</w:t>
      </w:r>
    </w:p>
    <w:p>
      <w:pPr>
        <w:pStyle w:val="BodyText"/>
      </w:pPr>
      <w:r>
        <w:t xml:space="preserve">Reviews list possible risks of unregulated peptides including contamination, inaccurate dosing, pathological formation of new blood vessels, carcinogenesis, strain on the cardiovascular system, and excessive hormone signals</w:t>
      </w:r>
      <w:r>
        <w:rPr>
          <w:rStyle w:val="FootnoteReference"/>
        </w:rPr>
        <w:footnoteReference w:id="202"/>
      </w:r>
      <w:r>
        <w:t xml:space="preserve">. Many of these risks are derived theoretically, precisely because there are hardly any human studies. A sports medicine review concludes that many unapproved peptides show favorable effects in animal models, but that robust human safety data are scarce and serious harm is possible</w:t>
      </w:r>
      <w:r>
        <w:rPr>
          <w:rStyle w:val="FootnoteReference"/>
        </w:rPr>
        <w:footnoteReference w:id="203"/>
      </w:r>
      <w:r>
        <w:t xml:space="preserve">.</w:t>
      </w:r>
    </w:p>
    <w:bookmarkEnd w:id="204"/>
    <w:bookmarkStart w:id="207" w:name="compounding-in-the-usa"/>
    <w:p>
      <w:pPr>
        <w:pStyle w:val="Heading3"/>
      </w:pPr>
      <w:r>
        <w:t xml:space="preserve">Compounding in the USA</w:t>
      </w:r>
    </w:p>
    <w:p>
      <w:pPr>
        <w:pStyle w:val="FirstParagraph"/>
      </w:pPr>
      <w:r>
        <w:t xml:space="preserve">A special feature of the US market is</w:t>
      </w:r>
      <w:r>
        <w:t xml:space="preserve"> </w:t>
      </w:r>
      <w:r>
        <w:rPr>
          <w:bCs/>
          <w:b/>
        </w:rPr>
        <w:t xml:space="preserve">compounding</w:t>
      </w:r>
      <w:r>
        <w:t xml:space="preserve">: under certain conditions, pharmacies may prepare medicines themselves, for example when an approved preparation is unavailable. During the shortages of semaglutide and tirzepatide, a large market thus emerged for copycat preparations, often distributed via telemedicine providers. These preparations are not approved medicines; their efficacy and safety have not been tested in studies.</w:t>
      </w:r>
    </w:p>
    <w:p>
      <w:pPr>
        <w:pStyle w:val="BodyText"/>
      </w:pPr>
      <w:r>
        <w:t xml:space="preserve">An analysis of the US adverse event database FAERS compared reports on compounded and approved GLP-1 preparations. Of 81,078 reports, 707 concerned compounded products. For these, abdominal pain, gallbladder inflammation, compounding errors, and contamination, among others, were reported disproportionately often, as were hospitalizations; administration and dosing errors, on the other hand, were reported less often</w:t>
      </w:r>
      <w:r>
        <w:rPr>
          <w:rStyle w:val="FootnoteReference"/>
        </w:rPr>
        <w:footnoteReference w:id="205"/>
      </w:r>
      <w:r>
        <w:t xml:space="preserve">. The authors emphasize that such data do not prove a cause-and-effect relationship.</w:t>
      </w:r>
    </w:p>
    <w:p>
      <w:pPr>
        <w:pStyle w:val="BodyText"/>
      </w:pPr>
      <w:r>
        <w:t xml:space="preserve">Since the end of the shortages, under US law pharmacies may only produce preparations that differ from the approved ones – for example, through a different dosage form or additives. One investigation found 33 such products, including combinations with vitamin B12, glycine, niacinamide, a laxative, or an anti-nausea drug, as well as drops and orally disintegrating tablets for use under the tongue. For vitamins and the laxative, the authors found hardly any rationale. For the addition of the anti-nausea drug and for the new dosage forms, they see an understandable idea, but no evidence of efficacy and safety</w:t>
      </w:r>
      <w:r>
        <w:rPr>
          <w:rStyle w:val="FootnoteReference"/>
        </w:rPr>
        <w:footnoteReference w:id="206"/>
      </w:r>
      <w:r>
        <w:t xml:space="preserve">.</w:t>
      </w:r>
    </w:p>
    <w:p>
      <w:pPr>
        <w:pStyle w:val="BodyText"/>
      </w:pPr>
      <w:r>
        <w:t xml:space="preserve">Compounding is not a gray market in the narrower sense: the pharmacies are licensed and subject to oversight. For patients, however, the boundary becomes blurred when products are distributed via online platforms with little medical supervision. There is no comparable system in Europe; here, preparation in the pharmacy is subject to considerably narrower conditions (more on this in the next chapter).</w:t>
      </w:r>
    </w:p>
    <w:bookmarkEnd w:id="207"/>
    <w:bookmarkStart w:id="209" w:name="who-uses-the-gray-market-and-why"/>
    <w:p>
      <w:pPr>
        <w:pStyle w:val="Heading3"/>
      </w:pPr>
      <w:r>
        <w:t xml:space="preserve">Who Uses the Gray Market – and Why</w:t>
      </w:r>
    </w:p>
    <w:p>
      <w:pPr>
        <w:pStyle w:val="FirstParagraph"/>
      </w:pPr>
      <w:r>
        <w:t xml:space="preserve">The reasons for turning to the gray market are varied: high prices and lack of reimbursement for approved medicines, supply shortages, the desire for weight loss without a medical indication, performance enhancement in sport, hope for faster healing of injuries, or for a longer life. One review describes how online advertising, testimonials on social media, self-injection, combinations of several substances, and weak adverse event monitoring interact and normalize products of unclear nature</w:t>
      </w:r>
      <w:r>
        <w:rPr>
          <w:rStyle w:val="FootnoteReference"/>
        </w:rPr>
        <w:footnoteReference w:id="208"/>
      </w:r>
      <w:r>
        <w:t xml:space="preserve">.</w:t>
      </w:r>
    </w:p>
    <w:p>
      <w:pPr>
        <w:pStyle w:val="BodyText"/>
      </w:pPr>
      <w:r>
        <w:t xml:space="preserve">These motives are understandable. The analyses in this chapter show, however, that buyers on the gray market cannot know what they are actually getting.</w:t>
      </w:r>
    </w:p>
    <w:bookmarkEnd w:id="209"/>
    <w:bookmarkStart w:id="210" w:name="Xf5ced76d32d187bab8452c09a671d241cb2287a"/>
    <w:p>
      <w:pPr>
        <w:pStyle w:val="Heading3"/>
      </w:pPr>
      <w:r>
        <w:t xml:space="preserve">If You Have Already Used Gray-Market Peptides</w:t>
      </w:r>
    </w:p>
    <w:p>
      <w:pPr>
        <w:pStyle w:val="FirstParagraph"/>
      </w:pPr>
      <w:r>
        <w:t xml:space="preserve">This book gives no instructions for use. However, some general points are important for safety reasons:</w:t>
      </w:r>
    </w:p>
    <w:p>
      <w:pPr>
        <w:numPr>
          <w:ilvl w:val="0"/>
          <w:numId w:val="1026"/>
        </w:numPr>
        <w:pStyle w:val="Compact"/>
      </w:pPr>
      <w:r>
        <w:t xml:space="preserve">Inform your physician about all injections, peptides, and</w:t>
      </w:r>
      <w:r>
        <w:t xml:space="preserve"> </w:t>
      </w:r>
      <w:r>
        <w:t xml:space="preserve">“</w:t>
      </w:r>
      <w:r>
        <w:t xml:space="preserve">research chemicals</w:t>
      </w:r>
      <w:r>
        <w:t xml:space="preserve">”</w:t>
      </w:r>
      <w:r>
        <w:t xml:space="preserve"> </w:t>
      </w:r>
      <w:r>
        <w:t xml:space="preserve">you use – even if you do not regard them as medication.</w:t>
      </w:r>
    </w:p>
    <w:p>
      <w:pPr>
        <w:numPr>
          <w:ilvl w:val="0"/>
          <w:numId w:val="1026"/>
        </w:numPr>
        <w:pStyle w:val="Compact"/>
      </w:pPr>
      <w:r>
        <w:t xml:space="preserve">Unexpected symptoms such as trembling, sweating, confusion, or impaired consciousness after an injection can indicate hypoglycemia and are an emergency.</w:t>
      </w:r>
    </w:p>
    <w:p>
      <w:pPr>
        <w:numPr>
          <w:ilvl w:val="0"/>
          <w:numId w:val="1026"/>
        </w:numPr>
        <w:pStyle w:val="Compact"/>
      </w:pPr>
      <w:r>
        <w:t xml:space="preserve">Suspicious products and side effects can be reported to the authorities: in Germany to the Federal Institute for Drugs and Medical Devices (BfArM), in Austria to the Federal Office for Safety in Health Care (BASG).</w:t>
      </w:r>
    </w:p>
    <w:bookmarkEnd w:id="210"/>
    <w:bookmarkStart w:id="211" w:name="key-points-in-brief-3"/>
    <w:p>
      <w:pPr>
        <w:pStyle w:val="Heading3"/>
      </w:pPr>
      <w:r>
        <w:t xml:space="preserve">Key Points in Brief</w:t>
      </w:r>
    </w:p>
    <w:p>
      <w:pPr>
        <w:numPr>
          <w:ilvl w:val="0"/>
          <w:numId w:val="1027"/>
        </w:numPr>
        <w:pStyle w:val="Compact"/>
      </w:pPr>
      <w:r>
        <w:t xml:space="preserve">The notice</w:t>
      </w:r>
      <w:r>
        <w:t xml:space="preserve"> </w:t>
      </w:r>
      <w:r>
        <w:t xml:space="preserve">“</w:t>
      </w:r>
      <w:r>
        <w:t xml:space="preserve">for research purposes only</w:t>
      </w:r>
      <w:r>
        <w:t xml:space="preserve">”</w:t>
      </w:r>
      <w:r>
        <w:t xml:space="preserve"> </w:t>
      </w:r>
      <w:r>
        <w:t xml:space="preserve">does not protect against risks; it shifts responsibility to the buyers.</w:t>
      </w:r>
    </w:p>
    <w:p>
      <w:pPr>
        <w:numPr>
          <w:ilvl w:val="0"/>
          <w:numId w:val="1027"/>
        </w:numPr>
        <w:pStyle w:val="Compact"/>
      </w:pPr>
      <w:r>
        <w:t xml:space="preserve">Laboratory analyses of gray-market peptides found too much, too little, the wrong, or no drug at all, as well as impurities and endotoxins.</w:t>
      </w:r>
    </w:p>
    <w:p>
      <w:pPr>
        <w:numPr>
          <w:ilvl w:val="0"/>
          <w:numId w:val="1027"/>
        </w:numPr>
        <w:pStyle w:val="Compact"/>
      </w:pPr>
      <w:r>
        <w:t xml:space="preserve">Counterfeit semaglutide products containing insulin led to life-threatening hypoglycemia.</w:t>
      </w:r>
    </w:p>
    <w:p>
      <w:pPr>
        <w:numPr>
          <w:ilvl w:val="0"/>
          <w:numId w:val="1027"/>
        </w:numPr>
        <w:pStyle w:val="Compact"/>
      </w:pPr>
      <w:r>
        <w:t xml:space="preserve">Compounded preparations from US pharmacies are not tested like approved medicines either.</w:t>
      </w:r>
    </w:p>
    <w:p>
      <w:pPr>
        <w:numPr>
          <w:ilvl w:val="0"/>
          <w:numId w:val="1027"/>
        </w:numPr>
        <w:pStyle w:val="Compact"/>
      </w:pPr>
      <w:r>
        <w:t xml:space="preserve">Even a pure product remains risky if the drug has never been adequately studied in humans.</w:t>
      </w:r>
    </w:p>
    <w:bookmarkEnd w:id="211"/>
    <w:bookmarkEnd w:id="212"/>
    <w:bookmarkStart w:id="230" w:name="legal-framework"/>
    <w:p>
      <w:pPr>
        <w:pStyle w:val="Heading2"/>
      </w:pPr>
      <w:r>
        <w:t xml:space="preserve">Legal Framework</w:t>
      </w:r>
    </w:p>
    <w:p>
      <w:pPr>
        <w:pStyle w:val="FirstParagraph"/>
      </w:pPr>
      <w:r>
        <w:t xml:space="preserve">Whether a peptide is a prescription medicine, a dietary supplement, a cosmetic, or a prohibited doping substance does not depend on the molecule alone. What also matters is what it is intended for, how it is offered, and how it acts in the body. The same collagen peptide can sit on the supermarket shelf as a food; a peptide with demonstrable hormone-like activity, by contrast, is almost always a medicine – regardless of what is on the label. This chapter provides an overview of the rules in the European Union, in Austria, in Germany, and in the USA, as well as the anti-doping regulations.</w:t>
      </w:r>
    </w:p>
    <w:p>
      <w:pPr>
        <w:pStyle w:val="BlockText"/>
      </w:pPr>
      <w:r>
        <w:rPr>
          <w:bCs/>
          <w:b/>
        </w:rPr>
        <w:t xml:space="preserve">Important note:</w:t>
      </w:r>
      <w:r>
        <w:t xml:space="preserve"> </w:t>
      </w:r>
      <w:r>
        <w:t xml:space="preserve">This chapter reflects the status as of 2026 to the best of our knowledge and does not constitute legal advice. Laws, regulations, administrative practice, and the Prohibited List of the World Anti-Doping Agency change regularly. Please check the current legal situation in each individual case and, for specific questions, consult a lawyer or the competent authority.</w:t>
      </w:r>
    </w:p>
    <w:bookmarkStart w:id="213" w:name="three-drawers-medicines-food-cosmetics"/>
    <w:p>
      <w:pPr>
        <w:pStyle w:val="Heading3"/>
      </w:pPr>
      <w:r>
        <w:t xml:space="preserve">Three Drawers: Medicines, Food, Cosmetics</w:t>
      </w:r>
    </w:p>
    <w:p>
      <w:pPr>
        <w:pStyle w:val="FirstParagraph"/>
      </w:pPr>
      <w:r>
        <w:t xml:space="preserve">European law essentially distinguishes three product categories into which peptides can fall. Each has its own rules: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Regulatory review before sale</w:t>
            </w:r>
          </w:p>
        </w:tc>
        <w:tc>
          <w:tcPr/>
          <w:p>
            <w:pPr>
              <w:pStyle w:val="Compact"/>
              <w:jc w:val="left"/>
            </w:pPr>
            <w:r>
              <w:t xml:space="preserve">Typical peptides</w:t>
            </w:r>
          </w:p>
        </w:tc>
      </w:tr>
      <w:tr>
        <w:tc>
          <w:tcPr/>
          <w:p>
            <w:pPr>
              <w:pStyle w:val="Compact"/>
              <w:jc w:val="left"/>
            </w:pPr>
            <w:r>
              <w:t xml:space="preserve">Medicines</w:t>
            </w:r>
          </w:p>
        </w:tc>
        <w:tc>
          <w:tcPr/>
          <w:p>
            <w:pPr>
              <w:pStyle w:val="Compact"/>
              <w:jc w:val="left"/>
            </w:pPr>
            <w:r>
              <w:t xml:space="preserve">marketing authorization with proof of efficacy and safety</w:t>
            </w:r>
          </w:p>
        </w:tc>
        <w:tc>
          <w:tcPr/>
          <w:p>
            <w:pPr>
              <w:pStyle w:val="Compact"/>
              <w:jc w:val="left"/>
            </w:pPr>
            <w:r>
              <w:t xml:space="preserve">insulin, semaglutide, oxytocin</w:t>
            </w:r>
          </w:p>
        </w:tc>
      </w:tr>
      <w:tr>
        <w:tc>
          <w:tcPr/>
          <w:p>
            <w:pPr>
              <w:pStyle w:val="Compact"/>
              <w:jc w:val="left"/>
            </w:pPr>
            <w:r>
              <w:t xml:space="preserve">Food and dietary supplements</w:t>
            </w:r>
          </w:p>
        </w:tc>
        <w:tc>
          <w:tcPr/>
          <w:p>
            <w:pPr>
              <w:pStyle w:val="Compact"/>
              <w:jc w:val="left"/>
            </w:pPr>
            <w:r>
              <w:t xml:space="preserve">no authorization, manufacturer responsible</w:t>
            </w:r>
          </w:p>
        </w:tc>
        <w:tc>
          <w:tcPr/>
          <w:p>
            <w:pPr>
              <w:pStyle w:val="Compact"/>
              <w:jc w:val="left"/>
            </w:pPr>
            <w:r>
              <w:t xml:space="preserve">collagen peptides, milk peptides</w:t>
            </w:r>
          </w:p>
        </w:tc>
      </w:tr>
      <w:tr>
        <w:tc>
          <w:tcPr/>
          <w:p>
            <w:pPr>
              <w:pStyle w:val="Compact"/>
              <w:jc w:val="left"/>
            </w:pPr>
            <w:r>
              <w:t xml:space="preserve">Cosmetics</w:t>
            </w:r>
          </w:p>
        </w:tc>
        <w:tc>
          <w:tcPr/>
          <w:p>
            <w:pPr>
              <w:pStyle w:val="Compact"/>
              <w:jc w:val="left"/>
            </w:pPr>
            <w:r>
              <w:t xml:space="preserve">no authorization, safety assessment by manufacturer</w:t>
            </w:r>
          </w:p>
        </w:tc>
        <w:tc>
          <w:tcPr/>
          <w:p>
            <w:pPr>
              <w:pStyle w:val="Compact"/>
              <w:jc w:val="left"/>
            </w:pPr>
            <w:r>
              <w:t xml:space="preserve">palmitoyl pentapeptide-4, Argireline</w:t>
            </w:r>
          </w:p>
        </w:tc>
      </w:tr>
    </w:tbl>
    <w:p>
      <w:pPr>
        <w:pStyle w:val="BodyText"/>
      </w:pPr>
      <w:r>
        <w:t xml:space="preserve">In addition, there are substances that do not lawfully fit into any of these categories – for example, unapproved active substances with pharmacological activity that are sold as</w:t>
      </w:r>
      <w:r>
        <w:t xml:space="preserve"> </w:t>
      </w:r>
      <w:r>
        <w:t xml:space="preserve">“</w:t>
      </w:r>
      <w:r>
        <w:t xml:space="preserve">research chemicals.</w:t>
      </w:r>
      <w:r>
        <w:t xml:space="preserve">”</w:t>
      </w:r>
      <w:r>
        <w:t xml:space="preserve"> </w:t>
      </w:r>
      <w:r>
        <w:t xml:space="preserve">For them, there is no legal route onto the market as a product for human use.</w:t>
      </w:r>
    </w:p>
    <w:bookmarkEnd w:id="213"/>
    <w:bookmarkStart w:id="214" w:name="what-a-medicine-is"/>
    <w:p>
      <w:pPr>
        <w:pStyle w:val="Heading3"/>
      </w:pPr>
      <w:r>
        <w:t xml:space="preserve">What a Medicine Is</w:t>
      </w:r>
    </w:p>
    <w:p>
      <w:pPr>
        <w:pStyle w:val="FirstParagraph"/>
      </w:pPr>
      <w:r>
        <w:t xml:space="preserve">The definition of a medicinal product is laid down in the EU by a directive (Directive 2001/83/EC) and implemented in the national medicines laws. It has two sides:</w:t>
      </w:r>
    </w:p>
    <w:p>
      <w:pPr>
        <w:numPr>
          <w:ilvl w:val="0"/>
          <w:numId w:val="1028"/>
        </w:numPr>
        <w:pStyle w:val="Compact"/>
      </w:pPr>
      <w:r>
        <w:rPr>
          <w:bCs/>
          <w:b/>
        </w:rPr>
        <w:t xml:space="preserve">Medicinal product by presentation</w:t>
      </w:r>
      <w:r>
        <w:t xml:space="preserve">: A product is a medicine if it is</w:t>
      </w:r>
      <w:r>
        <w:t xml:space="preserve"> </w:t>
      </w:r>
      <w:r>
        <w:rPr>
          <w:bCs/>
          <w:b/>
        </w:rPr>
        <w:t xml:space="preserve">presented</w:t>
      </w:r>
      <w:r>
        <w:t xml:space="preserve"> </w:t>
      </w:r>
      <w:r>
        <w:t xml:space="preserve">as a means of treating or preventing disease. Even advertising with claims such as</w:t>
      </w:r>
      <w:r>
        <w:t xml:space="preserve"> </w:t>
      </w:r>
      <w:r>
        <w:t xml:space="preserve">“</w:t>
      </w:r>
      <w:r>
        <w:t xml:space="preserve">accelerates the healing of tendon injuries</w:t>
      </w:r>
      <w:r>
        <w:t xml:space="preserve">”</w:t>
      </w:r>
      <w:r>
        <w:t xml:space="preserve"> </w:t>
      </w:r>
      <w:r>
        <w:t xml:space="preserve">can make a product a medicine.</w:t>
      </w:r>
    </w:p>
    <w:p>
      <w:pPr>
        <w:numPr>
          <w:ilvl w:val="0"/>
          <w:numId w:val="1028"/>
        </w:numPr>
        <w:pStyle w:val="Compact"/>
      </w:pPr>
      <w:r>
        <w:rPr>
          <w:bCs/>
          <w:b/>
        </w:rPr>
        <w:t xml:space="preserve">Medicinal product by function</w:t>
      </w:r>
      <w:r>
        <w:t xml:space="preserve">: A product is a medicine if it can restore, correct, or modify human physiological functions through a</w:t>
      </w:r>
      <w:r>
        <w:t xml:space="preserve"> </w:t>
      </w:r>
      <w:r>
        <w:rPr>
          <w:bCs/>
          <w:b/>
        </w:rPr>
        <w:t xml:space="preserve">pharmacological, immunological, or metabolic action</w:t>
      </w:r>
      <w:r>
        <w:t xml:space="preserve"> </w:t>
      </w:r>
      <w:r>
        <w:t xml:space="preserve">– regardless of how it is advertised.</w:t>
      </w:r>
    </w:p>
    <w:p>
      <w:pPr>
        <w:pStyle w:val="FirstParagraph"/>
      </w:pPr>
      <w:r>
        <w:t xml:space="preserve">If a product falls both under the definition of a medicine and under that of another product, medicines law takes precedence in case of doubt under this directive. For peptides with hormone-like activity – such as growth hormone secretagogues, GLP-1 analogs, or melanotan – this means: they are as a rule medicines, even if they are declared as dietary supplements, cosmetics, or</w:t>
      </w:r>
      <w:r>
        <w:t xml:space="preserve"> </w:t>
      </w:r>
      <w:r>
        <w:t xml:space="preserve">“</w:t>
      </w:r>
      <w:r>
        <w:t xml:space="preserve">research chemicals.</w:t>
      </w:r>
      <w:r>
        <w:t xml:space="preserve">”</w:t>
      </w:r>
    </w:p>
    <w:bookmarkEnd w:id="214"/>
    <w:bookmarkStart w:id="215" w:name="authorization-in-the-eu"/>
    <w:p>
      <w:pPr>
        <w:pStyle w:val="Heading3"/>
      </w:pPr>
      <w:r>
        <w:t xml:space="preserve">Authorization in the EU</w:t>
      </w:r>
    </w:p>
    <w:p>
      <w:pPr>
        <w:pStyle w:val="FirstParagraph"/>
      </w:pPr>
      <w:r>
        <w:t xml:space="preserve">A medicine may only be placed on the market in the EU if it is authorized. For authorization, the manufacturer must submit data on quality, efficacy, and safety – usually from the phase 3 trials described in the chapter</w:t>
      </w:r>
      <w:r>
        <w:t xml:space="preserve"> </w:t>
      </w:r>
      <w:r>
        <w:t xml:space="preserve">“</w:t>
      </w:r>
      <w:r>
        <w:t xml:space="preserve">Reading Studies Correctly.</w:t>
      </w:r>
      <w:r>
        <w:t xml:space="preserve">”</w:t>
      </w:r>
    </w:p>
    <w:p>
      <w:pPr>
        <w:pStyle w:val="BodyText"/>
      </w:pPr>
      <w:r>
        <w:t xml:space="preserve">There are two main routes:</w:t>
      </w:r>
    </w:p>
    <w:p>
      <w:pPr>
        <w:numPr>
          <w:ilvl w:val="0"/>
          <w:numId w:val="1029"/>
        </w:numPr>
        <w:pStyle w:val="Compact"/>
      </w:pPr>
      <w:r>
        <w:rPr>
          <w:bCs/>
          <w:b/>
        </w:rPr>
        <w:t xml:space="preserve">Centralized procedure</w:t>
      </w:r>
      <w:r>
        <w:t xml:space="preserve"> </w:t>
      </w:r>
      <w:r>
        <w:t xml:space="preserve">via the European Medicines Agency (EMA). The authorization is then valid in all member states. This route is mandatory for biotechnologically produced medicines and new active substances for certain diseases – including diabetes. Most modern peptide medicines are centrally authorized.</w:t>
      </w:r>
    </w:p>
    <w:p>
      <w:pPr>
        <w:numPr>
          <w:ilvl w:val="0"/>
          <w:numId w:val="1029"/>
        </w:numPr>
        <w:pStyle w:val="Compact"/>
      </w:pPr>
      <w:r>
        <w:rPr>
          <w:bCs/>
          <w:b/>
        </w:rPr>
        <w:t xml:space="preserve">National and decentralized procedures</w:t>
      </w:r>
      <w:r>
        <w:t xml:space="preserve"> </w:t>
      </w:r>
      <w:r>
        <w:t xml:space="preserve">via the authorities of the member states: in Austria the Federal Office for Safety in Health Care (BASG), in Germany the Federal Institute for Drugs and Medical Devices (BfArM) or, for certain biological medicines, the Paul-Ehrlich-Institut.</w:t>
      </w:r>
    </w:p>
    <w:p>
      <w:pPr>
        <w:pStyle w:val="FirstParagraph"/>
      </w:pPr>
      <w:r>
        <w:t xml:space="preserve">Together with the authorization, it is determined whether a medicine is</w:t>
      </w:r>
      <w:r>
        <w:t xml:space="preserve"> </w:t>
      </w:r>
      <w:r>
        <w:rPr>
          <w:bCs/>
          <w:b/>
        </w:rPr>
        <w:t xml:space="preserve">prescription-only</w:t>
      </w:r>
      <w:r>
        <w:t xml:space="preserve">. Almost all peptide medicines are. The exact indications, dosages, contraindications, and side effects are set out in the</w:t>
      </w:r>
      <w:r>
        <w:t xml:space="preserve"> </w:t>
      </w:r>
      <w:r>
        <w:rPr>
          <w:bCs/>
          <w:b/>
        </w:rPr>
        <w:t xml:space="preserve">summary of product characteristics</w:t>
      </w:r>
      <w:r>
        <w:t xml:space="preserve"> </w:t>
      </w:r>
      <w:r>
        <w:t xml:space="preserve">(for professionals) and the</w:t>
      </w:r>
      <w:r>
        <w:t xml:space="preserve"> </w:t>
      </w:r>
      <w:r>
        <w:rPr>
          <w:bCs/>
          <w:b/>
        </w:rPr>
        <w:t xml:space="preserve">package leaflet</w:t>
      </w:r>
      <w:r>
        <w:t xml:space="preserve"> </w:t>
      </w:r>
      <w:r>
        <w:t xml:space="preserve">(patient information). The authorization applies to specific indications. Under certain conditions, physicians may also prescribe an authorized medicine outside these indications (</w:t>
      </w:r>
      <w:r>
        <w:t xml:space="preserve">“</w:t>
      </w:r>
      <w:r>
        <w:t xml:space="preserve">off-label use</w:t>
      </w:r>
      <w:r>
        <w:t xml:space="preserve">”</w:t>
      </w:r>
      <w:r>
        <w:t xml:space="preserve">), but they then bear increased responsibility for informing the patient and weighing the risks; as a rule, the costs are not covered by health insurance.</w:t>
      </w:r>
    </w:p>
    <w:p>
      <w:pPr>
        <w:pStyle w:val="BodyText"/>
      </w:pPr>
      <w:r>
        <w:t xml:space="preserve">Some peptides that appear in this book are approved in other countries but not in the EU – for example, some preparations used in Russia. A foreign approval does not make a product marketable in the EU.</w:t>
      </w:r>
    </w:p>
    <w:bookmarkEnd w:id="215"/>
    <w:bookmarkStart w:id="217" w:name="dietary-supplements"/>
    <w:p>
      <w:pPr>
        <w:pStyle w:val="Heading3"/>
      </w:pPr>
      <w:r>
        <w:t xml:space="preserve">Dietary Supplements</w:t>
      </w:r>
    </w:p>
    <w:p>
      <w:pPr>
        <w:pStyle w:val="FirstParagraph"/>
      </w:pPr>
      <w:r>
        <w:t xml:space="preserve">Legally, dietary supplements are foods. They are intended to supplement the normal diet and contain nutrients or other substances with a nutritional or physiological effect (Directive 2002/46/EC). They require</w:t>
      </w:r>
      <w:r>
        <w:t xml:space="preserve"> </w:t>
      </w:r>
      <w:r>
        <w:rPr>
          <w:bCs/>
          <w:b/>
        </w:rPr>
        <w:t xml:space="preserve">no authorization</w:t>
      </w:r>
      <w:r>
        <w:t xml:space="preserve">. Depending on the country, they must be notified to an authority before first sale; in Germany, for example, to the Federal Office of Consumer Protection and Food Safety. The manufacturer is responsible for safety, and food control authorities carry out spot checks.</w:t>
      </w:r>
    </w:p>
    <w:p>
      <w:pPr>
        <w:pStyle w:val="BodyText"/>
      </w:pPr>
      <w:r>
        <w:t xml:space="preserve">Important limits:</w:t>
      </w:r>
    </w:p>
    <w:p>
      <w:pPr>
        <w:numPr>
          <w:ilvl w:val="0"/>
          <w:numId w:val="1030"/>
        </w:numPr>
        <w:pStyle w:val="Compact"/>
      </w:pPr>
      <w:r>
        <w:t xml:space="preserve">A substance with pharmacological activity cannot be a dietary supplement. If it is nevertheless sold as such, it is an unauthorized medicine.</w:t>
      </w:r>
    </w:p>
    <w:p>
      <w:pPr>
        <w:numPr>
          <w:ilvl w:val="0"/>
          <w:numId w:val="1030"/>
        </w:numPr>
        <w:pStyle w:val="Compact"/>
      </w:pPr>
      <w:r>
        <w:rPr>
          <w:bCs/>
          <w:b/>
        </w:rPr>
        <w:t xml:space="preserve">Health claims</w:t>
      </w:r>
      <w:r>
        <w:t xml:space="preserve"> </w:t>
      </w:r>
      <w:r>
        <w:t xml:space="preserve">such as</w:t>
      </w:r>
      <w:r>
        <w:t xml:space="preserve"> </w:t>
      </w:r>
      <w:r>
        <w:t xml:space="preserve">“</w:t>
      </w:r>
      <w:r>
        <w:t xml:space="preserve">supports the joints</w:t>
      </w:r>
      <w:r>
        <w:t xml:space="preserve">”</w:t>
      </w:r>
      <w:r>
        <w:t xml:space="preserve"> </w:t>
      </w:r>
      <w:r>
        <w:t xml:space="preserve">or</w:t>
      </w:r>
      <w:r>
        <w:t xml:space="preserve"> </w:t>
      </w:r>
      <w:r>
        <w:t xml:space="preserve">“</w:t>
      </w:r>
      <w:r>
        <w:t xml:space="preserve">lowers blood pressure</w:t>
      </w:r>
      <w:r>
        <w:t xml:space="preserve">”</w:t>
      </w:r>
      <w:r>
        <w:t xml:space="preserve"> </w:t>
      </w:r>
      <w:r>
        <w:t xml:space="preserve">are only permitted if they have been authorized by the EU after review by the European Food Safety Authority (EFSA) and are included in a list (Regulation (EC) No 1924/2006). To our knowledge, there is no authorized claim for many of the advertised effects of peptide foods. Advertising that nevertheless promises such an effect is not permitted.</w:t>
      </w:r>
    </w:p>
    <w:p>
      <w:pPr>
        <w:numPr>
          <w:ilvl w:val="0"/>
          <w:numId w:val="1030"/>
        </w:numPr>
        <w:pStyle w:val="Compact"/>
      </w:pPr>
      <w:r>
        <w:rPr>
          <w:bCs/>
          <w:b/>
        </w:rPr>
        <w:t xml:space="preserve">Disease-related claims</w:t>
      </w:r>
      <w:r>
        <w:t xml:space="preserve"> </w:t>
      </w:r>
      <w:r>
        <w:t xml:space="preserve">(such as</w:t>
      </w:r>
      <w:r>
        <w:t xml:space="preserve"> </w:t>
      </w:r>
      <w:r>
        <w:t xml:space="preserve">“</w:t>
      </w:r>
      <w:r>
        <w:t xml:space="preserve">works against osteoarthritis</w:t>
      </w:r>
      <w:r>
        <w:t xml:space="preserve">”</w:t>
      </w:r>
      <w:r>
        <w:t xml:space="preserve">) are generally prohibited for foods.</w:t>
      </w:r>
    </w:p>
    <w:p>
      <w:pPr>
        <w:pStyle w:val="FirstParagraph"/>
      </w:pPr>
      <w:r>
        <w:t xml:space="preserve">That dietary supplements are not free of prohibited substances either is shown by a case from an anti-doping laboratory: the growth hormone-releasing peptide GHRP-2 was detected in tablets offered as an over-the-counter dietary supplement</w:t>
      </w:r>
      <w:r>
        <w:rPr>
          <w:rStyle w:val="FootnoteReference"/>
        </w:rPr>
        <w:footnoteReference w:id="216"/>
      </w:r>
      <w:r>
        <w:t xml:space="preserve">.</w:t>
      </w:r>
    </w:p>
    <w:bookmarkEnd w:id="217"/>
    <w:bookmarkStart w:id="218" w:name="novel-food"/>
    <w:p>
      <w:pPr>
        <w:pStyle w:val="Heading3"/>
      </w:pPr>
      <w:r>
        <w:t xml:space="preserve">Novel Food</w:t>
      </w:r>
    </w:p>
    <w:p>
      <w:pPr>
        <w:pStyle w:val="FirstParagraph"/>
      </w:pPr>
      <w:r>
        <w:t xml:space="preserve">A separate hurdle for foods is the</w:t>
      </w:r>
      <w:r>
        <w:t xml:space="preserve"> </w:t>
      </w:r>
      <w:r>
        <w:rPr>
          <w:bCs/>
          <w:b/>
        </w:rPr>
        <w:t xml:space="preserve">Novel Food Regulation</w:t>
      </w:r>
      <w:r>
        <w:t xml:space="preserve"> </w:t>
      </w:r>
      <w:r>
        <w:t xml:space="preserve">(Regulation (EU) 2015/2283). Foods and ingredients that were not used for human consumption to a significant degree in the EU before May 15, 1997, are considered</w:t>
      </w:r>
      <w:r>
        <w:t xml:space="preserve"> </w:t>
      </w:r>
      <w:r>
        <w:t xml:space="preserve">“</w:t>
      </w:r>
      <w:r>
        <w:t xml:space="preserve">novel.</w:t>
      </w:r>
      <w:r>
        <w:t xml:space="preserve">”</w:t>
      </w:r>
      <w:r>
        <w:t xml:space="preserve"> </w:t>
      </w:r>
      <w:r>
        <w:t xml:space="preserve">They may only be sold after a safety assessment and authorization by the EU.</w:t>
      </w:r>
    </w:p>
    <w:p>
      <w:pPr>
        <w:pStyle w:val="BodyText"/>
      </w:pPr>
      <w:r>
        <w:t xml:space="preserve">For peptides, this means: collagen hydrolysates from gelatin have a long history of consumption and are not novel foods. A newly synthesized peptide with no history of consumption that is to be sold as a food, on the other hand, would in principle be a novel food and would require authorization – unless it must be classified as a medicine anyway because of its pharmacological activity. Whether a substance counts as a novel food must be examined on a case-by-case basis; the European Commission maintains a catalog for this purpose.</w:t>
      </w:r>
    </w:p>
    <w:bookmarkEnd w:id="218"/>
    <w:bookmarkStart w:id="219" w:name="cosmetics"/>
    <w:p>
      <w:pPr>
        <w:pStyle w:val="Heading3"/>
      </w:pPr>
      <w:r>
        <w:t xml:space="preserve">Cosmetics</w:t>
      </w:r>
    </w:p>
    <w:p>
      <w:pPr>
        <w:pStyle w:val="FirstParagraph"/>
      </w:pPr>
      <w:r>
        <w:t xml:space="preserve">Cosmetic products are regulated in the EU by the Cosmetics Regulation (Regulation (EC) No 1223/2009). They are intended for external application to the skin, hair, nails, lips, teeth, or mucous membranes of the oral cavity – for cleansing, care, protection, or changing appearance.</w:t>
      </w:r>
    </w:p>
    <w:p>
      <w:pPr>
        <w:numPr>
          <w:ilvl w:val="0"/>
          <w:numId w:val="1031"/>
        </w:numPr>
        <w:pStyle w:val="Compact"/>
      </w:pPr>
      <w:r>
        <w:t xml:space="preserve">Cosmetics require</w:t>
      </w:r>
      <w:r>
        <w:t xml:space="preserve"> </w:t>
      </w:r>
      <w:r>
        <w:rPr>
          <w:bCs/>
          <w:b/>
        </w:rPr>
        <w:t xml:space="preserve">no authorization</w:t>
      </w:r>
      <w:r>
        <w:t xml:space="preserve">. However, a responsible person in the EU must provide a safety assessment and notify the product in an EU portal before sale.</w:t>
      </w:r>
    </w:p>
    <w:p>
      <w:pPr>
        <w:numPr>
          <w:ilvl w:val="0"/>
          <w:numId w:val="1031"/>
        </w:numPr>
        <w:pStyle w:val="Compact"/>
      </w:pPr>
      <w:r>
        <w:t xml:space="preserve">Certain substances are prohibited or only permitted with restrictions.</w:t>
      </w:r>
    </w:p>
    <w:p>
      <w:pPr>
        <w:numPr>
          <w:ilvl w:val="0"/>
          <w:numId w:val="1031"/>
        </w:numPr>
        <w:pStyle w:val="Compact"/>
      </w:pPr>
      <w:r>
        <w:t xml:space="preserve">Advertising claims must be substantiated and must not be misleading. Claims about treating diseases are not permitted.</w:t>
      </w:r>
    </w:p>
    <w:p>
      <w:pPr>
        <w:numPr>
          <w:ilvl w:val="0"/>
          <w:numId w:val="1031"/>
        </w:numPr>
        <w:pStyle w:val="Compact"/>
      </w:pPr>
      <w:r>
        <w:rPr>
          <w:bCs/>
          <w:b/>
        </w:rPr>
        <w:t xml:space="preserve">Anything that is injected is never a cosmetic.</w:t>
      </w:r>
      <w:r>
        <w:t xml:space="preserve"> </w:t>
      </w:r>
      <w:r>
        <w:t xml:space="preserve">Injections do not fall under the definition of cosmetic products.</w:t>
      </w:r>
    </w:p>
    <w:p>
      <w:pPr>
        <w:pStyle w:val="FirstParagraph"/>
      </w:pPr>
      <w:r>
        <w:t xml:space="preserve">Cosmetic peptides such as palmitoyl pentapeptide-4 or acetyl hexapeptide-8 are therefore legal in creams and serums. A peptide such as melanotan II, which is injected under the skin and acts throughout the body, is by contrast not a cosmetic, even if it is advertised as a</w:t>
      </w:r>
      <w:r>
        <w:t xml:space="preserve"> </w:t>
      </w:r>
      <w:r>
        <w:t xml:space="preserve">“</w:t>
      </w:r>
      <w:r>
        <w:t xml:space="preserve">tanning agent.</w:t>
      </w:r>
      <w:r>
        <w:t xml:space="preserve">”</w:t>
      </w:r>
    </w:p>
    <w:bookmarkEnd w:id="219"/>
    <w:bookmarkStart w:id="220" w:name="austria"/>
    <w:p>
      <w:pPr>
        <w:pStyle w:val="Heading3"/>
      </w:pPr>
      <w:r>
        <w:t xml:space="preserve">Austria</w:t>
      </w:r>
    </w:p>
    <w:p>
      <w:pPr>
        <w:pStyle w:val="FirstParagraph"/>
      </w:pPr>
      <w:r>
        <w:t xml:space="preserve">In Austria, the</w:t>
      </w:r>
      <w:r>
        <w:t xml:space="preserve"> </w:t>
      </w:r>
      <w:r>
        <w:rPr>
          <w:bCs/>
          <w:b/>
        </w:rPr>
        <w:t xml:space="preserve">Medicinal Products Act (Arzneimittelgesetz, AMG)</w:t>
      </w:r>
      <w:r>
        <w:t xml:space="preserve"> </w:t>
      </w:r>
      <w:r>
        <w:t xml:space="preserve">governs the authorization, manufacture, and dispensing of medicines. Responsibility for authorization and surveillance lies with the Federal Office for Safety in Health Care (BASG) together with AGES Medicines and Medical Devices Agency. Prescription medicines are dispensed only in pharmacies against a prescription; mail order from pharmacies is limited to non-prescription medicines.</w:t>
      </w:r>
    </w:p>
    <w:p>
      <w:pPr>
        <w:pStyle w:val="BodyText"/>
      </w:pPr>
      <w:r>
        <w:t xml:space="preserve">The import of medicines is governed by the</w:t>
      </w:r>
      <w:r>
        <w:t xml:space="preserve"> </w:t>
      </w:r>
      <w:r>
        <w:rPr>
          <w:bCs/>
          <w:b/>
        </w:rPr>
        <w:t xml:space="preserve">Medicinal Products Import Act (Arzneiwareneinfuhrgesetz)</w:t>
      </w:r>
      <w:r>
        <w:t xml:space="preserve">. Private individuals may import medicines only under certain conditions and in quantities for personal use; stricter rules apply to orders from countries outside the European Economic Area. Unapproved active substances from</w:t>
      </w:r>
      <w:r>
        <w:t xml:space="preserve"> </w:t>
      </w:r>
      <w:r>
        <w:t xml:space="preserve">“</w:t>
      </w:r>
      <w:r>
        <w:t xml:space="preserve">research chemical</w:t>
      </w:r>
      <w:r>
        <w:t xml:space="preserve">”</w:t>
      </w:r>
      <w:r>
        <w:t xml:space="preserve"> </w:t>
      </w:r>
      <w:r>
        <w:t xml:space="preserve">shops as a rule do not meet these conditions. Customs can seize such shipments.</w:t>
      </w:r>
    </w:p>
    <w:p>
      <w:pPr>
        <w:pStyle w:val="BodyText"/>
      </w:pPr>
      <w:r>
        <w:t xml:space="preserve">For sport, the</w:t>
      </w:r>
      <w:r>
        <w:t xml:space="preserve"> </w:t>
      </w:r>
      <w:r>
        <w:rPr>
          <w:bCs/>
          <w:b/>
        </w:rPr>
        <w:t xml:space="preserve">Federal Anti-Doping Act 2021 (Anti-Doping-Bundesgesetz 2021)</w:t>
      </w:r>
      <w:r>
        <w:t xml:space="preserve"> </w:t>
      </w:r>
      <w:r>
        <w:t xml:space="preserve">applies. It refers to the Prohibited List of the World Anti-Doping Agency and contains prohibitions and penal provisions, in particular for placing prohibited substances on the market and passing them on. The National Anti-Doping Agency Austria (NADA Austria) is responsible for testing.</w:t>
      </w:r>
    </w:p>
    <w:p>
      <w:pPr>
        <w:pStyle w:val="BodyText"/>
      </w:pPr>
      <w:r>
        <w:t xml:space="preserve">Status as of 2026; please check for current information.</w:t>
      </w:r>
    </w:p>
    <w:bookmarkEnd w:id="220"/>
    <w:bookmarkStart w:id="221" w:name="germany"/>
    <w:p>
      <w:pPr>
        <w:pStyle w:val="Heading3"/>
      </w:pPr>
      <w:r>
        <w:t xml:space="preserve">Germany</w:t>
      </w:r>
    </w:p>
    <w:p>
      <w:pPr>
        <w:pStyle w:val="FirstParagraph"/>
      </w:pPr>
      <w:r>
        <w:t xml:space="preserve">In Germany, the</w:t>
      </w:r>
      <w:r>
        <w:t xml:space="preserve"> </w:t>
      </w:r>
      <w:r>
        <w:rPr>
          <w:bCs/>
          <w:b/>
        </w:rPr>
        <w:t xml:space="preserve">Medicinal Products Act (Arzneimittelgesetz, AMG)</w:t>
      </w:r>
      <w:r>
        <w:t xml:space="preserve"> </w:t>
      </w:r>
      <w:r>
        <w:t xml:space="preserve">applies. The licensing authorities are the BfArM and the Paul-Ehrlich-Institut. Prescription medicines may only be dispensed against a prescription, including by mail order through licensed mail-order pharmacies.</w:t>
      </w:r>
    </w:p>
    <w:p>
      <w:pPr>
        <w:pStyle w:val="BodyText"/>
      </w:pPr>
      <w:r>
        <w:t xml:space="preserve">For imports, there is in principle a ban on bringing unauthorized medicines into Germany. An exception exists for personal use if the medicine is lawfully on the market in the country of origin and is obtained from a member state of the EU or the European Economic Area without commercial intermediation; in addition, there are narrowly limited special rules. In our understanding, this exception does not apply to gray-market peptides that are not authorized as medicines anywhere.</w:t>
      </w:r>
    </w:p>
    <w:p>
      <w:pPr>
        <w:pStyle w:val="BodyText"/>
      </w:pPr>
      <w:r>
        <w:t xml:space="preserve">Anyone who manufactures, places on the market, or supplies medicines to others without a license may be liable to prosecution under the AMG. This applies in particular to so-called questionable medicines, for which there is a justified suspicion of harmful effects.</w:t>
      </w:r>
    </w:p>
    <w:p>
      <w:pPr>
        <w:pStyle w:val="BodyText"/>
      </w:pPr>
      <w:r>
        <w:t xml:space="preserve">For sport, the</w:t>
      </w:r>
      <w:r>
        <w:t xml:space="preserve"> </w:t>
      </w:r>
      <w:r>
        <w:rPr>
          <w:bCs/>
          <w:b/>
        </w:rPr>
        <w:t xml:space="preserve">Anti-Doping Act (Anti-Doping-Gesetz, AntiDopG)</w:t>
      </w:r>
      <w:r>
        <w:t xml:space="preserve"> </w:t>
      </w:r>
      <w:r>
        <w:t xml:space="preserve">applies in addition. Among other things, it prohibits the manufacture, trafficking, and placing on the market of doping substances as well as their use on others. Acquisition and possession of certain substances listed in an annex to the act – including peptide hormones – in not insignificant quantities for doping purposes are punishable. For elite athletes, self-doping is also a criminal offense. The National Anti Doping Agency Germany (NADA) is responsible for testing.</w:t>
      </w:r>
    </w:p>
    <w:p>
      <w:pPr>
        <w:pStyle w:val="BodyText"/>
      </w:pPr>
      <w:r>
        <w:t xml:space="preserve">Status as of 2026; please check for current information.</w:t>
      </w:r>
    </w:p>
    <w:bookmarkEnd w:id="221"/>
    <w:bookmarkStart w:id="224" w:name="usa"/>
    <w:p>
      <w:pPr>
        <w:pStyle w:val="Heading3"/>
      </w:pPr>
      <w:r>
        <w:t xml:space="preserve">USA</w:t>
      </w:r>
    </w:p>
    <w:p>
      <w:pPr>
        <w:pStyle w:val="FirstParagraph"/>
      </w:pPr>
      <w:r>
        <w:t xml:space="preserve">In the USA, the</w:t>
      </w:r>
      <w:r>
        <w:t xml:space="preserve"> </w:t>
      </w:r>
      <w:r>
        <w:rPr>
          <w:bCs/>
          <w:b/>
        </w:rPr>
        <w:t xml:space="preserve">Food and Drug Administration (FDA)</w:t>
      </w:r>
      <w:r>
        <w:t xml:space="preserve"> </w:t>
      </w:r>
      <w:r>
        <w:t xml:space="preserve">is responsible. New medicines require approval (for chemically produced active substances via a</w:t>
      </w:r>
      <w:r>
        <w:t xml:space="preserve"> </w:t>
      </w:r>
      <w:r>
        <w:t xml:space="preserve">“</w:t>
      </w:r>
      <w:r>
        <w:t xml:space="preserve">New Drug Application,</w:t>
      </w:r>
      <w:r>
        <w:t xml:space="preserve">”</w:t>
      </w:r>
      <w:r>
        <w:t xml:space="preserve"> </w:t>
      </w:r>
      <w:r>
        <w:t xml:space="preserve">for biological active substances via a</w:t>
      </w:r>
      <w:r>
        <w:t xml:space="preserve"> </w:t>
      </w:r>
      <w:r>
        <w:t xml:space="preserve">“</w:t>
      </w:r>
      <w:r>
        <w:t xml:space="preserve">Biologics License Application</w:t>
      </w:r>
      <w:r>
        <w:t xml:space="preserve">”</w:t>
      </w:r>
      <w:r>
        <w:t xml:space="preserve">).</w:t>
      </w:r>
    </w:p>
    <w:p>
      <w:pPr>
        <w:pStyle w:val="BodyText"/>
      </w:pPr>
      <w:r>
        <w:rPr>
          <w:bCs/>
          <w:b/>
        </w:rPr>
        <w:t xml:space="preserve">Dietary supplements</w:t>
      </w:r>
      <w:r>
        <w:t xml:space="preserve"> </w:t>
      </w:r>
      <w:r>
        <w:t xml:space="preserve">have been marketable largely without prior review since a law passed in 1994. However, a substance that was first approved as a drug or substantially investigated clinically as a drug may in principle not subsequently be sold as a dietary supplement. For this reason, many peptides cannot legally be marketed as supplements in the USA.</w:t>
      </w:r>
    </w:p>
    <w:p>
      <w:pPr>
        <w:pStyle w:val="BodyText"/>
      </w:pPr>
      <w:r>
        <w:rPr>
          <w:bCs/>
          <w:b/>
        </w:rPr>
        <w:t xml:space="preserve">Compounding</w:t>
      </w:r>
      <w:r>
        <w:t xml:space="preserve">: Under certain conditions, US pharmacies may prepare medicines themselves – individually for specific patients or on a larger scale in specially supervised facilities. During shortages of approved medicines, they may also produce copies. Since the end of the shortages of semaglutide and tirzepatide, under US law they may only produce differing preparations</w:t>
      </w:r>
      <w:r>
        <w:rPr>
          <w:rStyle w:val="FootnoteReference"/>
        </w:rPr>
        <w:footnoteReference w:id="222"/>
      </w:r>
      <w:r>
        <w:t xml:space="preserve">. The FDA specifies in lists which active substances may be used as bulk substances for compounding. To our knowledge, the FDA has classified several popular gray-market peptides, including BPC-157, as unsuitable for compounding because of safety concerns. These lists and the political debate about them are changing; please check the current status.</w:t>
      </w:r>
    </w:p>
    <w:p>
      <w:pPr>
        <w:pStyle w:val="BodyText"/>
      </w:pPr>
      <w:r>
        <w:rPr>
          <w:bCs/>
          <w:b/>
        </w:rPr>
        <w:t xml:space="preserve">“</w:t>
      </w:r>
      <w:r>
        <w:rPr>
          <w:bCs/>
          <w:b/>
        </w:rPr>
        <w:t xml:space="preserve">Research Use Only</w:t>
      </w:r>
      <w:r>
        <w:rPr>
          <w:bCs/>
          <w:b/>
        </w:rPr>
        <w:t xml:space="preserve">”</w:t>
      </w:r>
      <w:r>
        <w:t xml:space="preserve">: In the USA, too, the sale of peptides labeled</w:t>
      </w:r>
      <w:r>
        <w:t xml:space="preserve"> </w:t>
      </w:r>
      <w:r>
        <w:t xml:space="preserve">“</w:t>
      </w:r>
      <w:r>
        <w:t xml:space="preserve">for research purposes only</w:t>
      </w:r>
      <w:r>
        <w:t xml:space="preserve">”</w:t>
      </w:r>
      <w:r>
        <w:t xml:space="preserve"> </w:t>
      </w:r>
      <w:r>
        <w:t xml:space="preserve">to consumers takes place in a legal gray area that experts describe as a circumvention of prescription requirements</w:t>
      </w:r>
      <w:r>
        <w:rPr>
          <w:rStyle w:val="FootnoteReference"/>
        </w:rPr>
        <w:footnoteReference w:id="223"/>
      </w:r>
      <w:r>
        <w:t xml:space="preserve">. The FDA has sent warning letters to individual vendors.</w:t>
      </w:r>
    </w:p>
    <w:p>
      <w:pPr>
        <w:pStyle w:val="BodyText"/>
      </w:pPr>
      <w:r>
        <w:rPr>
          <w:bCs/>
          <w:b/>
        </w:rPr>
        <w:t xml:space="preserve">Import</w:t>
      </w:r>
      <w:r>
        <w:t xml:space="preserve">: Under narrow conditions, the FDA tolerates the import of small quantities of medicines for personal use. There is no legal entitlement to this, and unapproved active substances without medical supervision are generally not covered.</w:t>
      </w:r>
    </w:p>
    <w:p>
      <w:pPr>
        <w:pStyle w:val="BodyText"/>
      </w:pPr>
      <w:r>
        <w:t xml:space="preserve">Status as of 2026; please check for current information.</w:t>
      </w:r>
    </w:p>
    <w:bookmarkEnd w:id="224"/>
    <w:bookmarkStart w:id="226" w:name="doping-the-wada-prohibited-list"/>
    <w:p>
      <w:pPr>
        <w:pStyle w:val="Heading3"/>
      </w:pPr>
      <w:r>
        <w:t xml:space="preserve">Doping: The WADA Prohibited List</w:t>
      </w:r>
    </w:p>
    <w:p>
      <w:pPr>
        <w:pStyle w:val="FirstParagraph"/>
      </w:pPr>
      <w:r>
        <w:t xml:space="preserve">For athletes who are subject to doping controls, the</w:t>
      </w:r>
      <w:r>
        <w:t xml:space="preserve"> </w:t>
      </w:r>
      <w:r>
        <w:rPr>
          <w:bCs/>
          <w:b/>
        </w:rPr>
        <w:t xml:space="preserve">Prohibited List of the World Anti-Doping Agency (WADA)</w:t>
      </w:r>
      <w:r>
        <w:t xml:space="preserve"> </w:t>
      </w:r>
      <w:r>
        <w:t xml:space="preserve">is authoritative. It is revised annually and comes into force on January 1 of each year. For peptides, two sections that apply both in and out of competition are particularly important:</w:t>
      </w:r>
    </w:p>
    <w:p>
      <w:pPr>
        <w:pStyle w:val="BodyText"/>
      </w:pPr>
      <w:r>
        <w:rPr>
          <w:bCs/>
          <w:b/>
        </w:rPr>
        <w:t xml:space="preserve">S0 – Non-approved substances.</w:t>
      </w:r>
      <w:r>
        <w:t xml:space="preserve"> </w:t>
      </w:r>
      <w:r>
        <w:t xml:space="preserve">Prohibited are pharmacologically active substances that are not addressed by any other section of the list and are not approved by any health authority for human use – for example, drugs in preclinical or clinical development, discontinued developments, designer drugs, and substances approved only for veterinary use. Many gray-market peptides fall into this group. To our knowledge, BPC-157 is explicitly named in the list as an example.</w:t>
      </w:r>
    </w:p>
    <w:p>
      <w:pPr>
        <w:pStyle w:val="BodyText"/>
      </w:pPr>
      <w:r>
        <w:rPr>
          <w:bCs/>
          <w:b/>
        </w:rPr>
        <w:t xml:space="preserve">S2 – Peptide hormones, growth factors, related substances, and mimetics.</w:t>
      </w:r>
      <w:r>
        <w:t xml:space="preserve"> </w:t>
      </w:r>
      <w:r>
        <w:t xml:space="preserve">These include, among others:</w:t>
      </w:r>
    </w:p>
    <w:p>
      <w:pPr>
        <w:numPr>
          <w:ilvl w:val="0"/>
          <w:numId w:val="1032"/>
        </w:numPr>
        <w:pStyle w:val="Compact"/>
      </w:pPr>
      <w:r>
        <w:t xml:space="preserve">growth hormone and its fragments (for example AOD-9604),</w:t>
      </w:r>
    </w:p>
    <w:p>
      <w:pPr>
        <w:numPr>
          <w:ilvl w:val="0"/>
          <w:numId w:val="1032"/>
        </w:numPr>
        <w:pStyle w:val="Compact"/>
      </w:pPr>
      <w:r>
        <w:t xml:space="preserve">growth hormone-releasing hormone and its analogs (for example CJC-1295, sermorelin, tesamorelin),</w:t>
      </w:r>
    </w:p>
    <w:p>
      <w:pPr>
        <w:numPr>
          <w:ilvl w:val="0"/>
          <w:numId w:val="1032"/>
        </w:numPr>
        <w:pStyle w:val="Compact"/>
      </w:pPr>
      <w:r>
        <w:t xml:space="preserve">growth hormone secretagogues and growth hormone-releasing peptides (for example ipamorelin, GHRP-2, GHRP-6, hexarelin, macimorelin, and, to our knowledge, also the non-peptide ibutamoren),</w:t>
      </w:r>
    </w:p>
    <w:p>
      <w:pPr>
        <w:numPr>
          <w:ilvl w:val="0"/>
          <w:numId w:val="1032"/>
        </w:numPr>
        <w:pStyle w:val="Compact"/>
      </w:pPr>
      <w:r>
        <w:t xml:space="preserve">growth factors such as IGF-1 and its analogs, as well as thymosin beta-4 and its derivatives (for example TB-500),</w:t>
      </w:r>
    </w:p>
    <w:p>
      <w:pPr>
        <w:numPr>
          <w:ilvl w:val="0"/>
          <w:numId w:val="1032"/>
        </w:numPr>
        <w:pStyle w:val="Compact"/>
      </w:pPr>
      <w:r>
        <w:t xml:space="preserve">in men, hormones and releasing factors of the sex hormone axis (for example gonadorelin and kisspeptin).</w:t>
      </w:r>
    </w:p>
    <w:p>
      <w:pPr>
        <w:pStyle w:val="FirstParagraph"/>
      </w:pPr>
      <w:r>
        <w:t xml:space="preserve">In addition, section S4 prohibits, among others, insulins as metabolic modulators. To our knowledge, GLP-1 medications such as semaglutide or tirzepatide are currently not on the Prohibited List. The list gives examples but is not exhaustive: substances not named but with a similar chemical structure or similar biological effect can also be prohibited.</w:t>
      </w:r>
    </w:p>
    <w:p>
      <w:pPr>
        <w:pStyle w:val="BodyText"/>
      </w:pPr>
      <w:r>
        <w:t xml:space="preserve">Anti-doping law applies</w:t>
      </w:r>
      <w:r>
        <w:t xml:space="preserve"> </w:t>
      </w:r>
      <w:r>
        <w:rPr>
          <w:bCs/>
          <w:b/>
        </w:rPr>
        <w:t xml:space="preserve">strict liability</w:t>
      </w:r>
      <w:r>
        <w:t xml:space="preserve">: if a prohibited substance is found in a sample, this is a violation – regardless of whether it was taken intentionally or came, for example, from a contaminated dietary supplement. Anyone who needs an approved, prohibited medicine for medical reasons can apply for a</w:t>
      </w:r>
      <w:r>
        <w:t xml:space="preserve"> </w:t>
      </w:r>
      <w:r>
        <w:rPr>
          <w:bCs/>
          <w:b/>
        </w:rPr>
        <w:t xml:space="preserve">Therapeutic Use Exemption</w:t>
      </w:r>
      <w:r>
        <w:t xml:space="preserve"> </w:t>
      </w:r>
      <w:r>
        <w:t xml:space="preserve">(TUE). For non-approved substances from section S0, this is practically impossible.</w:t>
      </w:r>
    </w:p>
    <w:p>
      <w:pPr>
        <w:pStyle w:val="BodyText"/>
      </w:pPr>
      <w:r>
        <w:t xml:space="preserve">Doping control laboratories are continuously developing detection methods for new peptides, often on the basis of seized products</w:t>
      </w:r>
      <w:r>
        <w:rPr>
          <w:rStyle w:val="FootnoteReference"/>
        </w:rPr>
        <w:footnoteReference w:id="225"/>
      </w:r>
      <w:r>
        <w:t xml:space="preserve">. The fact that a substance was not detectable yesterday does not mean it will not be detectable tomorrow – and frozen samples can be reanalyzed years later.</w:t>
      </w:r>
    </w:p>
    <w:p>
      <w:pPr>
        <w:pStyle w:val="BodyText"/>
      </w:pPr>
      <w:r>
        <w:t xml:space="preserve">Status as of 2026; please check the current WADA Prohibited List.</w:t>
      </w:r>
    </w:p>
    <w:bookmarkEnd w:id="226"/>
    <w:bookmarkStart w:id="227" w:name="liability-who-bears-the-risk"/>
    <w:p>
      <w:pPr>
        <w:pStyle w:val="Heading3"/>
      </w:pPr>
      <w:r>
        <w:t xml:space="preserve">Liability: Who Bears the Risk?</w:t>
      </w:r>
    </w:p>
    <w:p>
      <w:pPr>
        <w:pStyle w:val="FirstParagraph"/>
      </w:pPr>
      <w:r>
        <w:t xml:space="preserve">With</w:t>
      </w:r>
      <w:r>
        <w:t xml:space="preserve"> </w:t>
      </w:r>
      <w:r>
        <w:rPr>
          <w:bCs/>
          <w:b/>
        </w:rPr>
        <w:t xml:space="preserve">approved medicines</w:t>
      </w:r>
      <w:r>
        <w:t xml:space="preserve">, manufacturers, pharmacies, and prescribing physicians are embedded in a system of responsibility and liability. In Germany, the Medicinal Products Act provides for special liability of the manufacturer for damage caused by approved medicines that does not depend on fault; in Austria, general tort law and the Product Liability Act apply. Side effects are reported and evaluated and can lead to warnings or market withdrawals.</w:t>
      </w:r>
    </w:p>
    <w:p>
      <w:pPr>
        <w:pStyle w:val="BodyText"/>
      </w:pPr>
      <w:r>
        <w:t xml:space="preserve">With</w:t>
      </w:r>
      <w:r>
        <w:t xml:space="preserve"> </w:t>
      </w:r>
      <w:r>
        <w:rPr>
          <w:bCs/>
          <w:b/>
        </w:rPr>
        <w:t xml:space="preserve">gray-market products</w:t>
      </w:r>
      <w:r>
        <w:t xml:space="preserve">, this system is largely absent:</w:t>
      </w:r>
    </w:p>
    <w:p>
      <w:pPr>
        <w:numPr>
          <w:ilvl w:val="0"/>
          <w:numId w:val="1033"/>
        </w:numPr>
        <w:pStyle w:val="Compact"/>
      </w:pPr>
      <w:r>
        <w:t xml:space="preserve">The vendors are often based abroad, frequently change their names and websites, and are practically impossible to pin down.</w:t>
      </w:r>
    </w:p>
    <w:p>
      <w:pPr>
        <w:numPr>
          <w:ilvl w:val="0"/>
          <w:numId w:val="1033"/>
        </w:numPr>
        <w:pStyle w:val="Compact"/>
      </w:pPr>
      <w:r>
        <w:t xml:space="preserve">With the notice</w:t>
      </w:r>
      <w:r>
        <w:t xml:space="preserve"> </w:t>
      </w:r>
      <w:r>
        <w:t xml:space="preserve">“</w:t>
      </w:r>
      <w:r>
        <w:t xml:space="preserve">not for human use,</w:t>
      </w:r>
      <w:r>
        <w:t xml:space="preserve">”</w:t>
      </w:r>
      <w:r>
        <w:t xml:space="preserve"> </w:t>
      </w:r>
      <w:r>
        <w:t xml:space="preserve">they try to disclaim all responsibility.</w:t>
      </w:r>
    </w:p>
    <w:p>
      <w:pPr>
        <w:numPr>
          <w:ilvl w:val="0"/>
          <w:numId w:val="1033"/>
        </w:numPr>
        <w:pStyle w:val="Compact"/>
      </w:pPr>
      <w:r>
        <w:t xml:space="preserve">Anyone who uses such a product themselves bears the health and financial risk largely alone.</w:t>
      </w:r>
    </w:p>
    <w:p>
      <w:pPr>
        <w:numPr>
          <w:ilvl w:val="0"/>
          <w:numId w:val="1033"/>
        </w:numPr>
        <w:pStyle w:val="Compact"/>
      </w:pPr>
      <w:r>
        <w:t xml:space="preserve">Anyone who passes on such a product to others or uses it on others – for example in a gym, beauty salon, or wellness business – may be liable to prosecution and may be liable for damages.</w:t>
      </w:r>
    </w:p>
    <w:p>
      <w:pPr>
        <w:pStyle w:val="FirstParagraph"/>
      </w:pPr>
      <w:r>
        <w:t xml:space="preserve">Strict standards also apply to</w:t>
      </w:r>
      <w:r>
        <w:t xml:space="preserve"> </w:t>
      </w:r>
      <w:r>
        <w:rPr>
          <w:bCs/>
          <w:b/>
        </w:rPr>
        <w:t xml:space="preserve">use by physicians</w:t>
      </w:r>
      <w:r>
        <w:t xml:space="preserve">. Anyone who administers unapproved active substances must provide comprehensive information about the uncertain data and is liable for treatment errors. Professional disciplinary consequences are possible.</w:t>
      </w:r>
    </w:p>
    <w:bookmarkEnd w:id="227"/>
    <w:bookmarkStart w:id="228" w:name="the-legal-situation-at-a-glance"/>
    <w:p>
      <w:pPr>
        <w:pStyle w:val="Heading3"/>
      </w:pPr>
      <w:r>
        <w:t xml:space="preserve">The Legal Situation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Classification (simplified)</w:t>
            </w:r>
          </w:p>
        </w:tc>
      </w:tr>
      <w:tr>
        <w:tc>
          <w:tcPr/>
          <w:p>
            <w:pPr>
              <w:pStyle w:val="Compact"/>
              <w:jc w:val="left"/>
            </w:pPr>
            <w:r>
              <w:t xml:space="preserve">Approved peptide on prescription from a pharmacy</w:t>
            </w:r>
          </w:p>
        </w:tc>
        <w:tc>
          <w:tcPr/>
          <w:p>
            <w:pPr>
              <w:pStyle w:val="Compact"/>
              <w:jc w:val="left"/>
            </w:pPr>
            <w:r>
              <w:t xml:space="preserve">legal, medically supervised</w:t>
            </w:r>
          </w:p>
        </w:tc>
      </w:tr>
      <w:tr>
        <w:tc>
          <w:tcPr/>
          <w:p>
            <w:pPr>
              <w:pStyle w:val="Compact"/>
              <w:jc w:val="left"/>
            </w:pPr>
            <w:r>
              <w:t xml:space="preserve">Approved peptide without prescription from the internet</w:t>
            </w:r>
          </w:p>
        </w:tc>
        <w:tc>
          <w:tcPr/>
          <w:p>
            <w:pPr>
              <w:pStyle w:val="Compact"/>
              <w:jc w:val="left"/>
            </w:pPr>
            <w:r>
              <w:t xml:space="preserve">generally illegal, risk of counterfeits</w:t>
            </w:r>
          </w:p>
        </w:tc>
      </w:tr>
      <w:tr>
        <w:tc>
          <w:tcPr/>
          <w:p>
            <w:pPr>
              <w:pStyle w:val="Compact"/>
              <w:jc w:val="left"/>
            </w:pPr>
            <w:r>
              <w:t xml:space="preserve">Unapproved peptide as a</w:t>
            </w:r>
            <w:r>
              <w:t xml:space="preserve"> </w:t>
            </w:r>
            <w:r>
              <w:t xml:space="preserve">“</w:t>
            </w:r>
            <w:r>
              <w:t xml:space="preserve">research chemical</w:t>
            </w:r>
            <w:r>
              <w:t xml:space="preserve">”</w:t>
            </w:r>
          </w:p>
        </w:tc>
        <w:tc>
          <w:tcPr/>
          <w:p>
            <w:pPr>
              <w:pStyle w:val="Compact"/>
              <w:jc w:val="left"/>
            </w:pPr>
            <w:r>
              <w:t xml:space="preserve">generally a non-marketable medicine</w:t>
            </w:r>
          </w:p>
        </w:tc>
      </w:tr>
      <w:tr>
        <w:tc>
          <w:tcPr/>
          <w:p>
            <w:pPr>
              <w:pStyle w:val="Compact"/>
              <w:jc w:val="left"/>
            </w:pPr>
            <w:r>
              <w:t xml:space="preserve">Collagen peptides as food</w:t>
            </w:r>
          </w:p>
        </w:tc>
        <w:tc>
          <w:tcPr/>
          <w:p>
            <w:pPr>
              <w:pStyle w:val="Compact"/>
              <w:jc w:val="left"/>
            </w:pPr>
            <w:r>
              <w:t xml:space="preserve">legal, advertising claims restricted</w:t>
            </w:r>
          </w:p>
        </w:tc>
      </w:tr>
      <w:tr>
        <w:tc>
          <w:tcPr/>
          <w:p>
            <w:pPr>
              <w:pStyle w:val="Compact"/>
              <w:jc w:val="left"/>
            </w:pPr>
            <w:r>
              <w:t xml:space="preserve">Peptide cream as a cosmetic</w:t>
            </w:r>
          </w:p>
        </w:tc>
        <w:tc>
          <w:tcPr/>
          <w:p>
            <w:pPr>
              <w:pStyle w:val="Compact"/>
              <w:jc w:val="left"/>
            </w:pPr>
            <w:r>
              <w:t xml:space="preserve">legal, provided it is safe and not advertised as a remedy</w:t>
            </w:r>
          </w:p>
        </w:tc>
      </w:tr>
      <w:tr>
        <w:tc>
          <w:tcPr/>
          <w:p>
            <w:pPr>
              <w:pStyle w:val="Compact"/>
              <w:jc w:val="left"/>
            </w:pPr>
            <w:r>
              <w:t xml:space="preserve">Prohibited peptide in controlled sport</w:t>
            </w:r>
          </w:p>
        </w:tc>
        <w:tc>
          <w:tcPr/>
          <w:p>
            <w:pPr>
              <w:pStyle w:val="Compact"/>
              <w:jc w:val="left"/>
            </w:pPr>
            <w:r>
              <w:t xml:space="preserve">doping violation, sometimes a criminal offense</w:t>
            </w:r>
          </w:p>
        </w:tc>
      </w:tr>
    </w:tbl>
    <w:bookmarkEnd w:id="228"/>
    <w:bookmarkStart w:id="229" w:name="key-points-in-brief-4"/>
    <w:p>
      <w:pPr>
        <w:pStyle w:val="Heading3"/>
      </w:pPr>
      <w:r>
        <w:t xml:space="preserve">Key Points in Brief</w:t>
      </w:r>
    </w:p>
    <w:p>
      <w:pPr>
        <w:numPr>
          <w:ilvl w:val="0"/>
          <w:numId w:val="1034"/>
        </w:numPr>
        <w:pStyle w:val="Compact"/>
      </w:pPr>
      <w:r>
        <w:t xml:space="preserve">Whether a peptide is a medicine, a food, or a cosmetic depends on its effect, intended purpose, and presentation. In the case of pharmacological activity, medicines law takes precedence.</w:t>
      </w:r>
    </w:p>
    <w:p>
      <w:pPr>
        <w:numPr>
          <w:ilvl w:val="0"/>
          <w:numId w:val="1034"/>
        </w:numPr>
        <w:pStyle w:val="Compact"/>
      </w:pPr>
      <w:r>
        <w:t xml:space="preserve">Medicines require a marketing authorization. Most peptide medicines are prescription-only.</w:t>
      </w:r>
    </w:p>
    <w:p>
      <w:pPr>
        <w:numPr>
          <w:ilvl w:val="0"/>
          <w:numId w:val="1034"/>
        </w:numPr>
        <w:pStyle w:val="Compact"/>
      </w:pPr>
      <w:r>
        <w:t xml:space="preserve">The label</w:t>
      </w:r>
      <w:r>
        <w:t xml:space="preserve"> </w:t>
      </w:r>
      <w:r>
        <w:t xml:space="preserve">“</w:t>
      </w:r>
      <w:r>
        <w:t xml:space="preserve">for research purposes only</w:t>
      </w:r>
      <w:r>
        <w:t xml:space="preserve">”</w:t>
      </w:r>
      <w:r>
        <w:t xml:space="preserve"> </w:t>
      </w:r>
      <w:r>
        <w:t xml:space="preserve">does not make sale to private individuals legal and does not protect them.</w:t>
      </w:r>
    </w:p>
    <w:p>
      <w:pPr>
        <w:numPr>
          <w:ilvl w:val="0"/>
          <w:numId w:val="1034"/>
        </w:numPr>
        <w:pStyle w:val="Compact"/>
      </w:pPr>
      <w:r>
        <w:t xml:space="preserve">Many gray-market peptides are prohibited in sport, often via sections S0 and S2 of the WADA list.</w:t>
      </w:r>
    </w:p>
    <w:p>
      <w:pPr>
        <w:numPr>
          <w:ilvl w:val="0"/>
          <w:numId w:val="1034"/>
        </w:numPr>
        <w:pStyle w:val="Compact"/>
      </w:pPr>
      <w:r>
        <w:t xml:space="preserve">With gray-market products, users bear the risk largely alone.</w:t>
      </w:r>
    </w:p>
    <w:p>
      <w:pPr>
        <w:pStyle w:val="FirstParagraph"/>
      </w:pPr>
      <w:r>
        <w:t xml:space="preserve">All information in this chapter: status as of 2026, not legal advice, please check for current information.</w:t>
      </w:r>
    </w:p>
    <w:bookmarkEnd w:id="229"/>
    <w:bookmarkEnd w:id="230"/>
    <w:bookmarkEnd w:id="231"/>
    <w:bookmarkStart w:id="893" w:name="part-ii-a-metabolism-and-weight"/>
    <w:p>
      <w:pPr>
        <w:pStyle w:val="Heading1"/>
      </w:pPr>
      <w:r>
        <w:t xml:space="preserve">Part II · A – Metabolism and Weight</w:t>
      </w:r>
    </w:p>
    <w:p>
      <w:pPr>
        <w:pStyle w:val="FirstParagraph"/>
      </w:pPr>
      <w:r>
        <w:t xml:space="preserve">No group of peptides has changed medicine in recent years as much as the drugs in this section. They were originally developed for type 2 diabetes, then became the most effective weight-loss medications ever, and are now being studied in heart failure, sleep apnea, fatty liver disease, and kidney disease. At the same time, hardly any area is as heavily affected by the gray market: drugs that are still in clinical trials are sold on the internet as</w:t>
      </w:r>
      <w:r>
        <w:t xml:space="preserve"> </w:t>
      </w:r>
      <w:r>
        <w:t xml:space="preserve">“</w:t>
      </w:r>
      <w:r>
        <w:t xml:space="preserve">research peptides.</w:t>
      </w:r>
      <w:r>
        <w:t xml:space="preserve">”</w:t>
      </w:r>
    </w:p>
    <w:bookmarkStart w:id="232" w:name="X5da101e600b8a8cb1c4b5c3feaa0fcfbe680be5"/>
    <w:p>
      <w:pPr>
        <w:pStyle w:val="Heading3"/>
      </w:pPr>
      <w:r>
        <w:t xml:space="preserve">What These Drugs Have in Common: Hormones from the Gut and Pancreas</w:t>
      </w:r>
    </w:p>
    <w:p>
      <w:pPr>
        <w:pStyle w:val="FirstParagraph"/>
      </w:pPr>
      <w:r>
        <w:t xml:space="preserve">Almost all the drugs in this group mimic hormones that the body releases around a meal. You should know four of them:</w:t>
      </w:r>
    </w:p>
    <w:p>
      <w:pPr>
        <w:numPr>
          <w:ilvl w:val="0"/>
          <w:numId w:val="1035"/>
        </w:numPr>
        <w:pStyle w:val="Compact"/>
      </w:pPr>
      <w:r>
        <w:rPr>
          <w:bCs/>
          <w:b/>
        </w:rPr>
        <w:t xml:space="preserve">GLP-1 (glucagon-like peptide-1)</w:t>
      </w:r>
      <w:r>
        <w:t xml:space="preserve"> </w:t>
      </w:r>
      <w:r>
        <w:t xml:space="preserve">is released by cells in the small and large intestine as soon as food arrives. It enhances insulin release – but only when blood sugar is elevated – slows gastric emptying, and signals satiety to the brain. The body’s own GLP-1 is broken down within a few minutes; the medications are modified so that they act for one day to one week.</w:t>
      </w:r>
    </w:p>
    <w:p>
      <w:pPr>
        <w:numPr>
          <w:ilvl w:val="0"/>
          <w:numId w:val="1035"/>
        </w:numPr>
        <w:pStyle w:val="Compact"/>
      </w:pPr>
      <w:r>
        <w:rPr>
          <w:bCs/>
          <w:b/>
        </w:rPr>
        <w:t xml:space="preserve">GIP (glucose-dependent insulinotropic polypeptide)</w:t>
      </w:r>
      <w:r>
        <w:t xml:space="preserve"> </w:t>
      </w:r>
      <w:r>
        <w:t xml:space="preserve">comes from the upper small intestine and likewise enhances insulin release. Its role in appetite and body weight is contradictory: tirzepatide activates the GIP receptor, maridebart cafraglutide blocks it – and both lead to weight loss.</w:t>
      </w:r>
    </w:p>
    <w:p>
      <w:pPr>
        <w:numPr>
          <w:ilvl w:val="0"/>
          <w:numId w:val="1035"/>
        </w:numPr>
        <w:pStyle w:val="Compact"/>
      </w:pPr>
      <w:r>
        <w:rPr>
          <w:bCs/>
          <w:b/>
        </w:rPr>
        <w:t xml:space="preserve">Glucagon</w:t>
      </w:r>
      <w:r>
        <w:t xml:space="preserve"> </w:t>
      </w:r>
      <w:r>
        <w:t xml:space="preserve">is the counter-regulatory hormone to insulin and comes from the pancreas. It raises blood sugar but also increases energy expenditure and fat breakdown in the liver. Newer drugs make targeted use of this second side.</w:t>
      </w:r>
    </w:p>
    <w:p>
      <w:pPr>
        <w:numPr>
          <w:ilvl w:val="0"/>
          <w:numId w:val="1035"/>
        </w:numPr>
        <w:pStyle w:val="Compact"/>
      </w:pPr>
      <w:r>
        <w:rPr>
          <w:bCs/>
          <w:b/>
        </w:rPr>
        <w:t xml:space="preserve">Amylin</w:t>
      </w:r>
      <w:r>
        <w:t xml:space="preserve"> </w:t>
      </w:r>
      <w:r>
        <w:t xml:space="preserve">is released together with insulin from the beta cells of the pancreas. It acts in the brainstem to promote satiety and slows gastric emptying.</w:t>
      </w:r>
    </w:p>
    <w:p>
      <w:pPr>
        <w:pStyle w:val="FirstParagraph"/>
      </w:pPr>
      <w:r>
        <w:t xml:space="preserve">GLP-1 and GIP are called</w:t>
      </w:r>
      <w:r>
        <w:t xml:space="preserve"> </w:t>
      </w:r>
      <w:r>
        <w:rPr>
          <w:bCs/>
          <w:b/>
        </w:rPr>
        <w:t xml:space="preserve">incretins</w:t>
      </w:r>
      <w:r>
        <w:t xml:space="preserve"> </w:t>
      </w:r>
      <w:r>
        <w:t xml:space="preserve">(derived from</w:t>
      </w:r>
      <w:r>
        <w:t xml:space="preserve"> </w:t>
      </w:r>
      <w:r>
        <w:t xml:space="preserve">“</w:t>
      </w:r>
      <w:r>
        <w:t xml:space="preserve">INtestinal seCRETion of INsulin,</w:t>
      </w:r>
      <w:r>
        <w:t xml:space="preserve">”</w:t>
      </w:r>
      <w:r>
        <w:t xml:space="preserve"> </w:t>
      </w:r>
      <w:r>
        <w:t xml:space="preserve">i.e., insulin release triggered by the gut): they explain why sugar that is eaten releases more insulin than the same amount of sugar given directly into a vein. The development can be read as a sequence of stages: first pure GLP-1 agonists, then combinations with GIP, glucagon, or amylin in a single molecule, and finally tablets that are no longer peptides at all.</w:t>
      </w:r>
    </w:p>
    <w:p>
      <w:pPr>
        <w:pStyle w:val="BodyText"/>
      </w:pPr>
      <w:r>
        <w:t xml:space="preserve">Two drugs in this group do not fit this pattern:</w:t>
      </w:r>
      <w:r>
        <w:t xml:space="preserve"> </w:t>
      </w:r>
      <w:r>
        <w:rPr>
          <w:bCs/>
          <w:b/>
        </w:rPr>
        <w:t xml:space="preserve">setmelanotide</w:t>
      </w:r>
      <w:r>
        <w:t xml:space="preserve"> </w:t>
      </w:r>
      <w:r>
        <w:t xml:space="preserve">acts deeper in the brain, at the melanocortin-4 receptor, and is intended only for rare genetic forms of obesity.</w:t>
      </w:r>
      <w:r>
        <w:t xml:space="preserve"> </w:t>
      </w:r>
      <w:r>
        <w:rPr>
          <w:bCs/>
          <w:b/>
        </w:rPr>
        <w:t xml:space="preserve">AOD-9604</w:t>
      </w:r>
      <w:r>
        <w:t xml:space="preserve"> </w:t>
      </w:r>
      <w:r>
        <w:t xml:space="preserve">is a fragment of growth hormone that is marketed as a</w:t>
      </w:r>
      <w:r>
        <w:t xml:space="preserve"> </w:t>
      </w:r>
      <w:r>
        <w:t xml:space="preserve">“</w:t>
      </w:r>
      <w:r>
        <w:t xml:space="preserve">fat burner</w:t>
      </w:r>
      <w:r>
        <w:t xml:space="preserve">”</w:t>
      </w:r>
      <w:r>
        <w:t xml:space="preserve"> </w:t>
      </w:r>
      <w:r>
        <w:t xml:space="preserve">without any published human studies.</w:t>
      </w:r>
    </w:p>
    <w:bookmarkEnd w:id="232"/>
    <w:bookmarkStart w:id="233" w:name="overview"/>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first GLP-1 agonist, from lizard venom</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daily injection, generics</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weekly, antibody fusion</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injection and tablet, cardioprotection demonstrated</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GIP plus GLP-1, benchmark in 2026</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GLP-1, and glucagon</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glucagon plus GLP-1, liver focus</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China only</w:t>
            </w:r>
          </w:p>
        </w:tc>
        <w:tc>
          <w:tcPr/>
          <w:p>
            <w:pPr>
              <w:pStyle w:val="Compact"/>
              <w:jc w:val="left"/>
            </w:pPr>
            <w:r>
              <w:t xml:space="preserve">glucagon plus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w:t>
            </w:r>
          </w:p>
        </w:tc>
        <w:tc>
          <w:tcPr/>
          <w:p>
            <w:pPr>
              <w:pStyle w:val="Compact"/>
              <w:jc w:val="left"/>
            </w:pPr>
            <w:r>
              <w:t xml:space="preserve">amylin, combined with semaglutide</w:t>
            </w:r>
          </w:p>
        </w:tc>
      </w:tr>
      <w:tr>
        <w:tc>
          <w:tcPr/>
          <w:p>
            <w:pPr>
              <w:pStyle w:val="Compact"/>
              <w:jc w:val="left"/>
            </w:pPr>
            <w:r>
              <w:t xml:space="preserve">Amycretin (zenagamtide)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amylin and GLP-1 in one molecule</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blocker, monthly dosing</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USA only</w:t>
            </w:r>
          </w:p>
        </w:tc>
        <w:tc>
          <w:tcPr/>
          <w:p>
            <w:pPr>
              <w:pStyle w:val="Compact"/>
              <w:jc w:val="left"/>
            </w:pPr>
            <w:r>
              <w:t xml:space="preserve">first amylin medication</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rare genetic obesity</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w:t>
            </w:r>
          </w:p>
        </w:tc>
        <w:tc>
          <w:tcPr/>
          <w:p>
            <w:pPr>
              <w:pStyle w:val="Compact"/>
              <w:jc w:val="left"/>
            </w:pPr>
            <w:r>
              <w:t xml:space="preserve">growth hormone fragment, gray market</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pending</w:t>
            </w:r>
          </w:p>
        </w:tc>
        <w:tc>
          <w:tcPr/>
          <w:p>
            <w:pPr>
              <w:pStyle w:val="Compact"/>
              <w:jc w:val="left"/>
            </w:pPr>
            <w:r>
              <w:t xml:space="preserve">not a peptide, tablet (comparison)</w:t>
            </w:r>
          </w:p>
        </w:tc>
      </w:tr>
    </w:tbl>
    <w:p>
      <w:pPr>
        <w:pStyle w:val="BodyText"/>
      </w:pPr>
      <w:r>
        <w:t xml:space="preserve">The evidence levels are explained in Part I. Approval information reflects the status as of October 2026 and refers to at least one indication; details are given in the respective chapter. Please check the current status, because approvals change quickly, especially in this group.</w:t>
      </w:r>
    </w:p>
    <w:bookmarkEnd w:id="233"/>
    <w:bookmarkStart w:id="234" w:name="reading-guide"/>
    <w:p>
      <w:pPr>
        <w:pStyle w:val="Heading3"/>
      </w:pPr>
      <w:r>
        <w:t xml:space="preserve">Reading Guide</w:t>
      </w:r>
    </w:p>
    <w:p>
      <w:pPr>
        <w:pStyle w:val="FirstParagraph"/>
      </w:pPr>
      <w:r>
        <w:t xml:space="preserve">The chapters roughly follow the historical development: from the established GLP-1 agonists (exenatide to semaglutide) via the combination drugs (tirzepatide to maridebart cafraglutide) to the special cases (pramlintide, setmelanotide, AOD-9604) and finally to orforglipron, which is included as a non-peptide for comparison.</w:t>
      </w:r>
    </w:p>
    <w:p>
      <w:pPr>
        <w:pStyle w:val="BodyText"/>
      </w:pPr>
      <w:r>
        <w:t xml:space="preserve">If you want a quick overview, start with semaglutide and tirzepatide – all others are measured against them. Direct comparisons of weight loss, blood sugar reduction, cardiovascular outcomes, and side effects across all drugs can be found in Part III. Class risks such as gallbladder and pancreatic problems, muscle loss, and questions about the thyroid are covered in detail in Part IV.</w:t>
      </w:r>
    </w:p>
    <w:p>
      <w:pPr>
        <w:pStyle w:val="BodyText"/>
      </w:pPr>
      <w:r>
        <w:t xml:space="preserve">Two principles apply to the entire group: first, the chapters describe study results, not treatment instructions – for approved medications, the prescribing information and medical supervision are authoritative. Second, for almost all drugs, a large part of the weight lost returns when treatment ends. These medications work as long as they are taken; they are not a cure.</w:t>
      </w:r>
    </w:p>
    <w:bookmarkEnd w:id="234"/>
    <w:bookmarkStart w:id="289" w:name="exenatide"/>
    <w:p>
      <w:pPr>
        <w:pStyle w:val="Heading2"/>
      </w:pPr>
      <w:r>
        <w:t xml:space="preserve">Exenatide</w:t>
      </w:r>
    </w:p>
    <w:bookmarkStart w:id="236" w:name="profile"/>
    <w:p>
      <w:pPr>
        <w:pStyle w:val="Heading3"/>
      </w:pPr>
      <w:r>
        <w:t xml:space="preserve">Profile</w:t>
      </w:r>
    </w:p>
    <w:p>
      <w:pPr>
        <w:numPr>
          <w:ilvl w:val="0"/>
          <w:numId w:val="1036"/>
        </w:numPr>
        <w:pStyle w:val="Compact"/>
      </w:pPr>
      <w:r>
        <w:rPr>
          <w:bCs/>
          <w:b/>
        </w:rPr>
        <w:t xml:space="preserve">Type/structure:</w:t>
      </w:r>
      <w:r>
        <w:t xml:space="preserve"> </w:t>
      </w:r>
      <w:r>
        <w:t xml:space="preserve">Peptide of 39 amino acids, a synthetically produced form of exendin-4. About half of the sequence matches the human gut hormone GLP-1.</w:t>
      </w:r>
    </w:p>
    <w:p>
      <w:pPr>
        <w:numPr>
          <w:ilvl w:val="0"/>
          <w:numId w:val="1036"/>
        </w:numPr>
        <w:pStyle w:val="Compact"/>
      </w:pPr>
      <w:r>
        <w:rPr>
          <w:bCs/>
          <w:b/>
        </w:rPr>
        <w:t xml:space="preserve">Origin:</w:t>
      </w:r>
      <w:r>
        <w:t xml:space="preserve"> </w:t>
      </w:r>
      <w:r>
        <w:t xml:space="preserve">Exendin-4 was isolated in 1992 from the venom of the Gila monster (</w:t>
      </w:r>
      <w:r>
        <w:rPr>
          <w:iCs/>
          <w:i/>
        </w:rPr>
        <w:t xml:space="preserve">Heloderma suspectum</w:t>
      </w:r>
      <w:r>
        <w:t xml:space="preserve">)</w:t>
      </w:r>
      <w:r>
        <w:rPr>
          <w:rStyle w:val="FootnoteReference"/>
        </w:rPr>
        <w:footnoteReference w:id="235"/>
      </w:r>
      <w:r>
        <w:t xml:space="preserve">.</w:t>
      </w:r>
    </w:p>
    <w:p>
      <w:pPr>
        <w:numPr>
          <w:ilvl w:val="0"/>
          <w:numId w:val="1036"/>
        </w:numPr>
        <w:pStyle w:val="Compact"/>
      </w:pPr>
      <w:r>
        <w:rPr>
          <w:bCs/>
          <w:b/>
        </w:rPr>
        <w:t xml:space="preserve">Mechanism of action:</w:t>
      </w:r>
      <w:r>
        <w:t xml:space="preserve"> </w:t>
      </w:r>
      <w:r>
        <w:t xml:space="preserve">GLP-1 receptor agonist. Exenatide mimics the satiety and incretin hormone GLP-1 but is broken down much more slowly.</w:t>
      </w:r>
    </w:p>
    <w:p>
      <w:pPr>
        <w:numPr>
          <w:ilvl w:val="0"/>
          <w:numId w:val="1036"/>
        </w:numPr>
        <w:pStyle w:val="Compact"/>
      </w:pPr>
      <w:r>
        <w:rPr>
          <w:bCs/>
          <w:b/>
        </w:rPr>
        <w:t xml:space="preserve">Dosage forms:</w:t>
      </w:r>
      <w:r>
        <w:t xml:space="preserve"> </w:t>
      </w:r>
      <w:r>
        <w:t xml:space="preserve">twice daily (Byetta) and once weekly as a depot with microspheres (Bydureon, later as a prefilled pen or autoinjector). Additionally in studies: pump implant (ITCA 650) and pegylated variants (PB-119, NLY01).</w:t>
      </w:r>
    </w:p>
    <w:p>
      <w:pPr>
        <w:numPr>
          <w:ilvl w:val="0"/>
          <w:numId w:val="1036"/>
        </w:numPr>
        <w:pStyle w:val="Compact"/>
      </w:pPr>
      <w:r>
        <w:rPr>
          <w:bCs/>
          <w:b/>
        </w:rPr>
        <w:t xml:space="preserve">EU approval:</w:t>
      </w:r>
      <w:r>
        <w:t xml:space="preserve"> </w:t>
      </w:r>
      <w:r>
        <w:t xml:space="preserve">yes, for the treatment of type 2 diabetes (Byetta, Bydureon). No approval for weight reduction.</w:t>
      </w:r>
    </w:p>
    <w:p>
      <w:pPr>
        <w:numPr>
          <w:ilvl w:val="0"/>
          <w:numId w:val="1036"/>
        </w:numPr>
        <w:pStyle w:val="Compact"/>
      </w:pPr>
      <w:r>
        <w:rPr>
          <w:bCs/>
          <w:b/>
        </w:rPr>
        <w:t xml:space="preserve">US approval:</w:t>
      </w:r>
      <w:r>
        <w:t xml:space="preserve"> </w:t>
      </w:r>
      <w:r>
        <w:t xml:space="preserve">yes, type 2 diabetes (Byetta in 2005 as the very first GLP-1 receptor agonist, Bydureon/Bydureon BCise), the weekly form also for adolescents aged 10 and older. Copycat versions of the twice-daily form are now also available there. Availability of individual products varies – please check for current information.</w:t>
      </w:r>
    </w:p>
    <w:p>
      <w:pPr>
        <w:numPr>
          <w:ilvl w:val="0"/>
          <w:numId w:val="1036"/>
        </w:numPr>
        <w:pStyle w:val="Compact"/>
      </w:pPr>
      <w:r>
        <w:rPr>
          <w:bCs/>
          <w:b/>
        </w:rPr>
        <w:t xml:space="preserve">WADA:</w:t>
      </w:r>
      <w:r>
        <w:t xml:space="preserve"> </w:t>
      </w:r>
      <w:r>
        <w:t xml:space="preserve">not listed.</w:t>
      </w:r>
    </w:p>
    <w:p>
      <w:pPr>
        <w:numPr>
          <w:ilvl w:val="0"/>
          <w:numId w:val="1036"/>
        </w:numPr>
        <w:pStyle w:val="Compact"/>
      </w:pPr>
      <w:r>
        <w:rPr>
          <w:bCs/>
          <w:b/>
        </w:rPr>
        <w:t xml:space="preserve">Evidence level:</w:t>
      </w:r>
      <w:r>
        <w:t xml:space="preserve"> </w:t>
      </w:r>
      <w:r>
        <w:rPr>
          <w:bCs/>
          <w:b/>
        </w:rPr>
        <w:t xml:space="preserve">A</w:t>
      </w:r>
      <w:r>
        <w:t xml:space="preserve"> </w:t>
      </w:r>
      <w:r>
        <w:t xml:space="preserve">– numerous large randomized studies, one large cardiovascular outcomes trial, approved since 2005.</w:t>
      </w:r>
    </w:p>
    <w:bookmarkEnd w:id="236"/>
    <w:bookmarkStart w:id="237" w:name="how-it-is-supposed-to-work"/>
    <w:p>
      <w:pPr>
        <w:pStyle w:val="Heading3"/>
      </w:pPr>
      <w:r>
        <w:t xml:space="preserve">How it is supposed to work</w:t>
      </w:r>
    </w:p>
    <w:p>
      <w:pPr>
        <w:pStyle w:val="FirstParagraph"/>
      </w:pPr>
      <w:r>
        <w:t xml:space="preserve">After a meal, the gut releases the hormone GLP-1 (glucagon-like peptide-1). It signals the pancreas to release more insulin – but only as long as blood sugar is elevated. At the same time, it suppresses the hormone glucagon, which raises blood sugar, slows gastric emptying, and acts on centers in the brain that control hunger and satiety. Because insulin release is glucose-dependent, GLP-1 receptor agonists on their own rarely cause hypoglycemia.</w:t>
      </w:r>
    </w:p>
    <w:p>
      <w:pPr>
        <w:pStyle w:val="BodyText"/>
      </w:pPr>
      <w:r>
        <w:t xml:space="preserve">The body’s own GLP-1, however, has a decisive disadvantage: the enzyme DPP-4 breaks it down within about two minutes. It is therefore useless as a medication. Exendin-4 from lizard venom also binds to the GLP-1 receptor but is largely insensitive to DPP-4. This chance discovery made exenatide the first representative of a drug class that two decades later, with semaglutide and tirzepatide, would transform medicine.</w:t>
      </w:r>
    </w:p>
    <w:p>
      <w:pPr>
        <w:pStyle w:val="BodyText"/>
      </w:pPr>
      <w:r>
        <w:t xml:space="preserve">The original form acts for only a few hours and must therefore be injected twice daily before the main meals. Above all, it lowers the rise in blood sugar after eating, partly because it markedly slows gastric emptying. The weekly form packages the same drug in biodegradable polymer microspheres (PLGA) from which it is slowly released. As a result, levels remain more constant; the effect on fasting glucose becomes stronger, while the effect on gastric emptying weakens somewhat over time.</w:t>
      </w:r>
    </w:p>
    <w:p>
      <w:pPr>
        <w:pStyle w:val="BodyText"/>
      </w:pPr>
      <w:r>
        <w:t xml:space="preserve">An important difference from the later drugs: exenatide is only about half similar to human GLP-1. The immune system therefore more often recognizes it as foreign and forms antibodies. In most people treated, this has no consequences; in a small proportion with high antibody levels, the effect may diminish.</w:t>
      </w:r>
    </w:p>
    <w:bookmarkEnd w:id="237"/>
    <w:bookmarkStart w:id="265" w:name="human-studies"/>
    <w:p>
      <w:pPr>
        <w:pStyle w:val="Heading3"/>
      </w:pPr>
      <w:r>
        <w:t xml:space="preserve">Human studies</w:t>
      </w:r>
    </w:p>
    <w:p>
      <w:pPr>
        <w:pStyle w:val="FirstParagraph"/>
      </w:pPr>
      <w:r>
        <w:t xml:space="preserve">The body of research on exenatide is extensive. The PubMed query evaluated for this book (search term</w:t>
      </w:r>
      <w:r>
        <w:t xml:space="preserve"> </w:t>
      </w:r>
      <w:r>
        <w:t xml:space="preserve">“</w:t>
      </w:r>
      <w:r>
        <w:t xml:space="preserve">exenatide</w:t>
      </w:r>
      <w:r>
        <w:t xml:space="preserve">”</w:t>
      </w:r>
      <w:r>
        <w:t xml:space="preserve"> </w:t>
      </w:r>
      <w:r>
        <w:t xml:space="preserve">in title or abstract, query date October 2026) yielded 437 human studies; ClinicalTrials.gov lists 379 registry entries involving exenatide. Many of these are small mechanistic or combination studies. Three groups carry most weight for the assessment: the AMIGO (twice-daily form) and DURATION (weekly form) approval programs, the cardiovascular outcomes trial EXSCEL, and a series of studies beyond diabetes, particularly on Parkinson’s disease.</w:t>
      </w:r>
    </w:p>
    <w:bookmarkStart w:id="239" w:name="the-amigo-trials-the-start-of-the-class"/>
    <w:p>
      <w:pPr>
        <w:pStyle w:val="Heading4"/>
      </w:pPr>
      <w:r>
        <w:t xml:space="preserve">The AMIGO Trials: The Start of the Class</w:t>
      </w:r>
    </w:p>
    <w:p>
      <w:pPr>
        <w:pStyle w:val="FirstParagraph"/>
      </w:pPr>
      <w:r>
        <w:t xml:space="preserve">Three placebo-controlled trials, each lasting 30 weeks, formed the basis of the first approval. They tested exenatide twice daily (5 or 10 micrograms per dose) as an add-on to existing tablets.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 (10 µg arm vs. placebo)</w:t>
            </w:r>
          </w:p>
        </w:tc>
      </w:tr>
      <w:tr>
        <w:tc>
          <w:tcPr/>
          <w:p>
            <w:pPr>
              <w:pStyle w:val="Compact"/>
              <w:jc w:val="left"/>
            </w:pPr>
            <w:r>
              <w:t xml:space="preserve">Buse 2004, PMID 15504997</w:t>
            </w:r>
          </w:p>
        </w:tc>
        <w:tc>
          <w:tcPr/>
          <w:p>
            <w:pPr>
              <w:pStyle w:val="Compact"/>
              <w:jc w:val="left"/>
            </w:pPr>
            <w:r>
              <w:t xml:space="preserve">Type 2 diabetes on sulfonylurea, RCT vs. placebo</w:t>
            </w:r>
          </w:p>
        </w:tc>
        <w:tc>
          <w:tcPr/>
          <w:p>
            <w:pPr>
              <w:pStyle w:val="Compact"/>
              <w:jc w:val="left"/>
            </w:pPr>
            <w:r>
              <w:t xml:space="preserve">30 weeks</w:t>
            </w:r>
          </w:p>
        </w:tc>
        <w:tc>
          <w:tcPr/>
          <w:p>
            <w:pPr>
              <w:pStyle w:val="Compact"/>
              <w:jc w:val="left"/>
            </w:pPr>
            <w:r>
              <w:t xml:space="preserve">HbA1c −0.86 vs. +0.12 percentage points; weight −1.6 kg</w:t>
            </w:r>
          </w:p>
        </w:tc>
      </w:tr>
      <w:tr>
        <w:tc>
          <w:tcPr/>
          <w:p>
            <w:pPr>
              <w:pStyle w:val="Compact"/>
              <w:jc w:val="left"/>
            </w:pPr>
            <w:r>
              <w:t xml:space="preserve">DeFronzo 2005, PMID 15855572</w:t>
            </w:r>
          </w:p>
        </w:tc>
        <w:tc>
          <w:tcPr/>
          <w:p>
            <w:pPr>
              <w:pStyle w:val="Compact"/>
              <w:jc w:val="left"/>
            </w:pPr>
            <w:r>
              <w:t xml:space="preserve">Type 2 diabetes on metformin, RCT vs. placebo</w:t>
            </w:r>
          </w:p>
        </w:tc>
        <w:tc>
          <w:tcPr/>
          <w:p>
            <w:pPr>
              <w:pStyle w:val="Compact"/>
              <w:jc w:val="left"/>
            </w:pPr>
            <w:r>
              <w:t xml:space="preserve">30 weeks</w:t>
            </w:r>
          </w:p>
        </w:tc>
        <w:tc>
          <w:tcPr/>
          <w:p>
            <w:pPr>
              <w:pStyle w:val="Compact"/>
              <w:jc w:val="left"/>
            </w:pPr>
            <w:r>
              <w:t xml:space="preserve">HbA1c −0.78 vs. +0.08; weight −2.8 kg; 46% vs. 13% reached HbA1c ≤ 7%</w:t>
            </w:r>
          </w:p>
        </w:tc>
      </w:tr>
      <w:tr>
        <w:tc>
          <w:tcPr/>
          <w:p>
            <w:pPr>
              <w:pStyle w:val="Compact"/>
              <w:jc w:val="left"/>
            </w:pPr>
            <w:r>
              <w:t xml:space="preserve">Kendall 2005, PMID 15855571</w:t>
            </w:r>
          </w:p>
        </w:tc>
        <w:tc>
          <w:tcPr/>
          <w:p>
            <w:pPr>
              <w:pStyle w:val="Compact"/>
              <w:jc w:val="left"/>
            </w:pPr>
            <w:r>
              <w:t xml:space="preserve">Type 2 diabetes on metformin plus sulfonylurea, RCT</w:t>
            </w:r>
          </w:p>
        </w:tc>
        <w:tc>
          <w:tcPr/>
          <w:p>
            <w:pPr>
              <w:pStyle w:val="Compact"/>
              <w:jc w:val="left"/>
            </w:pPr>
            <w:r>
              <w:t xml:space="preserve">30 weeks</w:t>
            </w:r>
          </w:p>
        </w:tc>
        <w:tc>
          <w:tcPr/>
          <w:p>
            <w:pPr>
              <w:pStyle w:val="Compact"/>
              <w:jc w:val="left"/>
            </w:pPr>
            <w:r>
              <w:t xml:space="preserve">HbA1c −0.8 vs. +0.2; mild hypoglycemia 28% vs. 13%</w:t>
            </w:r>
          </w:p>
        </w:tc>
      </w:tr>
      <w:tr>
        <w:tc>
          <w:tcPr/>
          <w:p>
            <w:pPr>
              <w:pStyle w:val="Compact"/>
              <w:jc w:val="left"/>
            </w:pPr>
            <w:r>
              <w:t xml:space="preserve">Heine 2005, PMID 16230722</w:t>
            </w:r>
          </w:p>
        </w:tc>
        <w:tc>
          <w:tcPr/>
          <w:p>
            <w:pPr>
              <w:pStyle w:val="Compact"/>
              <w:jc w:val="left"/>
            </w:pPr>
            <w:r>
              <w:t xml:space="preserve">551 people, open-label comparison with insulin glargine</w:t>
            </w:r>
          </w:p>
        </w:tc>
        <w:tc>
          <w:tcPr/>
          <w:p>
            <w:pPr>
              <w:pStyle w:val="Compact"/>
              <w:jc w:val="left"/>
            </w:pPr>
            <w:r>
              <w:t xml:space="preserve">26 weeks</w:t>
            </w:r>
          </w:p>
        </w:tc>
        <w:tc>
          <w:tcPr/>
          <w:p>
            <w:pPr>
              <w:pStyle w:val="Compact"/>
              <w:jc w:val="left"/>
            </w:pPr>
            <w:r>
              <w:t xml:space="preserve">HbA1c −1.11 in each group; weight −2.3 kg vs. +1.8 kg</w:t>
            </w:r>
          </w:p>
        </w:tc>
      </w:tr>
    </w:tbl>
    <w:p>
      <w:pPr>
        <w:pStyle w:val="BodyText"/>
      </w:pPr>
      <w:r>
        <w:t xml:space="preserve">The HbA1c value (long-term blood sugar) describes the proportion of</w:t>
      </w:r>
      <w:r>
        <w:t xml:space="preserve"> </w:t>
      </w:r>
      <w:r>
        <w:t xml:space="preserve">“</w:t>
      </w:r>
      <w:r>
        <w:t xml:space="preserve">glycated</w:t>
      </w:r>
      <w:r>
        <w:t xml:space="preserve">”</w:t>
      </w:r>
      <w:r>
        <w:t xml:space="preserve"> </w:t>
      </w:r>
      <w:r>
        <w:t xml:space="preserve">hemoglobin and reflects blood sugar over the past two to three months. A reduction of 0.8 to 1 percentage point was considered clinically meaningful at the time. What was new was that weight did not increase, as is usual with insulin or sulfonylureas, but decreased. However, the Kendall study also shows that in combination with a sulfonylurea, which releases insulin independently of blood sugar, mild hypoglycemia increased.</w:t>
      </w:r>
    </w:p>
    <w:p>
      <w:pPr>
        <w:pStyle w:val="BodyText"/>
      </w:pPr>
      <w:r>
        <w:t xml:space="preserve">In a direct comparison with insulin glargine</w:t>
      </w:r>
      <w:r>
        <w:rPr>
          <w:rStyle w:val="FootnoteReference"/>
        </w:rPr>
        <w:footnoteReference w:id="238"/>
      </w:r>
      <w:r>
        <w:t xml:space="preserve">, both treatments lowered HbA1c equally. The weight difference was 4.1 kg in favor of exenatide, and nocturnal hypoglycemia was less frequent (0.9 vs. 2.4 events per patient-year). The price: nausea occurred in 57.1% versus 8.6%, vomiting in 17.4% versus 3.7%. 19.4% of the exenatide group discontinued the study, compared with 9.7% on insulin.</w:t>
      </w:r>
    </w:p>
    <w:bookmarkEnd w:id="239"/>
    <w:bookmarkStart w:id="243" w:name="the-duration-program-once-a-week"/>
    <w:p>
      <w:pPr>
        <w:pStyle w:val="Heading4"/>
      </w:pPr>
      <w:r>
        <w:t xml:space="preserve">The DURATION Program: Once a Week</w:t>
      </w:r>
    </w:p>
    <w:p>
      <w:pPr>
        <w:pStyle w:val="FirstParagraph"/>
      </w:pPr>
      <w:r>
        <w:t xml:space="preserve">The weekly form was tested in a series of trials named DURATION – against the twice-daily form, against tablets, against insulin, and against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DURATION-1 (Drucker 2008), PMID 18782641</w:t>
            </w:r>
          </w:p>
        </w:tc>
        <w:tc>
          <w:tcPr/>
          <w:p>
            <w:pPr>
              <w:pStyle w:val="Compact"/>
              <w:jc w:val="left"/>
            </w:pPr>
            <w:r>
              <w:t xml:space="preserve">295 people, open-label: exenatide weekly vs. twice daily</w:t>
            </w:r>
          </w:p>
        </w:tc>
        <w:tc>
          <w:tcPr/>
          <w:p>
            <w:pPr>
              <w:pStyle w:val="Compact"/>
              <w:jc w:val="left"/>
            </w:pPr>
            <w:r>
              <w:t xml:space="preserve">30 weeks</w:t>
            </w:r>
          </w:p>
        </w:tc>
        <w:tc>
          <w:tcPr/>
          <w:p>
            <w:pPr>
              <w:pStyle w:val="Compact"/>
              <w:jc w:val="left"/>
            </w:pPr>
            <w:r>
              <w:t xml:space="preserve">HbA1c −1.9 vs. −1.5; target ≤ 7% in 77% vs. 61%</w:t>
            </w:r>
          </w:p>
        </w:tc>
      </w:tr>
      <w:tr>
        <w:tc>
          <w:tcPr/>
          <w:p>
            <w:pPr>
              <w:pStyle w:val="Compact"/>
              <w:jc w:val="left"/>
            </w:pPr>
            <w:r>
              <w:t xml:space="preserve">DURATION-1, 5-year data (Wysham 2015), PMID 25744115</w:t>
            </w:r>
          </w:p>
        </w:tc>
        <w:tc>
          <w:tcPr/>
          <w:p>
            <w:pPr>
              <w:pStyle w:val="Compact"/>
              <w:jc w:val="left"/>
            </w:pPr>
            <w:r>
              <w:t xml:space="preserve">258 people in the extension, 153 remained for 5 years</w:t>
            </w:r>
          </w:p>
        </w:tc>
        <w:tc>
          <w:tcPr/>
          <w:p>
            <w:pPr>
              <w:pStyle w:val="Compact"/>
              <w:jc w:val="left"/>
            </w:pPr>
            <w:r>
              <w:t xml:space="preserve">5 years</w:t>
            </w:r>
          </w:p>
        </w:tc>
        <w:tc>
          <w:tcPr/>
          <w:p>
            <w:pPr>
              <w:pStyle w:val="Compact"/>
              <w:jc w:val="left"/>
            </w:pPr>
            <w:r>
              <w:t xml:space="preserve">HbA1c still −1.6; weight −3.0 kg</w:t>
            </w:r>
          </w:p>
        </w:tc>
      </w:tr>
      <w:tr>
        <w:tc>
          <w:tcPr/>
          <w:p>
            <w:pPr>
              <w:pStyle w:val="Compact"/>
              <w:jc w:val="left"/>
            </w:pPr>
            <w:r>
              <w:t xml:space="preserve">DURATION-2 (Bergenstal 2010), PMID 20580422</w:t>
            </w:r>
          </w:p>
        </w:tc>
        <w:tc>
          <w:tcPr/>
          <w:p>
            <w:pPr>
              <w:pStyle w:val="Compact"/>
              <w:jc w:val="left"/>
            </w:pPr>
            <w:r>
              <w:t xml:space="preserve">514 people on metformin, vs. sitagliptin or pioglitazone</w:t>
            </w:r>
          </w:p>
        </w:tc>
        <w:tc>
          <w:tcPr/>
          <w:p>
            <w:pPr>
              <w:pStyle w:val="Compact"/>
              <w:jc w:val="left"/>
            </w:pPr>
            <w:r>
              <w:t xml:space="preserve">26 weeks</w:t>
            </w:r>
          </w:p>
        </w:tc>
        <w:tc>
          <w:tcPr/>
          <w:p>
            <w:pPr>
              <w:pStyle w:val="Compact"/>
              <w:jc w:val="left"/>
            </w:pPr>
            <w:r>
              <w:t xml:space="preserve">HbA1c −1.5 vs. −0.9 and −1.2, respectively; weight −2.3 kg</w:t>
            </w:r>
          </w:p>
        </w:tc>
      </w:tr>
      <w:tr>
        <w:tc>
          <w:tcPr/>
          <w:p>
            <w:pPr>
              <w:pStyle w:val="Compact"/>
              <w:jc w:val="left"/>
            </w:pPr>
            <w:r>
              <w:t xml:space="preserve">DURATION-3 (Diamant 2010), PMID 20609969</w:t>
            </w:r>
          </w:p>
        </w:tc>
        <w:tc>
          <w:tcPr/>
          <w:p>
            <w:pPr>
              <w:pStyle w:val="Compact"/>
              <w:jc w:val="left"/>
            </w:pPr>
            <w:r>
              <w:t xml:space="preserve">456 people, open-label vs. insulin glargine</w:t>
            </w:r>
          </w:p>
        </w:tc>
        <w:tc>
          <w:tcPr/>
          <w:p>
            <w:pPr>
              <w:pStyle w:val="Compact"/>
              <w:jc w:val="left"/>
            </w:pPr>
            <w:r>
              <w:t xml:space="preserve">26 weeks</w:t>
            </w:r>
          </w:p>
        </w:tc>
        <w:tc>
          <w:tcPr/>
          <w:p>
            <w:pPr>
              <w:pStyle w:val="Compact"/>
              <w:jc w:val="left"/>
            </w:pPr>
            <w:r>
              <w:t xml:space="preserve">HbA1c −1.5 vs. −1.3; discontinuation due to side effects 5% vs. 1%</w:t>
            </w:r>
          </w:p>
        </w:tc>
      </w:tr>
      <w:tr>
        <w:tc>
          <w:tcPr/>
          <w:p>
            <w:pPr>
              <w:pStyle w:val="Compact"/>
              <w:jc w:val="left"/>
            </w:pPr>
            <w:r>
              <w:t xml:space="preserve">DURATION-6 (Buse 2013), PMID 23141817</w:t>
            </w:r>
          </w:p>
        </w:tc>
        <w:tc>
          <w:tcPr/>
          <w:p>
            <w:pPr>
              <w:pStyle w:val="Compact"/>
              <w:jc w:val="left"/>
            </w:pPr>
            <w:r>
              <w:t xml:space="preserve">911 people, open-label vs. liraglutide daily</w:t>
            </w:r>
          </w:p>
        </w:tc>
        <w:tc>
          <w:tcPr/>
          <w:p>
            <w:pPr>
              <w:pStyle w:val="Compact"/>
              <w:jc w:val="left"/>
            </w:pPr>
            <w:r>
              <w:t xml:space="preserve">26 weeks</w:t>
            </w:r>
          </w:p>
        </w:tc>
        <w:tc>
          <w:tcPr/>
          <w:p>
            <w:pPr>
              <w:pStyle w:val="Compact"/>
              <w:jc w:val="left"/>
            </w:pPr>
            <w:r>
              <w:t xml:space="preserve">HbA1c −1.28 vs. −1.48; non-inferiority not met</w:t>
            </w:r>
          </w:p>
        </w:tc>
      </w:tr>
    </w:tbl>
    <w:p>
      <w:pPr>
        <w:pStyle w:val="BodyText"/>
      </w:pPr>
      <w:r>
        <w:t xml:space="preserve">In DURATION-1, the weekly form lowered long-term blood sugar more than the daily form, with comparable weight loss and without more hypoglycemia. The five-year analysis is noteworthy</w:t>
      </w:r>
      <w:r>
        <w:rPr>
          <w:rStyle w:val="FootnoteReference"/>
        </w:rPr>
        <w:footnoteReference w:id="240"/>
      </w:r>
      <w:r>
        <w:t xml:space="preserve">: of the 258 people in the extension phase, 153 (59.3%) remained on treatment for five years. In them, HbA1c remained 1.6 percentage points below baseline, and 43.9% achieved a value below 7%. Such extensions, however, have a built-in bias: people who responded poorly or had side effects are often no longer included.</w:t>
      </w:r>
    </w:p>
    <w:p>
      <w:pPr>
        <w:pStyle w:val="BodyText"/>
      </w:pPr>
      <w:r>
        <w:t xml:space="preserve">In DURATION-2</w:t>
      </w:r>
      <w:r>
        <w:rPr>
          <w:rStyle w:val="FootnoteReference"/>
        </w:rPr>
        <w:footnoteReference w:id="241"/>
      </w:r>
      <w:r>
        <w:t xml:space="preserve">, the weekly form was superior to two tablets commonly used at the time: the difference compared with sitagliptin was 0.6 percentage points, and compared with pioglitazone 0.3 percentage points. In terms of weight, the difference compared with pioglitazone, which tends to cause weight gain, was 5.1 kg. In DURATION-3</w:t>
      </w:r>
      <w:r>
        <w:rPr>
          <w:rStyle w:val="FootnoteReference"/>
        </w:rPr>
        <w:footnoteReference w:id="242"/>
      </w:r>
      <w:r>
        <w:t xml:space="preserve">, weekly exenatide was slightly superior to the basal insulin glargine (difference −0.16 percentage points), although more people discontinued treatment because of side effects.</w:t>
      </w:r>
    </w:p>
    <w:bookmarkEnd w:id="243"/>
    <w:bookmarkStart w:id="246" w:name="X79312cf927b8d8f564acb4e2f3c8921ce4155b6"/>
    <w:p>
      <w:pPr>
        <w:pStyle w:val="Heading4"/>
      </w:pPr>
      <w:r>
        <w:t xml:space="preserve">Head-to-Head Comparisons Within the GLP-1 Class</w:t>
      </w:r>
    </w:p>
    <w:p>
      <w:pPr>
        <w:pStyle w:val="FirstParagraph"/>
      </w:pPr>
      <w:r>
        <w:t xml:space="preserve">To place exenatide in context, the head-to-head trials with later drugs are particularly revealing. They show that exenatide is effective but is surpassed by its successors.</w:t>
      </w:r>
    </w:p>
    <w:p>
      <w:pPr>
        <w:pStyle w:val="BodyText"/>
      </w:pPr>
      <w:r>
        <w:t xml:space="preserve">In</w:t>
      </w:r>
      <w:r>
        <w:t xml:space="preserve"> </w:t>
      </w:r>
      <w:r>
        <w:rPr>
          <w:bCs/>
          <w:b/>
        </w:rPr>
        <w:t xml:space="preserve">DURATION-6</w:t>
      </w:r>
      <w:r>
        <w:rPr>
          <w:rStyle w:val="FootnoteReference"/>
        </w:rPr>
        <w:footnoteReference w:id="244"/>
      </w:r>
      <w:r>
        <w:t xml:space="preserve">, the weekly form was pitted against once-daily liraglutide. Liraglutide lowered HbA1c by 1.48 percentage points, exenatide by 1.28. The difference of 0.21 percentage points missed the prespecified margin for</w:t>
      </w:r>
      <w:r>
        <w:t xml:space="preserve"> </w:t>
      </w:r>
      <w:r>
        <w:t xml:space="preserve">“</w:t>
      </w:r>
      <w:r>
        <w:t xml:space="preserve">not worse.</w:t>
      </w:r>
      <w:r>
        <w:t xml:space="preserve">”</w:t>
      </w:r>
      <w:r>
        <w:t xml:space="preserve"> </w:t>
      </w:r>
      <w:r>
        <w:t xml:space="preserve">On the other hand, exenatide was better tolerated: nausea occurred in 9% versus 21%, diarrhea in 6% versus 13%, vomiting in 4% versus 11%.</w:t>
      </w:r>
    </w:p>
    <w:p>
      <w:pPr>
        <w:pStyle w:val="BodyText"/>
      </w:pPr>
      <w:r>
        <w:t xml:space="preserve">In</w:t>
      </w:r>
      <w:r>
        <w:t xml:space="preserve"> </w:t>
      </w:r>
      <w:r>
        <w:rPr>
          <w:bCs/>
          <w:b/>
        </w:rPr>
        <w:t xml:space="preserve">SUSTAIN 3</w:t>
      </w:r>
      <w:r>
        <w:rPr>
          <w:rStyle w:val="FootnoteReference"/>
        </w:rPr>
        <w:footnoteReference w:id="245"/>
      </w:r>
      <w:r>
        <w:t xml:space="preserve">, weekly exenatide lost clearly to weekly semaglutide over 56 weeks. HbA1c fell by 0.9 versus 1.5 percentage points, weight by 1.9 versus 5.6 kg. An HbA1c below 7% was reached by 40% versus 67%. Gastrointestinal complaints were somewhat less frequent with exenatide (33.3% vs. 41.8%), but injection-site reactions were much more frequent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Comparison</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(exenatide weekly vs. comparator)</w:t>
            </w:r>
          </w:p>
        </w:tc>
      </w:tr>
      <w:tr>
        <w:tc>
          <w:tcPr/>
          <w:p>
            <w:pPr>
              <w:pStyle w:val="Compact"/>
              <w:jc w:val="left"/>
            </w:pPr>
            <w:r>
              <w:t xml:space="preserve">DURATION-6 (Buse 2013), PMID 23141817</w:t>
            </w:r>
          </w:p>
        </w:tc>
        <w:tc>
          <w:tcPr/>
          <w:p>
            <w:pPr>
              <w:pStyle w:val="Compact"/>
              <w:jc w:val="left"/>
            </w:pPr>
            <w:r>
              <w:t xml:space="preserve">911 people, open-label vs. liraglutide</w:t>
            </w:r>
          </w:p>
        </w:tc>
        <w:tc>
          <w:tcPr/>
          <w:p>
            <w:pPr>
              <w:pStyle w:val="Compact"/>
              <w:jc w:val="left"/>
            </w:pPr>
            <w:r>
              <w:t xml:space="preserve">26 weeks</w:t>
            </w:r>
          </w:p>
        </w:tc>
        <w:tc>
          <w:tcPr/>
          <w:p>
            <w:pPr>
              <w:pStyle w:val="Compact"/>
              <w:jc w:val="left"/>
            </w:pPr>
            <w:r>
              <w:t xml:space="preserve">HbA1c −1.28 vs. −1.48; nausea 9% vs. 21%</w:t>
            </w:r>
          </w:p>
        </w:tc>
      </w:tr>
      <w:tr>
        <w:tc>
          <w:tcPr/>
          <w:p>
            <w:pPr>
              <w:pStyle w:val="Compact"/>
              <w:jc w:val="left"/>
            </w:pPr>
            <w:r>
              <w:t xml:space="preserve">SUSTAIN 3 (Ahmann 2018), PMID 29246950</w:t>
            </w:r>
          </w:p>
        </w:tc>
        <w:tc>
          <w:tcPr/>
          <w:p>
            <w:pPr>
              <w:pStyle w:val="Compact"/>
              <w:jc w:val="left"/>
            </w:pPr>
            <w:r>
              <w:t xml:space="preserve">open-label vs. semaglutide weekly</w:t>
            </w:r>
          </w:p>
        </w:tc>
        <w:tc>
          <w:tcPr/>
          <w:p>
            <w:pPr>
              <w:pStyle w:val="Compact"/>
              <w:jc w:val="left"/>
            </w:pPr>
            <w:r>
              <w:t xml:space="preserve">56 weeks</w:t>
            </w:r>
          </w:p>
        </w:tc>
        <w:tc>
          <w:tcPr/>
          <w:p>
            <w:pPr>
              <w:pStyle w:val="Compact"/>
              <w:jc w:val="left"/>
            </w:pPr>
            <w:r>
              <w:t xml:space="preserve">HbA1c −0.9 vs. −1.5; weight −1.9 vs. −5.6 kg</w:t>
            </w:r>
          </w:p>
        </w:tc>
      </w:tr>
    </w:tbl>
    <w:p>
      <w:pPr>
        <w:pStyle w:val="BodyText"/>
      </w:pPr>
      <w:r>
        <w:t xml:space="preserve">The comparison with dulaglutide and with liraglutide versus twice-daily exenatide (the AWARD-1 and LEAD-6 trials) is discussed in the respective chapters.</w:t>
      </w:r>
    </w:p>
    <w:p>
      <w:pPr>
        <w:pStyle w:val="BodyText"/>
      </w:pPr>
      <w:r>
        <w:t xml:space="preserve">In summary, exenatide ranks in the lower middle of its class: stronger than the DPP-4 inhibitors (gliptins), weaker than liraglutide, dulaglutide, and above all semaglutide.</w:t>
      </w:r>
    </w:p>
    <w:bookmarkEnd w:id="246"/>
    <w:bookmarkStart w:id="250" w:name="exscel-the-cardiovascular-trial"/>
    <w:p>
      <w:pPr>
        <w:pStyle w:val="Heading4"/>
      </w:pPr>
      <w:r>
        <w:t xml:space="preserve">EXSCEL: The Cardiovascular Trial</w:t>
      </w:r>
    </w:p>
    <w:p>
      <w:pPr>
        <w:pStyle w:val="FirstParagraph"/>
      </w:pPr>
      <w:r>
        <w:t xml:space="preserve">Since 2008, the US Food and Drug Administration (FDA) has required new diabetes medications to demonstrate that they do not increase cardiovascular risk. For weekly exenatide, EXSCEL was conducted for this purpose – one of the largest trials of its kind.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EXSCEL (Holman 2017), PMID 28910237</w:t>
            </w:r>
          </w:p>
        </w:tc>
        <w:tc>
          <w:tcPr/>
          <w:p>
            <w:pPr>
              <w:pStyle w:val="Compact"/>
              <w:jc w:val="left"/>
            </w:pPr>
            <w:r>
              <w:t xml:space="preserve">14,752 people with type 2 diabetes, 73.1% with prior cardiovascular disease, RCT vs. placebo</w:t>
            </w:r>
          </w:p>
        </w:tc>
        <w:tc>
          <w:tcPr/>
          <w:p>
            <w:pPr>
              <w:pStyle w:val="Compact"/>
              <w:jc w:val="left"/>
            </w:pPr>
            <w:r>
              <w:t xml:space="preserve">median 3.2 years</w:t>
            </w:r>
          </w:p>
        </w:tc>
        <w:tc>
          <w:tcPr/>
          <w:p>
            <w:pPr>
              <w:pStyle w:val="Compact"/>
              <w:jc w:val="left"/>
            </w:pPr>
            <w:r>
              <w:t xml:space="preserve">Major cardiovascular events 11.4% vs. 12.2%; HR 0.91 (0.83–1.00), superiority narrowly missed (p = 0.06)</w:t>
            </w:r>
          </w:p>
        </w:tc>
      </w:tr>
      <w:tr>
        <w:tc>
          <w:tcPr/>
          <w:p>
            <w:pPr>
              <w:pStyle w:val="Compact"/>
              <w:jc w:val="left"/>
            </w:pPr>
            <w:r>
              <w:t xml:space="preserve">FREEDOM-CVO (Ruff 2022), PMID 34873344</w:t>
            </w:r>
          </w:p>
        </w:tc>
        <w:tc>
          <w:tcPr/>
          <w:p>
            <w:pPr>
              <w:pStyle w:val="Compact"/>
              <w:jc w:val="left"/>
            </w:pPr>
            <w:r>
              <w:t xml:space="preserve">4,156 people, exenatide pump implant ITCA 650 vs. placebo</w:t>
            </w:r>
          </w:p>
        </w:tc>
        <w:tc>
          <w:tcPr/>
          <w:p>
            <w:pPr>
              <w:pStyle w:val="Compact"/>
              <w:jc w:val="left"/>
            </w:pPr>
            <w:r>
              <w:t xml:space="preserve">median 16 months</w:t>
            </w:r>
          </w:p>
        </w:tc>
        <w:tc>
          <w:tcPr/>
          <w:p>
            <w:pPr>
              <w:pStyle w:val="Compact"/>
              <w:jc w:val="left"/>
            </w:pPr>
            <w:r>
              <w:t xml:space="preserve">Events 4.6% vs. 3.8%; HR 1.21 (0.90–1.63), safety criterion met</w:t>
            </w:r>
          </w:p>
        </w:tc>
      </w:tr>
    </w:tbl>
    <w:p>
      <w:pPr>
        <w:pStyle w:val="BodyText"/>
      </w:pPr>
      <w:r>
        <w:t xml:space="preserve">The composite primary endpoint of EXSCEL</w:t>
      </w:r>
      <w:r>
        <w:rPr>
          <w:rStyle w:val="FootnoteReference"/>
        </w:rPr>
        <w:footnoteReference w:id="247"/>
      </w:r>
      <w:r>
        <w:t xml:space="preserve"> </w:t>
      </w:r>
      <w:r>
        <w:t xml:space="preserve">– death from cardiovascular causes, nonfatal myocardial infarction, or stroke – occurred in 839 of 7,356 people (11.4%) on exenatide and in 905 of 7,396 (12.2%) on placebo. This corresponds to a hazard ratio (relative risk over time) of 0.91. Exenatide was thus safe, but not demonstrably protective. Acute pancreatitis, pancreatic cancer, and medullary thyroid carcinoma did not occur more frequently than on placebo.</w:t>
      </w:r>
    </w:p>
    <w:p>
      <w:pPr>
        <w:pStyle w:val="BodyText"/>
      </w:pPr>
      <w:r>
        <w:t xml:space="preserve">Why exenatide performed worse in EXSCEL than liraglutide in LEADER or dulaglutide in REWIND has not been conclusively explained. Possible reasons under discussion include a weaker effect of the molecule itself, the high discontinuation rate in the trial, and a pragmatic design with little control. In a joint meta-analysis of the seven large GLP-1 outcomes trials with a total of 56,004 participants</w:t>
      </w:r>
      <w:r>
        <w:rPr>
          <w:rStyle w:val="FootnoteReference"/>
        </w:rPr>
        <w:footnoteReference w:id="248"/>
      </w:r>
      <w:r>
        <w:t xml:space="preserve">, the class reduced major cardiovascular events by 12% (HR 0.88) – without meaningful differences between subgroups. EXSCEL therefore fits the overall picture but lies at the weaker end.</w:t>
      </w:r>
    </w:p>
    <w:p>
      <w:pPr>
        <w:pStyle w:val="BodyText"/>
      </w:pPr>
      <w:r>
        <w:t xml:space="preserve">The pump implant ITCA 650, a matchstick-sized device intended to deliver exenatide evenly over months, met only the generous 2008 safety margin in FREEDOM-CVO</w:t>
      </w:r>
      <w:r>
        <w:rPr>
          <w:rStyle w:val="FootnoteReference"/>
        </w:rPr>
        <w:footnoteReference w:id="249"/>
      </w:r>
      <w:r>
        <w:t xml:space="preserve">. The point estimate lay unfavorably above 1, and side effects were more frequent than on placebo (72% vs. 63.9%). The system did not receive approval.</w:t>
      </w:r>
    </w:p>
    <w:bookmarkEnd w:id="250"/>
    <w:bookmarkStart w:id="254" w:name="X67436cea58090890f9516432b243210f2f41c4e"/>
    <w:p>
      <w:pPr>
        <w:pStyle w:val="Heading4"/>
      </w:pPr>
      <w:r>
        <w:t xml:space="preserve">Weight Without Diabetes and in Adolescents</w:t>
      </w:r>
    </w:p>
    <w:p>
      <w:pPr>
        <w:pStyle w:val="FirstParagraph"/>
      </w:pPr>
      <w:r>
        <w:t xml:space="preserve">Exenatide is not approved for weight reduction but has been studied for this purpose in smaller trials. Among 152 adults with obesity without diabetes, participants on exenatide twice daily plus a lifestyle program lost 5.1 kg over 24 weeks, compared with 1.6 kg on placebo</w:t>
      </w:r>
      <w:r>
        <w:rPr>
          <w:rStyle w:val="FootnoteReference"/>
        </w:rPr>
        <w:footnoteReference w:id="251"/>
      </w:r>
      <w:r>
        <w:t xml:space="preserve">. A meta-analysis of six small studies with 362 participants found a mean additional loss of 4.47 kg compared with controls</w:t>
      </w:r>
      <w:r>
        <w:rPr>
          <w:rStyle w:val="FootnoteReference"/>
        </w:rPr>
        <w:footnoteReference w:id="252"/>
      </w:r>
      <w:r>
        <w:t xml:space="preserve">. This is a fraction of what was later achieved with semaglutide or tirzepatide.</w:t>
      </w:r>
    </w:p>
    <w:p>
      <w:pPr>
        <w:pStyle w:val="BodyText"/>
      </w:pPr>
      <w:r>
        <w:t xml:space="preserve">In adolescents with type 2 diabetes, the weekly form lowered HbA1c after 24 weeks by 0.85 percentage points more than placebo in a study with 83 participants</w:t>
      </w:r>
      <w:r>
        <w:rPr>
          <w:rStyle w:val="FootnoteReference"/>
        </w:rPr>
        <w:footnoteReference w:id="253"/>
      </w:r>
      <w:r>
        <w:t xml:space="preserve">. A weight difference of −1.22 kg was not statistically significant. This study formed the basis for extending the approval to adolescents.</w:t>
      </w:r>
    </w:p>
    <w:bookmarkEnd w:id="254"/>
    <w:bookmarkStart w:id="259" w:name="Xc503abfc5a95b12ba0c0af226c066d5bf764c24"/>
    <w:p>
      <w:pPr>
        <w:pStyle w:val="Heading4"/>
      </w:pPr>
      <w:r>
        <w:t xml:space="preserve">Parkinson’s Disease: Hope, Disillusionment, and an Expression of Concern</w:t>
      </w:r>
    </w:p>
    <w:p>
      <w:pPr>
        <w:pStyle w:val="FirstParagraph"/>
      </w:pPr>
      <w:r>
        <w:t xml:space="preserve">No other area of use has brought exenatide as much attention beyond diabetes as Parkinson’s disease. The starting point was animal and cell experiments in which GLP-1 receptor agonists protected nerve cells.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Exenatide-PD (Athauda 2017), PMID 28781108</w:t>
            </w:r>
          </w:p>
        </w:tc>
        <w:tc>
          <w:tcPr/>
          <w:p>
            <w:pPr>
              <w:pStyle w:val="Compact"/>
              <w:jc w:val="left"/>
            </w:pPr>
            <w:r>
              <w:t xml:space="preserve">62 people with moderate Parkinson’s disease, RCT vs. placebo</w:t>
            </w:r>
          </w:p>
        </w:tc>
        <w:tc>
          <w:tcPr/>
          <w:p>
            <w:pPr>
              <w:pStyle w:val="Compact"/>
              <w:jc w:val="left"/>
            </w:pPr>
            <w:r>
              <w:t xml:space="preserve">48 weeks + 12-week washout</w:t>
            </w:r>
          </w:p>
        </w:tc>
        <w:tc>
          <w:tcPr/>
          <w:p>
            <w:pPr>
              <w:pStyle w:val="Compact"/>
              <w:jc w:val="left"/>
            </w:pPr>
            <w:r>
              <w:t xml:space="preserve">Motor score 3.5 points better than placebo (p = 0.0318)</w:t>
            </w:r>
          </w:p>
        </w:tc>
      </w:tr>
      <w:tr>
        <w:tc>
          <w:tcPr/>
          <w:p>
            <w:pPr>
              <w:pStyle w:val="Compact"/>
              <w:jc w:val="left"/>
            </w:pPr>
            <w:r>
              <w:t xml:space="preserve">Exenatide-PD3 (Vijiaratnam 2025), PMID 39919773</w:t>
            </w:r>
          </w:p>
        </w:tc>
        <w:tc>
          <w:tcPr/>
          <w:p>
            <w:pPr>
              <w:pStyle w:val="Compact"/>
              <w:jc w:val="left"/>
            </w:pPr>
            <w:r>
              <w:t xml:space="preserve">194 people, RCT vs. placebo, six centers</w:t>
            </w:r>
          </w:p>
        </w:tc>
        <w:tc>
          <w:tcPr/>
          <w:p>
            <w:pPr>
              <w:pStyle w:val="Compact"/>
              <w:jc w:val="left"/>
            </w:pPr>
            <w:r>
              <w:t xml:space="preserve">96 weeks</w:t>
            </w:r>
          </w:p>
        </w:tc>
        <w:tc>
          <w:tcPr/>
          <w:p>
            <w:pPr>
              <w:pStyle w:val="Compact"/>
              <w:jc w:val="left"/>
            </w:pPr>
            <w:r>
              <w:t xml:space="preserve">No difference: +5.7 vs. +4.5 points of worsening (p = 0.47)</w:t>
            </w:r>
          </w:p>
        </w:tc>
      </w:tr>
      <w:tr>
        <w:tc>
          <w:tcPr/>
          <w:p>
            <w:pPr>
              <w:pStyle w:val="Compact"/>
              <w:jc w:val="left"/>
            </w:pPr>
            <w:r>
              <w:t xml:space="preserve">NLY01 (McGarry 2024), PMID 38101901</w:t>
            </w:r>
          </w:p>
        </w:tc>
        <w:tc>
          <w:tcPr/>
          <w:p>
            <w:pPr>
              <w:pStyle w:val="Compact"/>
              <w:jc w:val="left"/>
            </w:pPr>
            <w:r>
              <w:t xml:space="preserve">255 people with early untreated Parkinson’s disease, pegylated exenatide vs. placebo</w:t>
            </w:r>
          </w:p>
        </w:tc>
        <w:tc>
          <w:tcPr/>
          <w:p>
            <w:pPr>
              <w:pStyle w:val="Compact"/>
              <w:jc w:val="left"/>
            </w:pPr>
            <w:r>
              <w:t xml:space="preserve">36 weeks</w:t>
            </w:r>
          </w:p>
        </w:tc>
        <w:tc>
          <w:tcPr/>
          <w:p>
            <w:pPr>
              <w:pStyle w:val="Compact"/>
              <w:jc w:val="left"/>
            </w:pPr>
            <w:r>
              <w:t xml:space="preserve">No difference in either dose group</w:t>
            </w:r>
          </w:p>
        </w:tc>
      </w:tr>
    </w:tbl>
    <w:p>
      <w:pPr>
        <w:pStyle w:val="BodyText"/>
      </w:pPr>
      <w:r>
        <w:t xml:space="preserve">The small study by Athauda 2017</w:t>
      </w:r>
      <w:r>
        <w:rPr>
          <w:rStyle w:val="FootnoteReference"/>
        </w:rPr>
        <w:footnoteReference w:id="255"/>
      </w:r>
      <w:r>
        <w:t xml:space="preserve"> </w:t>
      </w:r>
      <w:r>
        <w:t xml:space="preserve">found a difference of 3.5 points on the motor rating scale MDS-UPDRS Part III after 60 weeks, which persisted even after discontinuation. This was widely interpreted as a possible first indication of a disease-slowing effect. The authors remained cautious: whether exenatide influences the course of the disease or merely has long-lasting symptomatic effects was unclear, they said.</w:t>
      </w:r>
    </w:p>
    <w:p>
      <w:pPr>
        <w:pStyle w:val="BodyText"/>
      </w:pPr>
      <w:r>
        <w:t xml:space="preserve">The larger phase 3 trial Exenatide-PD3</w:t>
      </w:r>
      <w:r>
        <w:rPr>
          <w:rStyle w:val="FootnoteReference"/>
        </w:rPr>
        <w:footnoteReference w:id="256"/>
      </w:r>
      <w:r>
        <w:t xml:space="preserve"> </w:t>
      </w:r>
      <w:r>
        <w:t xml:space="preserve">could not confirm this. After 96 weeks, the motor score had worsened similarly in both groups. The researchers concluded that there was no evidence for exenatide as a disease-modifying treatment. In 2026, the journal published a so-called Expression of Concern regarding this publication (Expression of Concern, The Lancet 2026, PMID 42330995) – an editorial notice that questions about a publication are being examined. The PubMed entry contains no summary of the reasons; the assessment of the study should therefore be made with reservations until the matter is clarified. A pegylated, longer-acting exenatide variant (NLY01) also showed no benefit in early Parkinson’s disease</w:t>
      </w:r>
      <w:r>
        <w:rPr>
          <w:rStyle w:val="FootnoteReference"/>
        </w:rPr>
        <w:footnoteReference w:id="257"/>
      </w:r>
      <w:r>
        <w:t xml:space="preserve">.</w:t>
      </w:r>
    </w:p>
    <w:p>
      <w:pPr>
        <w:pStyle w:val="BodyText"/>
      </w:pPr>
      <w:r>
        <w:t xml:space="preserve">In multiple system atrophy, a rare related disease, an open-label study with 50 participants found an advantage in the primary endpoint but no difference in objective measures such as biomarkers or imaging</w:t>
      </w:r>
      <w:r>
        <w:rPr>
          <w:rStyle w:val="FootnoteReference"/>
        </w:rPr>
        <w:footnoteReference w:id="258"/>
      </w:r>
      <w:r>
        <w:t xml:space="preserve">. The authors themselves consider a placebo or observer effect possible.</w:t>
      </w:r>
    </w:p>
    <w:bookmarkEnd w:id="259"/>
    <w:bookmarkStart w:id="264" w:name="other-areas-of-use-in-studies"/>
    <w:p>
      <w:pPr>
        <w:pStyle w:val="Heading4"/>
      </w:pPr>
      <w:r>
        <w:t xml:space="preserve">Other Areas of Use in Studies</w:t>
      </w:r>
    </w:p>
    <w:p>
      <w:pPr>
        <w:numPr>
          <w:ilvl w:val="0"/>
          <w:numId w:val="1037"/>
        </w:numPr>
        <w:pStyle w:val="Compact"/>
      </w:pPr>
      <w:r>
        <w:rPr>
          <w:bCs/>
          <w:b/>
        </w:rPr>
        <w:t xml:space="preserve">Alzheimer’s disease and mild cognitive impairment:</w:t>
      </w:r>
      <w:r>
        <w:t xml:space="preserve"> </w:t>
      </w:r>
      <w:r>
        <w:t xml:space="preserve">A pilot study that was ended early found no differences in memory or imaging measures</w:t>
      </w:r>
      <w:r>
        <w:rPr>
          <w:rStyle w:val="FootnoteReference"/>
        </w:rPr>
        <w:footnoteReference w:id="260"/>
      </w:r>
      <w:r>
        <w:t xml:space="preserve">. A 32-week study in mild cognitive impairment likewise showed no benefit</w:t>
      </w:r>
      <w:r>
        <w:rPr>
          <w:rStyle w:val="FootnoteReference"/>
        </w:rPr>
        <w:footnoteReference w:id="261"/>
      </w:r>
      <w:r>
        <w:t xml:space="preserve">.</w:t>
      </w:r>
    </w:p>
    <w:p>
      <w:pPr>
        <w:numPr>
          <w:ilvl w:val="0"/>
          <w:numId w:val="1037"/>
        </w:numPr>
        <w:pStyle w:val="Compact"/>
      </w:pPr>
      <w:r>
        <w:rPr>
          <w:bCs/>
          <w:b/>
        </w:rPr>
        <w:t xml:space="preserve">Alcohol dependence:</w:t>
      </w:r>
      <w:r>
        <w:t xml:space="preserve"> </w:t>
      </w:r>
      <w:r>
        <w:t xml:space="preserve">In a study with 127 participants, weekly exenatide did not significantly reduce the number of heavy drinking days. In a post hoc subgroup analysis of people with obesity, an effect was seen; on brain MRI, the response to alcohol cues was attenuated</w:t>
      </w:r>
      <w:r>
        <w:rPr>
          <w:rStyle w:val="FootnoteReference"/>
        </w:rPr>
        <w:footnoteReference w:id="262"/>
      </w:r>
      <w:r>
        <w:t xml:space="preserve">. Such subgroup findings are hypotheses, not evidence.</w:t>
      </w:r>
    </w:p>
    <w:p>
      <w:pPr>
        <w:numPr>
          <w:ilvl w:val="0"/>
          <w:numId w:val="1037"/>
        </w:numPr>
        <w:pStyle w:val="Compact"/>
      </w:pPr>
      <w:r>
        <w:rPr>
          <w:bCs/>
          <w:b/>
        </w:rPr>
        <w:t xml:space="preserve">Idiopathic intracranial hypertension</w:t>
      </w:r>
      <w:r>
        <w:t xml:space="preserve"> </w:t>
      </w:r>
      <w:r>
        <w:t xml:space="preserve">(raised intracranial pressure without an identifiable cause, mostly in young women with overweight): in 16 women, exenatide lowered measured intracranial pressure after 24 hours by an average of 6.4 cm of water compared with placebo</w:t>
      </w:r>
      <w:r>
        <w:rPr>
          <w:rStyle w:val="FootnoteReference"/>
        </w:rPr>
        <w:footnoteReference w:id="263"/>
      </w:r>
      <w:r>
        <w:t xml:space="preserve">. The study is very small; a larger study is pending.</w:t>
      </w:r>
    </w:p>
    <w:bookmarkEnd w:id="264"/>
    <w:bookmarkEnd w:id="265"/>
    <w:bookmarkStart w:id="269" w:name="animal-and-laboratory-studies"/>
    <w:p>
      <w:pPr>
        <w:pStyle w:val="Heading3"/>
      </w:pPr>
      <w:r>
        <w:t xml:space="preserve">Animal and laboratory studies</w:t>
      </w:r>
    </w:p>
    <w:p>
      <w:pPr>
        <w:pStyle w:val="FirstParagraph"/>
      </w:pPr>
      <w:r>
        <w:t xml:space="preserve">Exendin-4 was originally not sought as a diabetes drug at all. In the first description in 1992, the researchers studied its effect on cells from the pancreas of guinea pigs</w:t>
      </w:r>
      <w:r>
        <w:rPr>
          <w:rStyle w:val="FootnoteReference"/>
        </w:rPr>
        <w:footnoteReference w:id="266"/>
      </w:r>
      <w:r>
        <w:t xml:space="preserve">. Only later did it become clear that it acts on the GLP-1 receptor.</w:t>
      </w:r>
    </w:p>
    <w:p>
      <w:pPr>
        <w:pStyle w:val="BodyText"/>
      </w:pPr>
      <w:r>
        <w:t xml:space="preserve">A large number of animal studies followed. In rats from which part of the pancreas had been removed, exendin-4 promoted the formation and division of insulin-producing beta cells and attenuated the development of diabetes</w:t>
      </w:r>
      <w:r>
        <w:rPr>
          <w:rStyle w:val="FootnoteReference"/>
        </w:rPr>
        <w:footnoteReference w:id="267"/>
      </w:r>
      <w:r>
        <w:t xml:space="preserve">. Whether such beta cell regeneration can also be achieved to a meaningful extent in humans has not been demonstrated to this day.</w:t>
      </w:r>
    </w:p>
    <w:p>
      <w:pPr>
        <w:pStyle w:val="BodyText"/>
      </w:pPr>
      <w:r>
        <w:t xml:space="preserve">In addition, there were experiments in rodents on neuroprotection (Parkinson’s disease, Alzheimer’s disease, stroke), alcohol and addictive behavior, and intracranial pressure. These animal data were the reason for the human studies described above – whose results have so far been considerably more modest. This is an instructive example of how difficult it is to transfer results from rats and mice to humans.</w:t>
      </w:r>
    </w:p>
    <w:p>
      <w:pPr>
        <w:pStyle w:val="BodyText"/>
      </w:pPr>
      <w:r>
        <w:t xml:space="preserve">On the thyroid: in rats and mice, GLP-1 receptor agonists trigger proliferation of the C cells of the thyroid, whereas in primates and humans these cells have hardly any receptors</w:t>
      </w:r>
      <w:r>
        <w:rPr>
          <w:rStyle w:val="FootnoteReference"/>
        </w:rPr>
        <w:footnoteReference w:id="268"/>
      </w:r>
      <w:r>
        <w:t xml:space="preserve">. More on this in the chapter Liraglutide and in Part IV.</w:t>
      </w:r>
    </w:p>
    <w:bookmarkEnd w:id="269"/>
    <w:bookmarkStart w:id="279" w:name="risks-and-side-effects"/>
    <w:p>
      <w:pPr>
        <w:pStyle w:val="Heading3"/>
      </w:pPr>
      <w:r>
        <w:t xml:space="preserve">Risks and side effects</w:t>
      </w:r>
    </w:p>
    <w:p>
      <w:pPr>
        <w:pStyle w:val="FirstParagraph"/>
      </w:pPr>
      <w:r>
        <w:rPr>
          <w:bCs/>
          <w:b/>
        </w:rPr>
        <w:t xml:space="preserve">Established from randomized trials:</w:t>
      </w:r>
    </w:p>
    <w:p>
      <w:pPr>
        <w:numPr>
          <w:ilvl w:val="0"/>
          <w:numId w:val="1038"/>
        </w:numPr>
        <w:pStyle w:val="Compact"/>
      </w:pPr>
      <w:r>
        <w:rPr>
          <w:bCs/>
          <w:b/>
        </w:rPr>
        <w:t xml:space="preserve">Gastrointestinal complaints</w:t>
      </w:r>
      <w:r>
        <w:t xml:space="preserve"> </w:t>
      </w:r>
      <w:r>
        <w:t xml:space="preserve">are the most common side effect. With the twice-daily form, nausea occurred in 57.1% of those treated in the comparison with insulin glargine, and vomiting in 17.4%</w:t>
      </w:r>
      <w:r>
        <w:rPr>
          <w:rStyle w:val="FootnoteReference"/>
        </w:rPr>
        <w:footnoteReference w:id="270"/>
      </w:r>
      <w:r>
        <w:t xml:space="preserve">. The weekly form causes less nausea; in DURATION-6 it was 9%</w:t>
      </w:r>
      <w:r>
        <w:rPr>
          <w:rStyle w:val="FootnoteReference"/>
        </w:rPr>
        <w:footnoteReference w:id="271"/>
      </w:r>
      <w:r>
        <w:t xml:space="preserve">. The complaints usually decrease over time.</w:t>
      </w:r>
    </w:p>
    <w:p>
      <w:pPr>
        <w:numPr>
          <w:ilvl w:val="0"/>
          <w:numId w:val="1038"/>
        </w:numPr>
        <w:pStyle w:val="Compact"/>
      </w:pPr>
      <w:r>
        <w:rPr>
          <w:bCs/>
          <w:b/>
        </w:rPr>
        <w:t xml:space="preserve">Hypoglycemia</w:t>
      </w:r>
      <w:r>
        <w:t xml:space="preserve"> </w:t>
      </w:r>
      <w:r>
        <w:t xml:space="preserve">is rare on exenatide alone but becomes more frequent in combination with sulfonylureas or insulin</w:t>
      </w:r>
      <w:r>
        <w:rPr>
          <w:rStyle w:val="FootnoteReference"/>
        </w:rPr>
        <w:footnoteReference w:id="272"/>
      </w:r>
      <w:r>
        <w:t xml:space="preserve">.</w:t>
      </w:r>
    </w:p>
    <w:p>
      <w:pPr>
        <w:numPr>
          <w:ilvl w:val="0"/>
          <w:numId w:val="1038"/>
        </w:numPr>
        <w:pStyle w:val="Compact"/>
      </w:pPr>
      <w:r>
        <w:rPr>
          <w:bCs/>
          <w:b/>
        </w:rPr>
        <w:t xml:space="preserve">Injection-site reactions:</w:t>
      </w:r>
      <w:r>
        <w:t xml:space="preserve"> </w:t>
      </w:r>
      <w:r>
        <w:t xml:space="preserve">With the weekly form, palpable nodules frequently form under the skin because the microspheres are slowly broken down there. In the five-year analysis of DURATION-1, such reactions became less frequent over time</w:t>
      </w:r>
      <w:r>
        <w:rPr>
          <w:rStyle w:val="FootnoteReference"/>
        </w:rPr>
        <w:footnoteReference w:id="273"/>
      </w:r>
      <w:r>
        <w:t xml:space="preserve">.</w:t>
      </w:r>
    </w:p>
    <w:p>
      <w:pPr>
        <w:numPr>
          <w:ilvl w:val="0"/>
          <w:numId w:val="1038"/>
        </w:numPr>
        <w:pStyle w:val="Compact"/>
      </w:pPr>
      <w:r>
        <w:rPr>
          <w:bCs/>
          <w:b/>
        </w:rPr>
        <w:t xml:space="preserve">Antibody formation:</w:t>
      </w:r>
      <w:r>
        <w:t xml:space="preserve"> </w:t>
      </w:r>
      <w:r>
        <w:t xml:space="preserve">Because of its origin in lizard venom, a proportion of those treated form antibodies. This is described in more detail in Part IV.</w:t>
      </w:r>
    </w:p>
    <w:p>
      <w:pPr>
        <w:pStyle w:val="FirstParagraph"/>
      </w:pPr>
      <w:r>
        <w:rPr>
          <w:bCs/>
          <w:b/>
        </w:rPr>
        <w:t xml:space="preserve">Investigated but not confirmed or uncertain:</w:t>
      </w:r>
    </w:p>
    <w:p>
      <w:pPr>
        <w:numPr>
          <w:ilvl w:val="0"/>
          <w:numId w:val="1039"/>
        </w:numPr>
        <w:pStyle w:val="Compact"/>
      </w:pPr>
      <w:r>
        <w:rPr>
          <w:bCs/>
          <w:b/>
        </w:rPr>
        <w:t xml:space="preserve">Acute pancreatitis:</w:t>
      </w:r>
      <w:r>
        <w:t xml:space="preserve"> </w:t>
      </w:r>
      <w:r>
        <w:t xml:space="preserve">Shortly after market launch, there were spontaneous reports that led to warnings. In a pooled analysis of two insurance databases with 49,956 people on exenatide twice daily, the risk was not increased without adjustment (relative risk 1.0) and was slightly increased after correction for misclassification (1.3; confidence interval 1.0–1.7)</w:t>
      </w:r>
      <w:r>
        <w:rPr>
          <w:rStyle w:val="FootnoteReference"/>
        </w:rPr>
        <w:footnoteReference w:id="274"/>
      </w:r>
      <w:r>
        <w:t xml:space="preserve">. In EXSCEL, pancreatitis did not occur more frequently than on placebo</w:t>
      </w:r>
      <w:r>
        <w:rPr>
          <w:rStyle w:val="FootnoteReference"/>
        </w:rPr>
        <w:footnoteReference w:id="275"/>
      </w:r>
      <w:r>
        <w:t xml:space="preserve">. Pancreatitis remains listed as a rare side effect in the prescribing information.</w:t>
      </w:r>
    </w:p>
    <w:p>
      <w:pPr>
        <w:numPr>
          <w:ilvl w:val="0"/>
          <w:numId w:val="1039"/>
        </w:numPr>
        <w:pStyle w:val="Compact"/>
      </w:pPr>
      <w:r>
        <w:rPr>
          <w:bCs/>
          <w:b/>
        </w:rPr>
        <w:t xml:space="preserve">Pancreatic and thyroid cancer:</w:t>
      </w:r>
      <w:r>
        <w:t xml:space="preserve"> </w:t>
      </w:r>
      <w:r>
        <w:t xml:space="preserve">In a US cohort study with 33,629 people on exenatide, the risk of pancreatic cancer was not increased (HR 0.76); for thyroid cancer, the estimate was 1.46, with a confidence interval of 0.98 to 2.19, i.e., not statistically significant</w:t>
      </w:r>
      <w:r>
        <w:rPr>
          <w:rStyle w:val="FootnoteReference"/>
        </w:rPr>
        <w:footnoteReference w:id="276"/>
      </w:r>
      <w:r>
        <w:t xml:space="preserve">. A meta-analysis of 50 randomized trials on the entire GLP-1 class found no overall increase in cancer risk, but a signal for thyroid cancer (odds ratio 1.55) that needs further investigation</w:t>
      </w:r>
      <w:r>
        <w:rPr>
          <w:rStyle w:val="FootnoteReference"/>
        </w:rPr>
        <w:footnoteReference w:id="277"/>
      </w:r>
      <w:r>
        <w:t xml:space="preserve">. A European safety study on pancreatic cancer with exenatide is ongoing</w:t>
      </w:r>
      <w:r>
        <w:rPr>
          <w:rStyle w:val="FootnoteReference"/>
        </w:rPr>
        <w:footnoteReference w:id="278"/>
      </w:r>
      <w:r>
        <w:t xml:space="preserve">.</w:t>
      </w:r>
    </w:p>
    <w:p>
      <w:pPr>
        <w:numPr>
          <w:ilvl w:val="0"/>
          <w:numId w:val="1039"/>
        </w:numPr>
        <w:pStyle w:val="Compact"/>
      </w:pPr>
      <w:r>
        <w:rPr>
          <w:bCs/>
          <w:b/>
        </w:rPr>
        <w:t xml:space="preserve">Cardiovascular risk:</w:t>
      </w:r>
      <w:r>
        <w:t xml:space="preserve"> </w:t>
      </w:r>
      <w:r>
        <w:t xml:space="preserve">not increased in EXSCEL.</w:t>
      </w:r>
    </w:p>
    <w:p>
      <w:pPr>
        <w:pStyle w:val="FirstParagraph"/>
      </w:pPr>
      <w:r>
        <w:rPr>
          <w:bCs/>
          <w:b/>
        </w:rPr>
        <w:t xml:space="preserve">Notes for practice:</w:t>
      </w:r>
      <w:r>
        <w:t xml:space="preserve"> </w:t>
      </w:r>
      <w:r>
        <w:t xml:space="preserve">Exenatide is excreted via the kidneys; it is not recommended in severely impaired kidney function. Like all GLP-1 receptor agonists, it slows gastric emptying and can thereby affect the absorption of other medications. For use, contraindications, and interactions, the current prescribing information is authoritative; treatment belongs in the hands of a physician.</w:t>
      </w:r>
    </w:p>
    <w:bookmarkEnd w:id="279"/>
    <w:bookmarkStart w:id="280" w:name="legal-status"/>
    <w:p>
      <w:pPr>
        <w:pStyle w:val="Heading3"/>
      </w:pPr>
      <w:r>
        <w:t xml:space="preserve">Legal status</w:t>
      </w:r>
    </w:p>
    <w:p>
      <w:pPr>
        <w:numPr>
          <w:ilvl w:val="0"/>
          <w:numId w:val="1040"/>
        </w:numPr>
        <w:pStyle w:val="Compact"/>
      </w:pPr>
      <w:r>
        <w:rPr>
          <w:bCs/>
          <w:b/>
        </w:rPr>
        <w:t xml:space="preserve">EU:</w:t>
      </w:r>
      <w:r>
        <w:t xml:space="preserve"> </w:t>
      </w:r>
      <w:r>
        <w:t xml:space="preserve">Exenatide is centrally authorized as a prescription medicine for the treatment of type 2 diabetes (Byetta since 2006, Bydureon since 2011). It is not approved for weight reduction.</w:t>
      </w:r>
    </w:p>
    <w:p>
      <w:pPr>
        <w:numPr>
          <w:ilvl w:val="0"/>
          <w:numId w:val="1040"/>
        </w:numPr>
        <w:pStyle w:val="Compact"/>
      </w:pPr>
      <w:r>
        <w:rPr>
          <w:bCs/>
          <w:b/>
        </w:rPr>
        <w:t xml:space="preserve">Germany and Austria:</w:t>
      </w:r>
      <w:r>
        <w:t xml:space="preserve"> </w:t>
      </w:r>
      <w:r>
        <w:t xml:space="preserve">prescription-only. Prescribing it purely for weight loss would be off-label use and is generally not covered by health insurers. Some dosage forms are not permanently on the market in all countries – please check for current information.</w:t>
      </w:r>
    </w:p>
    <w:p>
      <w:pPr>
        <w:numPr>
          <w:ilvl w:val="0"/>
          <w:numId w:val="1040"/>
        </w:numPr>
        <w:pStyle w:val="Compact"/>
      </w:pPr>
      <w:r>
        <w:rPr>
          <w:bCs/>
          <w:b/>
        </w:rPr>
        <w:t xml:space="preserve">USA:</w:t>
      </w:r>
      <w:r>
        <w:t xml:space="preserve"> </w:t>
      </w:r>
      <w:r>
        <w:t xml:space="preserve">approved for type 2 diabetes; the weekly form also for adolescents aged 10 and older. Generics are approved for the twice-daily form.</w:t>
      </w:r>
    </w:p>
    <w:p>
      <w:pPr>
        <w:numPr>
          <w:ilvl w:val="0"/>
          <w:numId w:val="1040"/>
        </w:numPr>
        <w:pStyle w:val="Compact"/>
      </w:pPr>
      <w:r>
        <w:rPr>
          <w:bCs/>
          <w:b/>
        </w:rPr>
        <w:t xml:space="preserve">Sport (WADA):</w:t>
      </w:r>
      <w:r>
        <w:t xml:space="preserve"> </w:t>
      </w:r>
      <w:r>
        <w:t xml:space="preserve">GLP-1 receptor agonists are not on the Prohibited List (status as of 2026; please check for current information).</w:t>
      </w:r>
    </w:p>
    <w:p>
      <w:pPr>
        <w:numPr>
          <w:ilvl w:val="0"/>
          <w:numId w:val="1040"/>
        </w:numPr>
        <w:pStyle w:val="Compact"/>
      </w:pPr>
      <w:r>
        <w:rPr>
          <w:bCs/>
          <w:b/>
        </w:rPr>
        <w:t xml:space="preserve">Gray market:</w:t>
      </w:r>
      <w:r>
        <w:t xml:space="preserve"> </w:t>
      </w:r>
      <w:r>
        <w:t xml:space="preserve">Alongside semaglutide and tirzepatide, exenatide plays hardly any role on the gray market. General risks of unapproved sources of supply are described in Part I.</w:t>
      </w:r>
    </w:p>
    <w:bookmarkEnd w:id="280"/>
    <w:bookmarkStart w:id="287" w:name="ongoing-studies-and-outlook"/>
    <w:p>
      <w:pPr>
        <w:pStyle w:val="Heading3"/>
      </w:pPr>
      <w:r>
        <w:t xml:space="preserve">Ongoing studies and outlook</w:t>
      </w:r>
    </w:p>
    <w:p>
      <w:pPr>
        <w:pStyle w:val="FirstParagraph"/>
      </w:pPr>
      <w:r>
        <w:rPr>
          <w:bCs/>
          <w:b/>
        </w:rPr>
        <w:t xml:space="preserve">Established (registered studies):</w:t>
      </w:r>
      <w:r>
        <w:t xml:space="preserve"> </w:t>
      </w:r>
      <w:r>
        <w:t xml:space="preserve">As a diabetes drug, exenatide has been largely</w:t>
      </w:r>
      <w:r>
        <w:t xml:space="preserve"> </w:t>
      </w:r>
      <w:r>
        <w:t xml:space="preserve">“</w:t>
      </w:r>
      <w:r>
        <w:t xml:space="preserve">researched out</w:t>
      </w:r>
      <w:r>
        <w:t xml:space="preserve">”</w:t>
      </w:r>
      <w:r>
        <w:t xml:space="preserve">; there are hardly any new approval trials in this indication. Current registry entries mainly concern:</w:t>
      </w:r>
    </w:p>
    <w:p>
      <w:pPr>
        <w:numPr>
          <w:ilvl w:val="0"/>
          <w:numId w:val="1041"/>
        </w:numPr>
        <w:pStyle w:val="Compact"/>
      </w:pPr>
      <w:r>
        <w:t xml:space="preserve">Modifications of the molecule: pegylated variants are being developed in China. For PB-119, a phase 2 trial with 251 participants lowered HbA1c after 12 weeks by up to 1.18 percentage points more than placebo</w:t>
      </w:r>
      <w:r>
        <w:rPr>
          <w:rStyle w:val="FootnoteReference"/>
        </w:rPr>
        <w:footnoteReference w:id="281"/>
      </w:r>
      <w:r>
        <w:t xml:space="preserve">. Another candidate, JY09 – exendin-4 coupled to an antibody component (Fc fusion protein), injected every two weeks in the studies – is being tested in phase 3 trials against placebo and against dulaglutide</w:t>
      </w:r>
      <w:r>
        <w:rPr>
          <w:rStyle w:val="FootnoteReference"/>
        </w:rPr>
        <w:footnoteReference w:id="282"/>
      </w:r>
      <w:r>
        <w:t xml:space="preserve">.</w:t>
      </w:r>
    </w:p>
    <w:p>
      <w:pPr>
        <w:numPr>
          <w:ilvl w:val="0"/>
          <w:numId w:val="1041"/>
        </w:numPr>
        <w:pStyle w:val="Compact"/>
      </w:pPr>
      <w:r>
        <w:t xml:space="preserve">Neurology: the pegylated variant NLY01 is being studied in multiple sclerosis in a phase 2 trial with 120 participants</w:t>
      </w:r>
      <w:r>
        <w:rPr>
          <w:rStyle w:val="FootnoteReference"/>
        </w:rPr>
        <w:footnoteReference w:id="283"/>
      </w:r>
      <w:r>
        <w:t xml:space="preserve">.</w:t>
      </w:r>
    </w:p>
    <w:p>
      <w:pPr>
        <w:numPr>
          <w:ilvl w:val="0"/>
          <w:numId w:val="1041"/>
        </w:numPr>
        <w:pStyle w:val="Compact"/>
      </w:pPr>
      <w:r>
        <w:t xml:space="preserve">Safety: in addition to the European study on pancreatic cancer</w:t>
      </w:r>
      <w:r>
        <w:rPr>
          <w:rStyle w:val="FootnoteReference"/>
        </w:rPr>
        <w:footnoteReference w:id="284"/>
      </w:r>
      <w:r>
        <w:t xml:space="preserve">, a long-term surveillance program for medullary thyroid carcinoma under GLP-1 receptor agonists is ongoing</w:t>
      </w:r>
      <w:r>
        <w:rPr>
          <w:rStyle w:val="FootnoteReference"/>
        </w:rPr>
        <w:footnoteReference w:id="285"/>
      </w:r>
      <w:r>
        <w:t xml:space="preserve">.</w:t>
      </w:r>
    </w:p>
    <w:p>
      <w:pPr>
        <w:numPr>
          <w:ilvl w:val="0"/>
          <w:numId w:val="1041"/>
        </w:numPr>
        <w:pStyle w:val="Compact"/>
      </w:pPr>
      <w:r>
        <w:t xml:space="preserve">Diagnostics: radiolabeled exendin-4 is used as a tracer in PET imaging of insulinomas (rare insulin-producing tumors)</w:t>
      </w:r>
      <w:r>
        <w:rPr>
          <w:rStyle w:val="FootnoteReference"/>
        </w:rPr>
        <w:footnoteReference w:id="286"/>
      </w:r>
      <w:r>
        <w:t xml:space="preserve">.</w:t>
      </w:r>
    </w:p>
    <w:p>
      <w:pPr>
        <w:pStyle w:val="FirstParagraph"/>
      </w:pPr>
      <w:r>
        <w:rPr>
          <w:bCs/>
          <w:b/>
        </w:rPr>
        <w:t xml:space="preserve">Assessment:</w:t>
      </w:r>
      <w:r>
        <w:t xml:space="preserve"> </w:t>
      </w:r>
      <w:r>
        <w:t xml:space="preserve">Exenatide will continue to lose importance in diabetes treatment because stronger and more convenient successors are available. Its lasting role is that of a pioneer and a research tool. Whether the Parkinson’s hypothesis will be revived depends on drugs that penetrate the brain better and on clarification of the questions surrounding Exenatide-PD3.</w:t>
      </w:r>
    </w:p>
    <w:bookmarkEnd w:id="287"/>
    <w:bookmarkStart w:id="288" w:name="conclusion"/>
    <w:p>
      <w:pPr>
        <w:pStyle w:val="Heading3"/>
      </w:pPr>
      <w:r>
        <w:t xml:space="preserve">Conclusion</w:t>
      </w:r>
    </w:p>
    <w:p>
      <w:pPr>
        <w:pStyle w:val="FirstParagraph"/>
      </w:pPr>
      <w:r>
        <w:t xml:space="preserve">In 2005, exenatide was the first GLP-1 receptor agonist on the market and is among the best-studied peptide drugs of all. In large trials, it lowered long-term blood sugar by about 1 to 1.5 percentage points and weight by a few kilograms; in EXSCEL, with 14,752 participants, it showed no increased cardiovascular risk, but also no demonstrated protection. In direct comparisons, it is inferior to liraglutide and semaglutide. The initially promising data on Parkinson’s disease were not confirmed in the larger phase 3 trial. For people with type 2 diabetes, exenatide remains a tested option, but no longer the first choice – the decision belongs in the hands of a physician.</w:t>
      </w:r>
    </w:p>
    <w:bookmarkEnd w:id="288"/>
    <w:bookmarkEnd w:id="289"/>
    <w:bookmarkStart w:id="342" w:name="liraglutide"/>
    <w:p>
      <w:pPr>
        <w:pStyle w:val="Heading2"/>
      </w:pPr>
      <w:r>
        <w:t xml:space="preserve">Liraglutide</w:t>
      </w:r>
    </w:p>
    <w:bookmarkStart w:id="291" w:name="profile-1"/>
    <w:p>
      <w:pPr>
        <w:pStyle w:val="Heading3"/>
      </w:pPr>
      <w:r>
        <w:t xml:space="preserve">Profile</w:t>
      </w:r>
    </w:p>
    <w:p>
      <w:pPr>
        <w:numPr>
          <w:ilvl w:val="0"/>
          <w:numId w:val="1042"/>
        </w:numPr>
        <w:pStyle w:val="Compact"/>
      </w:pPr>
      <w:r>
        <w:rPr>
          <w:bCs/>
          <w:b/>
        </w:rPr>
        <w:t xml:space="preserve">Type/structure:</w:t>
      </w:r>
      <w:r>
        <w:t xml:space="preserve"> </w:t>
      </w:r>
      <w:r>
        <w:t xml:space="preserve">Modified human GLP-1 of 31 amino acids. It is 97% identical to the body’s own hormone; at one position an amino acid has been exchanged, and at another a fatty acid with 16 carbon atoms is attached via a short linker.</w:t>
      </w:r>
    </w:p>
    <w:p>
      <w:pPr>
        <w:numPr>
          <w:ilvl w:val="0"/>
          <w:numId w:val="1042"/>
        </w:numPr>
        <w:pStyle w:val="Compact"/>
      </w:pPr>
      <w:r>
        <w:rPr>
          <w:bCs/>
          <w:b/>
        </w:rPr>
        <w:t xml:space="preserve">Origin:</w:t>
      </w:r>
      <w:r>
        <w:t xml:space="preserve"> </w:t>
      </w:r>
      <w:r>
        <w:t xml:space="preserve">developed by Novo Nordisk</w:t>
      </w:r>
      <w:r>
        <w:rPr>
          <w:rStyle w:val="FootnoteReference"/>
        </w:rPr>
        <w:footnoteReference w:id="290"/>
      </w:r>
      <w:r>
        <w:t xml:space="preserve">, produced by genetic engineering in yeast.</w:t>
      </w:r>
    </w:p>
    <w:p>
      <w:pPr>
        <w:numPr>
          <w:ilvl w:val="0"/>
          <w:numId w:val="1042"/>
        </w:numPr>
        <w:pStyle w:val="Compact"/>
      </w:pPr>
      <w:r>
        <w:rPr>
          <w:bCs/>
          <w:b/>
        </w:rPr>
        <w:t xml:space="preserve">Mechanism of action:</w:t>
      </w:r>
      <w:r>
        <w:t xml:space="preserve"> </w:t>
      </w:r>
      <w:r>
        <w:t xml:space="preserve">GLP-1 receptor agonist. The fatty acid causes the molecule to bind to the blood protein albumin; as a result, one injection per day is sufficient.</w:t>
      </w:r>
    </w:p>
    <w:p>
      <w:pPr>
        <w:numPr>
          <w:ilvl w:val="0"/>
          <w:numId w:val="1042"/>
        </w:numPr>
        <w:pStyle w:val="Compact"/>
      </w:pPr>
      <w:r>
        <w:rPr>
          <w:bCs/>
          <w:b/>
        </w:rPr>
        <w:t xml:space="preserve">Products:</w:t>
      </w:r>
      <w:r>
        <w:t xml:space="preserve"> </w:t>
      </w:r>
      <w:r>
        <w:t xml:space="preserve">Victoza (type 2 diabetes, up to 1.8 mg daily), Saxenda (weight management, up to 3.0 mg daily), Xultophy (fixed combination with insulin degludec). Copycat products have been available since 2024.</w:t>
      </w:r>
    </w:p>
    <w:p>
      <w:pPr>
        <w:numPr>
          <w:ilvl w:val="0"/>
          <w:numId w:val="1042"/>
        </w:numPr>
        <w:pStyle w:val="Compact"/>
      </w:pPr>
      <w:r>
        <w:rPr>
          <w:bCs/>
          <w:b/>
        </w:rPr>
        <w:t xml:space="preserve">EU approval:</w:t>
      </w:r>
      <w:r>
        <w:t xml:space="preserve"> </w:t>
      </w:r>
      <w:r>
        <w:t xml:space="preserve">yes – type 2 diabetes (since 2009) and weight management (since 2015), in each case also for adolescents.</w:t>
      </w:r>
    </w:p>
    <w:p>
      <w:pPr>
        <w:numPr>
          <w:ilvl w:val="0"/>
          <w:numId w:val="1042"/>
        </w:numPr>
        <w:pStyle w:val="Compact"/>
      </w:pPr>
      <w:r>
        <w:rPr>
          <w:bCs/>
          <w:b/>
        </w:rPr>
        <w:t xml:space="preserve">US approval:</w:t>
      </w:r>
      <w:r>
        <w:t xml:space="preserve"> </w:t>
      </w:r>
      <w:r>
        <w:t xml:space="preserve">yes – type 2 diabetes (since 2010, from age 10), reduction of cardiovascular risk in type 2 diabetes, and weight management (since 2014, from age 12). Generics are approved for both indications.</w:t>
      </w:r>
    </w:p>
    <w:p>
      <w:pPr>
        <w:numPr>
          <w:ilvl w:val="0"/>
          <w:numId w:val="1042"/>
        </w:numPr>
        <w:pStyle w:val="Compact"/>
      </w:pPr>
      <w:r>
        <w:rPr>
          <w:bCs/>
          <w:b/>
        </w:rPr>
        <w:t xml:space="preserve">WADA:</w:t>
      </w:r>
      <w:r>
        <w:t xml:space="preserve"> </w:t>
      </w:r>
      <w:r>
        <w:t xml:space="preserve">not listed.</w:t>
      </w:r>
    </w:p>
    <w:p>
      <w:pPr>
        <w:numPr>
          <w:ilvl w:val="0"/>
          <w:numId w:val="1042"/>
        </w:numPr>
        <w:pStyle w:val="Compact"/>
      </w:pPr>
      <w:r>
        <w:rPr>
          <w:bCs/>
          <w:b/>
        </w:rPr>
        <w:t xml:space="preserve">Evidence level:</w:t>
      </w:r>
      <w:r>
        <w:t xml:space="preserve"> </w:t>
      </w:r>
      <w:r>
        <w:rPr>
          <w:bCs/>
          <w:b/>
        </w:rPr>
        <w:t xml:space="preserve">A</w:t>
      </w:r>
      <w:r>
        <w:t xml:space="preserve"> </w:t>
      </w:r>
      <w:r>
        <w:t xml:space="preserve">– two large approval programs (LEAD, SCALE), one large outcomes trial (LEADER), studies in children and adolescents.</w:t>
      </w:r>
    </w:p>
    <w:bookmarkEnd w:id="291"/>
    <w:bookmarkStart w:id="294" w:name="how-it-is-supposed-to-work-1"/>
    <w:p>
      <w:pPr>
        <w:pStyle w:val="Heading3"/>
      </w:pPr>
      <w:r>
        <w:t xml:space="preserve">How it is supposed to work</w:t>
      </w:r>
    </w:p>
    <w:p>
      <w:pPr>
        <w:pStyle w:val="FirstParagraph"/>
      </w:pPr>
      <w:r>
        <w:t xml:space="preserve">Liraglutide acts like the body’s own gut hormone GLP-1: it enhances glucose-dependent insulin release, inhibits glucagon, which raises blood sugar, slows gastric emptying, and dampens appetite in the brain. The basic mechanism of the class is described in the chapter Exenatide.</w:t>
      </w:r>
    </w:p>
    <w:p>
      <w:pPr>
        <w:pStyle w:val="BodyText"/>
      </w:pPr>
      <w:r>
        <w:t xml:space="preserve">The difference lies in the structure. Whereas exenatide comes from the venom of a lizard and is only half identical to the human hormone, liraglutide is almost identical to the body’s own GLP-1. The trick that makes it long-lasting is the attached fatty acid. It causes the molecule to attach to albumin in the blood and to cluster into small assemblies, thereby protecting it from breakdown by the enzyme DPP-4 and from excretion via the kidneys. As a result, the half-life increases from a few minutes to about half a day.</w:t>
      </w:r>
    </w:p>
    <w:p>
      <w:pPr>
        <w:pStyle w:val="BodyText"/>
      </w:pPr>
      <w:r>
        <w:t xml:space="preserve">Effects in the brain are primarily responsible for weight loss. In mice and rats, labeled liraglutide reaches certain regions of the hypothalamus, the control center for hunger and satiety, and activates nerve cells there that promote satiety</w:t>
      </w:r>
      <w:r>
        <w:rPr>
          <w:rStyle w:val="FootnoteReference"/>
        </w:rPr>
        <w:footnoteReference w:id="292"/>
      </w:r>
      <w:r>
        <w:t xml:space="preserve">. In humans, this manifests as reduced food intake; a meaningful increase in energy expenditure has not been demonstrated.</w:t>
      </w:r>
    </w:p>
    <w:p>
      <w:pPr>
        <w:pStyle w:val="BodyText"/>
      </w:pPr>
      <w:r>
        <w:t xml:space="preserve">Semaglutide later emerged from liraglutide: the same basic idea, but with stronger albumin binding that allows one injection per week</w:t>
      </w:r>
      <w:r>
        <w:rPr>
          <w:rStyle w:val="FootnoteReference"/>
        </w:rPr>
        <w:footnoteReference w:id="293"/>
      </w:r>
      <w:r>
        <w:t xml:space="preserve">.</w:t>
      </w:r>
    </w:p>
    <w:bookmarkEnd w:id="294"/>
    <w:bookmarkStart w:id="320" w:name="human-studies-1"/>
    <w:p>
      <w:pPr>
        <w:pStyle w:val="Heading3"/>
      </w:pPr>
      <w:r>
        <w:t xml:space="preserve">Human studies</w:t>
      </w:r>
    </w:p>
    <w:p>
      <w:pPr>
        <w:pStyle w:val="FirstParagraph"/>
      </w:pPr>
      <w:r>
        <w:t xml:space="preserve">Liraglutide is among the best-studied peptide drugs. The PubMed query evaluated for this book (search term</w:t>
      </w:r>
      <w:r>
        <w:t xml:space="preserve"> </w:t>
      </w:r>
      <w:r>
        <w:t xml:space="preserve">“</w:t>
      </w:r>
      <w:r>
        <w:t xml:space="preserve">liraglutide</w:t>
      </w:r>
      <w:r>
        <w:t xml:space="preserve">”</w:t>
      </w:r>
      <w:r>
        <w:t xml:space="preserve"> </w:t>
      </w:r>
      <w:r>
        <w:t xml:space="preserve">in title or abstract, query date October 2026) yielded 613 human studies – more than for any other peptide in this book. ClinicalTrials.gov lists 517 registry entries. The following focuses on the approval and outcomes trials; in addition, there are hundreds of smaller studies on the liver, heart, brain, fertility, and eating disorders.</w:t>
      </w:r>
    </w:p>
    <w:bookmarkStart w:id="297" w:name="type-2-diabetes-the-lead-program"/>
    <w:p>
      <w:pPr>
        <w:pStyle w:val="Heading4"/>
      </w:pPr>
      <w:r>
        <w:t xml:space="preserve">Type 2 Diabetes: The LEAD Program</w:t>
      </w:r>
    </w:p>
    <w:p>
      <w:pPr>
        <w:pStyle w:val="FirstParagraph"/>
      </w:pPr>
      <w:r>
        <w:t xml:space="preserve">For the diabetes approval, liraglutide was tested in six trials under the name LEAD (Liraglutide Effect and Action in Diabetes), each with 1.2 or 1.8 mg per day. Two are particularly revealing because they competed against therapies established at the time. In addition, there is the comparison with the DPP-4 inhibitor sitagliptin.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LEAD-3 Mono (Garber 2009), PMID 18819705</w:t>
            </w:r>
          </w:p>
        </w:tc>
        <w:tc>
          <w:tcPr/>
          <w:p>
            <w:pPr>
              <w:pStyle w:val="Compact"/>
              <w:jc w:val="left"/>
            </w:pPr>
            <w:r>
              <w:t xml:space="preserve">746 people with early type 2 diabetes, double-blind vs. glimepiride</w:t>
            </w:r>
          </w:p>
        </w:tc>
        <w:tc>
          <w:tcPr/>
          <w:p>
            <w:pPr>
              <w:pStyle w:val="Compact"/>
              <w:jc w:val="left"/>
            </w:pPr>
            <w:r>
              <w:t xml:space="preserve">52 weeks</w:t>
            </w:r>
          </w:p>
        </w:tc>
        <w:tc>
          <w:tcPr/>
          <w:p>
            <w:pPr>
              <w:pStyle w:val="Compact"/>
              <w:jc w:val="left"/>
            </w:pPr>
            <w:r>
              <w:t xml:space="preserve">HbA1c −1.14 (1.8 mg) vs. −0.51 percentage points</w:t>
            </w:r>
          </w:p>
        </w:tc>
      </w:tr>
      <w:tr>
        <w:tc>
          <w:tcPr/>
          <w:p>
            <w:pPr>
              <w:pStyle w:val="Compact"/>
              <w:jc w:val="left"/>
            </w:pPr>
            <w:r>
              <w:t xml:space="preserve">LEAD-6 (Buse 2009), PMID 19515413</w:t>
            </w:r>
          </w:p>
        </w:tc>
        <w:tc>
          <w:tcPr/>
          <w:p>
            <w:pPr>
              <w:pStyle w:val="Compact"/>
              <w:jc w:val="left"/>
            </w:pPr>
            <w:r>
              <w:t xml:space="preserve">open-label vs. exenatide twice daily</w:t>
            </w:r>
          </w:p>
        </w:tc>
        <w:tc>
          <w:tcPr/>
          <w:p>
            <w:pPr>
              <w:pStyle w:val="Compact"/>
              <w:jc w:val="left"/>
            </w:pPr>
            <w:r>
              <w:t xml:space="preserve">26 weeks</w:t>
            </w:r>
          </w:p>
        </w:tc>
        <w:tc>
          <w:tcPr/>
          <w:p>
            <w:pPr>
              <w:pStyle w:val="Compact"/>
              <w:jc w:val="left"/>
            </w:pPr>
            <w:r>
              <w:t xml:space="preserve">HbA1c −1.12 vs. −0.79; weight −3.24 vs. −2.87 kg</w:t>
            </w:r>
          </w:p>
        </w:tc>
      </w:tr>
      <w:tr>
        <w:tc>
          <w:tcPr/>
          <w:p>
            <w:pPr>
              <w:pStyle w:val="Compact"/>
              <w:jc w:val="left"/>
            </w:pPr>
            <w:r>
              <w:t xml:space="preserve">Pratley 2010, PMID 20417856</w:t>
            </w:r>
          </w:p>
        </w:tc>
        <w:tc>
          <w:tcPr/>
          <w:p>
            <w:pPr>
              <w:pStyle w:val="Compact"/>
              <w:jc w:val="left"/>
            </w:pPr>
            <w:r>
              <w:t xml:space="preserve">658 people on metformin, open-label vs. sitagliptin</w:t>
            </w:r>
          </w:p>
        </w:tc>
        <w:tc>
          <w:tcPr/>
          <w:p>
            <w:pPr>
              <w:pStyle w:val="Compact"/>
              <w:jc w:val="left"/>
            </w:pPr>
            <w:r>
              <w:t xml:space="preserve">26 weeks</w:t>
            </w:r>
          </w:p>
        </w:tc>
        <w:tc>
          <w:tcPr/>
          <w:p>
            <w:pPr>
              <w:pStyle w:val="Compact"/>
              <w:jc w:val="left"/>
            </w:pPr>
            <w:r>
              <w:t xml:space="preserve">HbA1c −1.50 (1.8 mg) vs. −0.90; nausea 27% vs. 5%</w:t>
            </w:r>
          </w:p>
        </w:tc>
      </w:tr>
    </w:tbl>
    <w:p>
      <w:pPr>
        <w:pStyle w:val="BodyText"/>
      </w:pPr>
      <w:r>
        <w:t xml:space="preserve">In these trials, long-term blood sugar (HbA1c) fell by 1.1 to 1.5 percentage points on liraglutide. In LEAD-3</w:t>
      </w:r>
      <w:r>
        <w:rPr>
          <w:rStyle w:val="FootnoteReference"/>
        </w:rPr>
        <w:footnoteReference w:id="295"/>
      </w:r>
      <w:r>
        <w:t xml:space="preserve">, liraglutide was the first diabetes drug to prove superior to the sulfonylurea glimepiride, which lowers blood sugar independently of meals and more often leads to hypoglycemia. Against sitagliptin</w:t>
      </w:r>
      <w:r>
        <w:rPr>
          <w:rStyle w:val="FootnoteReference"/>
        </w:rPr>
        <w:footnoteReference w:id="296"/>
      </w:r>
      <w:r>
        <w:t xml:space="preserve">, the advantage was 0.6 percentage points, albeit with considerably more nausea.</w:t>
      </w:r>
    </w:p>
    <w:bookmarkEnd w:id="297"/>
    <w:bookmarkStart w:id="302" w:name="X680e3142c52730443bc181bf23fd1d997b7e46b"/>
    <w:p>
      <w:pPr>
        <w:pStyle w:val="Heading4"/>
      </w:pPr>
      <w:r>
        <w:t xml:space="preserve">Head-to-Head Comparisons Within the GLP-1 Class</w:t>
      </w:r>
    </w:p>
    <w:p>
      <w:pPr>
        <w:pStyle w:val="FirstParagraph"/>
      </w:pPr>
      <w:r>
        <w:t xml:space="preserve">Liraglutide is the most frequently used comparator in its class. The results yield a clear ranking: liraglutide is stronger than exenatide, roughly as strong as dulaglutide, and weaker than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(liraglutide vs. comparator)</w:t>
            </w:r>
          </w:p>
        </w:tc>
      </w:tr>
      <w:tr>
        <w:tc>
          <w:tcPr/>
          <w:p>
            <w:pPr>
              <w:pStyle w:val="Compact"/>
              <w:jc w:val="left"/>
            </w:pPr>
            <w:r>
              <w:t xml:space="preserve">LEAD-6 (Buse 2009), PMID 19515413</w:t>
            </w:r>
          </w:p>
        </w:tc>
        <w:tc>
          <w:tcPr/>
          <w:p>
            <w:pPr>
              <w:pStyle w:val="Compact"/>
              <w:jc w:val="left"/>
            </w:pPr>
            <w:r>
              <w:t xml:space="preserve">vs. exenatide twice daily</w:t>
            </w:r>
          </w:p>
        </w:tc>
        <w:tc>
          <w:tcPr/>
          <w:p>
            <w:pPr>
              <w:pStyle w:val="Compact"/>
              <w:jc w:val="left"/>
            </w:pPr>
            <w:r>
              <w:t xml:space="preserve">26 weeks</w:t>
            </w:r>
          </w:p>
        </w:tc>
        <w:tc>
          <w:tcPr/>
          <w:p>
            <w:pPr>
              <w:pStyle w:val="Compact"/>
              <w:jc w:val="left"/>
            </w:pPr>
            <w:r>
              <w:t xml:space="preserve">HbA1c −1.12 vs. −0.79; target &lt; 7% in 54% vs. 43%</w:t>
            </w:r>
          </w:p>
        </w:tc>
      </w:tr>
      <w:tr>
        <w:tc>
          <w:tcPr/>
          <w:p>
            <w:pPr>
              <w:pStyle w:val="Compact"/>
              <w:jc w:val="left"/>
            </w:pPr>
            <w:r>
              <w:t xml:space="preserve">DURATION-6 (Buse 2013), PMID 23141817</w:t>
            </w:r>
          </w:p>
        </w:tc>
        <w:tc>
          <w:tcPr/>
          <w:p>
            <w:pPr>
              <w:pStyle w:val="Compact"/>
              <w:jc w:val="left"/>
            </w:pPr>
            <w:r>
              <w:t xml:space="preserve">911 people, vs. exenatide weekly</w:t>
            </w:r>
          </w:p>
        </w:tc>
        <w:tc>
          <w:tcPr/>
          <w:p>
            <w:pPr>
              <w:pStyle w:val="Compact"/>
              <w:jc w:val="left"/>
            </w:pPr>
            <w:r>
              <w:t xml:space="preserve">26 weeks</w:t>
            </w:r>
          </w:p>
        </w:tc>
        <w:tc>
          <w:tcPr/>
          <w:p>
            <w:pPr>
              <w:pStyle w:val="Compact"/>
              <w:jc w:val="left"/>
            </w:pPr>
            <w:r>
              <w:t xml:space="preserve">HbA1c −1.48 vs. −1.28; nausea 21% vs. 9%</w:t>
            </w:r>
          </w:p>
        </w:tc>
      </w:tr>
      <w:tr>
        <w:tc>
          <w:tcPr/>
          <w:p>
            <w:pPr>
              <w:pStyle w:val="Compact"/>
              <w:jc w:val="left"/>
            </w:pPr>
            <w:r>
              <w:t xml:space="preserve">AWARD-6 (Dungan 2014), PMID 25018121</w:t>
            </w:r>
          </w:p>
        </w:tc>
        <w:tc>
          <w:tcPr/>
          <w:p>
            <w:pPr>
              <w:pStyle w:val="Compact"/>
              <w:jc w:val="left"/>
            </w:pPr>
            <w:r>
              <w:t xml:space="preserve">599 people, vs. dulaglutide weekly</w:t>
            </w:r>
          </w:p>
        </w:tc>
        <w:tc>
          <w:tcPr/>
          <w:p>
            <w:pPr>
              <w:pStyle w:val="Compact"/>
              <w:jc w:val="left"/>
            </w:pPr>
            <w:r>
              <w:t xml:space="preserve">26 weeks</w:t>
            </w:r>
          </w:p>
        </w:tc>
        <w:tc>
          <w:tcPr/>
          <w:p>
            <w:pPr>
              <w:pStyle w:val="Compact"/>
              <w:jc w:val="left"/>
            </w:pPr>
            <w:r>
              <w:t xml:space="preserve">HbA1c −1.36 vs. −1.42; equivalent</w:t>
            </w:r>
          </w:p>
        </w:tc>
      </w:tr>
      <w:tr>
        <w:tc>
          <w:tcPr/>
          <w:p>
            <w:pPr>
              <w:pStyle w:val="Compact"/>
              <w:jc w:val="left"/>
            </w:pPr>
            <w:r>
              <w:t xml:space="preserve">PIONEER 4 (Pratley 2019), PMID 31186120</w:t>
            </w:r>
          </w:p>
        </w:tc>
        <w:tc>
          <w:tcPr/>
          <w:p>
            <w:pPr>
              <w:pStyle w:val="Compact"/>
              <w:jc w:val="left"/>
            </w:pPr>
            <w:r>
              <w:t xml:space="preserve">711 people, vs. semaglutide tablet and placebo</w:t>
            </w:r>
          </w:p>
        </w:tc>
        <w:tc>
          <w:tcPr/>
          <w:p>
            <w:pPr>
              <w:pStyle w:val="Compact"/>
              <w:jc w:val="left"/>
            </w:pPr>
            <w:r>
              <w:t xml:space="preserve">52 weeks</w:t>
            </w:r>
          </w:p>
        </w:tc>
        <w:tc>
          <w:tcPr/>
          <w:p>
            <w:pPr>
              <w:pStyle w:val="Compact"/>
              <w:jc w:val="left"/>
            </w:pPr>
            <w:r>
              <w:t xml:space="preserve">HbA1c −1.1 vs. −1.2 after 26 weeks; weight −3.1 vs. −4.4 kg</w:t>
            </w:r>
          </w:p>
        </w:tc>
      </w:tr>
      <w:tr>
        <w:tc>
          <w:tcPr/>
          <w:p>
            <w:pPr>
              <w:pStyle w:val="Compact"/>
              <w:jc w:val="left"/>
            </w:pPr>
            <w:r>
              <w:t xml:space="preserve">SUSTAIN 10 (Capehorn 2020), PMID 31539622</w:t>
            </w:r>
          </w:p>
        </w:tc>
        <w:tc>
          <w:tcPr/>
          <w:p>
            <w:pPr>
              <w:pStyle w:val="Compact"/>
              <w:jc w:val="left"/>
            </w:pPr>
            <w:r>
              <w:t xml:space="preserve">liraglutide 1.2 mg vs. semaglutide 1.0 mg weekly</w:t>
            </w:r>
          </w:p>
        </w:tc>
        <w:tc>
          <w:tcPr/>
          <w:p>
            <w:pPr>
              <w:pStyle w:val="Compact"/>
              <w:jc w:val="left"/>
            </w:pPr>
            <w:r>
              <w:t xml:space="preserve">30 weeks</w:t>
            </w:r>
          </w:p>
        </w:tc>
        <w:tc>
          <w:tcPr/>
          <w:p>
            <w:pPr>
              <w:pStyle w:val="Compact"/>
              <w:jc w:val="left"/>
            </w:pPr>
            <w:r>
              <w:t xml:space="preserve">HbA1c −1.0 vs. −1.7; weight −1.9 vs. −5.8 kg</w:t>
            </w:r>
          </w:p>
        </w:tc>
      </w:tr>
      <w:tr>
        <w:tc>
          <w:tcPr/>
          <w:p>
            <w:pPr>
              <w:pStyle w:val="Compact"/>
              <w:jc w:val="left"/>
            </w:pPr>
            <w:r>
              <w:t xml:space="preserve">STEP 8 (Rubino 2022), PMID 35015037</w:t>
            </w:r>
          </w:p>
        </w:tc>
        <w:tc>
          <w:tcPr/>
          <w:p>
            <w:pPr>
              <w:pStyle w:val="Compact"/>
              <w:jc w:val="left"/>
            </w:pPr>
            <w:r>
              <w:t xml:space="preserve">338 people with obesity without diabetes, liraglutide 3.0 mg vs. semaglutide 2.4 mg</w:t>
            </w:r>
          </w:p>
        </w:tc>
        <w:tc>
          <w:tcPr/>
          <w:p>
            <w:pPr>
              <w:pStyle w:val="Compact"/>
              <w:jc w:val="left"/>
            </w:pPr>
            <w:r>
              <w:t xml:space="preserve">68 weeks</w:t>
            </w:r>
          </w:p>
        </w:tc>
        <w:tc>
          <w:tcPr/>
          <w:p>
            <w:pPr>
              <w:pStyle w:val="Compact"/>
              <w:jc w:val="left"/>
            </w:pPr>
            <w:r>
              <w:t xml:space="preserve">Weight −6.4% vs. −15.8%</w:t>
            </w:r>
          </w:p>
        </w:tc>
      </w:tr>
    </w:tbl>
    <w:p>
      <w:pPr>
        <w:pStyle w:val="BodyText"/>
      </w:pPr>
      <w:r>
        <w:t xml:space="preserve">In LEAD-6</w:t>
      </w:r>
      <w:r>
        <w:rPr>
          <w:rStyle w:val="FootnoteReference"/>
        </w:rPr>
        <w:footnoteReference w:id="298"/>
      </w:r>
      <w:r>
        <w:t xml:space="preserve">, liraglutide lowered fasting glucose considerably more than exenatide twice daily, but lowered the rise in glucose after breakfast and dinner less – an indication that short-acting forms act more strongly via gastric emptying. Nausea lasted for a shorter time with liraglutide, and mild hypoglycemia was less frequent (25.5% vs. 33.6% of participants).</w:t>
      </w:r>
    </w:p>
    <w:p>
      <w:pPr>
        <w:pStyle w:val="BodyText"/>
      </w:pPr>
      <w:r>
        <w:t xml:space="preserve">Against dulaglutide, liraglutide was equivalent in AWARD-6</w:t>
      </w:r>
      <w:r>
        <w:rPr>
          <w:rStyle w:val="FootnoteReference"/>
        </w:rPr>
        <w:footnoteReference w:id="299"/>
      </w:r>
      <w:r>
        <w:t xml:space="preserve">, with similar tolerability; nausea occurred in 18% versus 20%.</w:t>
      </w:r>
    </w:p>
    <w:p>
      <w:pPr>
        <w:pStyle w:val="BodyText"/>
      </w:pPr>
      <w:r>
        <w:t xml:space="preserve">Against semaglutide, liraglutide lost in all comparisons. This was most evident for weight in STEP 8</w:t>
      </w:r>
      <w:r>
        <w:rPr>
          <w:rStyle w:val="FootnoteReference"/>
        </w:rPr>
        <w:footnoteReference w:id="300"/>
      </w:r>
      <w:r>
        <w:t xml:space="preserve">: with the dose approved for obesity in each case, participants on semaglutide lost on average 15.8%, those on liraglutide 6.4% (placebo: 1.9%). A loss of at least 15% was achieved by 55.6% versus 12.0%. Treatment had been discontinued prematurely by 27.6% on liraglutide and 13.5% on semaglutide. With the semaglutide tablet, the difference in PIONEER 4</w:t>
      </w:r>
      <w:r>
        <w:rPr>
          <w:rStyle w:val="FootnoteReference"/>
        </w:rPr>
        <w:footnoteReference w:id="301"/>
      </w:r>
      <w:r>
        <w:t xml:space="preserve"> </w:t>
      </w:r>
      <w:r>
        <w:t xml:space="preserve">was smaller: for HbA1c, the tablet was not worse according to the main analysis method, and for weight it was superior by 1.2 kg. Details of these trials can be found in the chapter Semaglutide.</w:t>
      </w:r>
    </w:p>
    <w:bookmarkEnd w:id="302"/>
    <w:bookmarkStart w:id="306" w:name="leader-heart-circulation-and-kidneys"/>
    <w:p>
      <w:pPr>
        <w:pStyle w:val="Heading4"/>
      </w:pPr>
      <w:r>
        <w:t xml:space="preserve">LEADER: Heart, Circulation, and Kidneys</w:t>
      </w:r>
    </w:p>
    <w:p>
      <w:pPr>
        <w:pStyle w:val="FirstParagraph"/>
      </w:pPr>
      <w:r>
        <w:t xml:space="preserve">LEADER was the first large trial to show protection against cardiovascular events for a GLP-1 receptor agonist. It changed the role of the entire class in diabetes guidelines.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LEADER (Marso 2016), PMID 27295427</w:t>
            </w:r>
          </w:p>
        </w:tc>
        <w:tc>
          <w:tcPr/>
          <w:p>
            <w:pPr>
              <w:pStyle w:val="Compact"/>
              <w:jc w:val="left"/>
            </w:pPr>
            <w:r>
              <w:t xml:space="preserve">9,340 people with type 2 diabetes and high cardiovascular risk, RCT vs. placebo</w:t>
            </w:r>
          </w:p>
        </w:tc>
        <w:tc>
          <w:tcPr/>
          <w:p>
            <w:pPr>
              <w:pStyle w:val="Compact"/>
              <w:jc w:val="left"/>
            </w:pPr>
            <w:r>
              <w:t xml:space="preserve">median 3.8 years</w:t>
            </w:r>
          </w:p>
        </w:tc>
        <w:tc>
          <w:tcPr/>
          <w:p>
            <w:pPr>
              <w:pStyle w:val="Compact"/>
              <w:jc w:val="left"/>
            </w:pPr>
            <w:r>
              <w:t xml:space="preserve">Major cardiovascular events 13.0% vs. 14.9%; HR 0.87 (0.78–0.97)</w:t>
            </w:r>
          </w:p>
        </w:tc>
      </w:tr>
      <w:tr>
        <w:tc>
          <w:tcPr/>
          <w:p>
            <w:pPr>
              <w:pStyle w:val="Compact"/>
              <w:jc w:val="left"/>
            </w:pPr>
            <w:r>
              <w:t xml:space="preserve">LEADER, kidney analysis (Mann 2017), PMID 28854085</w:t>
            </w:r>
          </w:p>
        </w:tc>
        <w:tc>
          <w:tcPr/>
          <w:p>
            <w:pPr>
              <w:pStyle w:val="Compact"/>
              <w:jc w:val="left"/>
            </w:pPr>
            <w:r>
              <w:t xml:space="preserve">the same 9,340 people, prespecified analysis</w:t>
            </w:r>
          </w:p>
        </w:tc>
        <w:tc>
          <w:tcPr/>
          <w:p>
            <w:pPr>
              <w:pStyle w:val="Compact"/>
              <w:jc w:val="left"/>
            </w:pPr>
            <w:r>
              <w:t xml:space="preserve">median 3.84 years</w:t>
            </w:r>
          </w:p>
        </w:tc>
        <w:tc>
          <w:tcPr/>
          <w:p>
            <w:pPr>
              <w:pStyle w:val="Compact"/>
              <w:jc w:val="left"/>
            </w:pPr>
            <w:r>
              <w:t xml:space="preserve">Kidney endpoint 268 vs. 337 cases; HR 0.78, mainly less new macroalbuminuria</w:t>
            </w:r>
          </w:p>
        </w:tc>
      </w:tr>
    </w:tbl>
    <w:p>
      <w:pPr>
        <w:pStyle w:val="BodyText"/>
      </w:pPr>
      <w:r>
        <w:t xml:space="preserve">The primary endpoint – death from cardiovascular causes, nonfatal myocardial infarction, or stroke – occurred in 608 of 4,668 people (13.0%) on liraglutide and in 694 of 4,672 (14.9%) on placebo</w:t>
      </w:r>
      <w:r>
        <w:rPr>
          <w:rStyle w:val="FootnoteReference"/>
        </w:rPr>
        <w:footnoteReference w:id="303"/>
      </w:r>
      <w:r>
        <w:t xml:space="preserve">. This corresponds to a relative risk reduction of 13%. The effect was driven mainly by fewer cardiovascular deaths (4.7% vs. 6.0%; HR 0.78). All-cause mortality was also lower (8.2% vs. 9.6%; HR 0.85). The individual components of myocardial infarction, stroke, and hospitalization for heart failure were not significantly reduced on their own.</w:t>
      </w:r>
    </w:p>
    <w:p>
      <w:pPr>
        <w:pStyle w:val="BodyText"/>
      </w:pPr>
      <w:r>
        <w:t xml:space="preserve">In absolute numbers, this means: over almost four years, about two in a hundred people treated had one fewer major cardiovascular event. For a high-risk group, this is a relevant effect.</w:t>
      </w:r>
    </w:p>
    <w:p>
      <w:pPr>
        <w:pStyle w:val="BodyText"/>
      </w:pPr>
      <w:r>
        <w:t xml:space="preserve">The kidney analysis</w:t>
      </w:r>
      <w:r>
        <w:rPr>
          <w:rStyle w:val="FootnoteReference"/>
        </w:rPr>
        <w:footnoteReference w:id="304"/>
      </w:r>
      <w:r>
        <w:t xml:space="preserve"> </w:t>
      </w:r>
      <w:r>
        <w:t xml:space="preserve">showed fewer cases of newly occurring heavy protein excretion in the urine (macroalbuminuria). Hard kidney endpoints such as the need for dialysis were rare and did not differ clearly. Acute kidney failure occurred about as often as on placebo.</w:t>
      </w:r>
    </w:p>
    <w:p>
      <w:pPr>
        <w:pStyle w:val="BodyText"/>
      </w:pPr>
      <w:r>
        <w:t xml:space="preserve">Not every cardiac group benefits. In the FIGHT trial with 300 people who had recently been hospitalized for severe heart failure with markedly reduced pump function, liraglutide did not improve the course</w:t>
      </w:r>
      <w:r>
        <w:rPr>
          <w:rStyle w:val="FootnoteReference"/>
        </w:rPr>
        <w:footnoteReference w:id="305"/>
      </w:r>
      <w:r>
        <w:t xml:space="preserve">. There were even somewhat more rehospitalizations for heart failure (41% vs. 34%), although the difference was not statistically significant. The authors saw no basis for its use in this situation.</w:t>
      </w:r>
    </w:p>
    <w:bookmarkEnd w:id="306"/>
    <w:bookmarkStart w:id="311" w:name="obesity-the-scale-program"/>
    <w:p>
      <w:pPr>
        <w:pStyle w:val="Heading4"/>
      </w:pPr>
      <w:r>
        <w:t xml:space="preserve">Obesity: The SCALE Program</w:t>
      </w:r>
    </w:p>
    <w:p>
      <w:pPr>
        <w:pStyle w:val="FirstParagraph"/>
      </w:pPr>
      <w:r>
        <w:t xml:space="preserve">At 3.0 mg per day – almost twice the highest diabetes dose – liraglutide was approved in 2014/2015 as the first GLP-1 medication for weight reduction. The basis was the SCALE study program.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SCALE Obesity and Prediabetes (Pi-Sunyer 2015), PMID 26132939</w:t>
            </w:r>
          </w:p>
        </w:tc>
        <w:tc>
          <w:tcPr/>
          <w:p>
            <w:pPr>
              <w:pStyle w:val="Compact"/>
              <w:jc w:val="left"/>
            </w:pPr>
            <w:r>
              <w:t xml:space="preserve">3,731 adults with obesity without diabetes, RCT vs. placebo</w:t>
            </w:r>
          </w:p>
        </w:tc>
        <w:tc>
          <w:tcPr/>
          <w:p>
            <w:pPr>
              <w:pStyle w:val="Compact"/>
              <w:jc w:val="left"/>
            </w:pPr>
            <w:r>
              <w:t xml:space="preserve">56 weeks</w:t>
            </w:r>
          </w:p>
        </w:tc>
        <w:tc>
          <w:tcPr/>
          <w:p>
            <w:pPr>
              <w:pStyle w:val="Compact"/>
              <w:jc w:val="left"/>
            </w:pPr>
            <w:r>
              <w:t xml:space="preserve">−8.4 kg vs. −2.8 kg; ≥ 5% loss in 63.2% vs. 27.1%</w:t>
            </w:r>
          </w:p>
        </w:tc>
      </w:tr>
      <w:tr>
        <w:tc>
          <w:tcPr/>
          <w:p>
            <w:pPr>
              <w:pStyle w:val="Compact"/>
              <w:jc w:val="left"/>
            </w:pPr>
            <w:r>
              <w:t xml:space="preserve">SCALE, 3-year part (le Roux 2017), PMID 28237263</w:t>
            </w:r>
          </w:p>
        </w:tc>
        <w:tc>
          <w:tcPr/>
          <w:p>
            <w:pPr>
              <w:pStyle w:val="Compact"/>
              <w:jc w:val="left"/>
            </w:pPr>
            <w:r>
              <w:t xml:space="preserve">2,254 people with prediabetes</w:t>
            </w:r>
          </w:p>
        </w:tc>
        <w:tc>
          <w:tcPr/>
          <w:p>
            <w:pPr>
              <w:pStyle w:val="Compact"/>
              <w:jc w:val="left"/>
            </w:pPr>
            <w:r>
              <w:t xml:space="preserve">160 weeks</w:t>
            </w:r>
          </w:p>
        </w:tc>
        <w:tc>
          <w:tcPr/>
          <w:p>
            <w:pPr>
              <w:pStyle w:val="Compact"/>
              <w:jc w:val="left"/>
            </w:pPr>
            <w:r>
              <w:t xml:space="preserve">New diabetes in 2% vs. 6%; weight −6.1% vs. −1.9%</w:t>
            </w:r>
          </w:p>
        </w:tc>
      </w:tr>
      <w:tr>
        <w:tc>
          <w:tcPr/>
          <w:p>
            <w:pPr>
              <w:pStyle w:val="Compact"/>
              <w:jc w:val="left"/>
            </w:pPr>
            <w:r>
              <w:t xml:space="preserve">SCALE Diabetes (Davies 2015), PMID 26284720</w:t>
            </w:r>
          </w:p>
        </w:tc>
        <w:tc>
          <w:tcPr/>
          <w:p>
            <w:pPr>
              <w:pStyle w:val="Compact"/>
              <w:jc w:val="left"/>
            </w:pPr>
            <w:r>
              <w:t xml:space="preserve">846 people with type 2 diabetes and overweight</w:t>
            </w:r>
          </w:p>
        </w:tc>
        <w:tc>
          <w:tcPr/>
          <w:p>
            <w:pPr>
              <w:pStyle w:val="Compact"/>
              <w:jc w:val="left"/>
            </w:pPr>
            <w:r>
              <w:t xml:space="preserve">56 weeks</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people after a diet with ≥ 5% loss</w:t>
            </w:r>
          </w:p>
        </w:tc>
        <w:tc>
          <w:tcPr/>
          <w:p>
            <w:pPr>
              <w:pStyle w:val="Compact"/>
              <w:jc w:val="left"/>
            </w:pPr>
            <w:r>
              <w:t xml:space="preserve">56 weeks</w:t>
            </w:r>
          </w:p>
        </w:tc>
        <w:tc>
          <w:tcPr/>
          <w:p>
            <w:pPr>
              <w:pStyle w:val="Compact"/>
              <w:jc w:val="left"/>
            </w:pPr>
            <w:r>
              <w:t xml:space="preserve">additional −6.2% vs. −0.2%</w:t>
            </w:r>
          </w:p>
        </w:tc>
      </w:tr>
      <w:tr>
        <w:tc>
          <w:tcPr/>
          <w:p>
            <w:pPr>
              <w:pStyle w:val="Compact"/>
              <w:jc w:val="left"/>
            </w:pPr>
            <w:r>
              <w:t xml:space="preserve">SCALE Sleep Apnea (Blackman 2016), PMID 27005405</w:t>
            </w:r>
          </w:p>
        </w:tc>
        <w:tc>
          <w:tcPr/>
          <w:p>
            <w:pPr>
              <w:pStyle w:val="Compact"/>
              <w:jc w:val="left"/>
            </w:pPr>
            <w:r>
              <w:t xml:space="preserve">adults with obesity and moderate to severe sleep apnea</w:t>
            </w:r>
          </w:p>
        </w:tc>
        <w:tc>
          <w:tcPr/>
          <w:p>
            <w:pPr>
              <w:pStyle w:val="Compact"/>
              <w:jc w:val="left"/>
            </w:pPr>
            <w:r>
              <w:t xml:space="preserve">32 weeks</w:t>
            </w:r>
          </w:p>
        </w:tc>
        <w:tc>
          <w:tcPr/>
          <w:p>
            <w:pPr>
              <w:pStyle w:val="Compact"/>
              <w:jc w:val="left"/>
            </w:pPr>
            <w:r>
              <w:t xml:space="preserve">Breathing pauses −12.2 vs. −6.1 per hour; weight −5.7% vs. −1.6%</w:t>
            </w:r>
          </w:p>
        </w:tc>
      </w:tr>
    </w:tbl>
    <w:p>
      <w:pPr>
        <w:pStyle w:val="BodyText"/>
      </w:pPr>
      <w:r>
        <w:t xml:space="preserve">In the largest trial</w:t>
      </w:r>
      <w:r>
        <w:rPr>
          <w:rStyle w:val="FootnoteReference"/>
        </w:rPr>
        <w:footnoteReference w:id="307"/>
      </w:r>
      <w:r>
        <w:t xml:space="preserve">, participants on liraglutide lost on average 8.4 kg, compared with 2.8 kg on placebo – in each case with diet and exercise counseling. One third (33.1%) lost more than 10% of their body weight, compared with 10.6% on placebo. Serious adverse events occurred in 6.2% versus 5.0%.</w:t>
      </w:r>
    </w:p>
    <w:p>
      <w:pPr>
        <w:pStyle w:val="BodyText"/>
      </w:pPr>
      <w:r>
        <w:t xml:space="preserve">Participants with prediabetes (a precursor of diabetes) were treated for three years</w:t>
      </w:r>
      <w:r>
        <w:rPr>
          <w:rStyle w:val="FootnoteReference"/>
        </w:rPr>
        <w:footnoteReference w:id="308"/>
      </w:r>
      <w:r>
        <w:t xml:space="preserve">. On liraglutide, 2% developed type 2 diabetes, compared with 6% on placebo. However, the study has an important weakness: only half of the participants (50%) remained until the end, and those who dropped out were not followed further. The results should therefore be read with caution.</w:t>
      </w:r>
    </w:p>
    <w:p>
      <w:pPr>
        <w:pStyle w:val="BodyText"/>
      </w:pPr>
      <w:r>
        <w:t xml:space="preserve">In people with type 2 diabetes, weight loss was smaller</w:t>
      </w:r>
      <w:r>
        <w:rPr>
          <w:rStyle w:val="FootnoteReference"/>
        </w:rPr>
        <w:footnoteReference w:id="309"/>
      </w:r>
      <w:r>
        <w:t xml:space="preserve"> </w:t>
      </w:r>
      <w:r>
        <w:t xml:space="preserve">– a pattern that is repeated with all GLP-1 medications. In SCALE Maintenance</w:t>
      </w:r>
      <w:r>
        <w:rPr>
          <w:rStyle w:val="FootnoteReference"/>
        </w:rPr>
        <w:footnoteReference w:id="310"/>
      </w:r>
      <w:r>
        <w:t xml:space="preserve">, liraglutide helped people maintain their weight after a diet phase: 81.4% maintained the weight loss previously achieved, compared with 48.9% on placebo.</w:t>
      </w:r>
    </w:p>
    <w:p>
      <w:pPr>
        <w:pStyle w:val="BodyText"/>
      </w:pPr>
      <w:r>
        <w:t xml:space="preserve">In retrospect, the weight effect of liraglutide seems modest now that semaglutide and tirzepatide achieve on average 15 to over 20%. For its time, it was a breakthrough: no previously approved drug had shown similar values in trials of this size.</w:t>
      </w:r>
    </w:p>
    <w:bookmarkEnd w:id="311"/>
    <w:bookmarkStart w:id="315" w:name="children-and-adolescents"/>
    <w:p>
      <w:pPr>
        <w:pStyle w:val="Heading4"/>
      </w:pPr>
      <w:r>
        <w:t xml:space="preserve">Children and Adolescents</w:t>
      </w:r>
    </w:p>
    <w:p>
      <w:pPr>
        <w:pStyle w:val="FirstParagraph"/>
      </w:pPr>
      <w:r>
        <w:t xml:space="preserve">Liraglutide is one of the few drugs in this class that have been specifically studied in children and adolescents.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ELLIPSE (Tamborlane 2019), PMID 31034184</w:t>
            </w:r>
          </w:p>
        </w:tc>
        <w:tc>
          <w:tcPr/>
          <w:p>
            <w:pPr>
              <w:pStyle w:val="Compact"/>
              <w:jc w:val="left"/>
            </w:pPr>
            <w:r>
              <w:t xml:space="preserve">134 children and adolescents (10 to under 17 years) with type 2 diabetes, RCT vs. placebo</w:t>
            </w:r>
          </w:p>
        </w:tc>
        <w:tc>
          <w:tcPr/>
          <w:p>
            <w:pPr>
              <w:pStyle w:val="Compact"/>
              <w:jc w:val="left"/>
            </w:pPr>
            <w:r>
              <w:t xml:space="preserve">52 weeks</w:t>
            </w:r>
          </w:p>
        </w:tc>
        <w:tc>
          <w:tcPr/>
          <w:p>
            <w:pPr>
              <w:pStyle w:val="Compact"/>
              <w:jc w:val="left"/>
            </w:pPr>
            <w:r>
              <w:t xml:space="preserve">HbA1c −1.06 percentage points vs. placebo after 26 weeks, −1.30 after 52 weeks</w:t>
            </w:r>
          </w:p>
        </w:tc>
      </w:tr>
      <w:tr>
        <w:tc>
          <w:tcPr/>
          <w:p>
            <w:pPr>
              <w:pStyle w:val="Compact"/>
              <w:jc w:val="left"/>
            </w:pPr>
            <w:r>
              <w:t xml:space="preserve">SCALE Teens (Kelly 2020), PMID 32233338</w:t>
            </w:r>
          </w:p>
        </w:tc>
        <w:tc>
          <w:tcPr/>
          <w:p>
            <w:pPr>
              <w:pStyle w:val="Compact"/>
              <w:jc w:val="left"/>
            </w:pPr>
            <w:r>
              <w:t xml:space="preserve">251 adolescents (12 to under 18 years) with obesity, RCT vs. placebo</w:t>
            </w:r>
          </w:p>
        </w:tc>
        <w:tc>
          <w:tcPr/>
          <w:p>
            <w:pPr>
              <w:pStyle w:val="Compact"/>
              <w:jc w:val="left"/>
            </w:pPr>
            <w:r>
              <w:t xml:space="preserve">56 weeks</w:t>
            </w:r>
          </w:p>
        </w:tc>
        <w:tc>
          <w:tcPr/>
          <w:p>
            <w:pPr>
              <w:pStyle w:val="Compact"/>
              <w:jc w:val="left"/>
            </w:pPr>
            <w:r>
              <w:t xml:space="preserve">BMI reduction ≥ 5% in 43.3% vs. 18.7%; weight −4.50 kg vs. placebo</w:t>
            </w:r>
          </w:p>
        </w:tc>
      </w:tr>
      <w:tr>
        <w:tc>
          <w:tcPr/>
          <w:p>
            <w:pPr>
              <w:pStyle w:val="Compact"/>
              <w:jc w:val="left"/>
            </w:pPr>
            <w:r>
              <w:t xml:space="preserve">SCALE Kids (Fox 2025), PMID 39258838</w:t>
            </w:r>
          </w:p>
        </w:tc>
        <w:tc>
          <w:tcPr/>
          <w:p>
            <w:pPr>
              <w:pStyle w:val="Compact"/>
              <w:jc w:val="left"/>
            </w:pPr>
            <w:r>
              <w:t xml:space="preserve">82 children (6 to under 12 years) with obesity, RCT vs. placebo</w:t>
            </w:r>
          </w:p>
        </w:tc>
        <w:tc>
          <w:tcPr/>
          <w:p>
            <w:pPr>
              <w:pStyle w:val="Compact"/>
              <w:jc w:val="left"/>
            </w:pPr>
            <w:r>
              <w:t xml:space="preserve">56 weeks</w:t>
            </w:r>
          </w:p>
        </w:tc>
        <w:tc>
          <w:tcPr/>
          <w:p>
            <w:pPr>
              <w:pStyle w:val="Compact"/>
              <w:jc w:val="left"/>
            </w:pPr>
            <w:r>
              <w:t xml:space="preserve">BMI −5.8% vs. +1.6%</w:t>
            </w:r>
          </w:p>
        </w:tc>
      </w:tr>
    </w:tbl>
    <w:p>
      <w:pPr>
        <w:pStyle w:val="BodyText"/>
      </w:pPr>
      <w:r>
        <w:t xml:space="preserve">In SCALE Teens</w:t>
      </w:r>
      <w:r>
        <w:rPr>
          <w:rStyle w:val="FootnoteReference"/>
        </w:rPr>
        <w:footnoteReference w:id="312"/>
      </w:r>
      <w:r>
        <w:t xml:space="preserve">, BMI rose again after discontinuation, more so than on placebo. Gastrointestinal complaints affected 64.8% versus 36.5%; 10.4% discontinued treatment because of side effects. There was one suicide in the liraglutide group, which the investigators classified as probably unrelated to the treatment.</w:t>
      </w:r>
    </w:p>
    <w:p>
      <w:pPr>
        <w:pStyle w:val="BodyText"/>
      </w:pPr>
      <w:r>
        <w:t xml:space="preserve">In SCALE Kids</w:t>
      </w:r>
      <w:r>
        <w:rPr>
          <w:rStyle w:val="FootnoteReference"/>
        </w:rPr>
        <w:footnoteReference w:id="313"/>
      </w:r>
      <w:r>
        <w:t xml:space="preserve">, the body weight of the growing children increased on average by 1.6% on liraglutide and by 10.0% on placebo. Gastrointestinal complaints occurred in 80% versus 54%, serious adverse events in 12% versus 8%. In children, the questions of how long such treatment should last and what long-term effects there are on growth and bones arise in particular. Among other things, a study on bone metabolism in 12- to 21-year-olds on GLP-1 therapy is ongoing</w:t>
      </w:r>
      <w:r>
        <w:rPr>
          <w:rStyle w:val="FootnoteReference"/>
        </w:rPr>
        <w:footnoteReference w:id="314"/>
      </w:r>
      <w:r>
        <w:t xml:space="preserve">.</w:t>
      </w:r>
    </w:p>
    <w:bookmarkEnd w:id="315"/>
    <w:bookmarkStart w:id="319" w:name="other-areas-of-use-in-studies-1"/>
    <w:p>
      <w:pPr>
        <w:pStyle w:val="Heading4"/>
      </w:pPr>
      <w:r>
        <w:t xml:space="preserve">Other Areas of Use in Studies</w:t>
      </w:r>
    </w:p>
    <w:p>
      <w:pPr>
        <w:numPr>
          <w:ilvl w:val="0"/>
          <w:numId w:val="1043"/>
        </w:numPr>
        <w:pStyle w:val="Compact"/>
      </w:pPr>
      <w:r>
        <w:rPr>
          <w:bCs/>
          <w:b/>
        </w:rPr>
        <w:t xml:space="preserve">Fatty liver inflammation (NASH/MASH):</w:t>
      </w:r>
      <w:r>
        <w:t xml:space="preserve"> </w:t>
      </w:r>
      <w:r>
        <w:t xml:space="preserve">In the small phase 2 trial LEAN with 52 participants, the inflammation on liver biopsy resolved in 39% on liraglutide and in 9% on placebo; progression of scarring (fibrosis) was less frequent (9% vs. 36%)</w:t>
      </w:r>
      <w:r>
        <w:rPr>
          <w:rStyle w:val="FootnoteReference"/>
        </w:rPr>
        <w:footnoteReference w:id="316"/>
      </w:r>
      <w:r>
        <w:t xml:space="preserve">. Larger trials were later conducted with semaglutide.</w:t>
      </w:r>
    </w:p>
    <w:p>
      <w:pPr>
        <w:numPr>
          <w:ilvl w:val="0"/>
          <w:numId w:val="1043"/>
        </w:numPr>
        <w:pStyle w:val="Compact"/>
      </w:pPr>
      <w:r>
        <w:rPr>
          <w:bCs/>
          <w:b/>
        </w:rPr>
        <w:t xml:space="preserve">Alzheimer’s disease:</w:t>
      </w:r>
      <w:r>
        <w:t xml:space="preserve"> </w:t>
      </w:r>
      <w:r>
        <w:t xml:space="preserve">In the phase 2b trial ELAD with 204 people without diabetes, the primary endpoint, glucose metabolism in the brain, did not change</w:t>
      </w:r>
      <w:r>
        <w:rPr>
          <w:rStyle w:val="FootnoteReference"/>
        </w:rPr>
        <w:footnoteReference w:id="317"/>
      </w:r>
      <w:r>
        <w:t xml:space="preserve">. In a secondary endpoint on executive function, liraglutide performed better, but not for activities of daily living or dementia severity. Secondary endpoints without correction for multiple testing are only indications.</w:t>
      </w:r>
    </w:p>
    <w:p>
      <w:pPr>
        <w:numPr>
          <w:ilvl w:val="0"/>
          <w:numId w:val="1043"/>
        </w:numPr>
        <w:pStyle w:val="Compact"/>
      </w:pPr>
      <w:r>
        <w:rPr>
          <w:bCs/>
          <w:b/>
        </w:rPr>
        <w:t xml:space="preserve">Alcohol and other addictions:</w:t>
      </w:r>
      <w:r>
        <w:t xml:space="preserve"> </w:t>
      </w:r>
      <w:r>
        <w:t xml:space="preserve">In a Swedish registry study of 227,866 people with alcohol dependence, the use of liraglutide was associated with a 28% lower risk of alcohol-related hospital admissions</w:t>
      </w:r>
      <w:r>
        <w:rPr>
          <w:rStyle w:val="FootnoteReference"/>
        </w:rPr>
        <w:footnoteReference w:id="318"/>
      </w:r>
      <w:r>
        <w:t xml:space="preserve">. Observational data of this kind show associations, not cause-and-effect relationships.</w:t>
      </w:r>
    </w:p>
    <w:bookmarkEnd w:id="319"/>
    <w:bookmarkEnd w:id="320"/>
    <w:bookmarkStart w:id="323" w:name="animal-and-laboratory-studies-1"/>
    <w:p>
      <w:pPr>
        <w:pStyle w:val="Heading3"/>
      </w:pPr>
      <w:r>
        <w:t xml:space="preserve">Animal and laboratory studies</w:t>
      </w:r>
    </w:p>
    <w:p>
      <w:pPr>
        <w:pStyle w:val="FirstParagraph"/>
      </w:pPr>
      <w:r>
        <w:t xml:space="preserve">Much of today’s understanding of GLP-1 action in the brain comes from animal experiments with liraglutide. In rats and mice, it was shown that, despite its size, the molecule reaches certain brain regions without a tight blood-brain barrier and stimulates appetite-suppressing nerve cells there</w:t>
      </w:r>
      <w:r>
        <w:rPr>
          <w:rStyle w:val="FootnoteReference"/>
        </w:rPr>
        <w:footnoteReference w:id="321"/>
      </w:r>
      <w:r>
        <w:t xml:space="preserve">.</w:t>
      </w:r>
    </w:p>
    <w:p>
      <w:pPr>
        <w:pStyle w:val="BodyText"/>
      </w:pPr>
      <w:r>
        <w:t xml:space="preserve">The findings on the thyroid had particularly far-reaching consequences. In long-term experiments with rats and mice, liraglutide led to proliferation of the C cells (which produce the hormone calcitonin) and to C-cell tumors. Investigation of the mechanism revealed that rodent C cells carry abundant GLP-1 receptors, whereas those of humans and monkeys hardly do</w:t>
      </w:r>
      <w:r>
        <w:rPr>
          <w:rStyle w:val="FootnoteReference"/>
        </w:rPr>
        <w:footnoteReference w:id="322"/>
      </w:r>
      <w:r>
        <w:t xml:space="preserve">. In cynomolgus monkeys, 20 months of liraglutide at an exposure more than 60 times higher than in humans did not lead to C-cell proliferation. Nevertheless, since then a warning about medullary thyroid carcinoma has been included in the prescribing information for the entire class, especially in the USA.</w:t>
      </w:r>
    </w:p>
    <w:p>
      <w:pPr>
        <w:pStyle w:val="BodyText"/>
      </w:pPr>
      <w:r>
        <w:t xml:space="preserve">Further animal studies have dealt with cardioprotection, neuroprotection (Alzheimer’s and Parkinson’s models), fatty liver, and kidney damage. As with exenatide, transferability to humans is limited: the Alzheimer’s trial ELAD, for example, missed its primary endpoint even though the animal data were positive.</w:t>
      </w:r>
    </w:p>
    <w:bookmarkEnd w:id="323"/>
    <w:bookmarkStart w:id="333" w:name="risks-and-side-effects-1"/>
    <w:p>
      <w:pPr>
        <w:pStyle w:val="Heading3"/>
      </w:pPr>
      <w:r>
        <w:t xml:space="preserve">Risks and side effects</w:t>
      </w:r>
    </w:p>
    <w:p>
      <w:pPr>
        <w:pStyle w:val="FirstParagraph"/>
      </w:pPr>
      <w:r>
        <w:rPr>
          <w:bCs/>
          <w:b/>
        </w:rPr>
        <w:t xml:space="preserve">Established from randomized trials:</w:t>
      </w:r>
    </w:p>
    <w:p>
      <w:pPr>
        <w:numPr>
          <w:ilvl w:val="0"/>
          <w:numId w:val="1044"/>
        </w:numPr>
        <w:pStyle w:val="Compact"/>
      </w:pPr>
      <w:r>
        <w:rPr>
          <w:bCs/>
          <w:b/>
        </w:rPr>
        <w:t xml:space="preserve">Gastrointestinal complaints:</w:t>
      </w:r>
      <w:r>
        <w:t xml:space="preserve"> </w:t>
      </w:r>
      <w:r>
        <w:t xml:space="preserve">Nausea, diarrhea, vomiting, and constipation are the most common side effects and usually the reason for discontinuing therapy</w:t>
      </w:r>
      <w:r>
        <w:rPr>
          <w:rStyle w:val="FootnoteReference"/>
        </w:rPr>
        <w:footnoteReference w:id="324"/>
      </w:r>
      <w:r>
        <w:t xml:space="preserve">. They occur mainly at the start and after dose increases. At the higher obesity dose, they are more frequent than at the diabetes dose</w:t>
      </w:r>
      <w:r>
        <w:rPr>
          <w:rStyle w:val="FootnoteReference"/>
        </w:rPr>
        <w:footnoteReference w:id="325"/>
      </w:r>
      <w:r>
        <w:t xml:space="preserve">.</w:t>
      </w:r>
    </w:p>
    <w:p>
      <w:pPr>
        <w:numPr>
          <w:ilvl w:val="0"/>
          <w:numId w:val="1044"/>
        </w:numPr>
        <w:pStyle w:val="Compact"/>
      </w:pPr>
      <w:r>
        <w:rPr>
          <w:bCs/>
          <w:b/>
        </w:rPr>
        <w:t xml:space="preserve">Gallbladder:</w:t>
      </w:r>
      <w:r>
        <w:t xml:space="preserve"> </w:t>
      </w:r>
      <w:r>
        <w:t xml:space="preserve">A meta-analysis of 76 randomized trials with 103,371 participants found a 37% increased relative risk for gallbladder and biliary diseases such as gallstones and cholecystitis for the GLP-1 class</w:t>
      </w:r>
      <w:r>
        <w:rPr>
          <w:rStyle w:val="FootnoteReference"/>
        </w:rPr>
        <w:footnoteReference w:id="326"/>
      </w:r>
      <w:r>
        <w:t xml:space="preserve">. The risk was greater at higher doses, with longer use, and in weight-loss trials (relative risk 2.29). Part of this is likely related to the rapid weight loss itself.</w:t>
      </w:r>
    </w:p>
    <w:p>
      <w:pPr>
        <w:numPr>
          <w:ilvl w:val="0"/>
          <w:numId w:val="1044"/>
        </w:numPr>
        <w:pStyle w:val="Compact"/>
      </w:pPr>
      <w:r>
        <w:rPr>
          <w:bCs/>
          <w:b/>
        </w:rPr>
        <w:t xml:space="preserve">Hypoglycemia:</w:t>
      </w:r>
      <w:r>
        <w:t xml:space="preserve"> </w:t>
      </w:r>
      <w:r>
        <w:t xml:space="preserve">rare on its own, more frequent in combination with sulfonylureas or insulin.</w:t>
      </w:r>
    </w:p>
    <w:p>
      <w:pPr>
        <w:numPr>
          <w:ilvl w:val="0"/>
          <w:numId w:val="1044"/>
        </w:numPr>
        <w:pStyle w:val="Compact"/>
      </w:pPr>
      <w:r>
        <w:rPr>
          <w:bCs/>
          <w:b/>
        </w:rPr>
        <w:t xml:space="preserve">Heart rate:</w:t>
      </w:r>
      <w:r>
        <w:t xml:space="preserve"> </w:t>
      </w:r>
      <w:r>
        <w:t xml:space="preserve">Liraglutide slightly increases the resting pulse by a few beats per minute; in view of the LEADER results, the clinical significance is considered small.</w:t>
      </w:r>
    </w:p>
    <w:p>
      <w:pPr>
        <w:pStyle w:val="FirstParagraph"/>
      </w:pPr>
      <w:r>
        <w:rPr>
          <w:bCs/>
          <w:b/>
        </w:rPr>
        <w:t xml:space="preserve">Investigated but uncertain or not confirmed:</w:t>
      </w:r>
    </w:p>
    <w:p>
      <w:pPr>
        <w:numPr>
          <w:ilvl w:val="0"/>
          <w:numId w:val="1045"/>
        </w:numPr>
        <w:pStyle w:val="Compact"/>
      </w:pPr>
      <w:r>
        <w:rPr>
          <w:bCs/>
          <w:b/>
        </w:rPr>
        <w:t xml:space="preserve">Pancreatitis:</w:t>
      </w:r>
      <w:r>
        <w:t xml:space="preserve"> </w:t>
      </w:r>
      <w:r>
        <w:t xml:space="preserve">In LEADER, it did not occur more frequently on liraglutide than on placebo</w:t>
      </w:r>
      <w:r>
        <w:rPr>
          <w:rStyle w:val="FootnoteReference"/>
        </w:rPr>
        <w:footnoteReference w:id="327"/>
      </w:r>
      <w:r>
        <w:t xml:space="preserve">. An older meta-analysis likewise found no increased risk</w:t>
      </w:r>
      <w:r>
        <w:rPr>
          <w:rStyle w:val="FootnoteReference"/>
        </w:rPr>
        <w:footnoteReference w:id="328"/>
      </w:r>
      <w:r>
        <w:t xml:space="preserve">. The prescribing information nevertheless lists it as a rare side effect; severe persistent abdominal pain requires medical evaluation.</w:t>
      </w:r>
    </w:p>
    <w:p>
      <w:pPr>
        <w:numPr>
          <w:ilvl w:val="0"/>
          <w:numId w:val="1045"/>
        </w:numPr>
        <w:pStyle w:val="Compact"/>
      </w:pPr>
      <w:r>
        <w:rPr>
          <w:bCs/>
          <w:b/>
        </w:rPr>
        <w:t xml:space="preserve">Thyroid cancer:</w:t>
      </w:r>
      <w:r>
        <w:t xml:space="preserve"> </w:t>
      </w:r>
      <w:r>
        <w:t xml:space="preserve">The animal findings are described above. In humans, the data are contradictory. A French case-control study with 2,562 cases found an increased risk of thyroid cancer overall (HR 1.58) and of the rare medullary carcinoma (HR 1.78) after one to three years of GLP-1 therapy</w:t>
      </w:r>
      <w:r>
        <w:rPr>
          <w:rStyle w:val="FootnoteReference"/>
        </w:rPr>
        <w:footnoteReference w:id="329"/>
      </w:r>
      <w:r>
        <w:t xml:space="preserve">. A meta-analysis of 50 randomized trials also showed a signal (odds ratio 1.55)</w:t>
      </w:r>
      <w:r>
        <w:rPr>
          <w:rStyle w:val="FootnoteReference"/>
        </w:rPr>
        <w:footnoteReference w:id="330"/>
      </w:r>
      <w:r>
        <w:t xml:space="preserve">. It is being debated whether part of this is due to more frequent examinations in those treated. According to the prescribing information, people with a personal or family history of medullary thyroid carcinoma should not use GLP-1 receptor agonists.</w:t>
      </w:r>
    </w:p>
    <w:p>
      <w:pPr>
        <w:numPr>
          <w:ilvl w:val="0"/>
          <w:numId w:val="1045"/>
        </w:numPr>
        <w:pStyle w:val="Compact"/>
      </w:pPr>
      <w:r>
        <w:rPr>
          <w:bCs/>
          <w:b/>
        </w:rPr>
        <w:t xml:space="preserve">Psychiatric side effects and suicidal thoughts:</w:t>
      </w:r>
      <w:r>
        <w:t xml:space="preserve"> </w:t>
      </w:r>
      <w:r>
        <w:t xml:space="preserve">Following individual reports, the European and US authorities examined a possible connection in 2023/2024 and found no evidence of a causal relationship. In a Scandinavian cohort study with 124,517 people on GLP-1 receptor agonists, the risk of suicide was not increased compared with SGLT2 inhibitors (HR 1.25; confidence interval 0.83–1.88)</w:t>
      </w:r>
      <w:r>
        <w:rPr>
          <w:rStyle w:val="FootnoteReference"/>
        </w:rPr>
        <w:footnoteReference w:id="331"/>
      </w:r>
      <w:r>
        <w:t xml:space="preserve">. A 2026 meta-analysis likewise found no association in randomized trials</w:t>
      </w:r>
      <w:r>
        <w:rPr>
          <w:rStyle w:val="FootnoteReference"/>
        </w:rPr>
        <w:footnoteReference w:id="332"/>
      </w:r>
      <w:r>
        <w:t xml:space="preserve">. The observation remains subject to further monitoring.</w:t>
      </w:r>
    </w:p>
    <w:p>
      <w:pPr>
        <w:pStyle w:val="FirstParagraph"/>
      </w:pPr>
      <w:r>
        <w:rPr>
          <w:bCs/>
          <w:b/>
        </w:rPr>
        <w:t xml:space="preserve">Notes for practice:</w:t>
      </w:r>
      <w:r>
        <w:t xml:space="preserve"> </w:t>
      </w:r>
      <w:r>
        <w:t xml:space="preserve">Liraglutide is not indicated during pregnancy. Like all GLP-1 receptor agonists, it slows gastric emptying, which can play a role during anesthesia and in the absorption of other medications. The prescribing information and medical supervision are authoritative, including for the gradual dose escalation.</w:t>
      </w:r>
    </w:p>
    <w:bookmarkEnd w:id="333"/>
    <w:bookmarkStart w:id="334" w:name="legal-status-1"/>
    <w:p>
      <w:pPr>
        <w:pStyle w:val="Heading3"/>
      </w:pPr>
      <w:r>
        <w:t xml:space="preserve">Legal status</w:t>
      </w:r>
    </w:p>
    <w:p>
      <w:pPr>
        <w:numPr>
          <w:ilvl w:val="0"/>
          <w:numId w:val="1046"/>
        </w:numPr>
        <w:pStyle w:val="Compact"/>
      </w:pPr>
      <w:r>
        <w:rPr>
          <w:bCs/>
          <w:b/>
        </w:rPr>
        <w:t xml:space="preserve">EU:</w:t>
      </w:r>
      <w:r>
        <w:t xml:space="preserve"> </w:t>
      </w:r>
      <w:r>
        <w:t xml:space="preserve">Victoza has been approved since 2009 for the treatment of type 2 diabetes, Saxenda since 2015 for weight management in adults and adolescents. Both are prescription-only.</w:t>
      </w:r>
    </w:p>
    <w:p>
      <w:pPr>
        <w:numPr>
          <w:ilvl w:val="0"/>
          <w:numId w:val="1046"/>
        </w:numPr>
        <w:pStyle w:val="Compact"/>
      </w:pPr>
      <w:r>
        <w:rPr>
          <w:bCs/>
          <w:b/>
        </w:rPr>
        <w:t xml:space="preserve">Germany:</w:t>
      </w:r>
      <w:r>
        <w:t xml:space="preserve"> </w:t>
      </w:r>
      <w:r>
        <w:t xml:space="preserve">For diabetes, statutory health insurers reimburse liraglutide. Weight-reduction drugs, by contrast, are in principle excluded from reimbursement under Section 34 of Book V of the Social Code (SGB V); insured persons generally have to pay for Saxenda themselves.</w:t>
      </w:r>
    </w:p>
    <w:p>
      <w:pPr>
        <w:numPr>
          <w:ilvl w:val="0"/>
          <w:numId w:val="1046"/>
        </w:numPr>
        <w:pStyle w:val="Compact"/>
      </w:pPr>
      <w:r>
        <w:rPr>
          <w:bCs/>
          <w:b/>
        </w:rPr>
        <w:t xml:space="preserve">Austria:</w:t>
      </w:r>
      <w:r>
        <w:t xml:space="preserve"> </w:t>
      </w:r>
      <w:r>
        <w:t xml:space="preserve">prescription-only; coverage of costs for weight management is restricted and subject to conditions (please check for current information).</w:t>
      </w:r>
    </w:p>
    <w:p>
      <w:pPr>
        <w:numPr>
          <w:ilvl w:val="0"/>
          <w:numId w:val="1046"/>
        </w:numPr>
        <w:pStyle w:val="Compact"/>
      </w:pPr>
      <w:r>
        <w:rPr>
          <w:bCs/>
          <w:b/>
        </w:rPr>
        <w:t xml:space="preserve">USA:</w:t>
      </w:r>
      <w:r>
        <w:t xml:space="preserve"> </w:t>
      </w:r>
      <w:r>
        <w:t xml:space="preserve">Victoza and Saxenda approved, Victoza additionally for reducing cardiovascular risk. Generics of the diabetes form have been on the market since 2024, and of the obesity form since 2025.</w:t>
      </w:r>
    </w:p>
    <w:p>
      <w:pPr>
        <w:numPr>
          <w:ilvl w:val="0"/>
          <w:numId w:val="1046"/>
        </w:numPr>
        <w:pStyle w:val="Compact"/>
      </w:pPr>
      <w:r>
        <w:rPr>
          <w:bCs/>
          <w:b/>
        </w:rPr>
        <w:t xml:space="preserve">Generics in Europe:</w:t>
      </w:r>
      <w:r>
        <w:t xml:space="preserve"> </w:t>
      </w:r>
      <w:r>
        <w:t xml:space="preserve">Since liraglutide is a synthetically or recombinantly producible peptide whose patent protection has expired, copycat products are also coming onto the market in Europe. The situation differs from country to country; please check for current information.</w:t>
      </w:r>
    </w:p>
    <w:p>
      <w:pPr>
        <w:numPr>
          <w:ilvl w:val="0"/>
          <w:numId w:val="1046"/>
        </w:numPr>
        <w:pStyle w:val="Compact"/>
      </w:pPr>
      <w:r>
        <w:rPr>
          <w:bCs/>
          <w:b/>
        </w:rPr>
        <w:t xml:space="preserve">Sport (WADA):</w:t>
      </w:r>
      <w:r>
        <w:t xml:space="preserve"> </w:t>
      </w:r>
      <w:r>
        <w:t xml:space="preserve">not listed (status as of 2026; please check for current information).</w:t>
      </w:r>
    </w:p>
    <w:p>
      <w:pPr>
        <w:pStyle w:val="FirstParagraph"/>
      </w:pPr>
      <w:r>
        <w:t xml:space="preserve">The generics make liraglutide a special case in its class: it is the first GLP-1 drug with proven cardiovascular benefit that can become considerably cheaper. This is particularly important in countries with limited health budgets, even though the daily injection and the smaller effect compared with semaglutide remain disadvantages. More on patent expirations and prices in Part V.</w:t>
      </w:r>
    </w:p>
    <w:bookmarkEnd w:id="334"/>
    <w:bookmarkStart w:id="340" w:name="ongoing-studies-and-outlook-1"/>
    <w:p>
      <w:pPr>
        <w:pStyle w:val="Heading3"/>
      </w:pPr>
      <w:r>
        <w:t xml:space="preserve">Ongoing studies and outlook</w:t>
      </w:r>
    </w:p>
    <w:p>
      <w:pPr>
        <w:pStyle w:val="FirstParagraph"/>
      </w:pPr>
      <w:r>
        <w:rPr>
          <w:bCs/>
          <w:b/>
        </w:rPr>
        <w:t xml:space="preserve">Established (registered studies):</w:t>
      </w:r>
      <w:r>
        <w:t xml:space="preserve"> </w:t>
      </w:r>
      <w:r>
        <w:t xml:space="preserve">There are hardly any new approval trials by Novo Nordisk; research is mainly carried out by hospitals and universities. Examples:</w:t>
      </w:r>
    </w:p>
    <w:p>
      <w:pPr>
        <w:numPr>
          <w:ilvl w:val="0"/>
          <w:numId w:val="1047"/>
        </w:numPr>
        <w:pStyle w:val="Compact"/>
      </w:pPr>
      <w:r>
        <w:t xml:space="preserve">A study with 890 women with obesity, unfulfilled desire for children, and polycystic ovary syndrome (PCOS) is testing liraglutide before fertility treatment</w:t>
      </w:r>
      <w:r>
        <w:rPr>
          <w:rStyle w:val="FootnoteReference"/>
        </w:rPr>
        <w:footnoteReference w:id="335"/>
      </w:r>
      <w:r>
        <w:t xml:space="preserve">.</w:t>
      </w:r>
    </w:p>
    <w:p>
      <w:pPr>
        <w:numPr>
          <w:ilvl w:val="0"/>
          <w:numId w:val="1047"/>
        </w:numPr>
        <w:pStyle w:val="Compact"/>
      </w:pPr>
      <w:r>
        <w:t xml:space="preserve">A phase 3 trial with 260 older people with diabetes is investigating whether liraglutide can prevent delirium after heart surgery</w:t>
      </w:r>
      <w:r>
        <w:rPr>
          <w:rStyle w:val="FootnoteReference"/>
        </w:rPr>
        <w:footnoteReference w:id="336"/>
      </w:r>
      <w:r>
        <w:t xml:space="preserve">.</w:t>
      </w:r>
    </w:p>
    <w:p>
      <w:pPr>
        <w:numPr>
          <w:ilvl w:val="0"/>
          <w:numId w:val="1047"/>
        </w:numPr>
        <w:pStyle w:val="Compact"/>
      </w:pPr>
      <w:r>
        <w:t xml:space="preserve">In a hereditary form of diabetes (MODY), liraglutide is being studied in a phase 2 trial</w:t>
      </w:r>
      <w:r>
        <w:rPr>
          <w:rStyle w:val="FootnoteReference"/>
        </w:rPr>
        <w:footnoteReference w:id="337"/>
      </w:r>
      <w:r>
        <w:t xml:space="preserve">.</w:t>
      </w:r>
    </w:p>
    <w:p>
      <w:pPr>
        <w:numPr>
          <w:ilvl w:val="0"/>
          <w:numId w:val="1047"/>
        </w:numPr>
        <w:pStyle w:val="Compact"/>
      </w:pPr>
      <w:r>
        <w:t xml:space="preserve">A large pragmatic trial with 6,000 participants is comparing treatment strategies for preventing heart and kidney disease in type 2 diabetes</w:t>
      </w:r>
      <w:r>
        <w:rPr>
          <w:rStyle w:val="FootnoteReference"/>
        </w:rPr>
        <w:footnoteReference w:id="338"/>
      </w:r>
      <w:r>
        <w:t xml:space="preserve">.</w:t>
      </w:r>
    </w:p>
    <w:p>
      <w:pPr>
        <w:numPr>
          <w:ilvl w:val="0"/>
          <w:numId w:val="1047"/>
        </w:numPr>
        <w:pStyle w:val="Compact"/>
      </w:pPr>
      <w:r>
        <w:t xml:space="preserve">Long-term follow-up of the SCALE Kids participants is continuing</w:t>
      </w:r>
      <w:r>
        <w:rPr>
          <w:rStyle w:val="FootnoteReference"/>
        </w:rPr>
        <w:footnoteReference w:id="339"/>
      </w:r>
      <w:r>
        <w:t xml:space="preserve">.</w:t>
      </w:r>
    </w:p>
    <w:p>
      <w:pPr>
        <w:pStyle w:val="FirstParagraph"/>
      </w:pPr>
      <w:r>
        <w:rPr>
          <w:bCs/>
          <w:b/>
        </w:rPr>
        <w:t xml:space="preserve">Assessment:</w:t>
      </w:r>
      <w:r>
        <w:t xml:space="preserve"> </w:t>
      </w:r>
      <w:r>
        <w:t xml:space="preserve">In wealthy countries, liraglutide is increasingly being displaced by weekly drugs such as semaglutide and tirzepatide. Thanks to generics, however, it is likely to enjoy a second career as a low-cost alternative – especially where the newer drugs are unaffordable or unavailable. Scientifically, it remains an important comparator standard.</w:t>
      </w:r>
    </w:p>
    <w:bookmarkEnd w:id="340"/>
    <w:bookmarkStart w:id="341" w:name="conclusion-1"/>
    <w:p>
      <w:pPr>
        <w:pStyle w:val="Heading3"/>
      </w:pPr>
      <w:r>
        <w:t xml:space="preserve">Conclusion</w:t>
      </w:r>
    </w:p>
    <w:p>
      <w:pPr>
        <w:pStyle w:val="FirstParagraph"/>
      </w:pPr>
      <w:r>
        <w:t xml:space="preserve">Liraglutide was the first almost human-identical GLP-1 drug and the first for which a large trial showed protection against cardiovascular events (LEADER, 9,340 participants, relative risk reduction of 13%). As Saxenda, it was the first GLP-1 medication for weight reduction; on average, participants without diabetes lost about 8 kg in one year. In direct comparisons, it is superior to exenatide, on a par with dulaglutide, and clearly inferior to semaglutide. The most common side effects are gastrointestinal complaints, along with an increased gallbladder risk; the question of thyroid cancer has not been conclusively resolved. With the expiry of patent protection, it is becoming the first low-cost option in its class – treatment nevertheless belongs in the hands of a physician.</w:t>
      </w:r>
    </w:p>
    <w:bookmarkEnd w:id="341"/>
    <w:bookmarkEnd w:id="342"/>
    <w:bookmarkStart w:id="402" w:name="dulaglutide"/>
    <w:p>
      <w:pPr>
        <w:pStyle w:val="Heading2"/>
      </w:pPr>
      <w:r>
        <w:t xml:space="preserve">Dulaglutide</w:t>
      </w:r>
    </w:p>
    <w:bookmarkStart w:id="344" w:name="profile-2"/>
    <w:p>
      <w:pPr>
        <w:pStyle w:val="Heading3"/>
      </w:pPr>
      <w:r>
        <w:t xml:space="preserve">Profile</w:t>
      </w:r>
    </w:p>
    <w:p>
      <w:pPr>
        <w:numPr>
          <w:ilvl w:val="0"/>
          <w:numId w:val="1048"/>
        </w:numPr>
        <w:pStyle w:val="Compact"/>
      </w:pPr>
      <w:r>
        <w:rPr>
          <w:bCs/>
          <w:b/>
        </w:rPr>
        <w:t xml:space="preserve">Type/structure:</w:t>
      </w:r>
      <w:r>
        <w:t xml:space="preserve"> </w:t>
      </w:r>
      <w:r>
        <w:t xml:space="preserve">Fusion protein. Two slightly modified GLP-1 chains are coupled via a short linker to the constant region (Fc portion) of a human IgG4 antibody. Dulaglutide is thus many times larger than liraglutide – strictly speaking more a protein than a small peptide.</w:t>
      </w:r>
    </w:p>
    <w:p>
      <w:pPr>
        <w:numPr>
          <w:ilvl w:val="0"/>
          <w:numId w:val="1048"/>
        </w:numPr>
        <w:pStyle w:val="Compact"/>
      </w:pPr>
      <w:r>
        <w:rPr>
          <w:bCs/>
          <w:b/>
        </w:rPr>
        <w:t xml:space="preserve">Origin:</w:t>
      </w:r>
      <w:r>
        <w:t xml:space="preserve"> </w:t>
      </w:r>
      <w:r>
        <w:t xml:space="preserve">developed by Eli Lilly, produced by genetic engineering in mammalian cells</w:t>
      </w:r>
      <w:r>
        <w:rPr>
          <w:rStyle w:val="FootnoteReference"/>
        </w:rPr>
        <w:footnoteReference w:id="343"/>
      </w:r>
      <w:r>
        <w:t xml:space="preserve">.</w:t>
      </w:r>
    </w:p>
    <w:p>
      <w:pPr>
        <w:numPr>
          <w:ilvl w:val="0"/>
          <w:numId w:val="1048"/>
        </w:numPr>
        <w:pStyle w:val="Compact"/>
      </w:pPr>
      <w:r>
        <w:rPr>
          <w:bCs/>
          <w:b/>
        </w:rPr>
        <w:t xml:space="preserve">Mechanism of action:</w:t>
      </w:r>
      <w:r>
        <w:t xml:space="preserve"> </w:t>
      </w:r>
      <w:r>
        <w:t xml:space="preserve">GLP-1 receptor agonist. The antibody portion protects against breakdown and excretion via the kidneys; one injection per week is sufficient.</w:t>
      </w:r>
    </w:p>
    <w:p>
      <w:pPr>
        <w:numPr>
          <w:ilvl w:val="0"/>
          <w:numId w:val="1048"/>
        </w:numPr>
        <w:pStyle w:val="Compact"/>
      </w:pPr>
      <w:r>
        <w:rPr>
          <w:bCs/>
          <w:b/>
        </w:rPr>
        <w:t xml:space="preserve">Product:</w:t>
      </w:r>
      <w:r>
        <w:t xml:space="preserve"> </w:t>
      </w:r>
      <w:r>
        <w:t xml:space="preserve">Trulicity (prefilled pen, weekly; approved strengths up to 4.5 mg).</w:t>
      </w:r>
    </w:p>
    <w:p>
      <w:pPr>
        <w:numPr>
          <w:ilvl w:val="0"/>
          <w:numId w:val="1048"/>
        </w:numPr>
        <w:pStyle w:val="Compact"/>
      </w:pPr>
      <w:r>
        <w:rPr>
          <w:bCs/>
          <w:b/>
        </w:rPr>
        <w:t xml:space="preserve">EU approval:</w:t>
      </w:r>
      <w:r>
        <w:t xml:space="preserve"> </w:t>
      </w:r>
      <w:r>
        <w:t xml:space="preserve">yes, type 2 diabetes in adults and adolescents aged 10 and older. No approval for weight reduction.</w:t>
      </w:r>
    </w:p>
    <w:p>
      <w:pPr>
        <w:numPr>
          <w:ilvl w:val="0"/>
          <w:numId w:val="1048"/>
        </w:numPr>
        <w:pStyle w:val="Compact"/>
      </w:pPr>
      <w:r>
        <w:rPr>
          <w:bCs/>
          <w:b/>
        </w:rPr>
        <w:t xml:space="preserve">US approval:</w:t>
      </w:r>
      <w:r>
        <w:t xml:space="preserve"> </w:t>
      </w:r>
      <w:r>
        <w:t xml:space="preserve">yes, type 2 diabetes from age 10 and for reducing cardiovascular risk in adults with type 2 diabetes.</w:t>
      </w:r>
    </w:p>
    <w:p>
      <w:pPr>
        <w:numPr>
          <w:ilvl w:val="0"/>
          <w:numId w:val="1048"/>
        </w:numPr>
        <w:pStyle w:val="Compact"/>
      </w:pPr>
      <w:r>
        <w:rPr>
          <w:bCs/>
          <w:b/>
        </w:rPr>
        <w:t xml:space="preserve">WADA:</w:t>
      </w:r>
      <w:r>
        <w:t xml:space="preserve"> </w:t>
      </w:r>
      <w:r>
        <w:t xml:space="preserve">not listed.</w:t>
      </w:r>
    </w:p>
    <w:p>
      <w:pPr>
        <w:numPr>
          <w:ilvl w:val="0"/>
          <w:numId w:val="1048"/>
        </w:numPr>
        <w:pStyle w:val="Compact"/>
      </w:pPr>
      <w:r>
        <w:rPr>
          <w:bCs/>
          <w:b/>
        </w:rPr>
        <w:t xml:space="preserve">Evidence level:</w:t>
      </w:r>
      <w:r>
        <w:t xml:space="preserve"> </w:t>
      </w:r>
      <w:r>
        <w:rPr>
          <w:bCs/>
          <w:b/>
        </w:rPr>
        <w:t xml:space="preserve">A</w:t>
      </w:r>
      <w:r>
        <w:t xml:space="preserve"> </w:t>
      </w:r>
      <w:r>
        <w:t xml:space="preserve">– AWARD study program with more than ten randomized phase 3 trials, outcomes trial REWIND, study in adolescents.</w:t>
      </w:r>
    </w:p>
    <w:bookmarkEnd w:id="344"/>
    <w:bookmarkStart w:id="347" w:name="how-it-is-supposed-to-work-2"/>
    <w:p>
      <w:pPr>
        <w:pStyle w:val="Heading3"/>
      </w:pPr>
      <w:r>
        <w:t xml:space="preserve">How it is supposed to work</w:t>
      </w:r>
    </w:p>
    <w:p>
      <w:pPr>
        <w:pStyle w:val="FirstParagraph"/>
      </w:pPr>
      <w:r>
        <w:t xml:space="preserve">Dulaglutide acts on the GLP-1 receptor like exenatide, liraglutide, and semaglutide: it enhances glucose-dependent insulin release, suppresses the hormone glucagon, slows gastric emptying, and dampens appetite. The basic mechanism is explained in the chapter Exenatide.</w:t>
      </w:r>
    </w:p>
    <w:p>
      <w:pPr>
        <w:pStyle w:val="BodyText"/>
      </w:pPr>
      <w:r>
        <w:t xml:space="preserve">The difference lies in the packaging. Liraglutide and semaglutide are bound to blood proteins via an attached fatty acid. Lilly took a different path and coupled the hormone to the Fc portion of an antibody. This building block is known from biotechnology: it makes molecules so large that the kidneys no longer filter them out, and it uses an endogenous recycling pathway that protects antibodies from breakdown. In rats and cynomolgus monkeys, the half-life of the drug was 1.5 to 2 days; in humans it is longer and allows weekly dosing</w:t>
      </w:r>
      <w:r>
        <w:rPr>
          <w:rStyle w:val="FootnoteReference"/>
        </w:rPr>
        <w:footnoteReference w:id="345"/>
      </w:r>
      <w:r>
        <w:t xml:space="preserve">.</w:t>
      </w:r>
    </w:p>
    <w:p>
      <w:pPr>
        <w:pStyle w:val="BodyText"/>
      </w:pPr>
      <w:r>
        <w:t xml:space="preserve">In the GLP-1 chains themselves, individual amino acids were exchanged – partly to prevent breakdown by the enzyme DPP-4, partly to reduce the formation of antibodies against the drug. Indeed, in nine studies only 1.6% of those treated with dulaglutide formed antibodies against the medication</w:t>
      </w:r>
      <w:r>
        <w:rPr>
          <w:rStyle w:val="FootnoteReference"/>
        </w:rPr>
        <w:footnoteReference w:id="346"/>
      </w:r>
      <w:r>
        <w:t xml:space="preserve"> </w:t>
      </w:r>
      <w:r>
        <w:t xml:space="preserve">– considerably fewer than with exenatide.</w:t>
      </w:r>
    </w:p>
    <w:p>
      <w:pPr>
        <w:pStyle w:val="BodyText"/>
      </w:pPr>
      <w:r>
        <w:t xml:space="preserve">A disadvantage of its size: the molecule presumably has more difficulty reaching the brain regions that control appetite. This could explain why dulaglutide produces less weight loss than semaglutide despite comparable blood sugar reduction. This explanation is plausible but not proven.</w:t>
      </w:r>
    </w:p>
    <w:bookmarkEnd w:id="347"/>
    <w:bookmarkStart w:id="379" w:name="human-studies-2"/>
    <w:p>
      <w:pPr>
        <w:pStyle w:val="Heading3"/>
      </w:pPr>
      <w:r>
        <w:t xml:space="preserve">Human studies</w:t>
      </w:r>
    </w:p>
    <w:p>
      <w:pPr>
        <w:pStyle w:val="FirstParagraph"/>
      </w:pPr>
      <w:r>
        <w:t xml:space="preserve">The PubMed query evaluated for this book (search term</w:t>
      </w:r>
      <w:r>
        <w:t xml:space="preserve"> </w:t>
      </w:r>
      <w:r>
        <w:t xml:space="preserve">“</w:t>
      </w:r>
      <w:r>
        <w:t xml:space="preserve">dulaglutide</w:t>
      </w:r>
      <w:r>
        <w:t xml:space="preserve">”</w:t>
      </w:r>
      <w:r>
        <w:t xml:space="preserve"> </w:t>
      </w:r>
      <w:r>
        <w:t xml:space="preserve">in title or abstract, query date October 2026) yielded 158 human studies; ClinicalTrials.gov lists 143 registry entries. The number is smaller than for liraglutide or semaglutide, but the studies are particularly systematic: the AWARD program (Assessment of Weekly AdministRation of LY2189265 in Diabetes) tested dulaglutide against almost every common diabetes therapy. It is also striking how often dulaglutide itself serves as the comparator for newer drugs – from semaglutide and tirzepatide to new Chinese developments.</w:t>
      </w:r>
    </w:p>
    <w:bookmarkStart w:id="352" w:name="the-award-program"/>
    <w:p>
      <w:pPr>
        <w:pStyle w:val="Heading4"/>
      </w:pPr>
      <w:r>
        <w:t xml:space="preserve">The AWARD Program</w:t>
      </w:r>
    </w:p>
    <w:p>
      <w:pPr>
        <w:pStyle w:val="FirstParagraph"/>
      </w:pPr>
      <w:r>
        <w:t xml:space="preserve">In most AWARD trials, the doses of 0.75 and 1.5 mg per week were tested. The table shows the result of the higher dose in each case.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 (dulaglutide 1.5 mg vs. comparator)</w:t>
            </w:r>
          </w:p>
        </w:tc>
      </w:tr>
      <w:tr>
        <w:tc>
          <w:tcPr/>
          <w:p>
            <w:pPr>
              <w:pStyle w:val="Compact"/>
              <w:jc w:val="left"/>
            </w:pPr>
            <w:r>
              <w:t xml:space="preserve">AWARD-1 (Wysham 2014), PMID 24879836</w:t>
            </w:r>
          </w:p>
        </w:tc>
        <w:tc>
          <w:tcPr/>
          <w:p>
            <w:pPr>
              <w:pStyle w:val="Compact"/>
              <w:jc w:val="left"/>
            </w:pPr>
            <w:r>
              <w:t xml:space="preserve">Type 2 diabetes on metformin and pioglitazone; vs. exenatide twice daily and placebo</w:t>
            </w:r>
          </w:p>
        </w:tc>
        <w:tc>
          <w:tcPr/>
          <w:p>
            <w:pPr>
              <w:pStyle w:val="Compact"/>
              <w:jc w:val="left"/>
            </w:pPr>
            <w:r>
              <w:t xml:space="preserve">52 weeks (primary endpoint 26)</w:t>
            </w:r>
          </w:p>
        </w:tc>
        <w:tc>
          <w:tcPr/>
          <w:p>
            <w:pPr>
              <w:pStyle w:val="Compact"/>
              <w:jc w:val="left"/>
            </w:pPr>
            <w:r>
              <w:t xml:space="preserve">HbA1c −1.51 vs. −0.99 (exenatide) vs. −0.46 (placebo)</w:t>
            </w:r>
          </w:p>
        </w:tc>
      </w:tr>
      <w:tr>
        <w:tc>
          <w:tcPr/>
          <w:p>
            <w:pPr>
              <w:pStyle w:val="Compact"/>
              <w:jc w:val="left"/>
            </w:pPr>
            <w:r>
              <w:t xml:space="preserve">AWARD-2 (Giorgino 2015), PMID 26089386</w:t>
            </w:r>
          </w:p>
        </w:tc>
        <w:tc>
          <w:tcPr/>
          <w:p>
            <w:pPr>
              <w:pStyle w:val="Compact"/>
              <w:jc w:val="left"/>
            </w:pPr>
            <w:r>
              <w:t xml:space="preserve">810 people on metformin and glimepiride; open-label vs. insulin glargine</w:t>
            </w:r>
          </w:p>
        </w:tc>
        <w:tc>
          <w:tcPr/>
          <w:p>
            <w:pPr>
              <w:pStyle w:val="Compact"/>
              <w:jc w:val="left"/>
            </w:pPr>
            <w:r>
              <w:t xml:space="preserve">78 weeks</w:t>
            </w:r>
          </w:p>
        </w:tc>
        <w:tc>
          <w:tcPr/>
          <w:p>
            <w:pPr>
              <w:pStyle w:val="Compact"/>
              <w:jc w:val="left"/>
            </w:pPr>
            <w:r>
              <w:t xml:space="preserve">HbA1c −1.08 vs. −0.63; weight decreased vs. increased</w:t>
            </w:r>
          </w:p>
        </w:tc>
      </w:tr>
      <w:tr>
        <w:tc>
          <w:tcPr/>
          <w:p>
            <w:pPr>
              <w:pStyle w:val="Compact"/>
              <w:jc w:val="left"/>
            </w:pPr>
            <w:r>
              <w:t xml:space="preserve">AWARD-3 (Umpierrez 2014), PMID 24842985</w:t>
            </w:r>
          </w:p>
        </w:tc>
        <w:tc>
          <w:tcPr/>
          <w:p>
            <w:pPr>
              <w:pStyle w:val="Compact"/>
              <w:jc w:val="left"/>
            </w:pPr>
            <w:r>
              <w:t xml:space="preserve">early type 2 diabetes, monotherapy; double-blind vs. metformin</w:t>
            </w:r>
          </w:p>
        </w:tc>
        <w:tc>
          <w:tcPr/>
          <w:p>
            <w:pPr>
              <w:pStyle w:val="Compact"/>
              <w:jc w:val="left"/>
            </w:pPr>
            <w:r>
              <w:t xml:space="preserve">52 weeks (primary endpoint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people on mealtime insulin; open-label vs. insulin glargine</w:t>
            </w:r>
          </w:p>
        </w:tc>
        <w:tc>
          <w:tcPr/>
          <w:p>
            <w:pPr>
              <w:pStyle w:val="Compact"/>
              <w:jc w:val="left"/>
            </w:pPr>
            <w:r>
              <w:t xml:space="preserve">52 weeks (primary endpoint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people on metformin; vs. sitagliptin</w:t>
            </w:r>
          </w:p>
        </w:tc>
        <w:tc>
          <w:tcPr/>
          <w:p>
            <w:pPr>
              <w:pStyle w:val="Compact"/>
              <w:jc w:val="left"/>
            </w:pPr>
            <w:r>
              <w:t xml:space="preserve">52 weeks</w:t>
            </w:r>
          </w:p>
        </w:tc>
        <w:tc>
          <w:tcPr/>
          <w:p>
            <w:pPr>
              <w:pStyle w:val="Compact"/>
              <w:jc w:val="left"/>
            </w:pPr>
            <w:r>
              <w:t xml:space="preserve">HbA1c −1.10 vs. −0.39; weight −3.03 vs. −1.53 kg</w:t>
            </w:r>
          </w:p>
        </w:tc>
      </w:tr>
      <w:tr>
        <w:tc>
          <w:tcPr/>
          <w:p>
            <w:pPr>
              <w:pStyle w:val="Compact"/>
              <w:jc w:val="left"/>
            </w:pPr>
            <w:r>
              <w:t xml:space="preserve">AWARD-6 (Dungan 2014), PMID 25018121</w:t>
            </w:r>
          </w:p>
        </w:tc>
        <w:tc>
          <w:tcPr/>
          <w:p>
            <w:pPr>
              <w:pStyle w:val="Compact"/>
              <w:jc w:val="left"/>
            </w:pPr>
            <w:r>
              <w:t xml:space="preserve">599 people on metformin; open-label vs. liraglutide</w:t>
            </w:r>
          </w:p>
        </w:tc>
        <w:tc>
          <w:tcPr/>
          <w:p>
            <w:pPr>
              <w:pStyle w:val="Compact"/>
              <w:jc w:val="left"/>
            </w:pPr>
            <w:r>
              <w:t xml:space="preserve">26 weeks</w:t>
            </w:r>
          </w:p>
        </w:tc>
        <w:tc>
          <w:tcPr/>
          <w:p>
            <w:pPr>
              <w:pStyle w:val="Compact"/>
              <w:jc w:val="left"/>
            </w:pPr>
            <w:r>
              <w:t xml:space="preserve">HbA1c −1.42 vs. −1.36; equivalent</w:t>
            </w:r>
          </w:p>
        </w:tc>
      </w:tr>
      <w:tr>
        <w:tc>
          <w:tcPr/>
          <w:p>
            <w:pPr>
              <w:pStyle w:val="Compact"/>
              <w:jc w:val="left"/>
            </w:pPr>
            <w:r>
              <w:t xml:space="preserve">AWARD-7 (Tuttle 2018), PMID 29910024</w:t>
            </w:r>
          </w:p>
        </w:tc>
        <w:tc>
          <w:tcPr/>
          <w:p>
            <w:pPr>
              <w:pStyle w:val="Compact"/>
              <w:jc w:val="left"/>
            </w:pPr>
            <w:r>
              <w:t xml:space="preserve">577 people with moderate to severe chronic kidney disease; vs. insulin glargine</w:t>
            </w:r>
          </w:p>
        </w:tc>
        <w:tc>
          <w:tcPr/>
          <w:p>
            <w:pPr>
              <w:pStyle w:val="Compact"/>
              <w:jc w:val="left"/>
            </w:pPr>
            <w:r>
              <w:t xml:space="preserve">52 weeks</w:t>
            </w:r>
          </w:p>
        </w:tc>
        <w:tc>
          <w:tcPr/>
          <w:p>
            <w:pPr>
              <w:pStyle w:val="Compact"/>
              <w:jc w:val="left"/>
            </w:pPr>
            <w:r>
              <w:t xml:space="preserve">HbA1c −1.2 vs. −1.1; kidney function better preserved after 52 weeks</w:t>
            </w:r>
          </w:p>
        </w:tc>
      </w:tr>
      <w:tr>
        <w:tc>
          <w:tcPr/>
          <w:p>
            <w:pPr>
              <w:pStyle w:val="Compact"/>
              <w:jc w:val="left"/>
            </w:pPr>
            <w:r>
              <w:t xml:space="preserve">AWARD-8 (Dungan 2016), PMID 26799540</w:t>
            </w:r>
          </w:p>
        </w:tc>
        <w:tc>
          <w:tcPr/>
          <w:p>
            <w:pPr>
              <w:pStyle w:val="Compact"/>
              <w:jc w:val="left"/>
            </w:pPr>
            <w:r>
              <w:t xml:space="preserve">Type 2 diabetes on glimepiride; vs. placebo</w:t>
            </w:r>
          </w:p>
        </w:tc>
        <w:tc>
          <w:tcPr/>
          <w:p>
            <w:pPr>
              <w:pStyle w:val="Compact"/>
              <w:jc w:val="left"/>
            </w:pPr>
            <w:r>
              <w:t xml:space="preserve">24 weeks</w:t>
            </w:r>
          </w:p>
        </w:tc>
        <w:tc>
          <w:tcPr/>
          <w:p>
            <w:pPr>
              <w:pStyle w:val="Compact"/>
              <w:jc w:val="left"/>
            </w:pPr>
            <w:r>
              <w:t xml:space="preserve">HbA1c difference −1.3 percentage points; more hypoglycemia</w:t>
            </w:r>
          </w:p>
        </w:tc>
      </w:tr>
      <w:tr>
        <w:tc>
          <w:tcPr/>
          <w:p>
            <w:pPr>
              <w:pStyle w:val="Compact"/>
              <w:jc w:val="left"/>
            </w:pPr>
            <w:r>
              <w:t xml:space="preserve">AWARD-10 (Ludvik 2018), PMID 29483060</w:t>
            </w:r>
          </w:p>
        </w:tc>
        <w:tc>
          <w:tcPr/>
          <w:p>
            <w:pPr>
              <w:pStyle w:val="Compact"/>
              <w:jc w:val="left"/>
            </w:pPr>
            <w:r>
              <w:t xml:space="preserve">424 people on SGLT2 inhibitor; vs. placebo</w:t>
            </w:r>
          </w:p>
        </w:tc>
        <w:tc>
          <w:tcPr/>
          <w:p>
            <w:pPr>
              <w:pStyle w:val="Compact"/>
              <w:jc w:val="left"/>
            </w:pPr>
            <w:r>
              <w:t xml:space="preserve">24 weeks</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people on metformin; 4.5 and 3.0 mg vs. 1.5 mg</w:t>
            </w:r>
          </w:p>
        </w:tc>
        <w:tc>
          <w:tcPr/>
          <w:p>
            <w:pPr>
              <w:pStyle w:val="Compact"/>
              <w:jc w:val="left"/>
            </w:pPr>
            <w:r>
              <w:t xml:space="preserve">36 weeks</w:t>
            </w:r>
          </w:p>
        </w:tc>
        <w:tc>
          <w:tcPr/>
          <w:p>
            <w:pPr>
              <w:pStyle w:val="Compact"/>
              <w:jc w:val="left"/>
            </w:pPr>
            <w:r>
              <w:t xml:space="preserve">HbA1c −1.77 (4.5 mg) vs. −1.54; weight −4.6 vs. −3.0 kg</w:t>
            </w:r>
          </w:p>
        </w:tc>
      </w:tr>
    </w:tbl>
    <w:p>
      <w:pPr>
        <w:pStyle w:val="BodyText"/>
      </w:pPr>
      <w:r>
        <w:t xml:space="preserve">Some results deserve explanation:</w:t>
      </w:r>
    </w:p>
    <w:p>
      <w:pPr>
        <w:pStyle w:val="BodyText"/>
      </w:pPr>
      <w:r>
        <w:rPr>
          <w:bCs/>
          <w:b/>
        </w:rPr>
        <w:t xml:space="preserve">Against insulin</w:t>
      </w:r>
      <w:r>
        <w:t xml:space="preserve"> </w:t>
      </w:r>
      <w:r>
        <w:t xml:space="preserve">(AWARD-2 and AWARD-4), dulaglutide lowered long-term blood sugar somewhat more, with less hypoglycemia and without weight gain</w:t>
      </w:r>
      <w:r>
        <w:rPr>
          <w:rStyle w:val="FootnoteReference"/>
        </w:rPr>
        <w:footnoteReference w:id="348"/>
      </w:r>
      <w:r>
        <w:t xml:space="preserve">. In AWARD-2, however, the insulin dose was not consistently titrated upward; the mean final dose was 29 units. More aggressively titrated insulin might have performed better. Nausea occurred in 15.4% on dulaglutide 1.5 mg and in 1.5% on insulin.</w:t>
      </w:r>
    </w:p>
    <w:p>
      <w:pPr>
        <w:pStyle w:val="BodyText"/>
      </w:pPr>
      <w:r>
        <w:rPr>
          <w:bCs/>
          <w:b/>
        </w:rPr>
        <w:t xml:space="preserve">In kidney disease</w:t>
      </w:r>
      <w:r>
        <w:t xml:space="preserve"> </w:t>
      </w:r>
      <w:r>
        <w:t xml:space="preserve">(AWARD-7), the result is particularly interesting: blood sugar fell as much as on insulin, but estimated kidney function (eGFR) was higher on dulaglutide after 52 weeks – 34.0 versus 31.3 ml/min per 1.73 m²</w:t>
      </w:r>
      <w:r>
        <w:rPr>
          <w:rStyle w:val="FootnoteReference"/>
        </w:rPr>
        <w:footnoteReference w:id="349"/>
      </w:r>
      <w:r>
        <w:t xml:space="preserve">. Protein excretion in the urine did not differ significantly. This is an indication, but not proof, of kidney protection.</w:t>
      </w:r>
    </w:p>
    <w:p>
      <w:pPr>
        <w:pStyle w:val="BodyText"/>
      </w:pPr>
      <w:r>
        <w:rPr>
          <w:bCs/>
          <w:b/>
        </w:rPr>
        <w:t xml:space="preserve">With a sulfonylurea</w:t>
      </w:r>
      <w:r>
        <w:t xml:space="preserve"> </w:t>
      </w:r>
      <w:r>
        <w:t xml:space="preserve">(AWARD-8), the downside becomes apparent: dulaglutide lowered HbA1c by 1.3 percentage points more than placebo, and 55.3% versus 18.9% achieved a value below 7%. However, hypoglycemia was considerably more frequent (2.37 versus 0.07 events per person-year) because the sulfonylurea releases insulin independently of blood sugar</w:t>
      </w:r>
      <w:r>
        <w:rPr>
          <w:rStyle w:val="FootnoteReference"/>
        </w:rPr>
        <w:footnoteReference w:id="350"/>
      </w:r>
      <w:r>
        <w:t xml:space="preserve">. Severe hypoglycemia did not occur.</w:t>
      </w:r>
    </w:p>
    <w:p>
      <w:pPr>
        <w:pStyle w:val="BodyText"/>
      </w:pPr>
      <w:r>
        <w:rPr>
          <w:bCs/>
          <w:b/>
        </w:rPr>
        <w:t xml:space="preserve">Higher doses</w:t>
      </w:r>
      <w:r>
        <w:t xml:space="preserve"> </w:t>
      </w:r>
      <w:r>
        <w:t xml:space="preserve">(AWARD-11): to keep up with semaglutide, Lilly tested 3.0 and 4.5 mg. The highest dose lowered HbA1c by a further 0.24 percentage points and weight by a further 1.6 kg compared with 1.5 mg</w:t>
      </w:r>
      <w:r>
        <w:rPr>
          <w:rStyle w:val="FootnoteReference"/>
        </w:rPr>
        <w:footnoteReference w:id="351"/>
      </w:r>
      <w:r>
        <w:t xml:space="preserve">. Nausea increased slightly (16.4% vs. 13.4%), as did vomiting (9.3% vs. 5.6%). The gain is measurable but limited.</w:t>
      </w:r>
    </w:p>
    <w:bookmarkEnd w:id="352"/>
    <w:bookmarkStart w:id="356" w:name="Xb36301eb8f317dbc9c6a7bc975537310729dc32"/>
    <w:p>
      <w:pPr>
        <w:pStyle w:val="Heading4"/>
      </w:pPr>
      <w:r>
        <w:t xml:space="preserve">Head-to-Head Comparisons Within the GLP-1 Class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(dulaglutide vs. comparator)</w:t>
            </w:r>
          </w:p>
        </w:tc>
      </w:tr>
      <w:tr>
        <w:tc>
          <w:tcPr/>
          <w:p>
            <w:pPr>
              <w:pStyle w:val="Compact"/>
              <w:jc w:val="left"/>
            </w:pPr>
            <w:r>
              <w:t xml:space="preserve">AWARD-1 (Wysham 2014), PMID 24879836</w:t>
            </w:r>
          </w:p>
        </w:tc>
        <w:tc>
          <w:tcPr/>
          <w:p>
            <w:pPr>
              <w:pStyle w:val="Compact"/>
              <w:jc w:val="left"/>
            </w:pPr>
            <w:r>
              <w:t xml:space="preserve">vs. exenatide twice daily</w:t>
            </w:r>
          </w:p>
        </w:tc>
        <w:tc>
          <w:tcPr/>
          <w:p>
            <w:pPr>
              <w:pStyle w:val="Compact"/>
              <w:jc w:val="left"/>
            </w:pPr>
            <w:r>
              <w:t xml:space="preserve">26 weeks</w:t>
            </w:r>
          </w:p>
        </w:tc>
        <w:tc>
          <w:tcPr/>
          <w:p>
            <w:pPr>
              <w:pStyle w:val="Compact"/>
              <w:jc w:val="left"/>
            </w:pPr>
            <w:r>
              <w:t xml:space="preserve">HbA1c −1.51 vs. −0.99; less hypoglycemia</w:t>
            </w:r>
          </w:p>
        </w:tc>
      </w:tr>
      <w:tr>
        <w:tc>
          <w:tcPr/>
          <w:p>
            <w:pPr>
              <w:pStyle w:val="Compact"/>
              <w:jc w:val="left"/>
            </w:pPr>
            <w:r>
              <w:t xml:space="preserve">AWARD-6 (Dungan 2014), PMID 25018121</w:t>
            </w:r>
          </w:p>
        </w:tc>
        <w:tc>
          <w:tcPr/>
          <w:p>
            <w:pPr>
              <w:pStyle w:val="Compact"/>
              <w:jc w:val="left"/>
            </w:pPr>
            <w:r>
              <w:t xml:space="preserve">599 people, vs. liraglutide 1.8 mg daily</w:t>
            </w:r>
          </w:p>
        </w:tc>
        <w:tc>
          <w:tcPr/>
          <w:p>
            <w:pPr>
              <w:pStyle w:val="Compact"/>
              <w:jc w:val="left"/>
            </w:pPr>
            <w:r>
              <w:t xml:space="preserve">26 weeks</w:t>
            </w:r>
          </w:p>
        </w:tc>
        <w:tc>
          <w:tcPr/>
          <w:p>
            <w:pPr>
              <w:pStyle w:val="Compact"/>
              <w:jc w:val="left"/>
            </w:pPr>
            <w:r>
              <w:t xml:space="preserve">HbA1c −1.42 vs. −1.36; nausea 20% vs. 18%</w:t>
            </w:r>
          </w:p>
        </w:tc>
      </w:tr>
      <w:tr>
        <w:tc>
          <w:tcPr/>
          <w:p>
            <w:pPr>
              <w:pStyle w:val="Compact"/>
              <w:jc w:val="left"/>
            </w:pPr>
            <w:r>
              <w:t xml:space="preserve">SUSTAIN 7 (Pratley 2018), PMID 29397376</w:t>
            </w:r>
          </w:p>
        </w:tc>
        <w:tc>
          <w:tcPr/>
          <w:p>
            <w:pPr>
              <w:pStyle w:val="Compact"/>
              <w:jc w:val="left"/>
            </w:pPr>
            <w:r>
              <w:t xml:space="preserve">1,201 people, dulaglutide 0.75/1.5 mg vs. semaglutide 0.5/1.0 mg</w:t>
            </w:r>
          </w:p>
        </w:tc>
        <w:tc>
          <w:tcPr/>
          <w:p>
            <w:pPr>
              <w:pStyle w:val="Compact"/>
              <w:jc w:val="left"/>
            </w:pPr>
            <w:r>
              <w:t xml:space="preserve">40 weeks</w:t>
            </w:r>
          </w:p>
        </w:tc>
        <w:tc>
          <w:tcPr/>
          <w:p>
            <w:pPr>
              <w:pStyle w:val="Compact"/>
              <w:jc w:val="left"/>
            </w:pPr>
            <w:r>
              <w:t xml:space="preserve">HbA1c −1.4 vs. −1.8 (high doses); weight −3.0 vs. −6.5 kg</w:t>
            </w:r>
          </w:p>
        </w:tc>
      </w:tr>
    </w:tbl>
    <w:p>
      <w:pPr>
        <w:pStyle w:val="BodyText"/>
      </w:pPr>
      <w:r>
        <w:t xml:space="preserve">The ranking is clear. Dulaglutide was clearly superior to exenatide twice daily</w:t>
      </w:r>
      <w:r>
        <w:rPr>
          <w:rStyle w:val="FootnoteReference"/>
        </w:rPr>
        <w:footnoteReference w:id="353"/>
      </w:r>
      <w:r>
        <w:t xml:space="preserve"> </w:t>
      </w:r>
      <w:r>
        <w:t xml:space="preserve">and on a par with liraglutide</w:t>
      </w:r>
      <w:r>
        <w:rPr>
          <w:rStyle w:val="FootnoteReference"/>
        </w:rPr>
        <w:footnoteReference w:id="354"/>
      </w:r>
      <w:r>
        <w:t xml:space="preserve">. In AWARD-6, it thus became the first weekly GLP-1 receptor agonist to keep pace in a direct comparison with the then standard, liraglutide – with considerably fewer injections.</w:t>
      </w:r>
    </w:p>
    <w:p>
      <w:pPr>
        <w:pStyle w:val="BodyText"/>
      </w:pPr>
      <w:r>
        <w:t xml:space="preserve">Against semaglutide, dulaglutide lost at both dose levels in SUSTAIN 7</w:t>
      </w:r>
      <w:r>
        <w:rPr>
          <w:rStyle w:val="FootnoteReference"/>
        </w:rPr>
        <w:footnoteReference w:id="355"/>
      </w:r>
      <w:r>
        <w:t xml:space="preserve">. At the high doses, HbA1c fell by 1.4 versus 1.8 percentage points, weight by 3.0 versus 6.5 kg. Gastrointestinal complaints were similarly frequent (48% on dulaglutide 1.5 mg, 44% on semaglutide 1.0 mg). It was later pointed out critically that dulaglutide was dosed only up to 1.5 mg in SUSTAIN 7; the higher doses from AWARD-11 were not yet available at the time. Even with 4.5 mg, however, the weight difference would likely persist.</w:t>
      </w:r>
    </w:p>
    <w:bookmarkEnd w:id="356"/>
    <w:bookmarkStart w:id="361" w:name="rewind-the-cardiovascular-trial"/>
    <w:p>
      <w:pPr>
        <w:pStyle w:val="Heading4"/>
      </w:pPr>
      <w:r>
        <w:t xml:space="preserve">REWIND: The Cardiovascular Trial</w:t>
      </w:r>
    </w:p>
    <w:p>
      <w:pPr>
        <w:pStyle w:val="FirstParagraph"/>
      </w:pPr>
      <w:r>
        <w:t xml:space="preserve">REWIND differed from other GLP-1 outcomes trials: it ran longer, included older people with comparatively well-controlled blood sugar (median HbA1c 7.2%), and also enrolled many people without previous cardiovascular disease who merely had risk factors. The study population thus resembles everyday primary care more closely than in other outcomes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REWIND (Gerstein 2019), PMID 31189511</w:t>
            </w:r>
          </w:p>
        </w:tc>
        <w:tc>
          <w:tcPr/>
          <w:p>
            <w:pPr>
              <w:pStyle w:val="Compact"/>
              <w:jc w:val="left"/>
            </w:pPr>
            <w:r>
              <w:t xml:space="preserve">9,901 people with type 2 diabetes, mean age 66.2 years, 46.3% women; RCT vs. placebo</w:t>
            </w:r>
          </w:p>
        </w:tc>
        <w:tc>
          <w:tcPr/>
          <w:p>
            <w:pPr>
              <w:pStyle w:val="Compact"/>
              <w:jc w:val="left"/>
            </w:pPr>
            <w:r>
              <w:t xml:space="preserve">median 5.4 years</w:t>
            </w:r>
          </w:p>
        </w:tc>
        <w:tc>
          <w:tcPr/>
          <w:p>
            <w:pPr>
              <w:pStyle w:val="Compact"/>
              <w:jc w:val="left"/>
            </w:pPr>
            <w:r>
              <w:t xml:space="preserve">Major cardiovascular events 12.0% vs. 13.4%; HR 0.88 (0.79–0.99)</w:t>
            </w:r>
          </w:p>
        </w:tc>
      </w:tr>
      <w:tr>
        <w:tc>
          <w:tcPr/>
          <w:p>
            <w:pPr>
              <w:pStyle w:val="Compact"/>
              <w:jc w:val="left"/>
            </w:pPr>
            <w:r>
              <w:t xml:space="preserve">REWIND, kidneys (Gerstein 2019), PMID 31189509</w:t>
            </w:r>
          </w:p>
        </w:tc>
        <w:tc>
          <w:tcPr/>
          <w:p>
            <w:pPr>
              <w:pStyle w:val="Compact"/>
              <w:jc w:val="left"/>
            </w:pPr>
            <w:r>
              <w:t xml:space="preserve">the same study, exploratory analysis</w:t>
            </w:r>
          </w:p>
        </w:tc>
        <w:tc>
          <w:tcPr/>
          <w:p>
            <w:pPr>
              <w:pStyle w:val="Compact"/>
              <w:jc w:val="left"/>
            </w:pPr>
            <w:r>
              <w:t xml:space="preserve">median 5.4 years</w:t>
            </w:r>
          </w:p>
        </w:tc>
        <w:tc>
          <w:tcPr/>
          <w:p>
            <w:pPr>
              <w:pStyle w:val="Compact"/>
              <w:jc w:val="left"/>
            </w:pPr>
            <w:r>
              <w:t xml:space="preserve">Kidney endpoint 17.1% vs. 19.6%; HR 0.85, mainly less new macroalbuminuria</w:t>
            </w:r>
          </w:p>
        </w:tc>
      </w:tr>
      <w:tr>
        <w:tc>
          <w:tcPr/>
          <w:p>
            <w:pPr>
              <w:pStyle w:val="Compact"/>
              <w:jc w:val="left"/>
            </w:pPr>
            <w:r>
              <w:t xml:space="preserve">REWIND, cognition (Cukierman-Yaffe 2020), PMID 32562683</w:t>
            </w:r>
          </w:p>
        </w:tc>
        <w:tc>
          <w:tcPr/>
          <w:p>
            <w:pPr>
              <w:pStyle w:val="Compact"/>
              <w:jc w:val="left"/>
            </w:pPr>
            <w:r>
              <w:t xml:space="preserve">8,828 people with memory tests</w:t>
            </w:r>
          </w:p>
        </w:tc>
        <w:tc>
          <w:tcPr/>
          <w:p>
            <w:pPr>
              <w:pStyle w:val="Compact"/>
              <w:jc w:val="left"/>
            </w:pPr>
            <w:r>
              <w:t xml:space="preserve">median 5.4 years</w:t>
            </w:r>
          </w:p>
        </w:tc>
        <w:tc>
          <w:tcPr/>
          <w:p>
            <w:pPr>
              <w:pStyle w:val="Compact"/>
              <w:jc w:val="left"/>
            </w:pPr>
            <w:r>
              <w:t xml:space="preserve">HR 0.93 (not significant); after post hoc adjustment HR 0.86</w:t>
            </w:r>
          </w:p>
        </w:tc>
      </w:tr>
    </w:tbl>
    <w:p>
      <w:pPr>
        <w:pStyle w:val="BodyText"/>
      </w:pPr>
      <w:r>
        <w:t xml:space="preserve">The primary endpoint – death from cardiovascular causes, nonfatal myocardial infarction, or stroke – occurred in 594 of 4,949 people (12.0%) on dulaglutide and in 663 of 4,952 (13.4%) on placebo</w:t>
      </w:r>
      <w:r>
        <w:rPr>
          <w:rStyle w:val="FootnoteReference"/>
        </w:rPr>
        <w:footnoteReference w:id="357"/>
      </w:r>
      <w:r>
        <w:t xml:space="preserve">. This corresponds to a relative reduction of 12%. All-cause mortality did not differ significantly (10.8% vs. 12.0%; HR 0.90). Gastrointestinal side effects were reported by 47.4% versus 34.1%.</w:t>
      </w:r>
    </w:p>
    <w:p>
      <w:pPr>
        <w:pStyle w:val="BodyText"/>
      </w:pPr>
      <w:r>
        <w:t xml:space="preserve">In the kidney analysis</w:t>
      </w:r>
      <w:r>
        <w:rPr>
          <w:rStyle w:val="FootnoteReference"/>
        </w:rPr>
        <w:footnoteReference w:id="358"/>
      </w:r>
      <w:r>
        <w:t xml:space="preserve">, the effect was mainly attributable to newly occurring macroalbuminuria (HR 0.77). For a sustained decline in kidney function of at least 30%, the estimate was 0.89, and for dialysis or kidney transplantation 0.75 – neither statistically significant.</w:t>
      </w:r>
    </w:p>
    <w:p>
      <w:pPr>
        <w:pStyle w:val="BodyText"/>
      </w:pPr>
      <w:r>
        <w:t xml:space="preserve">The analysis of cognitive performance</w:t>
      </w:r>
      <w:r>
        <w:rPr>
          <w:rStyle w:val="FootnoteReference"/>
        </w:rPr>
        <w:footnoteReference w:id="359"/>
      </w:r>
      <w:r>
        <w:t xml:space="preserve"> </w:t>
      </w:r>
      <w:r>
        <w:t xml:space="preserve">is occasionally cited as evidence of protection against dementia. That goes too far: the prespecified comparison was not significant. Only after a post hoc statistical adjustment was there a 14% lower relative risk of a marked decline in cognitive performance (hazard ratio 0.86). The authors themselves describe it as an exploratory analysis that justifies further studies.</w:t>
      </w:r>
    </w:p>
    <w:p>
      <w:pPr>
        <w:pStyle w:val="BodyText"/>
      </w:pPr>
      <w:r>
        <w:t xml:space="preserve">In a meta-analysis of all large GLP-1 outcomes trials, REWIND fitted well into the overall picture, according to which the class reduces major cardiovascular events by about 12%</w:t>
      </w:r>
      <w:r>
        <w:rPr>
          <w:rStyle w:val="FootnoteReference"/>
        </w:rPr>
        <w:footnoteReference w:id="360"/>
      </w:r>
      <w:r>
        <w:t xml:space="preserve">.</w:t>
      </w:r>
    </w:p>
    <w:bookmarkEnd w:id="361"/>
    <w:bookmarkStart w:id="366" w:name="X8dcaf82a3c3712a17036be1d678f61734c212fa"/>
    <w:p>
      <w:pPr>
        <w:pStyle w:val="Heading4"/>
      </w:pPr>
      <w:r>
        <w:t xml:space="preserve">What Explains the Benefit – and What Does Not?</w:t>
      </w:r>
    </w:p>
    <w:p>
      <w:pPr>
        <w:pStyle w:val="FirstParagraph"/>
      </w:pPr>
      <w:r>
        <w:t xml:space="preserve">Several post hoc analyses of REWIND have tried to understand the cardiovascular effect in more detail. In a subanalysis of 9,543 people without atrial fibrillation at baseline, 31% already had cardiovascular disease, while the rest had</w:t>
      </w:r>
      <w:r>
        <w:t xml:space="preserve"> </w:t>
      </w:r>
      <w:r>
        <w:t xml:space="preserve">“</w:t>
      </w:r>
      <w:r>
        <w:t xml:space="preserve">only</w:t>
      </w:r>
      <w:r>
        <w:t xml:space="preserve">”</w:t>
      </w:r>
      <w:r>
        <w:t xml:space="preserve"> </w:t>
      </w:r>
      <w:r>
        <w:t xml:space="preserve">risk factors</w:t>
      </w:r>
      <w:r>
        <w:rPr>
          <w:rStyle w:val="FootnoteReference"/>
        </w:rPr>
        <w:footnoteReference w:id="362"/>
      </w:r>
      <w:r>
        <w:t xml:space="preserve">. This underlines that REWIND studied people in a prevention setting far more than other outcomes trials.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Question</w:t>
            </w:r>
          </w:p>
        </w:tc>
        <w:tc>
          <w:tcPr/>
          <w:p>
            <w:pPr>
              <w:pStyle w:val="Compact"/>
              <w:jc w:val="left"/>
            </w:pPr>
            <w:r>
              <w:t xml:space="preserve">Result</w:t>
            </w:r>
          </w:p>
        </w:tc>
      </w:tr>
      <w:tr>
        <w:tc>
          <w:tcPr/>
          <w:p>
            <w:pPr>
              <w:pStyle w:val="Compact"/>
              <w:jc w:val="left"/>
            </w:pPr>
            <w:r>
              <w:t xml:space="preserve">Konig 2021, PMID 34563178</w:t>
            </w:r>
          </w:p>
        </w:tc>
        <w:tc>
          <w:tcPr/>
          <w:p>
            <w:pPr>
              <w:pStyle w:val="Compact"/>
              <w:jc w:val="left"/>
            </w:pPr>
            <w:r>
              <w:t xml:space="preserve">Which changes explain the benefit?</w:t>
            </w:r>
          </w:p>
        </w:tc>
        <w:tc>
          <w:tcPr/>
          <w:p>
            <w:pPr>
              <w:pStyle w:val="Compact"/>
              <w:jc w:val="left"/>
            </w:pPr>
            <w:r>
              <w:t xml:space="preserve">Partly the reduction in HbA1c and urinary protein excretion, not weight, blood pressure, or LDL cholesterol</w:t>
            </w:r>
          </w:p>
        </w:tc>
      </w:tr>
      <w:tr>
        <w:tc>
          <w:tcPr/>
          <w:p>
            <w:pPr>
              <w:pStyle w:val="Compact"/>
              <w:jc w:val="left"/>
            </w:pPr>
            <w:r>
              <w:t xml:space="preserve">Branch 2022, PMID 36073143</w:t>
            </w:r>
          </w:p>
        </w:tc>
        <w:tc>
          <w:tcPr/>
          <w:p>
            <w:pPr>
              <w:pStyle w:val="Compact"/>
              <w:jc w:val="left"/>
            </w:pPr>
            <w:r>
              <w:t xml:space="preserve">Heart failure events</w:t>
            </w:r>
          </w:p>
        </w:tc>
        <w:tc>
          <w:tcPr/>
          <w:p>
            <w:pPr>
              <w:pStyle w:val="Compact"/>
              <w:jc w:val="left"/>
            </w:pPr>
            <w:r>
              <w:t xml:space="preserve">4.3% vs. 4.6%; HR 0.93, no significant difference</w:t>
            </w:r>
          </w:p>
        </w:tc>
      </w:tr>
      <w:tr>
        <w:tc>
          <w:tcPr/>
          <w:p>
            <w:pPr>
              <w:pStyle w:val="Compact"/>
              <w:jc w:val="left"/>
            </w:pPr>
            <w:r>
              <w:t xml:space="preserve">Raubenheimer 2022, PMID 34984808</w:t>
            </w:r>
          </w:p>
        </w:tc>
        <w:tc>
          <w:tcPr/>
          <w:p>
            <w:pPr>
              <w:pStyle w:val="Compact"/>
              <w:jc w:val="left"/>
            </w:pPr>
            <w:r>
              <w:t xml:space="preserve">New atrial fibrillation or flutter</w:t>
            </w:r>
          </w:p>
        </w:tc>
        <w:tc>
          <w:tcPr/>
          <w:p>
            <w:pPr>
              <w:pStyle w:val="Compact"/>
              <w:jc w:val="left"/>
            </w:pPr>
            <w:r>
              <w:t xml:space="preserve">5.6% vs. 5.3%; no difference</w:t>
            </w:r>
          </w:p>
        </w:tc>
      </w:tr>
    </w:tbl>
    <w:p>
      <w:pPr>
        <w:pStyle w:val="BodyText"/>
      </w:pPr>
      <w:r>
        <w:t xml:space="preserve">According to the analysis by Konig 2021</w:t>
      </w:r>
      <w:r>
        <w:rPr>
          <w:rStyle w:val="FootnoteReference"/>
        </w:rPr>
        <w:footnoteReference w:id="363"/>
      </w:r>
      <w:r>
        <w:t xml:space="preserve">, part of the effect could be explained statistically by better blood sugar control and lower urinary protein excretion; another part remained unexplained. Weight loss played no measurable role in this analysis. This is consistent with the widespread assumption that GLP-1 receptor agonists also have direct effects on blood vessels and inflammatory processes – but this has not been demonstrated in humans.</w:t>
      </w:r>
    </w:p>
    <w:p>
      <w:pPr>
        <w:pStyle w:val="BodyText"/>
      </w:pPr>
      <w:r>
        <w:t xml:space="preserve">Dulaglutide showed no protection against heart failure events</w:t>
      </w:r>
      <w:r>
        <w:rPr>
          <w:rStyle w:val="FootnoteReference"/>
        </w:rPr>
        <w:footnoteReference w:id="364"/>
      </w:r>
      <w:r>
        <w:t xml:space="preserve"> </w:t>
      </w:r>
      <w:r>
        <w:t xml:space="preserve">or against new-onset atrial fibrillation</w:t>
      </w:r>
      <w:r>
        <w:rPr>
          <w:rStyle w:val="FootnoteReference"/>
        </w:rPr>
        <w:footnoteReference w:id="365"/>
      </w:r>
      <w:r>
        <w:t xml:space="preserve">. Among the 853 participants who already had heart failure at baseline, the picture was no different either. For heart failure with preserved ejection fraction in obesity, data are now available for semaglutide and tirzepatide; for dulaglutide, they are lacking.</w:t>
      </w:r>
    </w:p>
    <w:bookmarkEnd w:id="366"/>
    <w:bookmarkStart w:id="369" w:name="Xe1f30533c3761d377be1ea72fb802c9d58f6b2c"/>
    <w:p>
      <w:pPr>
        <w:pStyle w:val="Heading4"/>
      </w:pPr>
      <w:r>
        <w:t xml:space="preserve">Dulaglutide as the Comparator Standard for New Drugs</w:t>
      </w:r>
    </w:p>
    <w:p>
      <w:pPr>
        <w:pStyle w:val="FirstParagraph"/>
      </w:pPr>
      <w:r>
        <w:t xml:space="preserve">Because dulaglutide is widely used around the world, well tolerated, and has demonstrated cardiovascular benefit, manufacturers frequently choose it as an active comparator. The results of these trials belong in substance to the chapters on the respective new drugs; here is just the 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SURPASS-CVOT (Nicholls 2025), PMID 41406444</w:t>
            </w:r>
          </w:p>
        </w:tc>
        <w:tc>
          <w:tcPr/>
          <w:p>
            <w:pPr>
              <w:pStyle w:val="Compact"/>
              <w:jc w:val="left"/>
            </w:pPr>
            <w:r>
              <w:t xml:space="preserve">13,165 people with type 2 diabetes and vascular disease; tirzepatide vs. dulaglutide</w:t>
            </w:r>
          </w:p>
        </w:tc>
        <w:tc>
          <w:tcPr/>
          <w:p>
            <w:pPr>
              <w:pStyle w:val="Compact"/>
              <w:jc w:val="left"/>
            </w:pPr>
            <w:r>
              <w:t xml:space="preserve">several years</w:t>
            </w:r>
          </w:p>
        </w:tc>
        <w:tc>
          <w:tcPr/>
          <w:p>
            <w:pPr>
              <w:pStyle w:val="Compact"/>
              <w:jc w:val="left"/>
            </w:pPr>
            <w:r>
              <w:t xml:space="preserve">Major cardiovascular events 12.2% vs. 13.1%; HR 0.92, noninferior, superiority not shown</w:t>
            </w:r>
          </w:p>
        </w:tc>
      </w:tr>
      <w:tr>
        <w:tc>
          <w:tcPr/>
          <w:p>
            <w:pPr>
              <w:pStyle w:val="Compact"/>
              <w:jc w:val="left"/>
            </w:pPr>
            <w:r>
              <w:t xml:space="preserve">SURPASS J-mono (Inagaki 2022), PMID 35914543</w:t>
            </w:r>
          </w:p>
        </w:tc>
        <w:tc>
          <w:tcPr/>
          <w:p>
            <w:pPr>
              <w:pStyle w:val="Compact"/>
              <w:jc w:val="left"/>
            </w:pPr>
            <w:r>
              <w:t xml:space="preserve">636 people in Japan; tirzepatide vs. dulaglutide 0.75 mg</w:t>
            </w:r>
          </w:p>
        </w:tc>
        <w:tc>
          <w:tcPr/>
          <w:p>
            <w:pPr>
              <w:pStyle w:val="Compact"/>
              <w:jc w:val="left"/>
            </w:pPr>
            <w:r>
              <w:t xml:space="preserve">52 weeks</w:t>
            </w:r>
          </w:p>
        </w:tc>
        <w:tc>
          <w:tcPr/>
          <w:p>
            <w:pPr>
              <w:pStyle w:val="Compact"/>
              <w:jc w:val="left"/>
            </w:pPr>
            <w:r>
              <w:t xml:space="preserve">HbA1c −2.4 to −2.8 vs. −1.3</w:t>
            </w:r>
          </w:p>
        </w:tc>
      </w:tr>
      <w:tr>
        <w:tc>
          <w:tcPr/>
          <w:p>
            <w:pPr>
              <w:pStyle w:val="Compact"/>
              <w:jc w:val="left"/>
            </w:pPr>
            <w:r>
              <w:t xml:space="preserve">Guo 2026, PMID 41407860</w:t>
            </w:r>
          </w:p>
        </w:tc>
        <w:tc>
          <w:tcPr/>
          <w:p>
            <w:pPr>
              <w:pStyle w:val="Compact"/>
              <w:jc w:val="left"/>
            </w:pPr>
            <w:r>
              <w:t xml:space="preserve">731 people in China; mazdutide vs. dulaglutide 1.5 mg</w:t>
            </w:r>
          </w:p>
        </w:tc>
        <w:tc>
          <w:tcPr/>
          <w:p>
            <w:pPr>
              <w:pStyle w:val="Compact"/>
              <w:jc w:val="left"/>
            </w:pPr>
            <w:r>
              <w:t xml:space="preserve">28 weeks</w:t>
            </w:r>
          </w:p>
        </w:tc>
        <w:tc>
          <w:tcPr/>
          <w:p>
            <w:pPr>
              <w:pStyle w:val="Compact"/>
              <w:jc w:val="left"/>
            </w:pPr>
            <w:r>
              <w:t xml:space="preserve">HbA1c difference −0.24 and −0.30 percentage points, respectively, in favor of mazdutide</w:t>
            </w:r>
          </w:p>
        </w:tc>
      </w:tr>
      <w:tr>
        <w:tc>
          <w:tcPr/>
          <w:p>
            <w:pPr>
              <w:pStyle w:val="Compact"/>
              <w:jc w:val="left"/>
            </w:pPr>
            <w:r>
              <w:t xml:space="preserve">EECOH-2 (He 2025), PMID 40854315</w:t>
            </w:r>
          </w:p>
        </w:tc>
        <w:tc>
          <w:tcPr/>
          <w:p>
            <w:pPr>
              <w:pStyle w:val="Compact"/>
              <w:jc w:val="left"/>
            </w:pPr>
            <w:r>
              <w:t xml:space="preserve">621 people in China; ecnoglutide vs. dulaglutide 1.5 mg</w:t>
            </w:r>
          </w:p>
        </w:tc>
        <w:tc>
          <w:tcPr/>
          <w:p>
            <w:pPr>
              <w:pStyle w:val="Compact"/>
              <w:jc w:val="left"/>
            </w:pPr>
            <w:r>
              <w:t xml:space="preserve">52 weeks (primary endpoint 32)</w:t>
            </w:r>
          </w:p>
        </w:tc>
        <w:tc>
          <w:tcPr/>
          <w:p>
            <w:pPr>
              <w:pStyle w:val="Compact"/>
              <w:jc w:val="left"/>
            </w:pPr>
            <w:r>
              <w:t xml:space="preserve">HbA1c −1.89 to −1.91 vs. −1.65</w:t>
            </w:r>
          </w:p>
        </w:tc>
      </w:tr>
    </w:tbl>
    <w:p>
      <w:pPr>
        <w:pStyle w:val="BodyText"/>
      </w:pPr>
      <w:r>
        <w:t xml:space="preserve">SURPASS-CVOT</w:t>
      </w:r>
      <w:r>
        <w:rPr>
          <w:rStyle w:val="FootnoteReference"/>
        </w:rPr>
        <w:footnoteReference w:id="367"/>
      </w:r>
      <w:r>
        <w:t xml:space="preserve"> </w:t>
      </w:r>
      <w:r>
        <w:t xml:space="preserve">is particularly revealing: it was the first large outcomes trial in which two incretin medications competed directly against each other. Tirzepatide was not worse, but also not demonstrably better, than dulaglutide. Since dulaglutide itself had reduced risk in REWIND, a</w:t>
      </w:r>
      <w:r>
        <w:t xml:space="preserve"> </w:t>
      </w:r>
      <w:r>
        <w:t xml:space="preserve">“</w:t>
      </w:r>
      <w:r>
        <w:t xml:space="preserve">draw</w:t>
      </w:r>
      <w:r>
        <w:t xml:space="preserve">”</w:t>
      </w:r>
      <w:r>
        <w:t xml:space="preserve"> </w:t>
      </w:r>
      <w:r>
        <w:t xml:space="preserve">against dulaglutide is a strong result for both drugs. A post hoc analysis with a broader cardiorenal endpoint found an advantage for tirzepatide (23.7% vs. 27.4%; HR 0.84)</w:t>
      </w:r>
      <w:r>
        <w:rPr>
          <w:rStyle w:val="FootnoteReference"/>
        </w:rPr>
        <w:footnoteReference w:id="368"/>
      </w:r>
      <w:r>
        <w:t xml:space="preserve">. Post hoc analyses, however, are less robust than the prespecified primary endpoint.</w:t>
      </w:r>
    </w:p>
    <w:bookmarkEnd w:id="369"/>
    <w:bookmarkStart w:id="372" w:name="handling-the-prefilled-pen"/>
    <w:p>
      <w:pPr>
        <w:pStyle w:val="Heading4"/>
      </w:pPr>
      <w:r>
        <w:t xml:space="preserve">Handling: The Prefilled Pen</w:t>
      </w:r>
    </w:p>
    <w:p>
      <w:pPr>
        <w:pStyle w:val="FirstParagraph"/>
      </w:pPr>
      <w:r>
        <w:t xml:space="preserve">A practical point rarely appreciated in studies is administration. Dulaglutide is supplied in a single-use prefilled pen that does not require attaching a needle or setting a dose. In a study with 211 people with type 2 diabetes who had never injected themselves, the injection was ultimately successful in 99.1% of cases; fear of injecting decreased</w:t>
      </w:r>
      <w:r>
        <w:rPr>
          <w:rStyle w:val="FootnoteReference"/>
        </w:rPr>
        <w:footnoteReference w:id="370"/>
      </w:r>
      <w:r>
        <w:t xml:space="preserve">. In a manufacturer-funded comparative study with 310 participants, 84.2% preferred the dulaglutide pen over the semaglutide pen available at the time</w:t>
      </w:r>
      <w:r>
        <w:rPr>
          <w:rStyle w:val="FootnoteReference"/>
        </w:rPr>
        <w:footnoteReference w:id="371"/>
      </w:r>
      <w:r>
        <w:t xml:space="preserve">. Such preference studies say nothing about efficacy, but they may explain why dulaglutide is widely used, particularly among older people.</w:t>
      </w:r>
    </w:p>
    <w:bookmarkEnd w:id="372"/>
    <w:bookmarkStart w:id="374" w:name="children-and-adolescents-1"/>
    <w:p>
      <w:pPr>
        <w:pStyle w:val="Heading4"/>
      </w:pPr>
      <w:r>
        <w:t xml:space="preserve">Children and Adolescents</w:t>
      </w:r>
    </w:p>
    <w:p>
      <w:pPr>
        <w:pStyle w:val="FirstParagraph"/>
      </w:pPr>
      <w:r>
        <w:t xml:space="preserve">In AWARD-PEDS with 154 adolescents with type 2 diabetes, HbA1c rose by 0.6 percentage points on placebo after 26 weeks and fell by 0.6 (0.75 mg) and 0.9 percentage points (1.5 mg), respectively, on dulaglutide</w:t>
      </w:r>
      <w:r>
        <w:rPr>
          <w:rStyle w:val="FootnoteReference"/>
        </w:rPr>
        <w:footnoteReference w:id="373"/>
      </w:r>
      <w:r>
        <w:t xml:space="preserve">. An HbA1c below 7% was achieved by 51% versus 14%. Dulaglutide had no effect on body mass index in this age group. This study was the basis for approval from age 10.</w:t>
      </w:r>
    </w:p>
    <w:bookmarkEnd w:id="374"/>
    <w:bookmarkStart w:id="378" w:name="other-areas-of-use-in-studies-2"/>
    <w:p>
      <w:pPr>
        <w:pStyle w:val="Heading4"/>
      </w:pPr>
      <w:r>
        <w:t xml:space="preserve">Other Areas of Use in Studies</w:t>
      </w:r>
    </w:p>
    <w:p>
      <w:pPr>
        <w:numPr>
          <w:ilvl w:val="0"/>
          <w:numId w:val="1049"/>
        </w:numPr>
        <w:pStyle w:val="Compact"/>
      </w:pPr>
      <w:r>
        <w:rPr>
          <w:bCs/>
          <w:b/>
        </w:rPr>
        <w:t xml:space="preserve">Smoking cessation:</w:t>
      </w:r>
      <w:r>
        <w:t xml:space="preserve"> </w:t>
      </w:r>
      <w:r>
        <w:t xml:space="preserve">In a study with 255 people, dulaglutide did not improve the abstinence rate; after 52 weeks, 32% were smoke-free in both groups</w:t>
      </w:r>
      <w:r>
        <w:rPr>
          <w:rStyle w:val="FootnoteReference"/>
        </w:rPr>
        <w:footnoteReference w:id="375"/>
      </w:r>
      <w:r>
        <w:t xml:space="preserve">. The usual weight gain after quitting smoking was prevented in the first 12 weeks, but after one year the difference had disappeared.</w:t>
      </w:r>
    </w:p>
    <w:p>
      <w:pPr>
        <w:numPr>
          <w:ilvl w:val="0"/>
          <w:numId w:val="1049"/>
        </w:numPr>
        <w:pStyle w:val="Compact"/>
      </w:pPr>
      <w:r>
        <w:rPr>
          <w:bCs/>
          <w:b/>
        </w:rPr>
        <w:t xml:space="preserve">Alcohol:</w:t>
      </w:r>
      <w:r>
        <w:t xml:space="preserve"> </w:t>
      </w:r>
      <w:r>
        <w:t xml:space="preserve">In a prespecified secondary analysis of the same study, participants on dulaglutide drank 29% less alcohol than those on placebo after 12 weeks</w:t>
      </w:r>
      <w:r>
        <w:rPr>
          <w:rStyle w:val="FootnoteReference"/>
        </w:rPr>
        <w:footnoteReference w:id="376"/>
      </w:r>
      <w:r>
        <w:t xml:space="preserve">. The study was not designed for this question.</w:t>
      </w:r>
    </w:p>
    <w:p>
      <w:pPr>
        <w:numPr>
          <w:ilvl w:val="0"/>
          <w:numId w:val="1049"/>
        </w:numPr>
        <w:pStyle w:val="Compact"/>
      </w:pPr>
      <w:r>
        <w:rPr>
          <w:bCs/>
          <w:b/>
        </w:rPr>
        <w:t xml:space="preserve">Primary polydipsia</w:t>
      </w:r>
      <w:r>
        <w:t xml:space="preserve"> </w:t>
      </w:r>
      <w:r>
        <w:t xml:space="preserve">(pathologically increased drinking): in a crossover study with 34 people, dulaglutide reduced fluid intake during an eight-hour test by 490 ml, corresponding to 17%</w:t>
      </w:r>
      <w:r>
        <w:rPr>
          <w:rStyle w:val="FootnoteReference"/>
        </w:rPr>
        <w:footnoteReference w:id="377"/>
      </w:r>
      <w:r>
        <w:t xml:space="preserve">. An indication that GLP-1 also influences the sensation of thirst.</w:t>
      </w:r>
    </w:p>
    <w:bookmarkEnd w:id="378"/>
    <w:bookmarkEnd w:id="379"/>
    <w:bookmarkStart w:id="382" w:name="animal-and-laboratory-studies-2"/>
    <w:p>
      <w:pPr>
        <w:pStyle w:val="Heading3"/>
      </w:pPr>
      <w:r>
        <w:t xml:space="preserve">Animal and laboratory studies</w:t>
      </w:r>
    </w:p>
    <w:p>
      <w:pPr>
        <w:pStyle w:val="FirstParagraph"/>
      </w:pPr>
      <w:r>
        <w:t xml:space="preserve">The preclinical characterization of dulaglutide (then LY2189265) was carried out in cells, rats, mice, and cynomolgus monkeys</w:t>
      </w:r>
      <w:r>
        <w:rPr>
          <w:rStyle w:val="FootnoteReference"/>
        </w:rPr>
        <w:footnoteReference w:id="380"/>
      </w:r>
      <w:r>
        <w:t xml:space="preserve">. In laboratory experiments, the fusion protein retained full activity at the GLP-1 receptor. In diabetic mice, a single dose improved glucose tolerance; twice-weekly doses over four weeks lowered weight and delayed the rise in blood sugar. In monkeys, the effect on insulin release lasted up to one week after a single dose.</w:t>
      </w:r>
    </w:p>
    <w:p>
      <w:pPr>
        <w:pStyle w:val="BodyText"/>
      </w:pPr>
      <w:r>
        <w:t xml:space="preserve">As with all GLP-1 receptor agonists, changes in the C cells of the thyroid occurred in long-term studies in rodents; the mechanism and its limited transferability to humans are described in the chapter Liraglutide</w:t>
      </w:r>
      <w:r>
        <w:rPr>
          <w:rStyle w:val="FootnoteReference"/>
        </w:rPr>
        <w:footnoteReference w:id="381"/>
      </w:r>
      <w:r>
        <w:t xml:space="preserve">.</w:t>
      </w:r>
    </w:p>
    <w:bookmarkEnd w:id="382"/>
    <w:bookmarkStart w:id="392" w:name="risks-and-side-effects-2"/>
    <w:p>
      <w:pPr>
        <w:pStyle w:val="Heading3"/>
      </w:pPr>
      <w:r>
        <w:t xml:space="preserve">Risks and side effects</w:t>
      </w:r>
    </w:p>
    <w:p>
      <w:pPr>
        <w:pStyle w:val="FirstParagraph"/>
      </w:pPr>
      <w:r>
        <w:rPr>
          <w:bCs/>
          <w:b/>
        </w:rPr>
        <w:t xml:space="preserve">Established from randomized trials:</w:t>
      </w:r>
    </w:p>
    <w:p>
      <w:pPr>
        <w:numPr>
          <w:ilvl w:val="0"/>
          <w:numId w:val="1050"/>
        </w:numPr>
        <w:pStyle w:val="Compact"/>
      </w:pPr>
      <w:r>
        <w:rPr>
          <w:bCs/>
          <w:b/>
        </w:rPr>
        <w:t xml:space="preserve">Gastrointestinal complaints:</w:t>
      </w:r>
      <w:r>
        <w:t xml:space="preserve"> </w:t>
      </w:r>
      <w:r>
        <w:t xml:space="preserve">Nausea, diarrhea, and vomiting are the most common side effects. In REWIND, 47.4% of those treated reported gastrointestinal complaints, compared with 34.1% on placebo</w:t>
      </w:r>
      <w:r>
        <w:rPr>
          <w:rStyle w:val="FootnoteReference"/>
        </w:rPr>
        <w:footnoteReference w:id="383"/>
      </w:r>
      <w:r>
        <w:t xml:space="preserve">. They increase with higher doses</w:t>
      </w:r>
      <w:r>
        <w:rPr>
          <w:rStyle w:val="FootnoteReference"/>
        </w:rPr>
        <w:footnoteReference w:id="384"/>
      </w:r>
      <w:r>
        <w:t xml:space="preserve">.</w:t>
      </w:r>
    </w:p>
    <w:p>
      <w:pPr>
        <w:numPr>
          <w:ilvl w:val="0"/>
          <w:numId w:val="1050"/>
        </w:numPr>
        <w:pStyle w:val="Compact"/>
      </w:pPr>
      <w:r>
        <w:rPr>
          <w:bCs/>
          <w:b/>
        </w:rPr>
        <w:t xml:space="preserve">Hypoglycemia:</w:t>
      </w:r>
      <w:r>
        <w:t xml:space="preserve"> </w:t>
      </w:r>
      <w:r>
        <w:t xml:space="preserve">rare on its own; more frequent in combination with insulin or sulfonylureas, but less frequent than with insulin alone</w:t>
      </w:r>
      <w:r>
        <w:rPr>
          <w:rStyle w:val="FootnoteReference"/>
        </w:rPr>
        <w:footnoteReference w:id="385"/>
      </w:r>
      <w:r>
        <w:t xml:space="preserve">.</w:t>
      </w:r>
    </w:p>
    <w:p>
      <w:pPr>
        <w:numPr>
          <w:ilvl w:val="0"/>
          <w:numId w:val="1050"/>
        </w:numPr>
        <w:pStyle w:val="Compact"/>
      </w:pPr>
      <w:r>
        <w:rPr>
          <w:bCs/>
          <w:b/>
        </w:rPr>
        <w:t xml:space="preserve">Pancreatic enzymes:</w:t>
      </w:r>
      <w:r>
        <w:t xml:space="preserve"> </w:t>
      </w:r>
      <w:r>
        <w:t xml:space="preserve">In AWARD-2, pancreatic enzymes rose on dulaglutide</w:t>
      </w:r>
      <w:r>
        <w:rPr>
          <w:rStyle w:val="FootnoteReference"/>
        </w:rPr>
        <w:footnoteReference w:id="386"/>
      </w:r>
      <w:r>
        <w:t xml:space="preserve">. The clinical significance of such increases without symptoms is unclear.</w:t>
      </w:r>
    </w:p>
    <w:p>
      <w:pPr>
        <w:numPr>
          <w:ilvl w:val="0"/>
          <w:numId w:val="1050"/>
        </w:numPr>
        <w:pStyle w:val="Compact"/>
      </w:pPr>
      <w:r>
        <w:rPr>
          <w:bCs/>
          <w:b/>
        </w:rPr>
        <w:t xml:space="preserve">Antibodies:</w:t>
      </w:r>
      <w:r>
        <w:t xml:space="preserve"> </w:t>
      </w:r>
      <w:r>
        <w:t xml:space="preserve">rare (1.6% of those treated), without an accumulation of hypersensitivity reactions</w:t>
      </w:r>
      <w:r>
        <w:rPr>
          <w:rStyle w:val="FootnoteReference"/>
        </w:rPr>
        <w:footnoteReference w:id="387"/>
      </w:r>
      <w:r>
        <w:t xml:space="preserve">.</w:t>
      </w:r>
    </w:p>
    <w:p>
      <w:pPr>
        <w:numPr>
          <w:ilvl w:val="0"/>
          <w:numId w:val="1050"/>
        </w:numPr>
        <w:pStyle w:val="Compact"/>
      </w:pPr>
      <w:r>
        <w:rPr>
          <w:bCs/>
          <w:b/>
        </w:rPr>
        <w:t xml:space="preserve">Gallbladder:</w:t>
      </w:r>
      <w:r>
        <w:t xml:space="preserve"> </w:t>
      </w:r>
      <w:r>
        <w:t xml:space="preserve">An increased risk of gallstones and cholecystitis has been demonstrated for the entire class</w:t>
      </w:r>
      <w:r>
        <w:rPr>
          <w:rStyle w:val="FootnoteReference"/>
        </w:rPr>
        <w:footnoteReference w:id="388"/>
      </w:r>
      <w:r>
        <w:t xml:space="preserve">; details in the chapter Liraglutide.</w:t>
      </w:r>
    </w:p>
    <w:p>
      <w:pPr>
        <w:pStyle w:val="FirstParagraph"/>
      </w:pPr>
      <w:r>
        <w:rPr>
          <w:bCs/>
          <w:b/>
        </w:rPr>
        <w:t xml:space="preserve">Investigated but uncertain:</w:t>
      </w:r>
    </w:p>
    <w:p>
      <w:pPr>
        <w:numPr>
          <w:ilvl w:val="0"/>
          <w:numId w:val="1051"/>
        </w:numPr>
        <w:pStyle w:val="Compact"/>
      </w:pPr>
      <w:r>
        <w:rPr>
          <w:bCs/>
          <w:b/>
        </w:rPr>
        <w:t xml:space="preserve">Pancreatitis and pancreatic cancer:</w:t>
      </w:r>
      <w:r>
        <w:t xml:space="preserve"> </w:t>
      </w:r>
      <w:r>
        <w:t xml:space="preserve">In the meta-analysis of the outcomes trials, no increased risk for the class</w:t>
      </w:r>
      <w:r>
        <w:rPr>
          <w:rStyle w:val="FootnoteReference"/>
        </w:rPr>
        <w:footnoteReference w:id="389"/>
      </w:r>
      <w:r>
        <w:t xml:space="preserve">. Pancreatitis is nevertheless listed as a rare side effect in the prescribing information.</w:t>
      </w:r>
    </w:p>
    <w:p>
      <w:pPr>
        <w:numPr>
          <w:ilvl w:val="0"/>
          <w:numId w:val="1051"/>
        </w:numPr>
        <w:pStyle w:val="Compact"/>
      </w:pPr>
      <w:r>
        <w:rPr>
          <w:bCs/>
          <w:b/>
        </w:rPr>
        <w:t xml:space="preserve">Thyroid cancer:</w:t>
      </w:r>
      <w:r>
        <w:t xml:space="preserve"> </w:t>
      </w:r>
      <w:r>
        <w:t xml:space="preserve">signal in observational studies and meta-analyses for the entire class</w:t>
      </w:r>
      <w:r>
        <w:rPr>
          <w:rStyle w:val="FootnoteReference"/>
        </w:rPr>
        <w:footnoteReference w:id="390"/>
      </w:r>
      <w:r>
        <w:t xml:space="preserve">, not specific to dulaglutide; see the chapter Liraglutide and Part IV.</w:t>
      </w:r>
    </w:p>
    <w:p>
      <w:pPr>
        <w:pStyle w:val="FirstParagraph"/>
      </w:pPr>
      <w:r>
        <w:rPr>
          <w:bCs/>
          <w:b/>
        </w:rPr>
        <w:t xml:space="preserve">Notes for practice:</w:t>
      </w:r>
      <w:r>
        <w:t xml:space="preserve"> </w:t>
      </w:r>
      <w:r>
        <w:t xml:space="preserve">Dulaglutide slows gastric emptying, which plays a role in anesthesia and gastroscopy; a large study is under way on whether GLP-1 receptor agonists should be paused before a gastroscopy</w:t>
      </w:r>
      <w:r>
        <w:rPr>
          <w:rStyle w:val="FootnoteReference"/>
        </w:rPr>
        <w:footnoteReference w:id="391"/>
      </w:r>
      <w:r>
        <w:t xml:space="preserve">. The prescribing information and medical supervision are authoritative.</w:t>
      </w:r>
    </w:p>
    <w:bookmarkEnd w:id="392"/>
    <w:bookmarkStart w:id="393" w:name="legal-status-2"/>
    <w:p>
      <w:pPr>
        <w:pStyle w:val="Heading3"/>
      </w:pPr>
      <w:r>
        <w:t xml:space="preserve">Legal status</w:t>
      </w:r>
    </w:p>
    <w:p>
      <w:pPr>
        <w:numPr>
          <w:ilvl w:val="0"/>
          <w:numId w:val="1052"/>
        </w:numPr>
        <w:pStyle w:val="Compact"/>
      </w:pPr>
      <w:r>
        <w:rPr>
          <w:bCs/>
          <w:b/>
        </w:rPr>
        <w:t xml:space="preserve">EU:</w:t>
      </w:r>
      <w:r>
        <w:t xml:space="preserve"> </w:t>
      </w:r>
      <w:r>
        <w:t xml:space="preserve">Trulicity has been centrally authorized since 2014 for the treatment of type 2 diabetes, now also for adolescents aged 10 and older. Prescription-only. No approval for weight reduction.</w:t>
      </w:r>
    </w:p>
    <w:p>
      <w:pPr>
        <w:numPr>
          <w:ilvl w:val="0"/>
          <w:numId w:val="1052"/>
        </w:numPr>
        <w:pStyle w:val="Compact"/>
      </w:pPr>
      <w:r>
        <w:rPr>
          <w:bCs/>
          <w:b/>
        </w:rPr>
        <w:t xml:space="preserve">Germany and Austria:</w:t>
      </w:r>
      <w:r>
        <w:t xml:space="preserve"> </w:t>
      </w:r>
      <w:r>
        <w:t xml:space="preserve">prescription-only; reimbursable for type 2 diabetes. From 2022 onward, as with other GLP-1 products, there were temporary supply shortages (please check for current information).</w:t>
      </w:r>
    </w:p>
    <w:p>
      <w:pPr>
        <w:numPr>
          <w:ilvl w:val="0"/>
          <w:numId w:val="1052"/>
        </w:numPr>
        <w:pStyle w:val="Compact"/>
      </w:pPr>
      <w:r>
        <w:rPr>
          <w:bCs/>
          <w:b/>
        </w:rPr>
        <w:t xml:space="preserve">USA:</w:t>
      </w:r>
      <w:r>
        <w:t xml:space="preserve"> </w:t>
      </w:r>
      <w:r>
        <w:t xml:space="preserve">approved for type 2 diabetes from age 10 and for reducing cardiovascular risk.</w:t>
      </w:r>
    </w:p>
    <w:p>
      <w:pPr>
        <w:numPr>
          <w:ilvl w:val="0"/>
          <w:numId w:val="1052"/>
        </w:numPr>
        <w:pStyle w:val="Compact"/>
      </w:pPr>
      <w:r>
        <w:rPr>
          <w:bCs/>
          <w:b/>
        </w:rPr>
        <w:t xml:space="preserve">Generics:</w:t>
      </w:r>
      <w:r>
        <w:t xml:space="preserve"> </w:t>
      </w:r>
      <w:r>
        <w:t xml:space="preserve">Since dulaglutide is a recombinantly produced fusion protein, copycat products would be biosimilars with a more complex approval process than for liraglutide or semaglutide. At the time of going to press, to the best of our knowledge no biosimilar is on the market in the EU (please check for current information).</w:t>
      </w:r>
    </w:p>
    <w:p>
      <w:pPr>
        <w:numPr>
          <w:ilvl w:val="0"/>
          <w:numId w:val="1052"/>
        </w:numPr>
        <w:pStyle w:val="Compact"/>
      </w:pPr>
      <w:r>
        <w:rPr>
          <w:bCs/>
          <w:b/>
        </w:rPr>
        <w:t xml:space="preserve">Sport (WADA):</w:t>
      </w:r>
      <w:r>
        <w:t xml:space="preserve"> </w:t>
      </w:r>
      <w:r>
        <w:t xml:space="preserve">not listed (status as of 2026; please check for current information).</w:t>
      </w:r>
    </w:p>
    <w:p>
      <w:pPr>
        <w:numPr>
          <w:ilvl w:val="0"/>
          <w:numId w:val="1052"/>
        </w:numPr>
        <w:pStyle w:val="Compact"/>
      </w:pPr>
      <w:r>
        <w:rPr>
          <w:bCs/>
          <w:b/>
        </w:rPr>
        <w:t xml:space="preserve">Gray market:</w:t>
      </w:r>
      <w:r>
        <w:t xml:space="preserve"> </w:t>
      </w:r>
      <w:r>
        <w:t xml:space="preserve">Dulaglutide plays practically no role on the gray market because a large fusion protein cannot be produced synthetically like small peptides.</w:t>
      </w:r>
    </w:p>
    <w:bookmarkEnd w:id="393"/>
    <w:bookmarkStart w:id="400" w:name="ongoing-studies-and-outlook-2"/>
    <w:p>
      <w:pPr>
        <w:pStyle w:val="Heading3"/>
      </w:pPr>
      <w:r>
        <w:t xml:space="preserve">Ongoing studies and outlook</w:t>
      </w:r>
    </w:p>
    <w:p>
      <w:pPr>
        <w:pStyle w:val="FirstParagraph"/>
      </w:pPr>
      <w:r>
        <w:rPr>
          <w:bCs/>
          <w:b/>
        </w:rPr>
        <w:t xml:space="preserve">Established (registered studies):</w:t>
      </w:r>
    </w:p>
    <w:p>
      <w:pPr>
        <w:numPr>
          <w:ilvl w:val="0"/>
          <w:numId w:val="1053"/>
        </w:numPr>
        <w:pStyle w:val="Compact"/>
      </w:pPr>
      <w:r>
        <w:rPr>
          <w:bCs/>
          <w:b/>
        </w:rPr>
        <w:t xml:space="preserve">Children and adolescents:</w:t>
      </w:r>
      <w:r>
        <w:t xml:space="preserve"> </w:t>
      </w:r>
      <w:r>
        <w:t xml:space="preserve">Lilly is testing the higher doses of 3.0 and 4.5 mg in adolescents with type 2 diabetes</w:t>
      </w:r>
      <w:r>
        <w:rPr>
          <w:rStyle w:val="FootnoteReference"/>
        </w:rPr>
        <w:footnoteReference w:id="394"/>
      </w:r>
      <w:r>
        <w:t xml:space="preserve"> </w:t>
      </w:r>
      <w:r>
        <w:t xml:space="preserve">and comparing the tablet orforglipron with dulaglutide in this age group</w:t>
      </w:r>
      <w:r>
        <w:rPr>
          <w:rStyle w:val="FootnoteReference"/>
        </w:rPr>
        <w:footnoteReference w:id="395"/>
      </w:r>
      <w:r>
        <w:t xml:space="preserve">.</w:t>
      </w:r>
    </w:p>
    <w:p>
      <w:pPr>
        <w:numPr>
          <w:ilvl w:val="0"/>
          <w:numId w:val="1053"/>
        </w:numPr>
        <w:pStyle w:val="Compact"/>
      </w:pPr>
      <w:r>
        <w:rPr>
          <w:bCs/>
          <w:b/>
        </w:rPr>
        <w:t xml:space="preserve">Blood vessels and surgery:</w:t>
      </w:r>
      <w:r>
        <w:t xml:space="preserve"> </w:t>
      </w:r>
      <w:r>
        <w:t xml:space="preserve">One study is investigating dulaglutide in severe narrowing of the cerebral arteries</w:t>
      </w:r>
      <w:r>
        <w:rPr>
          <w:rStyle w:val="FootnoteReference"/>
        </w:rPr>
        <w:footnoteReference w:id="396"/>
      </w:r>
      <w:r>
        <w:t xml:space="preserve">, another whether it reduces myocardial injury after noncardiac surgery</w:t>
      </w:r>
      <w:r>
        <w:rPr>
          <w:rStyle w:val="FootnoteReference"/>
        </w:rPr>
        <w:footnoteReference w:id="397"/>
      </w:r>
      <w:r>
        <w:t xml:space="preserve">.</w:t>
      </w:r>
    </w:p>
    <w:p>
      <w:pPr>
        <w:numPr>
          <w:ilvl w:val="0"/>
          <w:numId w:val="1053"/>
        </w:numPr>
        <w:pStyle w:val="Compact"/>
      </w:pPr>
      <w:r>
        <w:rPr>
          <w:bCs/>
          <w:b/>
        </w:rPr>
        <w:t xml:space="preserve">Cystic fibrosis:</w:t>
      </w:r>
      <w:r>
        <w:t xml:space="preserve"> </w:t>
      </w:r>
      <w:r>
        <w:t xml:space="preserve">A small phase 2 trial is investigating dulaglutide in impaired glucose metabolism resulting from the disease</w:t>
      </w:r>
      <w:r>
        <w:rPr>
          <w:rStyle w:val="FootnoteReference"/>
        </w:rPr>
        <w:footnoteReference w:id="398"/>
      </w:r>
      <w:r>
        <w:t xml:space="preserve">.</w:t>
      </w:r>
    </w:p>
    <w:p>
      <w:pPr>
        <w:numPr>
          <w:ilvl w:val="0"/>
          <w:numId w:val="1053"/>
        </w:numPr>
        <w:pStyle w:val="Compact"/>
      </w:pPr>
      <w:r>
        <w:rPr>
          <w:bCs/>
          <w:b/>
        </w:rPr>
        <w:t xml:space="preserve">As a comparator:</w:t>
      </w:r>
      <w:r>
        <w:t xml:space="preserve"> </w:t>
      </w:r>
      <w:r>
        <w:t xml:space="preserve">Numerous new drugs are being tested against dulaglutide in phase 3 trials, including the exendin-4 fusion protein JY09</w:t>
      </w:r>
      <w:r>
        <w:rPr>
          <w:rStyle w:val="FootnoteReference"/>
        </w:rPr>
        <w:footnoteReference w:id="399"/>
      </w:r>
      <w:r>
        <w:t xml:space="preserve">.</w:t>
      </w:r>
    </w:p>
    <w:p>
      <w:pPr>
        <w:pStyle w:val="FirstParagraph"/>
      </w:pPr>
      <w:r>
        <w:rPr>
          <w:bCs/>
          <w:b/>
        </w:rPr>
        <w:t xml:space="preserve">Assessment:</w:t>
      </w:r>
      <w:r>
        <w:t xml:space="preserve"> </w:t>
      </w:r>
      <w:r>
        <w:t xml:space="preserve">Dulaglutide is a solid, well-studied drug with demonstrated cardiovascular benefit, but it is surpassed by semaglutide and tirzepatide in terms of blood sugar and weight. Its role is likely to shift increasingly to that of a comparator standard in trials. Since Lilly offers its own successors in tirzepatide and orforglipron, further development of dulaglutide for new indications is unlikely.</w:t>
      </w:r>
    </w:p>
    <w:bookmarkEnd w:id="400"/>
    <w:bookmarkStart w:id="401" w:name="conclusion-2"/>
    <w:p>
      <w:pPr>
        <w:pStyle w:val="Heading3"/>
      </w:pPr>
      <w:r>
        <w:t xml:space="preserve">Conclusion</w:t>
      </w:r>
    </w:p>
    <w:p>
      <w:pPr>
        <w:pStyle w:val="FirstParagraph"/>
      </w:pPr>
      <w:r>
        <w:t xml:space="preserve">Dulaglutide is a weekly injected GLP-1 fusion protein that was tested in the AWARD program against almost all common diabetes drugs. It lowered long-term blood sugar about as much as liraglutide and more than exenatide, sitagliptin, or metformin, but was inferior to semaglutide in SUSTAIN 7, especially in terms of weight. In REWIND, with 9,901 participants, many of them without known cardiovascular disease, it reduced major cardiovascular events by 12%. The side effects correspond to those of the class; antibodies are rare. It is not approved for weight reduction, and treatment belongs in the hands of a physician.</w:t>
      </w:r>
    </w:p>
    <w:bookmarkEnd w:id="401"/>
    <w:bookmarkEnd w:id="402"/>
    <w:bookmarkStart w:id="477" w:name="semaglutide"/>
    <w:p>
      <w:pPr>
        <w:pStyle w:val="Heading2"/>
      </w:pPr>
      <w:r>
        <w:t xml:space="preserve">Semaglutide</w:t>
      </w:r>
    </w:p>
    <w:bookmarkStart w:id="404" w:name="profile-3"/>
    <w:p>
      <w:pPr>
        <w:pStyle w:val="Heading3"/>
      </w:pPr>
      <w:r>
        <w:t xml:space="preserve">Profile</w:t>
      </w:r>
    </w:p>
    <w:p>
      <w:pPr>
        <w:numPr>
          <w:ilvl w:val="0"/>
          <w:numId w:val="1054"/>
        </w:numPr>
        <w:pStyle w:val="Compact"/>
      </w:pPr>
      <w:r>
        <w:rPr>
          <w:bCs/>
          <w:b/>
        </w:rPr>
        <w:t xml:space="preserve">Type/structure:</w:t>
      </w:r>
      <w:r>
        <w:t xml:space="preserve"> </w:t>
      </w:r>
      <w:r>
        <w:t xml:space="preserve">Modified human GLP-1 of 31 amino acids. Compared with the body’s own hormone, two amino acids have been exchanged; at a third position, a fatty acid chain is attached via a linker, which binds the molecule strongly to the blood protein albumin</w:t>
      </w:r>
      <w:r>
        <w:rPr>
          <w:rStyle w:val="FootnoteReference"/>
        </w:rPr>
        <w:footnoteReference w:id="403"/>
      </w:r>
      <w:r>
        <w:t xml:space="preserve">.</w:t>
      </w:r>
    </w:p>
    <w:p>
      <w:pPr>
        <w:numPr>
          <w:ilvl w:val="0"/>
          <w:numId w:val="1054"/>
        </w:numPr>
        <w:pStyle w:val="Compact"/>
      </w:pPr>
      <w:r>
        <w:rPr>
          <w:bCs/>
          <w:b/>
        </w:rPr>
        <w:t xml:space="preserve">Origin:</w:t>
      </w:r>
      <w:r>
        <w:t xml:space="preserve"> </w:t>
      </w:r>
      <w:r>
        <w:t xml:space="preserve">developed by Novo Nordisk as a further development of liraglutide.</w:t>
      </w:r>
    </w:p>
    <w:p>
      <w:pPr>
        <w:numPr>
          <w:ilvl w:val="0"/>
          <w:numId w:val="1054"/>
        </w:numPr>
        <w:pStyle w:val="Compact"/>
      </w:pPr>
      <w:r>
        <w:rPr>
          <w:bCs/>
          <w:b/>
        </w:rPr>
        <w:t xml:space="preserve">Mechanism of action:</w:t>
      </w:r>
      <w:r>
        <w:t xml:space="preserve"> </w:t>
      </w:r>
      <w:r>
        <w:t xml:space="preserve">GLP-1 receptor agonist with a very long duration of action – one injection per week or one tablet per day.</w:t>
      </w:r>
    </w:p>
    <w:p>
      <w:pPr>
        <w:numPr>
          <w:ilvl w:val="0"/>
          <w:numId w:val="1054"/>
        </w:numPr>
        <w:pStyle w:val="Compact"/>
      </w:pPr>
      <w:r>
        <w:rPr>
          <w:bCs/>
          <w:b/>
        </w:rPr>
        <w:t xml:space="preserve">Products:</w:t>
      </w:r>
      <w:r>
        <w:t xml:space="preserve"> </w:t>
      </w:r>
      <w:r>
        <w:t xml:space="preserve">Ozempic (injection, type 2 diabetes), Wegovy (injection, weight management and cardiovascular risk reduction), Rybelsus (tablet, type 2 diabetes). In the USA, a Wegovy tablet for weight management has also been approved since late 2025 (please check for current information).</w:t>
      </w:r>
    </w:p>
    <w:p>
      <w:pPr>
        <w:numPr>
          <w:ilvl w:val="0"/>
          <w:numId w:val="1054"/>
        </w:numPr>
        <w:pStyle w:val="Compact"/>
      </w:pPr>
      <w:r>
        <w:rPr>
          <w:bCs/>
          <w:b/>
        </w:rPr>
        <w:t xml:space="preserve">EU approval:</w:t>
      </w:r>
      <w:r>
        <w:t xml:space="preserve"> </w:t>
      </w:r>
      <w:r>
        <w:t xml:space="preserve">yes – type 2 diabetes (injection since 2018, tablet since 2020), weight management (since 2022, also for adolescents aged 12 and older).</w:t>
      </w:r>
    </w:p>
    <w:p>
      <w:pPr>
        <w:numPr>
          <w:ilvl w:val="0"/>
          <w:numId w:val="1054"/>
        </w:numPr>
        <w:pStyle w:val="Compact"/>
      </w:pPr>
      <w:r>
        <w:rPr>
          <w:bCs/>
          <w:b/>
        </w:rPr>
        <w:t xml:space="preserve">US approval:</w:t>
      </w:r>
      <w:r>
        <w:t xml:space="preserve"> </w:t>
      </w:r>
      <w:r>
        <w:t xml:space="preserve">yes – type 2 diabetes, weight management, reduction of cardiovascular risk in overweight with cardiovascular disease, kidney protection in type 2 diabetes and chronic kidney disease, and fatty liver inflammation (MASH) with fibrosis.</w:t>
      </w:r>
    </w:p>
    <w:p>
      <w:pPr>
        <w:numPr>
          <w:ilvl w:val="0"/>
          <w:numId w:val="1054"/>
        </w:numPr>
        <w:pStyle w:val="Compact"/>
      </w:pPr>
      <w:r>
        <w:rPr>
          <w:bCs/>
          <w:b/>
        </w:rPr>
        <w:t xml:space="preserve">WADA:</w:t>
      </w:r>
      <w:r>
        <w:t xml:space="preserve"> </w:t>
      </w:r>
      <w:r>
        <w:t xml:space="preserve">not listed.</w:t>
      </w:r>
    </w:p>
    <w:p>
      <w:pPr>
        <w:numPr>
          <w:ilvl w:val="0"/>
          <w:numId w:val="1054"/>
        </w:numPr>
        <w:pStyle w:val="Compact"/>
      </w:pPr>
      <w:r>
        <w:rPr>
          <w:bCs/>
          <w:b/>
        </w:rPr>
        <w:t xml:space="preserve">Evidence level:</w:t>
      </w:r>
      <w:r>
        <w:t xml:space="preserve"> </w:t>
      </w:r>
      <w:r>
        <w:rPr>
          <w:bCs/>
          <w:b/>
        </w:rPr>
        <w:t xml:space="preserve">A</w:t>
      </w:r>
      <w:r>
        <w:t xml:space="preserve"> </w:t>
      </w:r>
      <w:r>
        <w:t xml:space="preserve">– four large approval programs (SUSTAIN, PIONEER, STEP, OASIS), several outcomes trials with a combined total of more than 40,000 participants.</w:t>
      </w:r>
    </w:p>
    <w:bookmarkEnd w:id="404"/>
    <w:bookmarkStart w:id="407" w:name="how-it-is-supposed-to-work-3"/>
    <w:p>
      <w:pPr>
        <w:pStyle w:val="Heading3"/>
      </w:pPr>
      <w:r>
        <w:t xml:space="preserve">How it is supposed to work</w:t>
      </w:r>
    </w:p>
    <w:p>
      <w:pPr>
        <w:pStyle w:val="FirstParagraph"/>
      </w:pPr>
      <w:r>
        <w:t xml:space="preserve">Semaglutide acts like the gut hormone GLP-1: it enhances glucose-dependent insulin release, inhibits glucagon, which raises blood sugar, slows gastric emptying, and dampens hunger and food cravings in the brain. The basic mechanism of the class is explained in the chapter Exenatide.</w:t>
      </w:r>
    </w:p>
    <w:p>
      <w:pPr>
        <w:pStyle w:val="BodyText"/>
      </w:pPr>
      <w:r>
        <w:t xml:space="preserve">What is new about semaglutide is its durability. The developers started from liraglutide and changed two things</w:t>
      </w:r>
      <w:r>
        <w:rPr>
          <w:rStyle w:val="FootnoteReference"/>
        </w:rPr>
        <w:footnoteReference w:id="405"/>
      </w:r>
      <w:r>
        <w:t xml:space="preserve">: an amino acid exchange at position 8 makes the molecule completely insensitive to the degrading enzyme DPP-4. And a longer fatty acid chain with a different linker binds much more tightly to albumin. As a result, semaglutide is released and excreted only slowly. In minipigs, the half-life after intravenous administration was 46.1 hours; in humans it is even longer and allows one injection per week.</w:t>
      </w:r>
    </w:p>
    <w:p>
      <w:pPr>
        <w:pStyle w:val="BodyText"/>
      </w:pPr>
      <w:r>
        <w:t xml:space="preserve">For weight loss, effects in the brain are decisive above all. Semaglutide reduces food intake, feelings of hunger, and the desire for particularly fatty and sugary foods. A meaningfully higher energy expenditure has not been demonstrated.</w:t>
      </w:r>
    </w:p>
    <w:p>
      <w:pPr>
        <w:pStyle w:val="BodyText"/>
      </w:pPr>
      <w:r>
        <w:rPr>
          <w:bCs/>
          <w:b/>
        </w:rPr>
        <w:t xml:space="preserve">The tablet:</w:t>
      </w:r>
      <w:r>
        <w:t xml:space="preserve"> </w:t>
      </w:r>
      <w:r>
        <w:t xml:space="preserve">Peptides are normally digested in the stomach and hardly absorbed. For Rybelsus, semaglutide is combined with the excipient SNAC. This buffers stomach acid directly at the tablet surface, thereby protecting against breakdown, and briefly facilitates absorption through the gastric mucosa – in studies in humans and dogs exclusively in the stomach, not in the intestine</w:t>
      </w:r>
      <w:r>
        <w:rPr>
          <w:rStyle w:val="FootnoteReference"/>
        </w:rPr>
        <w:footnoteReference w:id="406"/>
      </w:r>
      <w:r>
        <w:t xml:space="preserve">. Even so, only a very small fraction of the drug reaches the blood. The tablet therefore contains many times the injection dose and must be taken on an empty stomach with a little water; the prescribing information sets out the details.</w:t>
      </w:r>
    </w:p>
    <w:bookmarkEnd w:id="407"/>
    <w:bookmarkStart w:id="448" w:name="human-studies-3"/>
    <w:p>
      <w:pPr>
        <w:pStyle w:val="Heading3"/>
      </w:pPr>
      <w:r>
        <w:t xml:space="preserve">Human studies</w:t>
      </w:r>
    </w:p>
    <w:p>
      <w:pPr>
        <w:pStyle w:val="FirstParagraph"/>
      </w:pPr>
      <w:r>
        <w:t xml:space="preserve">Semaglutide is currently the most extensively studied drug in its class. The PubMed query evaluated for this book (search term</w:t>
      </w:r>
      <w:r>
        <w:t xml:space="preserve"> </w:t>
      </w:r>
      <w:r>
        <w:t xml:space="preserve">“</w:t>
      </w:r>
      <w:r>
        <w:t xml:space="preserve">semaglutide</w:t>
      </w:r>
      <w:r>
        <w:t xml:space="preserve">”</w:t>
      </w:r>
      <w:r>
        <w:t xml:space="preserve"> </w:t>
      </w:r>
      <w:r>
        <w:t xml:space="preserve">in title or abstract, query date October 2026) yielded 342 human studies. This number underestimates the actual volume of research, because many analyses of large trials are published under the trial’s name. ClinicalTrials.gov lists 793 registry entries – more than for any other peptide in this book.</w:t>
      </w:r>
    </w:p>
    <w:p>
      <w:pPr>
        <w:pStyle w:val="BodyText"/>
      </w:pPr>
      <w:r>
        <w:t xml:space="preserve">The studies can be divided into four programs: SUSTAIN (injection in type 2 diabetes), PIONEER (tablet in type 2 diabetes), STEP (injection in obesity), and OASIS (tablet in obesity). In addition, there are large outcomes trials on the heart (SUSTAIN 6, PIONEER 6, SOUL, SELECT), kidneys (FLOW), liver (ESSENCE), heart failure, joints, and the brain (evoke).</w:t>
      </w:r>
    </w:p>
    <w:bookmarkStart w:id="411" w:name="X76e6b89d1cb5f14f3f4ebd5635d55bbe176cbd9"/>
    <w:p>
      <w:pPr>
        <w:pStyle w:val="Heading4"/>
      </w:pPr>
      <w:r>
        <w:t xml:space="preserve">Type 2 Diabetes with the Injection: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SUSTAIN 1 (Sorli 2017), PMID 28110911</w:t>
            </w:r>
          </w:p>
        </w:tc>
        <w:tc>
          <w:tcPr/>
          <w:p>
            <w:pPr>
              <w:pStyle w:val="Compact"/>
              <w:jc w:val="left"/>
            </w:pPr>
            <w:r>
              <w:t xml:space="preserve">388 people, monotherapy vs. placebo</w:t>
            </w:r>
          </w:p>
        </w:tc>
        <w:tc>
          <w:tcPr/>
          <w:p>
            <w:pPr>
              <w:pStyle w:val="Compact"/>
              <w:jc w:val="left"/>
            </w:pPr>
            <w:r>
              <w:t xml:space="preserve">30 weeks</w:t>
            </w:r>
          </w:p>
        </w:tc>
        <w:tc>
          <w:tcPr/>
          <w:p>
            <w:pPr>
              <w:pStyle w:val="Compact"/>
              <w:jc w:val="left"/>
            </w:pPr>
            <w:r>
              <w:t xml:space="preserve">HbA1c −1.55 (1.0 mg) vs. −0.02 percentage points; weight −4.53 vs. −0.98 kg</w:t>
            </w:r>
          </w:p>
        </w:tc>
      </w:tr>
      <w:tr>
        <w:tc>
          <w:tcPr/>
          <w:p>
            <w:pPr>
              <w:pStyle w:val="Compact"/>
              <w:jc w:val="left"/>
            </w:pPr>
            <w:r>
              <w:t xml:space="preserve">SUSTAIN FORTE (Frías 2021), PMID 34293304</w:t>
            </w:r>
          </w:p>
        </w:tc>
        <w:tc>
          <w:tcPr/>
          <w:p>
            <w:pPr>
              <w:pStyle w:val="Compact"/>
              <w:jc w:val="left"/>
            </w:pPr>
            <w:r>
              <w:t xml:space="preserve">961 people; 2.0 mg vs. 1.0 mg</w:t>
            </w:r>
          </w:p>
        </w:tc>
        <w:tc>
          <w:tcPr/>
          <w:p>
            <w:pPr>
              <w:pStyle w:val="Compact"/>
              <w:jc w:val="left"/>
            </w:pPr>
            <w:r>
              <w:t xml:space="preserve">40 weeks</w:t>
            </w:r>
          </w:p>
        </w:tc>
        <w:tc>
          <w:tcPr/>
          <w:p>
            <w:pPr>
              <w:pStyle w:val="Compact"/>
              <w:jc w:val="left"/>
            </w:pPr>
            <w:r>
              <w:t xml:space="preserve">HbA1c −2.2 vs. −1.9; weight −6.9 vs. −6.0 kg</w:t>
            </w:r>
          </w:p>
        </w:tc>
      </w:tr>
      <w:tr>
        <w:tc>
          <w:tcPr/>
          <w:p>
            <w:pPr>
              <w:pStyle w:val="Compact"/>
              <w:jc w:val="left"/>
            </w:pPr>
            <w:r>
              <w:t xml:space="preserve">SUSTAIN 6 (Marso 2016), PMID 27633186</w:t>
            </w:r>
          </w:p>
        </w:tc>
        <w:tc>
          <w:tcPr/>
          <w:p>
            <w:pPr>
              <w:pStyle w:val="Compact"/>
              <w:jc w:val="left"/>
            </w:pPr>
            <w:r>
              <w:t xml:space="preserve">3,297 people with high cardiovascular risk, vs. placebo</w:t>
            </w:r>
          </w:p>
        </w:tc>
        <w:tc>
          <w:tcPr/>
          <w:p>
            <w:pPr>
              <w:pStyle w:val="Compact"/>
              <w:jc w:val="left"/>
            </w:pPr>
            <w:r>
              <w:t xml:space="preserve">104 weeks</w:t>
            </w:r>
          </w:p>
        </w:tc>
        <w:tc>
          <w:tcPr/>
          <w:p>
            <w:pPr>
              <w:pStyle w:val="Compact"/>
              <w:jc w:val="left"/>
            </w:pPr>
            <w:r>
              <w:t xml:space="preserve">Major cardiovascular events 6.6% vs. 8.9%; HR 0.74</w:t>
            </w:r>
          </w:p>
        </w:tc>
      </w:tr>
    </w:tbl>
    <w:p>
      <w:pPr>
        <w:pStyle w:val="BodyText"/>
      </w:pPr>
      <w:r>
        <w:t xml:space="preserve">The monotherapy trial SUSTAIN 1</w:t>
      </w:r>
      <w:r>
        <w:rPr>
          <w:rStyle w:val="FootnoteReference"/>
        </w:rPr>
        <w:footnoteReference w:id="408"/>
      </w:r>
      <w:r>
        <w:t xml:space="preserve"> </w:t>
      </w:r>
      <w:r>
        <w:t xml:space="preserve">already showed that semaglutide lowers long-term blood sugar (HbA1c) by about 1.5 percentage points. In later trials with participants who had higher baseline values, the reduction was greater; with the 2.0 mg dose it reached 2.2 percentage points in SUSTAIN FORTE</w:t>
      </w:r>
      <w:r>
        <w:rPr>
          <w:rStyle w:val="FootnoteReference"/>
        </w:rPr>
        <w:footnoteReference w:id="409"/>
      </w:r>
      <w:r>
        <w:t xml:space="preserve">.</w:t>
      </w:r>
    </w:p>
    <w:p>
      <w:pPr>
        <w:pStyle w:val="BodyText"/>
      </w:pPr>
      <w:r>
        <w:rPr>
          <w:bCs/>
          <w:b/>
        </w:rPr>
        <w:t xml:space="preserve">SUSTAIN 6</w:t>
      </w:r>
      <w:r>
        <w:rPr>
          <w:rStyle w:val="FootnoteReference"/>
        </w:rPr>
        <w:footnoteReference w:id="410"/>
      </w:r>
      <w:r>
        <w:t xml:space="preserve"> </w:t>
      </w:r>
      <w:r>
        <w:t xml:space="preserve">was designed as a safety trial but showed a clear advantage: death from cardiovascular causes, nonfatal myocardial infarction, or stroke occurred in 108 of 1,648 people on semaglutide (6.6%) versus 146 of 1,649 on placebo (8.9%). Strokes were significantly less frequent (1.6% vs. 2.7%). At the same time, a warning signal emerged: complications of diabetic retinal disease (retinopathy) – such as vitreous hemorrhage or findings requiring treatment – were more frequent on semaglutide (HR 1.76). This signal is discussed in the section on risks.</w:t>
      </w:r>
    </w:p>
    <w:bookmarkEnd w:id="411"/>
    <w:bookmarkStart w:id="417" w:name="Xe66a4e446d1e1dc02d7a8bcf1ed140f6eb64cf6"/>
    <w:p>
      <w:pPr>
        <w:pStyle w:val="Heading4"/>
      </w:pPr>
      <w:r>
        <w:t xml:space="preserve">Head-to-Head Comparisons Within the GLP-1 Class</w:t>
      </w:r>
    </w:p>
    <w:p>
      <w:pPr>
        <w:pStyle w:val="FirstParagraph"/>
      </w:pPr>
      <w:r>
        <w:t xml:space="preserve">Semaglutide has competed in direct comparison trials against all older GLP-1 receptor agonists and has outperformed each of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(semaglutide vs. comparator)</w:t>
            </w:r>
          </w:p>
        </w:tc>
      </w:tr>
      <w:tr>
        <w:tc>
          <w:tcPr/>
          <w:p>
            <w:pPr>
              <w:pStyle w:val="Compact"/>
              <w:jc w:val="left"/>
            </w:pPr>
            <w:r>
              <w:t xml:space="preserve">SUSTAIN 3 (Ahmann 2018), PMID 29246950</w:t>
            </w:r>
          </w:p>
        </w:tc>
        <w:tc>
          <w:tcPr/>
          <w:p>
            <w:pPr>
              <w:pStyle w:val="Compact"/>
              <w:jc w:val="left"/>
            </w:pPr>
            <w:r>
              <w:t xml:space="preserve">vs. exenatide weekly, open-label</w:t>
            </w:r>
          </w:p>
        </w:tc>
        <w:tc>
          <w:tcPr/>
          <w:p>
            <w:pPr>
              <w:pStyle w:val="Compact"/>
              <w:jc w:val="left"/>
            </w:pPr>
            <w:r>
              <w:t xml:space="preserve">56 weeks</w:t>
            </w:r>
          </w:p>
        </w:tc>
        <w:tc>
          <w:tcPr/>
          <w:p>
            <w:pPr>
              <w:pStyle w:val="Compact"/>
              <w:jc w:val="left"/>
            </w:pPr>
            <w:r>
              <w:t xml:space="preserve">HbA1c −1.5 vs. −0.9; weight −5.6 vs. −1.9 kg</w:t>
            </w:r>
          </w:p>
        </w:tc>
      </w:tr>
      <w:tr>
        <w:tc>
          <w:tcPr/>
          <w:p>
            <w:pPr>
              <w:pStyle w:val="Compact"/>
              <w:jc w:val="left"/>
            </w:pPr>
            <w:r>
              <w:t xml:space="preserve">SUSTAIN 7 (Pratley 2018), PMID 29397376</w:t>
            </w:r>
          </w:p>
        </w:tc>
        <w:tc>
          <w:tcPr/>
          <w:p>
            <w:pPr>
              <w:pStyle w:val="Compact"/>
              <w:jc w:val="left"/>
            </w:pPr>
            <w:r>
              <w:t xml:space="preserve">1,201 people; 0.5/1.0 mg vs. dulaglutide 0.75/1.5 mg</w:t>
            </w:r>
          </w:p>
        </w:tc>
        <w:tc>
          <w:tcPr/>
          <w:p>
            <w:pPr>
              <w:pStyle w:val="Compact"/>
              <w:jc w:val="left"/>
            </w:pPr>
            <w:r>
              <w:t xml:space="preserve">40 weeks</w:t>
            </w:r>
          </w:p>
        </w:tc>
        <w:tc>
          <w:tcPr/>
          <w:p>
            <w:pPr>
              <w:pStyle w:val="Compact"/>
              <w:jc w:val="left"/>
            </w:pPr>
            <w:r>
              <w:t xml:space="preserve">HbA1c −1.8 vs. −1.4; weight −6.5 vs. −3.0 kg (high doses)</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weeks</w:t>
            </w:r>
          </w:p>
        </w:tc>
        <w:tc>
          <w:tcPr/>
          <w:p>
            <w:pPr>
              <w:pStyle w:val="Compact"/>
              <w:jc w:val="left"/>
            </w:pPr>
            <w:r>
              <w:t xml:space="preserve">HbA1c −1.7 vs. −1.0; weight −5.8 vs. −1.9 kg</w:t>
            </w:r>
          </w:p>
        </w:tc>
      </w:tr>
      <w:tr>
        <w:tc>
          <w:tcPr/>
          <w:p>
            <w:pPr>
              <w:pStyle w:val="Compact"/>
              <w:jc w:val="left"/>
            </w:pPr>
            <w:r>
              <w:t xml:space="preserve">PIONEER 4 (Pratley 2019), PMID 31186120</w:t>
            </w:r>
          </w:p>
        </w:tc>
        <w:tc>
          <w:tcPr/>
          <w:p>
            <w:pPr>
              <w:pStyle w:val="Compact"/>
              <w:jc w:val="left"/>
            </w:pPr>
            <w:r>
              <w:t xml:space="preserve">711 people; tablet 14 mg vs. liraglutide injection 1.8 mg vs. placebo</w:t>
            </w:r>
          </w:p>
        </w:tc>
        <w:tc>
          <w:tcPr/>
          <w:p>
            <w:pPr>
              <w:pStyle w:val="Compact"/>
              <w:jc w:val="left"/>
            </w:pPr>
            <w:r>
              <w:t xml:space="preserve">52 weeks (main analysis after 26 weeks)</w:t>
            </w:r>
          </w:p>
        </w:tc>
        <w:tc>
          <w:tcPr/>
          <w:p>
            <w:pPr>
              <w:pStyle w:val="Compact"/>
              <w:jc w:val="left"/>
            </w:pPr>
            <w:r>
              <w:t xml:space="preserve">HbA1c −1.2 vs. −1.1 (noninferior); weight −4.4 vs. −3.1 kg</w:t>
            </w:r>
          </w:p>
        </w:tc>
      </w:tr>
      <w:tr>
        <w:tc>
          <w:tcPr/>
          <w:p>
            <w:pPr>
              <w:pStyle w:val="Compact"/>
              <w:jc w:val="left"/>
            </w:pPr>
            <w:r>
              <w:t xml:space="preserve">STEP 8 (Rubino 2022), PMID 35015037</w:t>
            </w:r>
          </w:p>
        </w:tc>
        <w:tc>
          <w:tcPr/>
          <w:p>
            <w:pPr>
              <w:pStyle w:val="Compact"/>
              <w:jc w:val="left"/>
            </w:pPr>
            <w:r>
              <w:t xml:space="preserve">338 people with obesity without diabetes; 2.4 mg vs. liraglutide 3.0 mg</w:t>
            </w:r>
          </w:p>
        </w:tc>
        <w:tc>
          <w:tcPr/>
          <w:p>
            <w:pPr>
              <w:pStyle w:val="Compact"/>
              <w:jc w:val="left"/>
            </w:pPr>
            <w:r>
              <w:t xml:space="preserve">68 weeks</w:t>
            </w:r>
          </w:p>
        </w:tc>
        <w:tc>
          <w:tcPr/>
          <w:p>
            <w:pPr>
              <w:pStyle w:val="Compact"/>
              <w:jc w:val="left"/>
            </w:pPr>
            <w:r>
              <w:t xml:space="preserve">Weight −15.8% vs. −6.4%</w:t>
            </w:r>
          </w:p>
        </w:tc>
      </w:tr>
    </w:tbl>
    <w:p>
      <w:pPr>
        <w:pStyle w:val="BodyText"/>
      </w:pPr>
      <w:r>
        <w:t xml:space="preserve">The differences in long-term blood sugar range from 0.1 to 0.7 percentage points in favor of semaglutide, and in weight from 1.2 to about 4 kg in diabetes. The gap was greatest in obesity: in STEP 8</w:t>
      </w:r>
      <w:r>
        <w:rPr>
          <w:rStyle w:val="FootnoteReference"/>
        </w:rPr>
        <w:footnoteReference w:id="412"/>
      </w:r>
      <w:r>
        <w:t xml:space="preserve">, 38.5% on semaglutide lost at least 20% of their weight, compared with 6.0% on liraglutide. In some comparisons, the price is a somewhat higher rate of gastrointestinal complaints: in SUSTAIN 10, 11.4% versus 6.6% discontinued treatment because of side effects</w:t>
      </w:r>
      <w:r>
        <w:rPr>
          <w:rStyle w:val="FootnoteReference"/>
        </w:rPr>
        <w:footnoteReference w:id="413"/>
      </w:r>
      <w:r>
        <w:t xml:space="preserve">. In SUSTAIN 3, on the other hand, injection-site reactions were far more frequent on exenatide (22.0% vs. 1.2%)</w:t>
      </w:r>
      <w:r>
        <w:rPr>
          <w:rStyle w:val="FootnoteReference"/>
        </w:rPr>
        <w:footnoteReference w:id="414"/>
      </w:r>
      <w:r>
        <w:t xml:space="preserve">.</w:t>
      </w:r>
    </w:p>
    <w:p>
      <w:pPr>
        <w:pStyle w:val="BodyText"/>
      </w:pPr>
      <w:r>
        <w:t xml:space="preserve">PIONEER 4</w:t>
      </w:r>
      <w:r>
        <w:rPr>
          <w:rStyle w:val="FootnoteReference"/>
        </w:rPr>
        <w:footnoteReference w:id="415"/>
      </w:r>
      <w:r>
        <w:t xml:space="preserve"> </w:t>
      </w:r>
      <w:r>
        <w:t xml:space="preserve">is noteworthy because a tablet competed against an injection: for HbA1c, the semaglutide tablet was not worse than the liraglutide injection, and for weight it was superior by 1.2 kg.</w:t>
      </w:r>
    </w:p>
    <w:p>
      <w:pPr>
        <w:pStyle w:val="BodyText"/>
      </w:pPr>
      <w:r>
        <w:t xml:space="preserve">Outside the GLP-1 class, semaglutide has itself been surpassed: in a direct comparison with the dual GIP/GLP-1 agonist tirzepatide in 751 people with obesity, weight loss after 72 weeks was −13.7% versus −20.2%</w:t>
      </w:r>
      <w:r>
        <w:rPr>
          <w:rStyle w:val="FootnoteReference"/>
        </w:rPr>
        <w:footnoteReference w:id="416"/>
      </w:r>
      <w:r>
        <w:t xml:space="preserve">. Details can be found in the chapter Tirzepatide.</w:t>
      </w:r>
    </w:p>
    <w:bookmarkEnd w:id="417"/>
    <w:bookmarkStart w:id="421" w:name="X79f6a0995208da223b6ba7e28e103c62bf80180"/>
    <w:p>
      <w:pPr>
        <w:pStyle w:val="Heading4"/>
      </w:pPr>
      <w:r>
        <w:t xml:space="preserve">Type 2 Diabetes with the Tablet: PIONEER and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PIONEER 1 (Aroda 2019), PMID 31186300</w:t>
            </w:r>
          </w:p>
        </w:tc>
        <w:tc>
          <w:tcPr/>
          <w:p>
            <w:pPr>
              <w:pStyle w:val="Compact"/>
              <w:jc w:val="left"/>
            </w:pPr>
            <w:r>
              <w:t xml:space="preserve">703 people, monotherapy; 3/7/14 mg vs. placebo</w:t>
            </w:r>
          </w:p>
        </w:tc>
        <w:tc>
          <w:tcPr/>
          <w:p>
            <w:pPr>
              <w:pStyle w:val="Compact"/>
              <w:jc w:val="left"/>
            </w:pPr>
            <w:r>
              <w:t xml:space="preserve">26 weeks</w:t>
            </w:r>
          </w:p>
        </w:tc>
        <w:tc>
          <w:tcPr/>
          <w:p>
            <w:pPr>
              <w:pStyle w:val="Compact"/>
              <w:jc w:val="left"/>
            </w:pPr>
            <w:r>
              <w:t xml:space="preserve">HbA1c −1.1 percentage points (14 mg) vs. placebo; weight −2.3 kg vs. placebo</w:t>
            </w:r>
          </w:p>
        </w:tc>
      </w:tr>
      <w:tr>
        <w:tc>
          <w:tcPr/>
          <w:p>
            <w:pPr>
              <w:pStyle w:val="Compact"/>
              <w:jc w:val="left"/>
            </w:pPr>
            <w:r>
              <w:t xml:space="preserve">PIONEER 6 (Husain 2019), PMID 31185157</w:t>
            </w:r>
          </w:p>
        </w:tc>
        <w:tc>
          <w:tcPr/>
          <w:p>
            <w:pPr>
              <w:pStyle w:val="Compact"/>
              <w:jc w:val="left"/>
            </w:pPr>
            <w:r>
              <w:t xml:space="preserve">3,183 people at high risk; vs. placebo</w:t>
            </w:r>
          </w:p>
        </w:tc>
        <w:tc>
          <w:tcPr/>
          <w:p>
            <w:pPr>
              <w:pStyle w:val="Compact"/>
              <w:jc w:val="left"/>
            </w:pPr>
            <w:r>
              <w:t xml:space="preserve">median 15.9 months</w:t>
            </w:r>
          </w:p>
        </w:tc>
        <w:tc>
          <w:tcPr/>
          <w:p>
            <w:pPr>
              <w:pStyle w:val="Compact"/>
              <w:jc w:val="left"/>
            </w:pPr>
            <w:r>
              <w:t xml:space="preserve">Events 3.8% vs. 4.8%; HR 0.79, noninferior</w:t>
            </w:r>
          </w:p>
        </w:tc>
      </w:tr>
      <w:tr>
        <w:tc>
          <w:tcPr/>
          <w:p>
            <w:pPr>
              <w:pStyle w:val="Compact"/>
              <w:jc w:val="left"/>
            </w:pPr>
            <w:r>
              <w:t xml:space="preserve">PIONEER PLUS (Aroda 2023), PMID 37385279</w:t>
            </w:r>
          </w:p>
        </w:tc>
        <w:tc>
          <w:tcPr/>
          <w:p>
            <w:pPr>
              <w:pStyle w:val="Compact"/>
              <w:jc w:val="left"/>
            </w:pPr>
            <w:r>
              <w:t xml:space="preserve">1,606 people; 25 and 50 mg vs. 14 mg</w:t>
            </w:r>
          </w:p>
        </w:tc>
        <w:tc>
          <w:tcPr/>
          <w:p>
            <w:pPr>
              <w:pStyle w:val="Compact"/>
              <w:jc w:val="left"/>
            </w:pPr>
            <w:r>
              <w:t xml:space="preserve">52 weeks</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people with vascular and/or kidney disease; vs. placebo</w:t>
            </w:r>
          </w:p>
        </w:tc>
        <w:tc>
          <w:tcPr/>
          <w:p>
            <w:pPr>
              <w:pStyle w:val="Compact"/>
              <w:jc w:val="left"/>
            </w:pPr>
            <w:r>
              <w:t xml:space="preserve">median 49.5 months</w:t>
            </w:r>
          </w:p>
        </w:tc>
        <w:tc>
          <w:tcPr/>
          <w:p>
            <w:pPr>
              <w:pStyle w:val="Compact"/>
              <w:jc w:val="left"/>
            </w:pPr>
            <w:r>
              <w:t xml:space="preserve">Events 12.0% vs. 13.8%; HR 0.86 (0.77–0.96)</w:t>
            </w:r>
          </w:p>
        </w:tc>
      </w:tr>
    </w:tbl>
    <w:p>
      <w:pPr>
        <w:pStyle w:val="BodyText"/>
      </w:pPr>
      <w:r>
        <w:t xml:space="preserve">At the standard dose of 14 mg, the tablet is somewhat weaker than the injection. PIONEER PLUS</w:t>
      </w:r>
      <w:r>
        <w:rPr>
          <w:rStyle w:val="FootnoteReference"/>
        </w:rPr>
        <w:footnoteReference w:id="418"/>
      </w:r>
      <w:r>
        <w:t xml:space="preserve"> </w:t>
      </w:r>
      <w:r>
        <w:t xml:space="preserve">showed that higher tablet doses narrow the gap. PIONEER 6</w:t>
      </w:r>
      <w:r>
        <w:rPr>
          <w:rStyle w:val="FootnoteReference"/>
        </w:rPr>
        <w:footnoteReference w:id="419"/>
      </w:r>
      <w:r>
        <w:t xml:space="preserve"> </w:t>
      </w:r>
      <w:r>
        <w:t xml:space="preserve">was a short safety trial; it proved that the tablet does not increase cardiovascular risk but was too small to demonstrate a benefit.</w:t>
      </w:r>
    </w:p>
    <w:p>
      <w:pPr>
        <w:pStyle w:val="BodyText"/>
      </w:pPr>
      <w:r>
        <w:t xml:space="preserve">This was provided by</w:t>
      </w:r>
      <w:r>
        <w:t xml:space="preserve"> </w:t>
      </w:r>
      <w:r>
        <w:rPr>
          <w:bCs/>
          <w:b/>
        </w:rPr>
        <w:t xml:space="preserve">SOUL</w:t>
      </w:r>
      <w:r>
        <w:rPr>
          <w:rStyle w:val="FootnoteReference"/>
        </w:rPr>
        <w:footnoteReference w:id="420"/>
      </w:r>
      <w:r>
        <w:t xml:space="preserve">: in 9,650 people with type 2 diabetes and vascular or kidney disease, the semaglutide tablet reduced major cardiovascular events by 14% over about four years. The confirmatory secondary endpoints, including kidney outcomes, did not differ significantly. Serious adverse events were not more frequent on semaglutide (47.9% vs. 50.3%).</w:t>
      </w:r>
    </w:p>
    <w:bookmarkEnd w:id="421"/>
    <w:bookmarkStart w:id="427" w:name="obesity-with-the-injection-step"/>
    <w:p>
      <w:pPr>
        <w:pStyle w:val="Heading4"/>
      </w:pPr>
      <w:r>
        <w:t xml:space="preserve">Obesity with the Injection: STEP</w:t>
      </w:r>
    </w:p>
    <w:p>
      <w:pPr>
        <w:pStyle w:val="FirstParagraph"/>
      </w:pPr>
      <w:r>
        <w:t xml:space="preserve">At a dose of 2.4 mg per week, semaglutide, as Wegovy, became the first medication with which people with obesity lost on average about 15% of their body weight in large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STEP 1 (Wilding 2021), PMID 33567185</w:t>
            </w:r>
          </w:p>
        </w:tc>
        <w:tc>
          <w:tcPr/>
          <w:p>
            <w:pPr>
              <w:pStyle w:val="Compact"/>
              <w:jc w:val="left"/>
            </w:pPr>
            <w:r>
              <w:t xml:space="preserve">1,961 adults with obesity without diabetes, RCT vs. placebo</w:t>
            </w:r>
          </w:p>
        </w:tc>
        <w:tc>
          <w:tcPr/>
          <w:p>
            <w:pPr>
              <w:pStyle w:val="Compact"/>
              <w:jc w:val="left"/>
            </w:pPr>
            <w:r>
              <w:t xml:space="preserve">68 weeks</w:t>
            </w:r>
          </w:p>
        </w:tc>
        <w:tc>
          <w:tcPr/>
          <w:p>
            <w:pPr>
              <w:pStyle w:val="Compact"/>
              <w:jc w:val="left"/>
            </w:pPr>
            <w:r>
              <w:t xml:space="preserve">−14.9% body weight vs. −2.4%</w:t>
            </w:r>
          </w:p>
        </w:tc>
      </w:tr>
      <w:tr>
        <w:tc>
          <w:tcPr/>
          <w:p>
            <w:pPr>
              <w:pStyle w:val="Compact"/>
              <w:jc w:val="left"/>
            </w:pPr>
            <w:r>
              <w:t xml:space="preserve">STEP 2 (Davies 2021), PMID 33667417</w:t>
            </w:r>
          </w:p>
        </w:tc>
        <w:tc>
          <w:tcPr/>
          <w:p>
            <w:pPr>
              <w:pStyle w:val="Compact"/>
              <w:jc w:val="left"/>
            </w:pPr>
            <w:r>
              <w:t xml:space="preserve">1,210 people with overweight and type 2 diabetes</w:t>
            </w:r>
          </w:p>
        </w:tc>
        <w:tc>
          <w:tcPr/>
          <w:p>
            <w:pPr>
              <w:pStyle w:val="Compact"/>
              <w:jc w:val="left"/>
            </w:pPr>
            <w:r>
              <w:t xml:space="preserve">68 weeks</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people, additional intensive behavioral therapy</w:t>
            </w:r>
          </w:p>
        </w:tc>
        <w:tc>
          <w:tcPr/>
          <w:p>
            <w:pPr>
              <w:pStyle w:val="Compact"/>
              <w:jc w:val="left"/>
            </w:pPr>
            <w:r>
              <w:t xml:space="preserve">68 weeks</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people after 20 weeks of semaglutide: continued or switched to placebo</w:t>
            </w:r>
          </w:p>
        </w:tc>
        <w:tc>
          <w:tcPr/>
          <w:p>
            <w:pPr>
              <w:pStyle w:val="Compact"/>
              <w:jc w:val="left"/>
            </w:pPr>
            <w:r>
              <w:t xml:space="preserve">48 weeks</w:t>
            </w:r>
          </w:p>
        </w:tc>
        <w:tc>
          <w:tcPr/>
          <w:p>
            <w:pPr>
              <w:pStyle w:val="Compact"/>
              <w:jc w:val="left"/>
            </w:pPr>
            <w:r>
              <w:t xml:space="preserve">−7.9% (continued) vs. +6.9% (discontinued)</w:t>
            </w:r>
          </w:p>
        </w:tc>
      </w:tr>
      <w:tr>
        <w:tc>
          <w:tcPr/>
          <w:p>
            <w:pPr>
              <w:pStyle w:val="Compact"/>
              <w:jc w:val="left"/>
            </w:pPr>
            <w:r>
              <w:t xml:space="preserve">STEP 5 (Garvey 2022), PMID 36216945</w:t>
            </w:r>
          </w:p>
        </w:tc>
        <w:tc>
          <w:tcPr/>
          <w:p>
            <w:pPr>
              <w:pStyle w:val="Compact"/>
              <w:jc w:val="left"/>
            </w:pPr>
            <w:r>
              <w:t xml:space="preserve">304 people</w:t>
            </w:r>
          </w:p>
        </w:tc>
        <w:tc>
          <w:tcPr/>
          <w:p>
            <w:pPr>
              <w:pStyle w:val="Compact"/>
              <w:jc w:val="left"/>
            </w:pPr>
            <w:r>
              <w:t xml:space="preserve">104 weeks</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people in East Asia</w:t>
            </w:r>
          </w:p>
        </w:tc>
        <w:tc>
          <w:tcPr/>
          <w:p>
            <w:pPr>
              <w:pStyle w:val="Compact"/>
              <w:jc w:val="left"/>
            </w:pPr>
            <w:r>
              <w:t xml:space="preserve">68 weeks</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people; 7.2 mg vs. 2.4 mg vs. placebo</w:t>
            </w:r>
          </w:p>
        </w:tc>
        <w:tc>
          <w:tcPr/>
          <w:p>
            <w:pPr>
              <w:pStyle w:val="Compact"/>
              <w:jc w:val="left"/>
            </w:pPr>
            <w:r>
              <w:t xml:space="preserve">72 weeks</w:t>
            </w:r>
          </w:p>
        </w:tc>
        <w:tc>
          <w:tcPr/>
          <w:p>
            <w:pPr>
              <w:pStyle w:val="Compact"/>
              <w:jc w:val="left"/>
            </w:pPr>
            <w:r>
              <w:t xml:space="preserve">−18.7% vs. −15.6% vs. −3.9%</w:t>
            </w:r>
          </w:p>
        </w:tc>
      </w:tr>
    </w:tbl>
    <w:p>
      <w:pPr>
        <w:pStyle w:val="BodyText"/>
      </w:pPr>
      <w:r>
        <w:t xml:space="preserve">In</w:t>
      </w:r>
      <w:r>
        <w:t xml:space="preserve"> </w:t>
      </w:r>
      <w:r>
        <w:rPr>
          <w:bCs/>
          <w:b/>
        </w:rPr>
        <w:t xml:space="preserve">STEP 1</w:t>
      </w:r>
      <w:r>
        <w:rPr>
          <w:rStyle w:val="FootnoteReference"/>
        </w:rPr>
        <w:footnoteReference w:id="422"/>
      </w:r>
      <w:r>
        <w:t xml:space="preserve">, participants lost on average 15.3 kg, compared with 2.6 kg on placebo. Half (50.5%) lost at least 15% of their weight. Because of gastrointestinal complaints, 4.5% discontinued treatment, compared with 0.8% on placebo.</w:t>
      </w:r>
    </w:p>
    <w:p>
      <w:pPr>
        <w:pStyle w:val="BodyText"/>
      </w:pPr>
      <w:r>
        <w:t xml:space="preserve">In people with type 2 diabetes, weight loss was smaller (STEP 2, Davies 2021, PMID 33667417) – a pattern that occurs with all drugs in this class. In</w:t>
      </w:r>
      <w:r>
        <w:t xml:space="preserve"> </w:t>
      </w:r>
      <w:r>
        <w:rPr>
          <w:bCs/>
          <w:b/>
        </w:rPr>
        <w:t xml:space="preserve">STEP 5</w:t>
      </w:r>
      <w:r>
        <w:rPr>
          <w:rStyle w:val="FootnoteReference"/>
        </w:rPr>
        <w:footnoteReference w:id="423"/>
      </w:r>
      <w:r>
        <w:t xml:space="preserve">, the effect remained stable over two years.</w:t>
      </w:r>
    </w:p>
    <w:p>
      <w:pPr>
        <w:pStyle w:val="BodyText"/>
      </w:pPr>
      <w:r>
        <w:rPr>
          <w:bCs/>
          <w:b/>
        </w:rPr>
        <w:t xml:space="preserve">What happens after discontinuation?</w:t>
      </w:r>
      <w:r>
        <w:t xml:space="preserve"> </w:t>
      </w:r>
      <w:r>
        <w:t xml:space="preserve">This question is central to practice. In STEP 4</w:t>
      </w:r>
      <w:r>
        <w:rPr>
          <w:rStyle w:val="FootnoteReference"/>
        </w:rPr>
        <w:footnoteReference w:id="424"/>
      </w:r>
      <w:r>
        <w:t xml:space="preserve">, all participants first received 20 weeks of semaglutide and had lost on average 10.6%. Those who then switched to placebo regained 6.9% over the following 48 weeks; those who continued treatment lost a further 7.9%. In the extension of STEP 1</w:t>
      </w:r>
      <w:r>
        <w:rPr>
          <w:rStyle w:val="FootnoteReference"/>
        </w:rPr>
        <w:footnoteReference w:id="425"/>
      </w:r>
      <w:r>
        <w:t xml:space="preserve">, one year after discontinuation participants had regained about two thirds of the weight they had lost; blood pressure, blood lipids, and blood sugar also moved back toward baseline values. The authors conclude that obesity is a chronic disease and that treatment is likely to be needed long term.</w:t>
      </w:r>
    </w:p>
    <w:p>
      <w:pPr>
        <w:pStyle w:val="BodyText"/>
      </w:pPr>
      <w:r>
        <w:rPr>
          <w:bCs/>
          <w:b/>
        </w:rPr>
        <w:t xml:space="preserve">Higher dose:</w:t>
      </w:r>
      <w:r>
        <w:t xml:space="preserve"> </w:t>
      </w:r>
      <w:r>
        <w:t xml:space="preserve">In STEP UP</w:t>
      </w:r>
      <w:r>
        <w:rPr>
          <w:rStyle w:val="FootnoteReference"/>
        </w:rPr>
        <w:footnoteReference w:id="426"/>
      </w:r>
      <w:r>
        <w:t xml:space="preserve">, the triple dose of 7.2 mg led to 18.7% weight loss. Gastrointestinal complaints were more frequent (70.8% vs. 61.2% on 2.4 mg), and 22.9% reported abnormal skin sensations (dysesthesia), compared with 6.0% on 2.4 mg.</w:t>
      </w:r>
    </w:p>
    <w:bookmarkEnd w:id="427"/>
    <w:bookmarkStart w:id="429" w:name="obesity-with-the-tablet-oasis"/>
    <w:p>
      <w:pPr>
        <w:pStyle w:val="Heading4"/>
      </w:pPr>
      <w:r>
        <w:t xml:space="preserve">Obesity with the Tablet: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OASIS 1 (Knop 2023), PMID 37385278</w:t>
            </w:r>
          </w:p>
        </w:tc>
        <w:tc>
          <w:tcPr/>
          <w:p>
            <w:pPr>
              <w:pStyle w:val="Compact"/>
              <w:jc w:val="left"/>
            </w:pPr>
            <w:r>
              <w:t xml:space="preserve">667 people with obesity without diabetes; 50 mg daily vs. placebo</w:t>
            </w:r>
          </w:p>
        </w:tc>
        <w:tc>
          <w:tcPr/>
          <w:p>
            <w:pPr>
              <w:pStyle w:val="Compact"/>
              <w:jc w:val="left"/>
            </w:pPr>
            <w:r>
              <w:t xml:space="preserve">68 weeks</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people; 25 mg daily vs. placebo</w:t>
            </w:r>
          </w:p>
        </w:tc>
        <w:tc>
          <w:tcPr/>
          <w:p>
            <w:pPr>
              <w:pStyle w:val="Compact"/>
              <w:jc w:val="left"/>
            </w:pPr>
            <w:r>
              <w:t xml:space="preserve">64 weeks</w:t>
            </w:r>
          </w:p>
        </w:tc>
        <w:tc>
          <w:tcPr/>
          <w:p>
            <w:pPr>
              <w:pStyle w:val="Compact"/>
              <w:jc w:val="left"/>
            </w:pPr>
            <w:r>
              <w:t xml:space="preserve">−13.6% vs. −2.2%</w:t>
            </w:r>
          </w:p>
        </w:tc>
      </w:tr>
    </w:tbl>
    <w:p>
      <w:pPr>
        <w:pStyle w:val="BodyText"/>
      </w:pPr>
      <w:r>
        <w:t xml:space="preserve">In these trials, the tablets achieved values similar to those of the injection in STEP 1</w:t>
      </w:r>
      <w:r>
        <w:rPr>
          <w:rStyle w:val="FootnoteReference"/>
        </w:rPr>
        <w:footnoteReference w:id="428"/>
      </w:r>
      <w:r>
        <w:t xml:space="preserve">. Gastrointestinal complaints occurred in 74% to 80%. The 25 mg tablet from OASIS 4 is the basis of the Wegovy tablet approved in the USA. A direct comparison with the injection in a large trial is still lacking.</w:t>
      </w:r>
    </w:p>
    <w:bookmarkEnd w:id="429"/>
    <w:bookmarkStart w:id="432" w:name="children-and-adolescents-2"/>
    <w:p>
      <w:pPr>
        <w:pStyle w:val="Heading4"/>
      </w:pPr>
      <w:r>
        <w:t xml:space="preserve">Children and Adolescents</w:t>
      </w:r>
    </w:p>
    <w:p>
      <w:pPr>
        <w:pStyle w:val="FirstParagraph"/>
      </w:pPr>
      <w:r>
        <w:t xml:space="preserve">In</w:t>
      </w:r>
      <w:r>
        <w:t xml:space="preserve"> </w:t>
      </w:r>
      <w:r>
        <w:rPr>
          <w:bCs/>
          <w:b/>
        </w:rPr>
        <w:t xml:space="preserve">STEP TEENS</w:t>
      </w:r>
      <w:r>
        <w:t xml:space="preserve">, with 201 adolescents with obesity, body mass index (BMI) fell by 16.1% after 68 weeks, while it rose by 0.6% on placebo</w:t>
      </w:r>
      <w:r>
        <w:rPr>
          <w:rStyle w:val="FootnoteReference"/>
        </w:rPr>
        <w:footnoteReference w:id="430"/>
      </w:r>
      <w:r>
        <w:t xml:space="preserve">. 73% lost at least 5% of their weight, compared with 18% on placebo. Five adolescents (4%) on semaglutide developed gallstones, none on placebo. A study in children aged 6 and older is ongoing</w:t>
      </w:r>
      <w:r>
        <w:rPr>
          <w:rStyle w:val="FootnoteReference"/>
        </w:rPr>
        <w:footnoteReference w:id="431"/>
      </w:r>
      <w:r>
        <w:t xml:space="preserve">.</w:t>
      </w:r>
    </w:p>
    <w:bookmarkEnd w:id="432"/>
    <w:bookmarkStart w:id="434" w:name="X8a74c063360a6a9bd31f33c82165f82fe127bf4"/>
    <w:p>
      <w:pPr>
        <w:pStyle w:val="Heading4"/>
      </w:pPr>
      <w:r>
        <w:t xml:space="preserve">SELECT: Cardioprotection Even Without Diabetes</w:t>
      </w:r>
    </w:p>
    <w:p>
      <w:pPr>
        <w:pStyle w:val="FirstParagraph"/>
      </w:pPr>
      <w:r>
        <w:t xml:space="preserve">SELECT was a milestone because it showed for the first time that a weight-reduction medication reduces heart attacks, strokes, and cardiovascular deaths in people without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SELECT (Lincoff 2023), PMID 37952131</w:t>
            </w:r>
          </w:p>
        </w:tc>
        <w:tc>
          <w:tcPr/>
          <w:p>
            <w:pPr>
              <w:pStyle w:val="Compact"/>
              <w:jc w:val="left"/>
            </w:pPr>
            <w:r>
              <w:t xml:space="preserve">17,604 people with overweight or obesity and cardiovascular disease, without diabetes; 2.4 mg vs. placebo</w:t>
            </w:r>
          </w:p>
        </w:tc>
        <w:tc>
          <w:tcPr/>
          <w:p>
            <w:pPr>
              <w:pStyle w:val="Compact"/>
              <w:jc w:val="left"/>
            </w:pPr>
            <w:r>
              <w:t xml:space="preserve">mean follow-up 39.8 months</w:t>
            </w:r>
          </w:p>
        </w:tc>
        <w:tc>
          <w:tcPr/>
          <w:p>
            <w:pPr>
              <w:pStyle w:val="Compact"/>
              <w:jc w:val="left"/>
            </w:pPr>
            <w:r>
              <w:t xml:space="preserve">Major cardiovascular events 6.5% vs. 8.0%; HR 0.80 (0.72–0.90)</w:t>
            </w:r>
          </w:p>
        </w:tc>
      </w:tr>
    </w:tbl>
    <w:p>
      <w:pPr>
        <w:pStyle w:val="BodyText"/>
      </w:pPr>
      <w:r>
        <w:t xml:space="preserve">The relative risk reduction was 20%</w:t>
      </w:r>
      <w:r>
        <w:rPr>
          <w:rStyle w:val="FootnoteReference"/>
        </w:rPr>
        <w:footnoteReference w:id="433"/>
      </w:r>
      <w:r>
        <w:t xml:space="preserve">. In absolute numbers, about 1.5 in a hundred people treated had one fewer such event over a good three years. The high discontinuation rate was striking: 16.6% permanently stopped treatment because of side effects, compared with 8.2% on placebo. Whether the benefit is due solely to weight loss or also to direct effects on blood vessels and inflammation has not been conclusively resolved.</w:t>
      </w:r>
    </w:p>
    <w:bookmarkEnd w:id="434"/>
    <w:bookmarkStart w:id="436" w:name="flow-protecting-the-kidneys"/>
    <w:p>
      <w:pPr>
        <w:pStyle w:val="Heading4"/>
      </w:pPr>
      <w:r>
        <w:t xml:space="preserve">FLOW: Protecting the Kidneys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FLOW (Perkovic 2024), PMID 38785209</w:t>
            </w:r>
          </w:p>
        </w:tc>
        <w:tc>
          <w:tcPr/>
          <w:p>
            <w:pPr>
              <w:pStyle w:val="Compact"/>
              <w:jc w:val="left"/>
            </w:pPr>
            <w:r>
              <w:t xml:space="preserve">3,533 people with type 2 diabetes and chronic kidney disease; 1.0 mg vs. placebo</w:t>
            </w:r>
          </w:p>
        </w:tc>
        <w:tc>
          <w:tcPr/>
          <w:p>
            <w:pPr>
              <w:pStyle w:val="Compact"/>
              <w:jc w:val="left"/>
            </w:pPr>
            <w:r>
              <w:t xml:space="preserve">median 3.4 years (stopped early for efficacy)</w:t>
            </w:r>
          </w:p>
        </w:tc>
        <w:tc>
          <w:tcPr/>
          <w:p>
            <w:pPr>
              <w:pStyle w:val="Compact"/>
              <w:jc w:val="left"/>
            </w:pPr>
            <w:r>
              <w:t xml:space="preserve">Kidney endpoint 331 vs. 410 events; HR 0.76; all-cause mortality HR 0.80</w:t>
            </w:r>
          </w:p>
        </w:tc>
      </w:tr>
    </w:tbl>
    <w:p>
      <w:pPr>
        <w:pStyle w:val="BodyText"/>
      </w:pPr>
      <w:r>
        <w:t xml:space="preserve">FLOW</w:t>
      </w:r>
      <w:r>
        <w:rPr>
          <w:rStyle w:val="FootnoteReference"/>
        </w:rPr>
        <w:footnoteReference w:id="435"/>
      </w:r>
      <w:r>
        <w:t xml:space="preserve"> </w:t>
      </w:r>
      <w:r>
        <w:t xml:space="preserve">was the first large trial with a GLP-1 receptor agonist in which a hard kidney endpoint – kidney failure, marked loss of function, or death from kidney or cardiovascular causes – was the primary objective. It was stopped early after an interim analysis because of clear efficacy. The annual loss of kidney function (eGFR) was 1.16 ml/min per 1.73 m² smaller on semaglutide. Cardiovascular events (HR 0.82) and all-cause mortality (HR 0.80) were also reduced.</w:t>
      </w:r>
    </w:p>
    <w:bookmarkEnd w:id="436"/>
    <w:bookmarkStart w:id="442" w:name="Xa1e2b359925a64d28f376fe399a982a8d029fa9"/>
    <w:p>
      <w:pPr>
        <w:pStyle w:val="Heading4"/>
      </w:pPr>
      <w:r>
        <w:t xml:space="preserve">Other Organs: Liver, Heart Failure, Blood Vessels, Joints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ESSENCE (Sanyal 2025), PMID 40305708</w:t>
            </w:r>
          </w:p>
        </w:tc>
        <w:tc>
          <w:tcPr/>
          <w:p>
            <w:pPr>
              <w:pStyle w:val="Compact"/>
              <w:jc w:val="left"/>
            </w:pPr>
            <w:r>
              <w:t xml:space="preserve">1,197 people with fatty liver inflammation (MASH) and fibrosis stage 2–3; interim analysis of the first 800</w:t>
            </w:r>
          </w:p>
        </w:tc>
        <w:tc>
          <w:tcPr/>
          <w:p>
            <w:pPr>
              <w:pStyle w:val="Compact"/>
              <w:jc w:val="left"/>
            </w:pPr>
            <w:r>
              <w:t xml:space="preserve">72 weeks (first part)</w:t>
            </w:r>
          </w:p>
        </w:tc>
        <w:tc>
          <w:tcPr/>
          <w:p>
            <w:pPr>
              <w:pStyle w:val="Compact"/>
              <w:jc w:val="left"/>
            </w:pPr>
            <w:r>
              <w:t xml:space="preserve">Resolution of inflammation 62.9% vs. 34.3%; less fibrosis 36.8% vs. 22.4%</w:t>
            </w:r>
          </w:p>
        </w:tc>
      </w:tr>
      <w:tr>
        <w:tc>
          <w:tcPr/>
          <w:p>
            <w:pPr>
              <w:pStyle w:val="Compact"/>
              <w:jc w:val="left"/>
            </w:pPr>
            <w:r>
              <w:t xml:space="preserve">STEP-HFpEF (Kosiborod 2023), PMID 37622681</w:t>
            </w:r>
          </w:p>
        </w:tc>
        <w:tc>
          <w:tcPr/>
          <w:p>
            <w:pPr>
              <w:pStyle w:val="Compact"/>
              <w:jc w:val="left"/>
            </w:pPr>
            <w:r>
              <w:t xml:space="preserve">529 people with heart failure with preserved ejection fraction and obesity; 2.4 mg vs. placebo</w:t>
            </w:r>
          </w:p>
        </w:tc>
        <w:tc>
          <w:tcPr/>
          <w:p>
            <w:pPr>
              <w:pStyle w:val="Compact"/>
              <w:jc w:val="left"/>
            </w:pPr>
            <w:r>
              <w:t xml:space="preserve">52 weeks</w:t>
            </w:r>
          </w:p>
        </w:tc>
        <w:tc>
          <w:tcPr/>
          <w:p>
            <w:pPr>
              <w:pStyle w:val="Compact"/>
              <w:jc w:val="left"/>
            </w:pPr>
            <w:r>
              <w:t xml:space="preserve">Symptom score +16.6 vs. +8.7 points; walking distance +21.5 vs. +1.2 m</w:t>
            </w:r>
          </w:p>
        </w:tc>
      </w:tr>
      <w:tr>
        <w:tc>
          <w:tcPr/>
          <w:p>
            <w:pPr>
              <w:pStyle w:val="Compact"/>
              <w:jc w:val="left"/>
            </w:pPr>
            <w:r>
              <w:t xml:space="preserve">STRIDE (Bonaca 2025), PMID 40169145</w:t>
            </w:r>
          </w:p>
        </w:tc>
        <w:tc>
          <w:tcPr/>
          <w:p>
            <w:pPr>
              <w:pStyle w:val="Compact"/>
              <w:jc w:val="left"/>
            </w:pPr>
            <w:r>
              <w:t xml:space="preserve">792 people with peripheral artery disease and type 2 diabetes; 1.0 mg vs. placebo</w:t>
            </w:r>
          </w:p>
        </w:tc>
        <w:tc>
          <w:tcPr/>
          <w:p>
            <w:pPr>
              <w:pStyle w:val="Compact"/>
              <w:jc w:val="left"/>
            </w:pPr>
            <w:r>
              <w:t xml:space="preserve">52 weeks</w:t>
            </w:r>
          </w:p>
        </w:tc>
        <w:tc>
          <w:tcPr/>
          <w:p>
            <w:pPr>
              <w:pStyle w:val="Compact"/>
              <w:jc w:val="left"/>
            </w:pPr>
            <w:r>
              <w:t xml:space="preserve">maximum walking distance improved 13% more</w:t>
            </w:r>
          </w:p>
        </w:tc>
      </w:tr>
      <w:tr>
        <w:tc>
          <w:tcPr/>
          <w:p>
            <w:pPr>
              <w:pStyle w:val="Compact"/>
              <w:jc w:val="left"/>
            </w:pPr>
            <w:r>
              <w:t xml:space="preserve">STEP 9 (Bliddal 2024), PMID 39476339</w:t>
            </w:r>
          </w:p>
        </w:tc>
        <w:tc>
          <w:tcPr/>
          <w:p>
            <w:pPr>
              <w:pStyle w:val="Compact"/>
              <w:jc w:val="left"/>
            </w:pPr>
            <w:r>
              <w:t xml:space="preserve">407 people with obesity and knee osteoarthritis</w:t>
            </w:r>
          </w:p>
        </w:tc>
        <w:tc>
          <w:tcPr/>
          <w:p>
            <w:pPr>
              <w:pStyle w:val="Compact"/>
              <w:jc w:val="left"/>
            </w:pPr>
            <w:r>
              <w:t xml:space="preserve">68 weeks</w:t>
            </w:r>
          </w:p>
        </w:tc>
        <w:tc>
          <w:tcPr/>
          <w:p>
            <w:pPr>
              <w:pStyle w:val="Compact"/>
              <w:jc w:val="left"/>
            </w:pPr>
            <w:r>
              <w:t xml:space="preserve">Pain score −41.7 vs. −27.5 points; weight −13.7% vs. −3.2%</w:t>
            </w:r>
          </w:p>
        </w:tc>
      </w:tr>
    </w:tbl>
    <w:p>
      <w:pPr>
        <w:pStyle w:val="BodyText"/>
      </w:pPr>
      <w:r>
        <w:rPr>
          <w:bCs/>
          <w:b/>
        </w:rPr>
        <w:t xml:space="preserve">Liver:</w:t>
      </w:r>
      <w:r>
        <w:t xml:space="preserve"> </w:t>
      </w:r>
      <w:r>
        <w:t xml:space="preserve">In ESSENCE</w:t>
      </w:r>
      <w:r>
        <w:rPr>
          <w:rStyle w:val="FootnoteReference"/>
        </w:rPr>
        <w:footnoteReference w:id="437"/>
      </w:r>
      <w:r>
        <w:t xml:space="preserve">, fatty liver inflammation in the tissue sample resolved in almost two thirds of those treated, without any increase in scarring. A reduction in fibrosis – the clinically more important goal – was achieved by 36.8% versus 22.4%. The second part of the trial, with hard liver endpoints such as cirrhosis, is running until 2029</w:t>
      </w:r>
      <w:r>
        <w:rPr>
          <w:rStyle w:val="FootnoteReference"/>
        </w:rPr>
        <w:footnoteReference w:id="438"/>
      </w:r>
      <w:r>
        <w:t xml:space="preserve">.</w:t>
      </w:r>
    </w:p>
    <w:p>
      <w:pPr>
        <w:pStyle w:val="BodyText"/>
      </w:pPr>
      <w:r>
        <w:rPr>
          <w:bCs/>
          <w:b/>
        </w:rPr>
        <w:t xml:space="preserve">Heart failure:</w:t>
      </w:r>
      <w:r>
        <w:t xml:space="preserve"> </w:t>
      </w:r>
      <w:r>
        <w:t xml:space="preserve">In heart failure with preserved ejection fraction and obesity, symptoms and exercise capacity improved markedly</w:t>
      </w:r>
      <w:r>
        <w:rPr>
          <w:rStyle w:val="FootnoteReference"/>
        </w:rPr>
        <w:footnoteReference w:id="439"/>
      </w:r>
      <w:r>
        <w:t xml:space="preserve">. Serious adverse events were less frequent on semaglutide (13.3% vs. 26.7%). Whether semaglutide also reduces hospitalizations or deaths from heart failure was not the primary objective of this trial.</w:t>
      </w:r>
    </w:p>
    <w:p>
      <w:pPr>
        <w:pStyle w:val="BodyText"/>
      </w:pPr>
      <w:r>
        <w:rPr>
          <w:bCs/>
          <w:b/>
        </w:rPr>
        <w:t xml:space="preserve">Peripheral artery disease:</w:t>
      </w:r>
      <w:r>
        <w:t xml:space="preserve"> </w:t>
      </w:r>
      <w:r>
        <w:t xml:space="preserve">In peripheral arterial occlusive disease, semaglutide increased the maximum walking distance</w:t>
      </w:r>
      <w:r>
        <w:rPr>
          <w:rStyle w:val="FootnoteReference"/>
        </w:rPr>
        <w:footnoteReference w:id="440"/>
      </w:r>
      <w:r>
        <w:t xml:space="preserve">.</w:t>
      </w:r>
    </w:p>
    <w:p>
      <w:pPr>
        <w:pStyle w:val="BodyText"/>
      </w:pPr>
      <w:r>
        <w:rPr>
          <w:bCs/>
          <w:b/>
        </w:rPr>
        <w:t xml:space="preserve">Knee osteoarthritis:</w:t>
      </w:r>
      <w:r>
        <w:t xml:space="preserve"> </w:t>
      </w:r>
      <w:r>
        <w:t xml:space="preserve">In STEP 9</w:t>
      </w:r>
      <w:r>
        <w:rPr>
          <w:rStyle w:val="FootnoteReference"/>
        </w:rPr>
        <w:footnoteReference w:id="441"/>
      </w:r>
      <w:r>
        <w:t xml:space="preserve">, knee pain decreased more than on placebo. Whether this is due solely to weight loss remains open in the study.</w:t>
      </w:r>
    </w:p>
    <w:bookmarkEnd w:id="442"/>
    <w:bookmarkStart w:id="447" w:name="brain-and-addiction"/>
    <w:p>
      <w:pPr>
        <w:pStyle w:val="Heading4"/>
      </w:pPr>
      <w:r>
        <w:t xml:space="preserve">Brain and Addiction</w:t>
      </w:r>
    </w:p>
    <w:p>
      <w:pPr>
        <w:pStyle w:val="FirstParagraph"/>
      </w:pPr>
      <w:r>
        <w:rPr>
          <w:bCs/>
          <w:b/>
        </w:rPr>
        <w:t xml:space="preserve">Alzheimer’s disease:</w:t>
      </w:r>
      <w:r>
        <w:t xml:space="preserve"> </w:t>
      </w:r>
      <w:r>
        <w:t xml:space="preserve">The hope that GLP-1 receptor agonists could slow cognitive decline was based on animal experiments and observational data. Novo Nordisk tested this in two large phase 3 trials, evoke and evoke+, with a combined total of 3,808 people with early Alzheimer’s disease, who received daily semaglutide tablets or placebo for 104 weeks</w:t>
      </w:r>
      <w:r>
        <w:rPr>
          <w:rStyle w:val="FootnoteReference"/>
        </w:rPr>
        <w:footnoteReference w:id="443"/>
      </w:r>
      <w:r>
        <w:t xml:space="preserve">. The result was clearly negative: the disease progressed equally fast in both groups (difference on the dementia scale CDR-SB −0.08 and +0.10 points, respectively, not significant). As things stand, semaglutide has thus failed as an Alzheimer’s drug; a commentary in the same journal discusses the implications for the research field</w:t>
      </w:r>
      <w:r>
        <w:rPr>
          <w:rStyle w:val="FootnoteReference"/>
        </w:rPr>
        <w:footnoteReference w:id="444"/>
      </w:r>
      <w:r>
        <w:t xml:space="preserve">.</w:t>
      </w:r>
    </w:p>
    <w:p>
      <w:pPr>
        <w:pStyle w:val="BodyText"/>
      </w:pPr>
      <w:r>
        <w:rPr>
          <w:bCs/>
          <w:b/>
        </w:rPr>
        <w:t xml:space="preserve">Alcohol:</w:t>
      </w:r>
      <w:r>
        <w:t xml:space="preserve"> </w:t>
      </w:r>
      <w:r>
        <w:t xml:space="preserve">In a small randomized trial with 48 people with alcohol use disorder, low-dose semaglutide reduced the amount of alcohol consumed in a laboratory test, the craving for alcohol, and the number of drinks on drinking days; the number of drinking days did not change</w:t>
      </w:r>
      <w:r>
        <w:rPr>
          <w:rStyle w:val="FootnoteReference"/>
        </w:rPr>
        <w:footnoteReference w:id="445"/>
      </w:r>
      <w:r>
        <w:t xml:space="preserve">. In a Swedish registry study, semaglutide was associated with a 36% lower risk of alcohol-related hospital admissions</w:t>
      </w:r>
      <w:r>
        <w:rPr>
          <w:rStyle w:val="FootnoteReference"/>
        </w:rPr>
        <w:footnoteReference w:id="446"/>
      </w:r>
      <w:r>
        <w:t xml:space="preserve">. Larger randomized trials are ongoing.</w:t>
      </w:r>
    </w:p>
    <w:bookmarkEnd w:id="447"/>
    <w:bookmarkEnd w:id="448"/>
    <w:bookmarkStart w:id="452" w:name="animal-and-laboratory-studies-3"/>
    <w:p>
      <w:pPr>
        <w:pStyle w:val="Heading3"/>
      </w:pPr>
      <w:r>
        <w:t xml:space="preserve">Animal and laboratory studies</w:t>
      </w:r>
    </w:p>
    <w:p>
      <w:pPr>
        <w:pStyle w:val="FirstParagraph"/>
      </w:pPr>
      <w:r>
        <w:t xml:space="preserve">Semaglutide was specifically designed on the drawing board: from numerous variants, the developers selected the one with the best combination of albumin binding, receptor activity, and stability</w:t>
      </w:r>
      <w:r>
        <w:rPr>
          <w:rStyle w:val="FootnoteReference"/>
        </w:rPr>
        <w:footnoteReference w:id="449"/>
      </w:r>
      <w:r>
        <w:t xml:space="preserve">. The half-life was first determined in minipigs. Absorption of the tablet through the gastric mucosa was studied in dogs and in humans</w:t>
      </w:r>
      <w:r>
        <w:rPr>
          <w:rStyle w:val="FootnoteReference"/>
        </w:rPr>
        <w:footnoteReference w:id="450"/>
      </w:r>
      <w:r>
        <w:t xml:space="preserve">.</w:t>
      </w:r>
    </w:p>
    <w:p>
      <w:pPr>
        <w:pStyle w:val="BodyText"/>
      </w:pPr>
      <w:r>
        <w:t xml:space="preserve">As with liraglutide, long-term experiments in rodents led to C-cell tumors of the thyroid; transferability to humans is considered questionable because of the low receptor density in human C cells</w:t>
      </w:r>
      <w:r>
        <w:rPr>
          <w:rStyle w:val="FootnoteReference"/>
        </w:rPr>
        <w:footnoteReference w:id="451"/>
      </w:r>
      <w:r>
        <w:t xml:space="preserve">. Animal experiments on neuroprotection, addiction, and inflammation formed the basis for the human studies described above – with mixed results, as the failure of evoke shows.</w:t>
      </w:r>
    </w:p>
    <w:bookmarkEnd w:id="452"/>
    <w:bookmarkStart w:id="464" w:name="risks-and-side-effects-3"/>
    <w:p>
      <w:pPr>
        <w:pStyle w:val="Heading3"/>
      </w:pPr>
      <w:r>
        <w:t xml:space="preserve">Risks and side effects</w:t>
      </w:r>
    </w:p>
    <w:p>
      <w:pPr>
        <w:pStyle w:val="FirstParagraph"/>
      </w:pPr>
      <w:r>
        <w:rPr>
          <w:bCs/>
          <w:b/>
        </w:rPr>
        <w:t xml:space="preserve">Established from randomized trials:</w:t>
      </w:r>
    </w:p>
    <w:p>
      <w:pPr>
        <w:numPr>
          <w:ilvl w:val="0"/>
          <w:numId w:val="1055"/>
        </w:numPr>
        <w:pStyle w:val="Compact"/>
      </w:pPr>
      <w:r>
        <w:rPr>
          <w:bCs/>
          <w:b/>
        </w:rPr>
        <w:t xml:space="preserve">Gastrointestinal complaints:</w:t>
      </w:r>
      <w:r>
        <w:t xml:space="preserve"> </w:t>
      </w:r>
      <w:r>
        <w:t xml:space="preserve">Nausea, diarrhea, vomiting, and constipation affect the majority of those treated in the obesity trials, mostly mild to moderate and transient, especially during dose escalation</w:t>
      </w:r>
      <w:r>
        <w:rPr>
          <w:rStyle w:val="FootnoteReference"/>
        </w:rPr>
        <w:footnoteReference w:id="453"/>
      </w:r>
      <w:r>
        <w:t xml:space="preserve">. They are the most common reason for discontinuing therapy.</w:t>
      </w:r>
    </w:p>
    <w:p>
      <w:pPr>
        <w:numPr>
          <w:ilvl w:val="0"/>
          <w:numId w:val="1055"/>
        </w:numPr>
        <w:pStyle w:val="Compact"/>
      </w:pPr>
      <w:r>
        <w:rPr>
          <w:bCs/>
          <w:b/>
        </w:rPr>
        <w:t xml:space="preserve">Gallstones and cholecystitis:</w:t>
      </w:r>
      <w:r>
        <w:t xml:space="preserve"> </w:t>
      </w:r>
      <w:r>
        <w:t xml:space="preserve">increased in the class as a whole, especially at high doses and for weight reduction</w:t>
      </w:r>
      <w:r>
        <w:rPr>
          <w:rStyle w:val="FootnoteReference"/>
        </w:rPr>
        <w:footnoteReference w:id="454"/>
      </w:r>
      <w:r>
        <w:t xml:space="preserve">; in STEP TEENS in 4% of adolescents</w:t>
      </w:r>
      <w:r>
        <w:rPr>
          <w:rStyle w:val="FootnoteReference"/>
        </w:rPr>
        <w:footnoteReference w:id="455"/>
      </w:r>
      <w:r>
        <w:t xml:space="preserve">.</w:t>
      </w:r>
    </w:p>
    <w:p>
      <w:pPr>
        <w:numPr>
          <w:ilvl w:val="0"/>
          <w:numId w:val="1055"/>
        </w:numPr>
        <w:pStyle w:val="Compact"/>
      </w:pPr>
      <w:r>
        <w:rPr>
          <w:bCs/>
          <w:b/>
        </w:rPr>
        <w:t xml:space="preserve">Worsening of diabetic retinal disease:</w:t>
      </w:r>
      <w:r>
        <w:t xml:space="preserve"> </w:t>
      </w:r>
      <w:r>
        <w:t xml:space="preserve">more frequent in SUSTAIN 6 (HR 1.76)</w:t>
      </w:r>
      <w:r>
        <w:rPr>
          <w:rStyle w:val="FootnoteReference"/>
        </w:rPr>
        <w:footnoteReference w:id="456"/>
      </w:r>
      <w:r>
        <w:t xml:space="preserve">. It is suspected that a very rapid reduction in blood sugar in existing retinopathy causes temporary harm – an effect also known from insulin. A dedicated trial with 1,500 participants on this question is ongoing</w:t>
      </w:r>
      <w:r>
        <w:rPr>
          <w:rStyle w:val="FootnoteReference"/>
        </w:rPr>
        <w:footnoteReference w:id="457"/>
      </w:r>
      <w:r>
        <w:t xml:space="preserve">. People with retinopathy should be monitored by an ophthalmologist.</w:t>
      </w:r>
    </w:p>
    <w:p>
      <w:pPr>
        <w:numPr>
          <w:ilvl w:val="0"/>
          <w:numId w:val="1055"/>
        </w:numPr>
        <w:pStyle w:val="Compact"/>
      </w:pPr>
      <w:r>
        <w:rPr>
          <w:bCs/>
          <w:b/>
        </w:rPr>
        <w:t xml:space="preserve">Loss of muscle mass:</w:t>
      </w:r>
      <w:r>
        <w:t xml:space="preserve"> </w:t>
      </w:r>
      <w:r>
        <w:t xml:space="preserve">With any substantial weight loss, fat-free mass is also lost. How significant this is with semaglutide, particularly in older people, is still being investigated; Part IV discusses this.</w:t>
      </w:r>
    </w:p>
    <w:p>
      <w:pPr>
        <w:pStyle w:val="FirstParagraph"/>
      </w:pPr>
      <w:r>
        <w:rPr>
          <w:bCs/>
          <w:b/>
        </w:rPr>
        <w:t xml:space="preserve">Observational data and signals:</w:t>
      </w:r>
    </w:p>
    <w:p>
      <w:pPr>
        <w:numPr>
          <w:ilvl w:val="0"/>
          <w:numId w:val="1056"/>
        </w:numPr>
        <w:pStyle w:val="Compact"/>
      </w:pPr>
      <w:r>
        <w:rPr>
          <w:bCs/>
          <w:b/>
        </w:rPr>
        <w:t xml:space="preserve">NAION (circulatory disorder of the optic nerve):</w:t>
      </w:r>
      <w:r>
        <w:t xml:space="preserve"> </w:t>
      </w:r>
      <w:r>
        <w:t xml:space="preserve">In 2024, a US study from an eye clinic reported a markedly increased risk of nonarteritic anterior ischemic optic neuropathy, a sudden, usually painless loss of vision in one eye</w:t>
      </w:r>
      <w:r>
        <w:rPr>
          <w:rStyle w:val="FootnoteReference"/>
        </w:rPr>
        <w:footnoteReference w:id="458"/>
      </w:r>
      <w:r>
        <w:t xml:space="preserve">. In this study, the hazard ratio was 4.28 (diabetes) and 7.64 (obesity), respectively, albeit with very small case numbers. A Danish-Norwegian registry study of more than 60,000 people with type 2 diabetes confirmed an increased relative risk (HR 2.81), with a low absolute risk: about 1.4 additional cases per 10,000 person-years</w:t>
      </w:r>
      <w:r>
        <w:rPr>
          <w:rStyle w:val="FootnoteReference"/>
        </w:rPr>
        <w:footnoteReference w:id="459"/>
      </w:r>
      <w:r>
        <w:t xml:space="preserve">. A 2026 meta-analysis found the signal only in observational studies in diabetes (HR 1.85), not in randomized trials and not in obesity</w:t>
      </w:r>
      <w:r>
        <w:rPr>
          <w:rStyle w:val="FootnoteReference"/>
        </w:rPr>
        <w:footnoteReference w:id="460"/>
      </w:r>
      <w:r>
        <w:t xml:space="preserve">. In 2025, the European Medicines Agency added NAION to the prescribing information as a very rare side effect. Anyone whose vision suddenly deteriorates while on semaglutide should seek medical help immediately.</w:t>
      </w:r>
    </w:p>
    <w:p>
      <w:pPr>
        <w:numPr>
          <w:ilvl w:val="0"/>
          <w:numId w:val="1056"/>
        </w:numPr>
        <w:pStyle w:val="Compact"/>
      </w:pPr>
      <w:r>
        <w:rPr>
          <w:bCs/>
          <w:b/>
        </w:rPr>
        <w:t xml:space="preserve">Pancreatitis and bowel obstruction:</w:t>
      </w:r>
      <w:r>
        <w:t xml:space="preserve"> </w:t>
      </w:r>
      <w:r>
        <w:t xml:space="preserve">An analysis of insurance data found an increased risk of pancreatitis, bowel obstruction, and gastroparesis with GLP-1 receptor agonists used for weight loss</w:t>
      </w:r>
      <w:r>
        <w:rPr>
          <w:rStyle w:val="FootnoteReference"/>
        </w:rPr>
        <w:footnoteReference w:id="461"/>
      </w:r>
      <w:r>
        <w:t xml:space="preserve">. In the large randomized trials, pancreatitis was rare. The prescribing information lists it as a possible side effect.</w:t>
      </w:r>
    </w:p>
    <w:p>
      <w:pPr>
        <w:numPr>
          <w:ilvl w:val="0"/>
          <w:numId w:val="1056"/>
        </w:numPr>
        <w:pStyle w:val="Compact"/>
      </w:pPr>
      <w:r>
        <w:rPr>
          <w:bCs/>
          <w:b/>
        </w:rPr>
        <w:t xml:space="preserve">Thyroid cancer:</w:t>
      </w:r>
      <w:r>
        <w:t xml:space="preserve"> </w:t>
      </w:r>
      <w:r>
        <w:t xml:space="preserve">signal in observational studies and meta-analyses for the class</w:t>
      </w:r>
      <w:r>
        <w:rPr>
          <w:rStyle w:val="FootnoteReference"/>
        </w:rPr>
        <w:footnoteReference w:id="462"/>
      </w:r>
      <w:r>
        <w:t xml:space="preserve">; see the chapter Liraglutide.</w:t>
      </w:r>
    </w:p>
    <w:p>
      <w:pPr>
        <w:numPr>
          <w:ilvl w:val="0"/>
          <w:numId w:val="1056"/>
        </w:numPr>
        <w:pStyle w:val="Compact"/>
      </w:pPr>
      <w:r>
        <w:rPr>
          <w:bCs/>
          <w:b/>
        </w:rPr>
        <w:t xml:space="preserve">Psychiatric side effects:</w:t>
      </w:r>
      <w:r>
        <w:t xml:space="preserve"> </w:t>
      </w:r>
      <w:r>
        <w:t xml:space="preserve">Following reports of suicidal thoughts, the authorities conducted reviews in 2023/2024 and found no evidence of a causal relationship. In a large US cohort of 240,618 people with overweight, semaglutide was even associated with fewer new suicidal thoughts than other weight-reduction drugs</w:t>
      </w:r>
      <w:r>
        <w:rPr>
          <w:rStyle w:val="FootnoteReference"/>
        </w:rPr>
        <w:footnoteReference w:id="463"/>
      </w:r>
      <w:r>
        <w:t xml:space="preserve">. Observational data cannot reliably rule out bias.</w:t>
      </w:r>
    </w:p>
    <w:p>
      <w:pPr>
        <w:pStyle w:val="FirstParagraph"/>
      </w:pPr>
      <w:r>
        <w:rPr>
          <w:bCs/>
          <w:b/>
        </w:rPr>
        <w:t xml:space="preserve">Notes for practice:</w:t>
      </w:r>
      <w:r>
        <w:t xml:space="preserve"> </w:t>
      </w:r>
      <w:r>
        <w:t xml:space="preserve">Semaglutide is not indicated during pregnancy; the prescribing information recommends stopping in good time before a planned pregnancy. Because of delayed gastric emptying, there may be an increased risk during anesthesia that stomach contents enter the lungs; people being treated should mention this before operations and gastroscopies. For use, dose escalation, and contraindications, the prescribing information and medical supervision are authoritative.</w:t>
      </w:r>
    </w:p>
    <w:bookmarkEnd w:id="464"/>
    <w:bookmarkStart w:id="468" w:name="gray-market-compounding-and-counterfeits"/>
    <w:p>
      <w:pPr>
        <w:pStyle w:val="Heading3"/>
      </w:pPr>
      <w:r>
        <w:t xml:space="preserve">Gray Market, Compounding, and Counterfeits</w:t>
      </w:r>
    </w:p>
    <w:p>
      <w:pPr>
        <w:pStyle w:val="FirstParagraph"/>
      </w:pPr>
      <w:r>
        <w:t xml:space="preserve">No other peptide in this book is obtained outside regular channels as often as semaglutide. From 2022 onward, demand exceeded supply for years. Three problems must be distinguished.</w:t>
      </w:r>
    </w:p>
    <w:p>
      <w:pPr>
        <w:pStyle w:val="BodyText"/>
      </w:pPr>
      <w:r>
        <w:rPr>
          <w:bCs/>
          <w:b/>
        </w:rPr>
        <w:t xml:space="preserve">Compounding (USA):</w:t>
      </w:r>
      <w:r>
        <w:t xml:space="preserve"> </w:t>
      </w:r>
      <w:r>
        <w:t xml:space="preserve">During the official shortages, US pharmacies were allowed to produce semaglutide themselves (</w:t>
      </w:r>
      <w:r>
        <w:t xml:space="preserve">“</w:t>
      </w:r>
      <w:r>
        <w:t xml:space="preserve">compounding</w:t>
      </w:r>
      <w:r>
        <w:t xml:space="preserve">”</w:t>
      </w:r>
      <w:r>
        <w:t xml:space="preserve">), often as powder or solution in vials, sometimes with other salt forms of the drug. Since the end of the shortage, the FDA has severely restricted this practice. A case series from a poison control center described tenfold overdoses because patients were handling syringes and vials instead of prefilled pens and confused milliliters, units, and milligrams</w:t>
      </w:r>
      <w:r>
        <w:rPr>
          <w:rStyle w:val="FootnoteReference"/>
        </w:rPr>
        <w:footnoteReference w:id="465"/>
      </w:r>
      <w:r>
        <w:t xml:space="preserve">. In an analysis of the US adverse event database, reports of compounding errors, contamination, and hospital admissions were disproportionately frequent for compounded products</w:t>
      </w:r>
      <w:r>
        <w:rPr>
          <w:rStyle w:val="FootnoteReference"/>
        </w:rPr>
        <w:footnoteReference w:id="466"/>
      </w:r>
      <w:r>
        <w:t xml:space="preserve">.</w:t>
      </w:r>
    </w:p>
    <w:p>
      <w:pPr>
        <w:pStyle w:val="BodyText"/>
      </w:pPr>
      <w:r>
        <w:rPr>
          <w:bCs/>
          <w:b/>
        </w:rPr>
        <w:t xml:space="preserve">Illegal online shops:</w:t>
      </w:r>
      <w:r>
        <w:t xml:space="preserve"> </w:t>
      </w:r>
      <w:r>
        <w:t xml:space="preserve">In a market investigation, 42.3% of the online pharmacy links found led to illegal vendors selling semaglutide without a prescription</w:t>
      </w:r>
      <w:r>
        <w:rPr>
          <w:rStyle w:val="FootnoteReference"/>
        </w:rPr>
        <w:footnoteReference w:id="467"/>
      </w:r>
      <w:r>
        <w:t xml:space="preserve">. In test purchases, ordered Ozempic pens never arrived at all. The vials delivered did contain semaglutide, but purity was only 7.7% to 14.37% instead of the stated 99%, and endotoxins (bacterial components that can cause fever and inflammation) were detected in all samples.</w:t>
      </w:r>
    </w:p>
    <w:p>
      <w:pPr>
        <w:pStyle w:val="BodyText"/>
      </w:pPr>
      <w:r>
        <w:rPr>
          <w:bCs/>
          <w:b/>
        </w:rPr>
        <w:t xml:space="preserve">Counterfeits:</w:t>
      </w:r>
      <w:r>
        <w:t xml:space="preserve"> </w:t>
      </w:r>
      <w:r>
        <w:t xml:space="preserve">Counterfeit Ozempic pens have appeared in Europe and the USA, some filled with insulin or containing no drug at all; medicines regulators and the World Health Organization have issued repeated warnings. General information on gray-market products can be found in Part I and Part IV. Only the regular route is safe: a physician’s prescription and dispensing by a pharmacy.</w:t>
      </w:r>
    </w:p>
    <w:bookmarkEnd w:id="468"/>
    <w:bookmarkStart w:id="469" w:name="legal-status-3"/>
    <w:p>
      <w:pPr>
        <w:pStyle w:val="Heading3"/>
      </w:pPr>
      <w:r>
        <w:t xml:space="preserve">Legal status</w:t>
      </w:r>
    </w:p>
    <w:p>
      <w:pPr>
        <w:numPr>
          <w:ilvl w:val="0"/>
          <w:numId w:val="1057"/>
        </w:numPr>
        <w:pStyle w:val="Compact"/>
      </w:pPr>
      <w:r>
        <w:rPr>
          <w:bCs/>
          <w:b/>
        </w:rPr>
        <w:t xml:space="preserve">EU:</w:t>
      </w:r>
      <w:r>
        <w:t xml:space="preserve"> </w:t>
      </w:r>
      <w:r>
        <w:t xml:space="preserve">Ozempic (2018), Rybelsus (2020), and Wegovy (2022) are centrally authorized and prescription-only. Wegovy is approved for weight management in adults and adolescents aged 12 and older; the prescribing information now also includes information on cardiovascular risk reduction from SELECT.</w:t>
      </w:r>
    </w:p>
    <w:p>
      <w:pPr>
        <w:numPr>
          <w:ilvl w:val="0"/>
          <w:numId w:val="1057"/>
        </w:numPr>
        <w:pStyle w:val="Compact"/>
      </w:pPr>
      <w:r>
        <w:rPr>
          <w:bCs/>
          <w:b/>
        </w:rPr>
        <w:t xml:space="preserve">Germany:</w:t>
      </w:r>
      <w:r>
        <w:t xml:space="preserve"> </w:t>
      </w:r>
      <w:r>
        <w:t xml:space="preserve">Ozempic and Rybelsus are reimbursed for type 2 diabetes. Wegovy is considered a weight-reduction drug and is in principle excluded from reimbursement by statutory health insurance under Section 34 of Book V of the Social Code (SGB V); a change is being discussed politically. Prescribing Ozempic purely for weight loss is off-label and was explicitly criticized by the authorities during the shortages.</w:t>
      </w:r>
    </w:p>
    <w:p>
      <w:pPr>
        <w:numPr>
          <w:ilvl w:val="0"/>
          <w:numId w:val="1057"/>
        </w:numPr>
        <w:pStyle w:val="Compact"/>
      </w:pPr>
      <w:r>
        <w:rPr>
          <w:bCs/>
          <w:b/>
        </w:rPr>
        <w:t xml:space="preserve">Austria:</w:t>
      </w:r>
      <w:r>
        <w:t xml:space="preserve"> </w:t>
      </w:r>
      <w:r>
        <w:t xml:space="preserve">prescription-only; coverage of costs for weight management only to a limited extent (please check for current information).</w:t>
      </w:r>
    </w:p>
    <w:p>
      <w:pPr>
        <w:numPr>
          <w:ilvl w:val="0"/>
          <w:numId w:val="1057"/>
        </w:numPr>
        <w:pStyle w:val="Compact"/>
      </w:pPr>
      <w:r>
        <w:rPr>
          <w:bCs/>
          <w:b/>
        </w:rPr>
        <w:t xml:space="preserve">USA:</w:t>
      </w:r>
      <w:r>
        <w:t xml:space="preserve"> </w:t>
      </w:r>
      <w:r>
        <w:t xml:space="preserve">Ozempic, Rybelsus, and Wegovy (injection and tablet) approved, with expanded indications for the heart, kidneys, and MASH.</w:t>
      </w:r>
    </w:p>
    <w:p>
      <w:pPr>
        <w:numPr>
          <w:ilvl w:val="0"/>
          <w:numId w:val="1057"/>
        </w:numPr>
        <w:pStyle w:val="Compact"/>
      </w:pPr>
      <w:r>
        <w:rPr>
          <w:bCs/>
          <w:b/>
        </w:rPr>
        <w:t xml:space="preserve">Patents and generics:</w:t>
      </w:r>
      <w:r>
        <w:t xml:space="preserve"> </w:t>
      </w:r>
      <w:r>
        <w:t xml:space="preserve">In several large markets outside the EU and the USA – including Canada, China, India, and Brazil – patent protection for semaglutide expires in 2026; the first copycat products have been announced or are on the market there. In the EU and the USA, generics are not expected until around 2031/2032. More on this in Part V.</w:t>
      </w:r>
    </w:p>
    <w:p>
      <w:pPr>
        <w:numPr>
          <w:ilvl w:val="0"/>
          <w:numId w:val="1057"/>
        </w:numPr>
        <w:pStyle w:val="Compact"/>
      </w:pPr>
      <w:r>
        <w:rPr>
          <w:bCs/>
          <w:b/>
        </w:rPr>
        <w:t xml:space="preserve">Sport (WADA):</w:t>
      </w:r>
      <w:r>
        <w:t xml:space="preserve"> </w:t>
      </w:r>
      <w:r>
        <w:t xml:space="preserve">not listed (status as of 2026; please check for current information).</w:t>
      </w:r>
    </w:p>
    <w:bookmarkEnd w:id="469"/>
    <w:bookmarkStart w:id="475" w:name="ongoing-studies-and-outlook-3"/>
    <w:p>
      <w:pPr>
        <w:pStyle w:val="Heading3"/>
      </w:pPr>
      <w:r>
        <w:t xml:space="preserve">Ongoing studies and outlook</w:t>
      </w:r>
    </w:p>
    <w:p>
      <w:pPr>
        <w:pStyle w:val="FirstParagraph"/>
      </w:pPr>
      <w:r>
        <w:rPr>
          <w:bCs/>
          <w:b/>
        </w:rPr>
        <w:t xml:space="preserve">Established (registered studies):</w:t>
      </w:r>
      <w:r>
        <w:t xml:space="preserve"> </w:t>
      </w:r>
      <w:r>
        <w:t xml:space="preserve">Of the 793 registry entries, a large proportion concern combinations and successors. Examples:</w:t>
      </w:r>
    </w:p>
    <w:p>
      <w:pPr>
        <w:numPr>
          <w:ilvl w:val="0"/>
          <w:numId w:val="1058"/>
        </w:numPr>
        <w:pStyle w:val="Compact"/>
      </w:pPr>
      <w:r>
        <w:rPr>
          <w:bCs/>
          <w:b/>
        </w:rPr>
        <w:t xml:space="preserve">Eyes:</w:t>
      </w:r>
      <w:r>
        <w:t xml:space="preserve"> </w:t>
      </w:r>
      <w:r>
        <w:t xml:space="preserve">A study with 1,500 participants is specifically investigating the effect on diabetic retinopathy</w:t>
      </w:r>
      <w:r>
        <w:rPr>
          <w:rStyle w:val="FootnoteReference"/>
        </w:rPr>
        <w:footnoteReference w:id="470"/>
      </w:r>
      <w:r>
        <w:t xml:space="preserve">.</w:t>
      </w:r>
    </w:p>
    <w:p>
      <w:pPr>
        <w:numPr>
          <w:ilvl w:val="0"/>
          <w:numId w:val="1058"/>
        </w:numPr>
        <w:pStyle w:val="Compact"/>
      </w:pPr>
      <w:r>
        <w:rPr>
          <w:bCs/>
          <w:b/>
        </w:rPr>
        <w:t xml:space="preserve">Liver:</w:t>
      </w:r>
      <w:r>
        <w:t xml:space="preserve"> </w:t>
      </w:r>
      <w:r>
        <w:t xml:space="preserve">The second part of ESSENCE, with 1,205 participants, is intended to clarify whether semaglutide prevents liver cirrhosis and liver complications</w:t>
      </w:r>
      <w:r>
        <w:rPr>
          <w:rStyle w:val="FootnoteReference"/>
        </w:rPr>
        <w:footnoteReference w:id="471"/>
      </w:r>
      <w:r>
        <w:t xml:space="preserve">.</w:t>
      </w:r>
    </w:p>
    <w:p>
      <w:pPr>
        <w:numPr>
          <w:ilvl w:val="0"/>
          <w:numId w:val="1058"/>
        </w:numPr>
        <w:pStyle w:val="Compact"/>
      </w:pPr>
      <w:r>
        <w:rPr>
          <w:bCs/>
          <w:b/>
        </w:rPr>
        <w:t xml:space="preserve">Children:</w:t>
      </w:r>
      <w:r>
        <w:t xml:space="preserve"> </w:t>
      </w:r>
      <w:r>
        <w:t xml:space="preserve">A study with 212 children and adolescents is ongoing</w:t>
      </w:r>
      <w:r>
        <w:rPr>
          <w:rStyle w:val="FootnoteReference"/>
        </w:rPr>
        <w:footnoteReference w:id="472"/>
      </w:r>
      <w:r>
        <w:t xml:space="preserve">.</w:t>
      </w:r>
    </w:p>
    <w:p>
      <w:pPr>
        <w:numPr>
          <w:ilvl w:val="0"/>
          <w:numId w:val="1058"/>
        </w:numPr>
        <w:pStyle w:val="Compact"/>
      </w:pPr>
      <w:r>
        <w:rPr>
          <w:bCs/>
          <w:b/>
        </w:rPr>
        <w:t xml:space="preserve">Tablet:</w:t>
      </w:r>
      <w:r>
        <w:t xml:space="preserve"> </w:t>
      </w:r>
      <w:r>
        <w:t xml:space="preserve">Further phase 3 trials of the tablet in obesity have started</w:t>
      </w:r>
      <w:r>
        <w:rPr>
          <w:rStyle w:val="FootnoteReference"/>
        </w:rPr>
        <w:footnoteReference w:id="473"/>
      </w:r>
      <w:r>
        <w:t xml:space="preserve">.</w:t>
      </w:r>
    </w:p>
    <w:p>
      <w:pPr>
        <w:numPr>
          <w:ilvl w:val="0"/>
          <w:numId w:val="1058"/>
        </w:numPr>
        <w:pStyle w:val="Compact"/>
      </w:pPr>
      <w:r>
        <w:rPr>
          <w:bCs/>
          <w:b/>
        </w:rPr>
        <w:t xml:space="preserve">CagriSema combination:</w:t>
      </w:r>
      <w:r>
        <w:t xml:space="preserve"> </w:t>
      </w:r>
      <w:r>
        <w:t xml:space="preserve">Semaglutide in fixed combination with the amylin analog cagrilintide is being tested in a cardiovascular trial with 7,101 participants</w:t>
      </w:r>
      <w:r>
        <w:rPr>
          <w:rStyle w:val="FootnoteReference"/>
        </w:rPr>
        <w:footnoteReference w:id="474"/>
      </w:r>
      <w:r>
        <w:t xml:space="preserve">; details in the chapter Cagrilintide/CagriSema.</w:t>
      </w:r>
    </w:p>
    <w:p>
      <w:pPr>
        <w:pStyle w:val="FirstParagraph"/>
      </w:pPr>
      <w:r>
        <w:rPr>
          <w:bCs/>
          <w:b/>
        </w:rPr>
        <w:t xml:space="preserve">Assessment:</w:t>
      </w:r>
      <w:r>
        <w:t xml:space="preserve"> </w:t>
      </w:r>
      <w:r>
        <w:t xml:space="preserve">In the coming years, semaglutide will come under pressure from two sides – from more effective successors such as tirzepatide, CagriSema, or retatrutide, and from generics in large markets. At the same time, it is the drug with the broadest evidence base for hard endpoints (heart, kidneys, liver). The tablet form could considerably broaden access. The failed Alzheimer’s trials show that not every hope derived from animal experiments and observational data holds up.</w:t>
      </w:r>
    </w:p>
    <w:bookmarkEnd w:id="475"/>
    <w:bookmarkStart w:id="476" w:name="conclusion-3"/>
    <w:p>
      <w:pPr>
        <w:pStyle w:val="Heading3"/>
      </w:pPr>
      <w:r>
        <w:t xml:space="preserve">Conclusion</w:t>
      </w:r>
    </w:p>
    <w:p>
      <w:pPr>
        <w:pStyle w:val="FirstParagraph"/>
      </w:pPr>
      <w:r>
        <w:t xml:space="preserve">Semaglutide is the most comprehensively studied GLP-1 receptor agonist and has outperformed exenatide, liraglutide, and dulaglutide in direct comparisons. At a dose of 2.4 mg per week, people with obesity in STEP 1 lost on average 14.9% of their weight; after discontinuation, most of the weight returns. Large outcomes trials showed a reduction in major cardiovascular events – even without diabetes (SELECT, 20%) – as well as kidney protection (FLOW) and improvements in fatty liver inflammation. Common side effects affect the gastrointestinal tract and the gallbladder; rare signals such as NAION continue to be monitored, while the Alzheimer’s trials showed no benefit. Gray-market products carry considerable risks – treatment belongs in the hands of a physician and the pharmacy.</w:t>
      </w:r>
    </w:p>
    <w:bookmarkEnd w:id="476"/>
    <w:bookmarkEnd w:id="477"/>
    <w:bookmarkStart w:id="537" w:name="tirzepatide"/>
    <w:p>
      <w:pPr>
        <w:pStyle w:val="Heading2"/>
      </w:pPr>
      <w:r>
        <w:t xml:space="preserve">Tirzepatide</w:t>
      </w:r>
    </w:p>
    <w:bookmarkStart w:id="478" w:name="profile-4"/>
    <w:p>
      <w:pPr>
        <w:pStyle w:val="Heading3"/>
      </w:pPr>
      <w:r>
        <w:t xml:space="preserve">Profile</w:t>
      </w:r>
    </w:p>
    <w:p>
      <w:pPr>
        <w:numPr>
          <w:ilvl w:val="0"/>
          <w:numId w:val="1059"/>
        </w:numPr>
        <w:pStyle w:val="Compact"/>
      </w:pPr>
      <w:r>
        <w:rPr>
          <w:bCs/>
          <w:b/>
        </w:rPr>
        <w:t xml:space="preserve">Type/structure:</w:t>
      </w:r>
      <w:r>
        <w:t xml:space="preserve"> </w:t>
      </w:r>
      <w:r>
        <w:t xml:space="preserve">synthetic peptide whose backbone is modeled on the body’s own gut hormone GIP; an attached fatty acid chain binds it to albumin in the blood and extends its duration of action to the point that one injection per week is sufficient.</w:t>
      </w:r>
    </w:p>
    <w:p>
      <w:pPr>
        <w:numPr>
          <w:ilvl w:val="0"/>
          <w:numId w:val="1059"/>
        </w:numPr>
        <w:pStyle w:val="Compact"/>
      </w:pPr>
      <w:r>
        <w:rPr>
          <w:bCs/>
          <w:b/>
        </w:rPr>
        <w:t xml:space="preserve">Origin:</w:t>
      </w:r>
      <w:r>
        <w:t xml:space="preserve"> </w:t>
      </w:r>
      <w:r>
        <w:t xml:space="preserve">developed by Eli Lilly, listed under the code LY3298176 in early studies.</w:t>
      </w:r>
    </w:p>
    <w:p>
      <w:pPr>
        <w:numPr>
          <w:ilvl w:val="0"/>
          <w:numId w:val="1059"/>
        </w:numPr>
        <w:pStyle w:val="Compact"/>
      </w:pPr>
      <w:r>
        <w:rPr>
          <w:bCs/>
          <w:b/>
        </w:rPr>
        <w:t xml:space="preserve">Mechanism of action:</w:t>
      </w:r>
      <w:r>
        <w:t xml:space="preserve"> </w:t>
      </w:r>
      <w:r>
        <w:t xml:space="preserve">dual agonist (activator) at two receptors: the GIP receptor and the GLP-1 receptor. Hence also called a</w:t>
      </w:r>
      <w:r>
        <w:t xml:space="preserve"> </w:t>
      </w:r>
      <w:r>
        <w:t xml:space="preserve">“</w:t>
      </w:r>
      <w:r>
        <w:t xml:space="preserve">twincretin</w:t>
      </w:r>
      <w:r>
        <w:t xml:space="preserve">”</w:t>
      </w:r>
      <w:r>
        <w:t xml:space="preserve"> </w:t>
      </w:r>
      <w:r>
        <w:t xml:space="preserve">or</w:t>
      </w:r>
      <w:r>
        <w:t xml:space="preserve"> </w:t>
      </w:r>
      <w:r>
        <w:t xml:space="preserve">“</w:t>
      </w:r>
      <w:r>
        <w:t xml:space="preserve">dual incretin agonist.</w:t>
      </w:r>
      <w:r>
        <w:t xml:space="preserve">”</w:t>
      </w:r>
    </w:p>
    <w:p>
      <w:pPr>
        <w:numPr>
          <w:ilvl w:val="0"/>
          <w:numId w:val="1059"/>
        </w:numPr>
        <w:pStyle w:val="Compact"/>
      </w:pPr>
      <w:r>
        <w:rPr>
          <w:bCs/>
          <w:b/>
        </w:rPr>
        <w:t xml:space="preserve">EU approval:</w:t>
      </w:r>
      <w:r>
        <w:t xml:space="preserve"> </w:t>
      </w:r>
      <w:r>
        <w:t xml:space="preserve">yes (Mounjaro) for type 2 diabetes and for weight management in obesity and in overweight with comorbidities.</w:t>
      </w:r>
    </w:p>
    <w:p>
      <w:pPr>
        <w:numPr>
          <w:ilvl w:val="0"/>
          <w:numId w:val="1059"/>
        </w:numPr>
        <w:pStyle w:val="Compact"/>
      </w:pPr>
      <w:r>
        <w:rPr>
          <w:bCs/>
          <w:b/>
        </w:rPr>
        <w:t xml:space="preserve">US approval:</w:t>
      </w:r>
      <w:r>
        <w:t xml:space="preserve"> </w:t>
      </w:r>
      <w:r>
        <w:t xml:space="preserve">yes (Mounjaro for type 2 diabetes; Zepbound for obesity and for moderate to severe obstructive sleep apnea in obesity).</w:t>
      </w:r>
    </w:p>
    <w:p>
      <w:pPr>
        <w:numPr>
          <w:ilvl w:val="0"/>
          <w:numId w:val="1059"/>
        </w:numPr>
        <w:pStyle w:val="Compact"/>
      </w:pPr>
      <w:r>
        <w:rPr>
          <w:bCs/>
          <w:b/>
        </w:rPr>
        <w:t xml:space="preserve">WADA:</w:t>
      </w:r>
      <w:r>
        <w:t xml:space="preserve"> </w:t>
      </w:r>
      <w:r>
        <w:t xml:space="preserve">not on the Prohibited List.</w:t>
      </w:r>
    </w:p>
    <w:p>
      <w:pPr>
        <w:numPr>
          <w:ilvl w:val="0"/>
          <w:numId w:val="1059"/>
        </w:numPr>
        <w:pStyle w:val="Compact"/>
      </w:pPr>
      <w:r>
        <w:rPr>
          <w:bCs/>
          <w:b/>
        </w:rPr>
        <w:t xml:space="preserve">Evidence level:</w:t>
      </w:r>
      <w:r>
        <w:t xml:space="preserve"> </w:t>
      </w:r>
      <w:r>
        <w:rPr>
          <w:bCs/>
          <w:b/>
        </w:rPr>
        <w:t xml:space="preserve">A</w:t>
      </w:r>
      <w:r>
        <w:t xml:space="preserve"> </w:t>
      </w:r>
      <w:r>
        <w:t xml:space="preserve">– numerous large randomized trials, outcomes trials on the heart and heart failure, approval in many countries.</w:t>
      </w:r>
    </w:p>
    <w:bookmarkEnd w:id="478"/>
    <w:bookmarkStart w:id="482" w:name="how-it-is-supposed-to-work-4"/>
    <w:p>
      <w:pPr>
        <w:pStyle w:val="Heading3"/>
      </w:pPr>
      <w:r>
        <w:t xml:space="preserve">How it is supposed to work</w:t>
      </w:r>
    </w:p>
    <w:p>
      <w:pPr>
        <w:pStyle w:val="FirstParagraph"/>
      </w:pPr>
      <w:r>
        <w:t xml:space="preserve">After a meal, the gut releases two hormones known as incretins: GLP-1 (glucagon-like peptide-1) and GIP (glucose-dependent insulinotropic polypeptide). Both tell the pancreas</w:t>
      </w:r>
      <w:r>
        <w:t xml:space="preserve"> </w:t>
      </w:r>
      <w:r>
        <w:t xml:space="preserve">“</w:t>
      </w:r>
      <w:r>
        <w:t xml:space="preserve">food is coming</w:t>
      </w:r>
      <w:r>
        <w:t xml:space="preserve">”</w:t>
      </w:r>
      <w:r>
        <w:t xml:space="preserve"> </w:t>
      </w:r>
      <w:r>
        <w:t xml:space="preserve">and enhance insulin release – but only as long as blood sugar is elevated. This is why incretin medications on their own rarely cause hypoglycemia. GLP-1 additionally slows gastric emptying and acts on satiety centers in the brain. The role GIP plays in appetite is less clear and was long disputed; in some older papers, GIP was even regarded as more of a</w:t>
      </w:r>
      <w:r>
        <w:t xml:space="preserve"> </w:t>
      </w:r>
      <w:r>
        <w:t xml:space="preserve">“</w:t>
      </w:r>
      <w:r>
        <w:t xml:space="preserve">fattening hormone.</w:t>
      </w:r>
      <w:r>
        <w:t xml:space="preserve">”</w:t>
      </w:r>
    </w:p>
    <w:p>
      <w:pPr>
        <w:pStyle w:val="BodyText"/>
      </w:pPr>
      <w:r>
        <w:t xml:space="preserve">Tirzepatide combines both signals in a single molecule. Laboratory studies in cell lines revealed two special features</w:t>
      </w:r>
      <w:r>
        <w:rPr>
          <w:rStyle w:val="FootnoteReference"/>
        </w:rPr>
        <w:footnoteReference w:id="479"/>
      </w:r>
      <w:r>
        <w:t xml:space="preserve">: first, tirzepatide is</w:t>
      </w:r>
      <w:r>
        <w:t xml:space="preserve"> </w:t>
      </w:r>
      <w:r>
        <w:t xml:space="preserve">“</w:t>
      </w:r>
      <w:r>
        <w:t xml:space="preserve">imbalanced</w:t>
      </w:r>
      <w:r>
        <w:t xml:space="preserve">”</w:t>
      </w:r>
      <w:r>
        <w:t xml:space="preserve"> </w:t>
      </w:r>
      <w:r>
        <w:t xml:space="preserve">– at the concentrations reached with therapeutic doses, it occupies the GIP receptor more strongly than the GLP-1 receptor. Second, at the GLP-1 receptor it preferentially activates a particular signaling pathway (cAMP) and triggers less receptor internalization, in which the receptor is drawn into the cell interior and thus temporarily switched off. Whether this</w:t>
      </w:r>
      <w:r>
        <w:t xml:space="preserve"> </w:t>
      </w:r>
      <w:r>
        <w:t xml:space="preserve">“</w:t>
      </w:r>
      <w:r>
        <w:t xml:space="preserve">biased</w:t>
      </w:r>
      <w:r>
        <w:t xml:space="preserve">”</w:t>
      </w:r>
      <w:r>
        <w:t xml:space="preserve"> </w:t>
      </w:r>
      <w:r>
        <w:t xml:space="preserve">signaling plays a role in humans is a hypothesis based on laboratory data.</w:t>
      </w:r>
    </w:p>
    <w:p>
      <w:pPr>
        <w:pStyle w:val="BodyText"/>
      </w:pPr>
      <w:r>
        <w:t xml:space="preserve">In overweight mice, tirzepatide improved insulin sensitivity more than a pure GLP-1 agonist, partly independently of weight loss – mediated via the GIP receptor and better glucose uptake in adipose tissue</w:t>
      </w:r>
      <w:r>
        <w:rPr>
          <w:rStyle w:val="FootnoteReference"/>
        </w:rPr>
        <w:footnoteReference w:id="480"/>
      </w:r>
      <w:r>
        <w:t xml:space="preserve">. In humans, tirzepatide mainly reduces food intake; in a study of 117 people with type 2 diabetes, appetite, energy intake, and fat mass decreased on tirzepatide compared with placebo. In terms of appetite, however, it did not differ measurably from semaglutide, even though weight loss was greater – the authors therefore consider additional mechanisms possible</w:t>
      </w:r>
      <w:r>
        <w:rPr>
          <w:rStyle w:val="FootnoteReference"/>
        </w:rPr>
        <w:footnoteReference w:id="481"/>
      </w:r>
      <w:r>
        <w:t xml:space="preserve">.</w:t>
      </w:r>
    </w:p>
    <w:p>
      <w:pPr>
        <w:pStyle w:val="BodyText"/>
      </w:pPr>
      <w:r>
        <w:t xml:space="preserve">Put simply: tirzepatide acts like a GLP-1 medication with an additional GIP</w:t>
      </w:r>
      <w:r>
        <w:t xml:space="preserve"> </w:t>
      </w:r>
      <w:r>
        <w:t xml:space="preserve">“</w:t>
      </w:r>
      <w:r>
        <w:t xml:space="preserve">amplifier.</w:t>
      </w:r>
      <w:r>
        <w:t xml:space="preserve">”</w:t>
      </w:r>
      <w:r>
        <w:t xml:space="preserve"> </w:t>
      </w:r>
      <w:r>
        <w:t xml:space="preserve">The studies show that this package achieves more for weight and blood sugar than the pure GLP-1 agonists available previously – exactly why is not yet fully understood.</w:t>
      </w:r>
    </w:p>
    <w:bookmarkEnd w:id="482"/>
    <w:bookmarkStart w:id="515" w:name="human-studies-4"/>
    <w:p>
      <w:pPr>
        <w:pStyle w:val="Heading3"/>
      </w:pPr>
      <w:r>
        <w:t xml:space="preserve">Human studies</w:t>
      </w:r>
    </w:p>
    <w:p>
      <w:pPr>
        <w:pStyle w:val="FirstParagraph"/>
      </w:pPr>
      <w:r>
        <w:rPr>
          <w:bCs/>
          <w:b/>
        </w:rPr>
        <w:t xml:space="preserve">Scale of the evidence:</w:t>
      </w:r>
      <w:r>
        <w:t xml:space="preserve"> </w:t>
      </w:r>
      <w:r>
        <w:t xml:space="preserve">The automated PubMed query (October 2026) yielded 144 publications classified as human studies with</w:t>
      </w:r>
      <w:r>
        <w:t xml:space="preserve"> </w:t>
      </w:r>
      <w:r>
        <w:t xml:space="preserve">“</w:t>
      </w:r>
      <w:r>
        <w:t xml:space="preserve">tirzepatide</w:t>
      </w:r>
      <w:r>
        <w:t xml:space="preserve">”</w:t>
      </w:r>
      <w:r>
        <w:t xml:space="preserve"> </w:t>
      </w:r>
      <w:r>
        <w:t xml:space="preserve">in the title or abstract, plus a very large number of reviews and meta-analyses. ClinicalTrials.gov listed 307 registered studies, more than 100 of them still recruiting (an obviously fictitious sample entry from an unknown sponsor is not counted). Tirzepatide is thus among the best-studied drugs in this book. The main weight is borne by two approval programs:</w:t>
      </w:r>
      <w:r>
        <w:t xml:space="preserve"> </w:t>
      </w:r>
      <w:r>
        <w:rPr>
          <w:bCs/>
          <w:b/>
        </w:rPr>
        <w:t xml:space="preserve">SURPASS</w:t>
      </w:r>
      <w:r>
        <w:t xml:space="preserve"> </w:t>
      </w:r>
      <w:r>
        <w:t xml:space="preserve">(type 2 diabetes) and</w:t>
      </w:r>
      <w:r>
        <w:t xml:space="preserve"> </w:t>
      </w:r>
      <w:r>
        <w:rPr>
          <w:bCs/>
          <w:b/>
        </w:rPr>
        <w:t xml:space="preserve">SURMOUNT</w:t>
      </w:r>
      <w:r>
        <w:t xml:space="preserve"> </w:t>
      </w:r>
      <w:r>
        <w:t xml:space="preserve">(obesity), supplemented by studies on heart failure, sleep apnea, and fatty liver disease.</w:t>
      </w:r>
    </w:p>
    <w:bookmarkStart w:id="485" w:name="X59c196388207bb0bf5957b361a67bca9d1729a8"/>
    <w:p>
      <w:pPr>
        <w:pStyle w:val="Heading4"/>
      </w:pPr>
      <w:r>
        <w:t xml:space="preserve">From the Laboratory to the Clinic: Phase 1 and 2</w:t>
      </w:r>
    </w:p>
    <w:p>
      <w:pPr>
        <w:pStyle w:val="FirstParagraph"/>
      </w:pPr>
      <w:r>
        <w:t xml:space="preserve">The first human data come from a combined phase 1 study with 142 people who received tirzepatide, dulaglutide, or placebo. In people with type 2 diabetes, higher doses markedly lowered fasting blood sugar after four weeks; the most common side effects affected the gastrointestinal tract</w:t>
      </w:r>
      <w:r>
        <w:rPr>
          <w:rStyle w:val="FootnoteReference"/>
        </w:rPr>
        <w:footnoteReference w:id="483"/>
      </w:r>
      <w:r>
        <w:t xml:space="preserve">.</w:t>
      </w:r>
    </w:p>
    <w:p>
      <w:pPr>
        <w:pStyle w:val="BodyText"/>
      </w:pPr>
      <w:r>
        <w:t xml:space="preserve">In the phase 2 trial, 318 people with type 2 diabetes received one of four tirzepatide doses, dulaglutide, or placebo for 26 weeks. Long-term blood sugar (HbA1c) fell in a dose-dependent manner by up to 1.94 percentage points (dulaglutide: −1.21; placebo: −0.06). Body weight changed by −0.9 to −11.3 kg on tirzepatide and by −2.7 kg on dulaglutide</w:t>
      </w:r>
      <w:r>
        <w:rPr>
          <w:rStyle w:val="FootnoteReference"/>
        </w:rPr>
        <w:footnoteReference w:id="484"/>
      </w:r>
      <w:r>
        <w:t xml:space="preserve">. This magnitude of weight loss – in a diabetes trial – was the impetus for the large obesity program.</w:t>
      </w:r>
    </w:p>
    <w:bookmarkEnd w:id="485"/>
    <w:bookmarkStart w:id="491" w:name="surpass-type-2-diabetes"/>
    <w:p>
      <w:pPr>
        <w:pStyle w:val="Heading4"/>
      </w:pPr>
      <w:r>
        <w:t xml:space="preserve">SURPASS: Type 2 Diabetes</w:t>
      </w:r>
    </w:p>
    <w:p>
      <w:pPr>
        <w:pStyle w:val="FirstParagraph"/>
      </w:pPr>
      <w:r>
        <w:t xml:space="preserve">The SURPASS program tested tirzepatide at three doses (5, 10, and 15 mg per week) against placebo, against semaglutide, and against insulins. HbA1c reflects average blood sugar over the past two to three months; a value below 7% is considered the treatment target for many people with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SURPASS-1 (Rosenstock 2021), PMID 34186022</w:t>
            </w:r>
          </w:p>
        </w:tc>
        <w:tc>
          <w:tcPr/>
          <w:p>
            <w:pPr>
              <w:pStyle w:val="Compact"/>
              <w:jc w:val="left"/>
            </w:pPr>
            <w:r>
              <w:t xml:space="preserve">478 adults, diet/exercise only, vs. placebo</w:t>
            </w:r>
          </w:p>
        </w:tc>
        <w:tc>
          <w:tcPr/>
          <w:p>
            <w:pPr>
              <w:pStyle w:val="Compact"/>
              <w:jc w:val="left"/>
            </w:pPr>
            <w:r>
              <w:t xml:space="preserve">40 weeks</w:t>
            </w:r>
          </w:p>
        </w:tc>
        <w:tc>
          <w:tcPr/>
          <w:p>
            <w:pPr>
              <w:pStyle w:val="Compact"/>
              <w:jc w:val="left"/>
            </w:pPr>
            <w:r>
              <w:t xml:space="preserve">HbA1c −1.87 to −2.07 points vs. +0.04; weight −7.0 to −9.5 kg</w:t>
            </w:r>
          </w:p>
        </w:tc>
      </w:tr>
      <w:tr>
        <w:tc>
          <w:tcPr/>
          <w:p>
            <w:pPr>
              <w:pStyle w:val="Compact"/>
              <w:jc w:val="left"/>
            </w:pPr>
            <w:r>
              <w:t xml:space="preserve">SURPASS-2 (Frías 2021), PMID 34170647</w:t>
            </w:r>
          </w:p>
        </w:tc>
        <w:tc>
          <w:tcPr/>
          <w:p>
            <w:pPr>
              <w:pStyle w:val="Compact"/>
              <w:jc w:val="left"/>
            </w:pPr>
            <w:r>
              <w:t xml:space="preserve">1,879 adults on metformin, open-label vs. semaglutide 1 mg</w:t>
            </w:r>
          </w:p>
        </w:tc>
        <w:tc>
          <w:tcPr/>
          <w:p>
            <w:pPr>
              <w:pStyle w:val="Compact"/>
              <w:jc w:val="left"/>
            </w:pPr>
            <w:r>
              <w:t xml:space="preserve">40 weeks</w:t>
            </w:r>
          </w:p>
        </w:tc>
        <w:tc>
          <w:tcPr/>
          <w:p>
            <w:pPr>
              <w:pStyle w:val="Compact"/>
              <w:jc w:val="left"/>
            </w:pPr>
            <w:r>
              <w:t xml:space="preserve">HbA1c −2.01 to −2.30 vs. −1.86; additional weight −1.9 to −5.5 kg</w:t>
            </w:r>
          </w:p>
        </w:tc>
      </w:tr>
      <w:tr>
        <w:tc>
          <w:tcPr/>
          <w:p>
            <w:pPr>
              <w:pStyle w:val="Compact"/>
              <w:jc w:val="left"/>
            </w:pPr>
            <w:r>
              <w:t xml:space="preserve">SURPASS-3 (Ludvik 2021), PMID 34370970</w:t>
            </w:r>
          </w:p>
        </w:tc>
        <w:tc>
          <w:tcPr/>
          <w:p>
            <w:pPr>
              <w:pStyle w:val="Compact"/>
              <w:jc w:val="left"/>
            </w:pPr>
            <w:r>
              <w:t xml:space="preserve">1,444 adults, open-label vs. insulin degludec</w:t>
            </w:r>
          </w:p>
        </w:tc>
        <w:tc>
          <w:tcPr/>
          <w:p>
            <w:pPr>
              <w:pStyle w:val="Compact"/>
              <w:jc w:val="left"/>
            </w:pPr>
            <w:r>
              <w:t xml:space="preserve">52 weeks</w:t>
            </w:r>
          </w:p>
        </w:tc>
        <w:tc>
          <w:tcPr/>
          <w:p>
            <w:pPr>
              <w:pStyle w:val="Compact"/>
              <w:jc w:val="left"/>
            </w:pPr>
            <w:r>
              <w:t xml:space="preserve">HbA1c −1.93 to −2.37 vs. −1.34; weight −7.5 to −12.9 kg vs. +2.3 kg</w:t>
            </w:r>
          </w:p>
        </w:tc>
      </w:tr>
      <w:tr>
        <w:tc>
          <w:tcPr/>
          <w:p>
            <w:pPr>
              <w:pStyle w:val="Compact"/>
              <w:jc w:val="left"/>
            </w:pPr>
            <w:r>
              <w:t xml:space="preserve">SURPASS-4 (Del Prato 2021), PMID 34672967</w:t>
            </w:r>
          </w:p>
        </w:tc>
        <w:tc>
          <w:tcPr/>
          <w:p>
            <w:pPr>
              <w:pStyle w:val="Compact"/>
              <w:jc w:val="left"/>
            </w:pPr>
            <w:r>
              <w:t xml:space="preserve">2,002 adults with high cardiovascular risk, open-label vs. insulin glargine</w:t>
            </w:r>
          </w:p>
        </w:tc>
        <w:tc>
          <w:tcPr/>
          <w:p>
            <w:pPr>
              <w:pStyle w:val="Compact"/>
              <w:jc w:val="left"/>
            </w:pPr>
            <w:r>
              <w:t xml:space="preserve">52 to 104 weeks</w:t>
            </w:r>
          </w:p>
        </w:tc>
        <w:tc>
          <w:tcPr/>
          <w:p>
            <w:pPr>
              <w:pStyle w:val="Compact"/>
              <w:jc w:val="left"/>
            </w:pPr>
            <w:r>
              <w:t xml:space="preserve">HbA1c −2.43/−2.58 vs. −1.44; MACE-4 not increased (HR 0.74)</w:t>
            </w:r>
          </w:p>
        </w:tc>
      </w:tr>
      <w:tr>
        <w:tc>
          <w:tcPr/>
          <w:p>
            <w:pPr>
              <w:pStyle w:val="Compact"/>
              <w:jc w:val="left"/>
            </w:pPr>
            <w:r>
              <w:t xml:space="preserve">SURPASS-5 (Dahl 2022), PMID 35133415</w:t>
            </w:r>
          </w:p>
        </w:tc>
        <w:tc>
          <w:tcPr/>
          <w:p>
            <w:pPr>
              <w:pStyle w:val="Compact"/>
              <w:jc w:val="left"/>
            </w:pPr>
            <w:r>
              <w:t xml:space="preserve">475 adults on insulin glargine, vs. placebo</w:t>
            </w:r>
          </w:p>
        </w:tc>
        <w:tc>
          <w:tcPr/>
          <w:p>
            <w:pPr>
              <w:pStyle w:val="Compact"/>
              <w:jc w:val="left"/>
            </w:pPr>
            <w:r>
              <w:t xml:space="preserve">40 weeks</w:t>
            </w:r>
          </w:p>
        </w:tc>
        <w:tc>
          <w:tcPr/>
          <w:p>
            <w:pPr>
              <w:pStyle w:val="Compact"/>
              <w:jc w:val="left"/>
            </w:pPr>
            <w:r>
              <w:t xml:space="preserve">HbA1c −2.11 to −2.40 vs. −0.86; weight −5.4 to −8.8 kg vs. +1.6 kg</w:t>
            </w:r>
          </w:p>
        </w:tc>
      </w:tr>
      <w:tr>
        <w:tc>
          <w:tcPr/>
          <w:p>
            <w:pPr>
              <w:pStyle w:val="Compact"/>
              <w:jc w:val="left"/>
            </w:pPr>
            <w:r>
              <w:t xml:space="preserve">SURPASS-PEDS (Hannon 2025), PMID 40975112</w:t>
            </w:r>
          </w:p>
        </w:tc>
        <w:tc>
          <w:tcPr/>
          <w:p>
            <w:pPr>
              <w:pStyle w:val="Compact"/>
              <w:jc w:val="left"/>
            </w:pPr>
            <w:r>
              <w:t xml:space="preserve">99 adolescents (10–17 years) with type 2 diabetes, vs. placebo</w:t>
            </w:r>
          </w:p>
        </w:tc>
        <w:tc>
          <w:tcPr/>
          <w:p>
            <w:pPr>
              <w:pStyle w:val="Compact"/>
              <w:jc w:val="left"/>
            </w:pPr>
            <w:r>
              <w:t xml:space="preserve">30 weeks (+22 open-label)</w:t>
            </w:r>
          </w:p>
        </w:tc>
        <w:tc>
          <w:tcPr/>
          <w:p>
            <w:pPr>
              <w:pStyle w:val="Compact"/>
              <w:jc w:val="left"/>
            </w:pPr>
            <w:r>
              <w:t xml:space="preserve">HbA1c −2.23 vs. +0.05; BMI −7.4 to −11.2%</w:t>
            </w:r>
          </w:p>
        </w:tc>
      </w:tr>
    </w:tbl>
    <w:p>
      <w:pPr>
        <w:pStyle w:val="BodyText"/>
      </w:pPr>
      <w:r>
        <w:t xml:space="preserve">Several points deserve emphasis:</w:t>
      </w:r>
    </w:p>
    <w:p>
      <w:pPr>
        <w:numPr>
          <w:ilvl w:val="0"/>
          <w:numId w:val="1060"/>
        </w:numPr>
        <w:pStyle w:val="Compact"/>
      </w:pPr>
      <w:r>
        <w:rPr>
          <w:bCs/>
          <w:b/>
        </w:rPr>
        <w:t xml:space="preserve">In the direct comparison with semaglutide</w:t>
      </w:r>
      <w:r>
        <w:t xml:space="preserve"> </w:t>
      </w:r>
      <w:r>
        <w:t xml:space="preserve">(SURPASS-2), tirzepatide was noninferior and superior for HbA1c at all three doses. However, the trial used semaglutide at a dose of 1 mg; the higher diabetes dose approved later was not the comparator. The frequency of nausea (17–22% vs. 18%) and vomiting (6–10% vs. 8%) was similar; serious adverse events occurred in 5–7% on tirzepatide compared with 3% on semaglutide</w:t>
      </w:r>
      <w:r>
        <w:rPr>
          <w:rStyle w:val="FootnoteReference"/>
        </w:rPr>
        <w:footnoteReference w:id="486"/>
      </w:r>
      <w:r>
        <w:t xml:space="preserve">.</w:t>
      </w:r>
    </w:p>
    <w:p>
      <w:pPr>
        <w:numPr>
          <w:ilvl w:val="0"/>
          <w:numId w:val="1060"/>
        </w:numPr>
        <w:pStyle w:val="Compact"/>
      </w:pPr>
      <w:r>
        <w:rPr>
          <w:bCs/>
          <w:b/>
        </w:rPr>
        <w:t xml:space="preserve">Compared with insulin</w:t>
      </w:r>
      <w:r>
        <w:t xml:space="preserve">, tirzepatide led to greater blood sugar reduction and at the same time to weight loss instead of weight gain. Hypoglycemia (below 54 mg/dl or severe) was considerably less frequent in SURPASS-3: 1–2% versus 7% on insulin degludec</w:t>
      </w:r>
      <w:r>
        <w:rPr>
          <w:rStyle w:val="FootnoteReference"/>
        </w:rPr>
        <w:footnoteReference w:id="487"/>
      </w:r>
      <w:r>
        <w:t xml:space="preserve">.</w:t>
      </w:r>
    </w:p>
    <w:p>
      <w:pPr>
        <w:numPr>
          <w:ilvl w:val="0"/>
          <w:numId w:val="1060"/>
        </w:numPr>
        <w:pStyle w:val="Compact"/>
      </w:pPr>
      <w:r>
        <w:rPr>
          <w:bCs/>
          <w:b/>
        </w:rPr>
        <w:t xml:space="preserve">Children and adolescents:</w:t>
      </w:r>
      <w:r>
        <w:t xml:space="preserve"> </w:t>
      </w:r>
      <w:r>
        <w:t xml:space="preserve">SURPASS-PEDS is one of the few incretin trials in youth-onset type 2 diabetes. The effect was maintained in the open-label extension up to week 52; the side effect profile corresponded to that in adults</w:t>
      </w:r>
      <w:r>
        <w:rPr>
          <w:rStyle w:val="FootnoteReference"/>
        </w:rPr>
        <w:footnoteReference w:id="488"/>
      </w:r>
      <w:r>
        <w:t xml:space="preserve">.</w:t>
      </w:r>
    </w:p>
    <w:p>
      <w:pPr>
        <w:numPr>
          <w:ilvl w:val="0"/>
          <w:numId w:val="1060"/>
        </w:numPr>
        <w:pStyle w:val="Compact"/>
      </w:pPr>
      <w:r>
        <w:rPr>
          <w:bCs/>
          <w:b/>
        </w:rPr>
        <w:t xml:space="preserve">Type 1 diabetes:</w:t>
      </w:r>
      <w:r>
        <w:t xml:space="preserve"> </w:t>
      </w:r>
      <w:r>
        <w:t xml:space="preserve">A small phase 2 trial with 24 adults with type 1 diabetes and obesity showed weight loss of 10.3 kg versus 0.7 kg on placebo after twelve weeks and a 35% lower insulin requirement</w:t>
      </w:r>
      <w:r>
        <w:rPr>
          <w:rStyle w:val="FootnoteReference"/>
        </w:rPr>
        <w:footnoteReference w:id="489"/>
      </w:r>
      <w:r>
        <w:t xml:space="preserve">. Tirzepatide is not approved for type 1 diabetes; larger trials are ongoing (see Outlook).</w:t>
      </w:r>
    </w:p>
    <w:p>
      <w:pPr>
        <w:pStyle w:val="FirstParagraph"/>
      </w:pPr>
      <w:r>
        <w:t xml:space="preserve">A prespecified meta-analysis of all seven SURPASS trials lasting at least 26 weeks (4,887 people on tirzepatide, 2,328 in control groups) found no increased risk of major cardiovascular events (MACE-4, hazard ratio 0.80; 95% confidence interval 0.57–1.11)</w:t>
      </w:r>
      <w:r>
        <w:rPr>
          <w:rStyle w:val="FootnoteReference"/>
        </w:rPr>
        <w:footnoteReference w:id="490"/>
      </w:r>
      <w:r>
        <w:t xml:space="preserve">. This is a statement about safety, not benefit – for that, the outcomes trial SURPASS-CVOT was needed.</w:t>
      </w:r>
    </w:p>
    <w:bookmarkEnd w:id="491"/>
    <w:bookmarkStart w:id="495" w:name="surpass-cvot-cardiovascular-endpoints"/>
    <w:p>
      <w:pPr>
        <w:pStyle w:val="Heading4"/>
      </w:pPr>
      <w:r>
        <w:t xml:space="preserve">SURPASS-CVOT: Cardiovascular Endpoints</w:t>
      </w:r>
    </w:p>
    <w:p>
      <w:pPr>
        <w:pStyle w:val="FirstParagraph"/>
      </w:pPr>
      <w:r>
        <w:t xml:space="preserve">For diabetes medications, the authorities require proof that they do not endanger the heart. SURPASS-CVOT went one step further: instead of placebo, tirzepatide competed against dulaglutide, a GLP-1 medication that had itself reduced cardiovascular events in the REWIND trial. 13,299 people with type 2 diabetes and established atherosclerotic disease were randomized; 13,165 were analyzed</w:t>
      </w:r>
      <w:r>
        <w:rPr>
          <w:rStyle w:val="FootnoteReference"/>
        </w:rPr>
        <w:footnoteReference w:id="492"/>
      </w:r>
      <w:r>
        <w:t xml:space="preserve">.</w:t>
      </w:r>
    </w:p>
    <w:p>
      <w:pPr>
        <w:pStyle w:val="BodyText"/>
      </w:pPr>
      <w:r>
        <w:t xml:space="preserve">The primary endpoint – cardiovascular death, myocardial infarction, or stroke – occurred in 801 people (12.2%) on tirzepatide and in 862 (13.1%) on dulaglutide (hazard ratio 0.92; 95.3% CI 0.83–1.01). Tirzepatide was thus</w:t>
      </w:r>
      <w:r>
        <w:t xml:space="preserve"> </w:t>
      </w:r>
      <w:r>
        <w:rPr>
          <w:bCs/>
          <w:b/>
        </w:rPr>
        <w:t xml:space="preserve">noninferior</w:t>
      </w:r>
      <w:r>
        <w:t xml:space="preserve">; formal superiority was narrowly missed (p = 0.09). Gastrointestinal side effects were more frequent on tirzepatide.</w:t>
      </w:r>
    </w:p>
    <w:p>
      <w:pPr>
        <w:pStyle w:val="BodyText"/>
      </w:pPr>
      <w:r>
        <w:t xml:space="preserve">A post hoc analysis using a broader endpoint of six components – death from any cause, myocardial infarction, stroke, revascularization, hospitalization for heart failure, and kidney events – found events in 23.7% versus 27.4% after a median treatment duration of almost four years (hazard ratio 0.84; 95% CI 0.79–0.90)</w:t>
      </w:r>
      <w:r>
        <w:rPr>
          <w:rStyle w:val="FootnoteReference"/>
        </w:rPr>
        <w:footnoteReference w:id="493"/>
      </w:r>
      <w:r>
        <w:t xml:space="preserve">. Post hoc analyses are hypothesis-generating; they cannot replace a prespecified primary analysis.</w:t>
      </w:r>
    </w:p>
    <w:p>
      <w:pPr>
        <w:pStyle w:val="BodyText"/>
      </w:pPr>
      <w:r>
        <w:t xml:space="preserve">How large the benefit would be compared with</w:t>
      </w:r>
      <w:r>
        <w:t xml:space="preserve"> </w:t>
      </w:r>
      <w:r>
        <w:rPr>
          <w:iCs/>
          <w:i/>
        </w:rPr>
        <w:t xml:space="preserve">no</w:t>
      </w:r>
      <w:r>
        <w:t xml:space="preserve"> </w:t>
      </w:r>
      <w:r>
        <w:t xml:space="preserve">treatment cannot be read directly from a comparison against an effective medication. A prespecified but indirect analysis calculated a</w:t>
      </w:r>
      <w:r>
        <w:t xml:space="preserve"> </w:t>
      </w:r>
      <w:r>
        <w:t xml:space="preserve">“</w:t>
      </w:r>
      <w:r>
        <w:t xml:space="preserve">placebo arm</w:t>
      </w:r>
      <w:r>
        <w:t xml:space="preserve">”</w:t>
      </w:r>
      <w:r>
        <w:t xml:space="preserve"> </w:t>
      </w:r>
      <w:r>
        <w:t xml:space="preserve">from the data of the REWIND trial and arrived at a hazard ratio of 0.72 (95% CI 0.55–0.94) for tirzepatide versus this calculated placebo for cardiovascular death, myocardial infarction, or stroke</w:t>
      </w:r>
      <w:r>
        <w:rPr>
          <w:rStyle w:val="FootnoteReference"/>
        </w:rPr>
        <w:footnoteReference w:id="494"/>
      </w:r>
      <w:r>
        <w:t xml:space="preserve">. Such model calculations are based on assumptions and do not replace a genuine placebo comparison.</w:t>
      </w:r>
    </w:p>
    <w:bookmarkEnd w:id="495"/>
    <w:bookmarkStart w:id="501" w:name="surmount-obesity"/>
    <w:p>
      <w:pPr>
        <w:pStyle w:val="Heading4"/>
      </w:pPr>
      <w:r>
        <w:t xml:space="preserve">SURMOUNT: Obesity</w:t>
      </w:r>
    </w:p>
    <w:p>
      <w:pPr>
        <w:pStyle w:val="FirstParagraph"/>
      </w:pPr>
      <w:r>
        <w:t xml:space="preserve">In the obesity program, tirzepatide was studied in people with a body mass index (BMI) of 30 or higher, or 27 or higher plus a comorbidity, always in addition to diet and exercise counseling.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SURMOUNT-1 (Jastreboff 2022), PMID 35658024</w:t>
            </w:r>
          </w:p>
        </w:tc>
        <w:tc>
          <w:tcPr/>
          <w:p>
            <w:pPr>
              <w:pStyle w:val="Compact"/>
              <w:jc w:val="left"/>
            </w:pPr>
            <w:r>
              <w:t xml:space="preserve">2,539 adults without diabetes, vs. placebo</w:t>
            </w:r>
          </w:p>
        </w:tc>
        <w:tc>
          <w:tcPr/>
          <w:p>
            <w:pPr>
              <w:pStyle w:val="Compact"/>
              <w:jc w:val="left"/>
            </w:pPr>
            <w:r>
              <w:t xml:space="preserve">72 weeks</w:t>
            </w:r>
          </w:p>
        </w:tc>
        <w:tc>
          <w:tcPr/>
          <w:p>
            <w:pPr>
              <w:pStyle w:val="Compact"/>
              <w:jc w:val="left"/>
            </w:pPr>
            <w:r>
              <w:t xml:space="preserve">−15.0 / −19.5 / −20.9% weight (5/10/15 mg) vs. −3.1%</w:t>
            </w:r>
          </w:p>
        </w:tc>
      </w:tr>
      <w:tr>
        <w:tc>
          <w:tcPr/>
          <w:p>
            <w:pPr>
              <w:pStyle w:val="Compact"/>
              <w:jc w:val="left"/>
            </w:pPr>
            <w:r>
              <w:t xml:space="preserve">SURMOUNT-2 (Garvey 2023), PMID 37385275</w:t>
            </w:r>
          </w:p>
        </w:tc>
        <w:tc>
          <w:tcPr/>
          <w:p>
            <w:pPr>
              <w:pStyle w:val="Compact"/>
              <w:jc w:val="left"/>
            </w:pPr>
            <w:r>
              <w:t xml:space="preserve">938 adults with type 2 diabetes, vs. placebo</w:t>
            </w:r>
          </w:p>
        </w:tc>
        <w:tc>
          <w:tcPr/>
          <w:p>
            <w:pPr>
              <w:pStyle w:val="Compact"/>
              <w:jc w:val="left"/>
            </w:pPr>
            <w:r>
              <w:t xml:space="preserve">72 weeks</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adults after a successful 12-week lifestyle intervention</w:t>
            </w:r>
          </w:p>
        </w:tc>
        <w:tc>
          <w:tcPr/>
          <w:p>
            <w:pPr>
              <w:pStyle w:val="Compact"/>
              <w:jc w:val="left"/>
            </w:pPr>
            <w:r>
              <w:t xml:space="preserve">72 weeks</w:t>
            </w:r>
          </w:p>
        </w:tc>
        <w:tc>
          <w:tcPr/>
          <w:p>
            <w:pPr>
              <w:pStyle w:val="Compact"/>
              <w:jc w:val="left"/>
            </w:pPr>
            <w:r>
              <w:t xml:space="preserve">additional −18.4% vs. +2.5%</w:t>
            </w:r>
          </w:p>
        </w:tc>
      </w:tr>
      <w:tr>
        <w:tc>
          <w:tcPr/>
          <w:p>
            <w:pPr>
              <w:pStyle w:val="Compact"/>
              <w:jc w:val="left"/>
            </w:pPr>
            <w:r>
              <w:t xml:space="preserve">SURMOUNT-4 (Aronne 2024), PMID 38078870</w:t>
            </w:r>
          </w:p>
        </w:tc>
        <w:tc>
          <w:tcPr/>
          <w:p>
            <w:pPr>
              <w:pStyle w:val="Compact"/>
              <w:jc w:val="left"/>
            </w:pPr>
            <w:r>
              <w:t xml:space="preserve">670 adults after 36 weeks of tirzepatide, continuation vs. discontinuation</w:t>
            </w:r>
          </w:p>
        </w:tc>
        <w:tc>
          <w:tcPr/>
          <w:p>
            <w:pPr>
              <w:pStyle w:val="Compact"/>
              <w:jc w:val="left"/>
            </w:pPr>
            <w:r>
              <w:t xml:space="preserve">52 weeks (after lead-in)</w:t>
            </w:r>
          </w:p>
        </w:tc>
        <w:tc>
          <w:tcPr/>
          <w:p>
            <w:pPr>
              <w:pStyle w:val="Compact"/>
              <w:jc w:val="left"/>
            </w:pPr>
            <w:r>
              <w:t xml:space="preserve">−5.5% continued vs. +14.0% regain</w:t>
            </w:r>
          </w:p>
        </w:tc>
      </w:tr>
      <w:tr>
        <w:tc>
          <w:tcPr/>
          <w:p>
            <w:pPr>
              <w:pStyle w:val="Compact"/>
              <w:jc w:val="left"/>
            </w:pPr>
            <w:r>
              <w:t xml:space="preserve">SURMOUNT-5 (Aronne 2025), PMID 40353578</w:t>
            </w:r>
          </w:p>
        </w:tc>
        <w:tc>
          <w:tcPr/>
          <w:p>
            <w:pPr>
              <w:pStyle w:val="Compact"/>
              <w:jc w:val="left"/>
            </w:pPr>
            <w:r>
              <w:t xml:space="preserve">751 adults without diabetes, open-label vs. semaglutide 2.4 mg</w:t>
            </w:r>
          </w:p>
        </w:tc>
        <w:tc>
          <w:tcPr/>
          <w:p>
            <w:pPr>
              <w:pStyle w:val="Compact"/>
              <w:jc w:val="left"/>
            </w:pPr>
            <w:r>
              <w:t xml:space="preserve">72 weeks</w:t>
            </w:r>
          </w:p>
        </w:tc>
        <w:tc>
          <w:tcPr/>
          <w:p>
            <w:pPr>
              <w:pStyle w:val="Compact"/>
              <w:jc w:val="left"/>
            </w:pPr>
            <w:r>
              <w:t xml:space="preserve">−20.2% vs. −13.7%</w:t>
            </w:r>
          </w:p>
        </w:tc>
      </w:tr>
      <w:tr>
        <w:tc>
          <w:tcPr/>
          <w:p>
            <w:pPr>
              <w:pStyle w:val="Compact"/>
              <w:jc w:val="left"/>
            </w:pPr>
            <w:r>
              <w:t xml:space="preserve">SURMOUNT-1, 3-year data (Jastreboff 2025), PMID 39536238</w:t>
            </w:r>
          </w:p>
        </w:tc>
        <w:tc>
          <w:tcPr/>
          <w:p>
            <w:pPr>
              <w:pStyle w:val="Compact"/>
              <w:jc w:val="left"/>
            </w:pPr>
            <w:r>
              <w:t xml:space="preserve">1,032 adults with obesity and prediabetes</w:t>
            </w:r>
          </w:p>
        </w:tc>
        <w:tc>
          <w:tcPr/>
          <w:p>
            <w:pPr>
              <w:pStyle w:val="Compact"/>
              <w:jc w:val="left"/>
            </w:pPr>
            <w:r>
              <w:t xml:space="preserve">176 weeks</w:t>
            </w:r>
          </w:p>
        </w:tc>
        <w:tc>
          <w:tcPr/>
          <w:p>
            <w:pPr>
              <w:pStyle w:val="Compact"/>
              <w:jc w:val="left"/>
            </w:pPr>
            <w:r>
              <w:t xml:space="preserve">−12.3 to −19.7% vs. −1.3%; type 2 diabetes 1.3% vs. 13.3%</w:t>
            </w:r>
          </w:p>
        </w:tc>
      </w:tr>
    </w:tbl>
    <w:p>
      <w:pPr>
        <w:pStyle w:val="BodyText"/>
      </w:pPr>
      <w:r>
        <w:rPr>
          <w:bCs/>
          <w:b/>
        </w:rPr>
        <w:t xml:space="preserve">SURMOUNT-1</w:t>
      </w:r>
      <w:r>
        <w:t xml:space="preserve"> </w:t>
      </w:r>
      <w:r>
        <w:t xml:space="preserve">was the trial that made tirzepatide known as an obesity medication. With an average baseline weight of 104.8 kg, participants at the highest dose lost on average 20.9% of their body weight. 57% in the 15 mg group achieved at least 20% weight loss, compared with 3% on placebo. Because of side effects, 4.3–7.1% on tirzepatide and 2.6% on placebo discontinued treatment</w:t>
      </w:r>
      <w:r>
        <w:rPr>
          <w:rStyle w:val="FootnoteReference"/>
        </w:rPr>
        <w:footnoteReference w:id="496"/>
      </w:r>
      <w:r>
        <w:t xml:space="preserve">.</w:t>
      </w:r>
    </w:p>
    <w:p>
      <w:pPr>
        <w:pStyle w:val="BodyText"/>
      </w:pPr>
      <w:r>
        <w:rPr>
          <w:bCs/>
          <w:b/>
        </w:rPr>
        <w:t xml:space="preserve">People with type 2 diabetes</w:t>
      </w:r>
      <w:r>
        <w:t xml:space="preserve"> </w:t>
      </w:r>
      <w:r>
        <w:t xml:space="preserve">lose less weight than people without diabetes with all incretin medications. SURMOUNT-2 showed this as well: the difference from placebo was 9.6 and 11.6 percentage points, respectively</w:t>
      </w:r>
      <w:r>
        <w:rPr>
          <w:rStyle w:val="FootnoteReference"/>
        </w:rPr>
        <w:footnoteReference w:id="497"/>
      </w:r>
      <w:r>
        <w:t xml:space="preserve">.</w:t>
      </w:r>
    </w:p>
    <w:p>
      <w:pPr>
        <w:pStyle w:val="BodyText"/>
      </w:pPr>
      <w:r>
        <w:rPr>
          <w:bCs/>
          <w:b/>
        </w:rPr>
        <w:t xml:space="preserve">What happens after discontinuation?</w:t>
      </w:r>
      <w:r>
        <w:t xml:space="preserve"> </w:t>
      </w:r>
      <w:r>
        <w:t xml:space="preserve">SURMOUNT-4 answered this question with a randomized withdrawal design: all participants first received tirzepatide for 36 weeks and lost on average 20.9%. Then it was determined by lot who would continue to receive tirzepatide and who would unknowingly receive placebo. Over the following 52 weeks, the placebo group regained 14.0%, while the tirzepatide group lost a further 5.5%. Over the entire study period, weight loss was 25.3% versus 9.9%</w:t>
      </w:r>
      <w:r>
        <w:rPr>
          <w:rStyle w:val="FootnoteReference"/>
        </w:rPr>
        <w:footnoteReference w:id="498"/>
      </w:r>
      <w:r>
        <w:t xml:space="preserve">. The authors’ message: obesity behaves like a chronic disease whose treatment usually has to be long term.</w:t>
      </w:r>
    </w:p>
    <w:p>
      <w:pPr>
        <w:pStyle w:val="BodyText"/>
      </w:pPr>
      <w:r>
        <w:rPr>
          <w:bCs/>
          <w:b/>
        </w:rPr>
        <w:t xml:space="preserve">Lower maintenance dose:</w:t>
      </w:r>
      <w:r>
        <w:t xml:space="preserve"> </w:t>
      </w:r>
      <w:r>
        <w:t xml:space="preserve">Whether one can switch to a lower dose after losing weight was investigated in SURMOUNT-MAINTAIN with 378 randomized people in the USA. After 60 weeks at the maximum dose, they were allocated to three groups. At week 112, weight loss since baseline was −21.9% (maximum dose continued), −16.6% (reduction to 5 mg), and −9.9% (placebo). Rescue therapy because of a regain of at least 50% was needed by 8%, 25%, and 67%, respectively</w:t>
      </w:r>
      <w:r>
        <w:rPr>
          <w:rStyle w:val="FootnoteReference"/>
        </w:rPr>
        <w:footnoteReference w:id="499"/>
      </w:r>
      <w:r>
        <w:t xml:space="preserve">. Dose reduction is therefore an intermediate solution with very variable individual success.</w:t>
      </w:r>
    </w:p>
    <w:p>
      <w:pPr>
        <w:pStyle w:val="BodyText"/>
      </w:pPr>
      <w:r>
        <w:rPr>
          <w:bCs/>
          <w:b/>
        </w:rPr>
        <w:t xml:space="preserve">Diabetes prevention:</w:t>
      </w:r>
      <w:r>
        <w:t xml:space="preserve"> </w:t>
      </w:r>
      <w:r>
        <w:t xml:space="preserve">In the three-year analysis of SURMOUNT-1 in people with prediabetes (a precursor of diabetes), 1.3% on tirzepatide and 13.3% on placebo developed type 2 diabetes. Even 17 weeks after discontinuation, the difference remained marked (2.4% vs. 13.7%). No new safety signals emerged during these three years</w:t>
      </w:r>
      <w:r>
        <w:rPr>
          <w:rStyle w:val="FootnoteReference"/>
        </w:rPr>
        <w:footnoteReference w:id="500"/>
      </w:r>
      <w:r>
        <w:t xml:space="preserve">.</w:t>
      </w:r>
    </w:p>
    <w:bookmarkEnd w:id="501"/>
    <w:bookmarkStart w:id="504" w:name="X96f7523afffc9ebde65080465f8509ac16dcdf8"/>
    <w:p>
      <w:pPr>
        <w:pStyle w:val="Heading4"/>
      </w:pPr>
      <w:r>
        <w:t xml:space="preserve">SURMOUNT-5: Tirzepatide Versus Semaglutide</w:t>
      </w:r>
    </w:p>
    <w:p>
      <w:pPr>
        <w:pStyle w:val="FirstParagraph"/>
      </w:pPr>
      <w:r>
        <w:t xml:space="preserve">The direct comparison in obesity without diabetes that many had been waiting for was delivered by SURMOUNT-5</w:t>
      </w:r>
      <w:r>
        <w:rPr>
          <w:rStyle w:val="FootnoteReference"/>
        </w:rPr>
        <w:footnoteReference w:id="502"/>
      </w:r>
      <w:r>
        <w:t xml:space="preserve">. 751 adults received, open-label (i.e., without blinding), the highest tolerated dose of either tirzepatide (10 or 15 mg) or semaglutide (1.7 or 2.4 mg). After 72 weeks:</w:t>
      </w:r>
    </w:p>
    <w:p>
      <w:pPr>
        <w:numPr>
          <w:ilvl w:val="0"/>
          <w:numId w:val="1061"/>
        </w:numPr>
        <w:pStyle w:val="Compact"/>
      </w:pPr>
      <w:r>
        <w:t xml:space="preserve">Weight change: −20.2% with tirzepatide versus −13.7% with semaglutide.</w:t>
      </w:r>
    </w:p>
    <w:p>
      <w:pPr>
        <w:numPr>
          <w:ilvl w:val="0"/>
          <w:numId w:val="1061"/>
        </w:numPr>
        <w:pStyle w:val="Compact"/>
      </w:pPr>
      <w:r>
        <w:t xml:space="preserve">Waist circumference: −18.4 cm versus −13.0 cm.</w:t>
      </w:r>
    </w:p>
    <w:p>
      <w:pPr>
        <w:numPr>
          <w:ilvl w:val="0"/>
          <w:numId w:val="1061"/>
        </w:numPr>
        <w:pStyle w:val="Compact"/>
      </w:pPr>
      <w:r>
        <w:t xml:space="preserve">More participants on tirzepatide reached each of the thresholds of 10, 15, 20, and 25%.</w:t>
      </w:r>
    </w:p>
    <w:p>
      <w:pPr>
        <w:numPr>
          <w:ilvl w:val="0"/>
          <w:numId w:val="1061"/>
        </w:numPr>
        <w:pStyle w:val="Compact"/>
      </w:pPr>
      <w:r>
        <w:t xml:space="preserve">Side effects in both groups were predominantly gastrointestinal complaints, mostly mild to moderate and mainly during the dose-escalation phase.</w:t>
      </w:r>
    </w:p>
    <w:p>
      <w:pPr>
        <w:pStyle w:val="FirstParagraph"/>
      </w:pPr>
      <w:r>
        <w:t xml:space="preserve">A follow-up analysis showed that 44% on tirzepatide and 21% on semaglutide had already lost at least 15% by week 24 (</w:t>
      </w:r>
      <w:r>
        <w:t xml:space="preserve">“</w:t>
      </w:r>
      <w:r>
        <w:t xml:space="preserve">early responders</w:t>
      </w:r>
      <w:r>
        <w:t xml:space="preserve">”</w:t>
      </w:r>
      <w:r>
        <w:t xml:space="preserve">). These had somewhat more gastrointestinal and biliary events but did not discontinue treatment more often</w:t>
      </w:r>
      <w:r>
        <w:rPr>
          <w:rStyle w:val="FootnoteReference"/>
        </w:rPr>
        <w:footnoteReference w:id="503"/>
      </w:r>
      <w:r>
        <w:t xml:space="preserve">.</w:t>
      </w:r>
    </w:p>
    <w:p>
      <w:pPr>
        <w:pStyle w:val="BodyText"/>
      </w:pPr>
      <w:r>
        <w:t xml:space="preserve">For context: SURMOUNT-5 was funded by the manufacturer of tirzepatide and conducted open-label. Nevertheless, the difference is large enough that it can hardly be explained by these limitations alone. A comparison of all GLP-1 medications can be found in Part III.</w:t>
      </w:r>
    </w:p>
    <w:bookmarkEnd w:id="504"/>
    <w:bookmarkStart w:id="507" w:name="heart-failure-summit"/>
    <w:p>
      <w:pPr>
        <w:pStyle w:val="Heading4"/>
      </w:pPr>
      <w:r>
        <w:t xml:space="preserve">Heart Failure: SUMMIT</w:t>
      </w:r>
    </w:p>
    <w:p>
      <w:pPr>
        <w:pStyle w:val="FirstParagraph"/>
      </w:pPr>
      <w:r>
        <w:t xml:space="preserve">Heart failure with preserved ejection fraction (HFpEF) is a common form of heart failure in which the heart pumps out normally but fills poorly. Obesity is an important driver. In SUMMIT, 731 people with HFpEF and a BMI of 30 or higher were randomized to tirzepatide or placebo and followed for a median of 104 weeks</w:t>
      </w:r>
      <w:r>
        <w:rPr>
          <w:rStyle w:val="FootnoteReference"/>
        </w:rPr>
        <w:footnoteReference w:id="505"/>
      </w:r>
      <w:r>
        <w:t xml:space="preserve">.</w:t>
      </w:r>
    </w:p>
    <w:p>
      <w:pPr>
        <w:numPr>
          <w:ilvl w:val="0"/>
          <w:numId w:val="1062"/>
        </w:numPr>
        <w:pStyle w:val="Compact"/>
      </w:pPr>
      <w:r>
        <w:t xml:space="preserve">Cardiovascular death or worsening heart failure: 9.9% on tirzepatide vs. 15.3% on placebo (hazard ratio 0.62; 95% CI 0.41–0.95).</w:t>
      </w:r>
    </w:p>
    <w:p>
      <w:pPr>
        <w:numPr>
          <w:ilvl w:val="0"/>
          <w:numId w:val="1062"/>
        </w:numPr>
        <w:pStyle w:val="Compact"/>
      </w:pPr>
      <w:r>
        <w:t xml:space="preserve">This difference was due to fewer worsening events (8.0% vs. 14.2%). Cardiovascular deaths were rare and numerically even somewhat more frequent on tirzepatide (2.2% vs. 1.4%), with a very wide range of uncertainty.</w:t>
      </w:r>
    </w:p>
    <w:p>
      <w:pPr>
        <w:numPr>
          <w:ilvl w:val="0"/>
          <w:numId w:val="1062"/>
        </w:numPr>
        <w:pStyle w:val="Compact"/>
      </w:pPr>
      <w:r>
        <w:t xml:space="preserve">Quality of life (KCCQ questionnaire) improved more: +19.5 versus +12.7 points.</w:t>
      </w:r>
    </w:p>
    <w:p>
      <w:pPr>
        <w:numPr>
          <w:ilvl w:val="0"/>
          <w:numId w:val="1062"/>
        </w:numPr>
        <w:pStyle w:val="Compact"/>
      </w:pPr>
      <w:r>
        <w:t xml:space="preserve">Discontinuations because of side effects: 6.3% vs. 1.4%.</w:t>
      </w:r>
    </w:p>
    <w:p>
      <w:pPr>
        <w:pStyle w:val="FirstParagraph"/>
      </w:pPr>
      <w:r>
        <w:t xml:space="preserve">A cardiac MRI substudy showed a reduction in left ventricular muscle mass and in the fat tissue around the heart</w:t>
      </w:r>
      <w:r>
        <w:rPr>
          <w:rStyle w:val="FootnoteReference"/>
        </w:rPr>
        <w:footnoteReference w:id="506"/>
      </w:r>
      <w:r>
        <w:t xml:space="preserve">. With 731 people and 92 endpoint events, SUMMIT is a comparatively small outcomes trial; the results are encouraging but not as robust as data from trials with thousands of participants.</w:t>
      </w:r>
    </w:p>
    <w:bookmarkEnd w:id="507"/>
    <w:bookmarkStart w:id="509" w:name="obstructive-sleep-apnea-surmount-osa"/>
    <w:p>
      <w:pPr>
        <w:pStyle w:val="Heading4"/>
      </w:pPr>
      <w:r>
        <w:t xml:space="preserve">Obstructive Sleep Apnea: SURMOUNT-OSA</w:t>
      </w:r>
    </w:p>
    <w:p>
      <w:pPr>
        <w:pStyle w:val="FirstParagraph"/>
      </w:pPr>
      <w:r>
        <w:t xml:space="preserve">In obstructive sleep apnea, the upper airway repeatedly collapses during sleep; breathing stops (apnea) or becomes shallow (hypopnea). The apnea-hypopnea index (AHI) counts these events per hour; from 30 upward, sleep apnea is considered severe. Overweight is a major risk factor.</w:t>
      </w:r>
    </w:p>
    <w:p>
      <w:pPr>
        <w:pStyle w:val="BodyText"/>
      </w:pPr>
      <w:r>
        <w:t xml:space="preserve">SURMOUNT-OSA consisted of two parallel trials in people with obesity and moderate to severe sleep apnea: without positive airway pressure therapy (trial 1) and with it (CPAP, trial 2). Baseline AHI was about 50 events per hour. After 52 weeks</w:t>
      </w:r>
      <w:r>
        <w:rPr>
          <w:rStyle w:val="FootnoteReference"/>
        </w:rPr>
        <w:footnoteReference w:id="508"/>
      </w:r>
      <w:r>
        <w:t xml:space="preserve">:</w:t>
      </w:r>
    </w:p>
    <w:p>
      <w:pPr>
        <w:numPr>
          <w:ilvl w:val="0"/>
          <w:numId w:val="1063"/>
        </w:numPr>
        <w:pStyle w:val="Compact"/>
      </w:pPr>
      <w:r>
        <w:t xml:space="preserve">Trial 1: AHI −25.3 events/hour with tirzepatide vs. −5.3 with placebo.</w:t>
      </w:r>
    </w:p>
    <w:p>
      <w:pPr>
        <w:numPr>
          <w:ilvl w:val="0"/>
          <w:numId w:val="1063"/>
        </w:numPr>
        <w:pStyle w:val="Compact"/>
      </w:pPr>
      <w:r>
        <w:t xml:space="preserve">Trial 2: AHI −29.3 vs. −5.5.</w:t>
      </w:r>
    </w:p>
    <w:p>
      <w:pPr>
        <w:numPr>
          <w:ilvl w:val="0"/>
          <w:numId w:val="1063"/>
        </w:numPr>
        <w:pStyle w:val="Compact"/>
      </w:pPr>
      <w:r>
        <w:t xml:space="preserve">In addition, hypoxic burden, inflammatory markers (hsCRP), blood pressure, and sleep complaints reported by participants improved.</w:t>
      </w:r>
    </w:p>
    <w:p>
      <w:pPr>
        <w:pStyle w:val="FirstParagraph"/>
      </w:pPr>
      <w:r>
        <w:t xml:space="preserve">On this basis, tirzepatide was approved in the USA as the first medication for treating sleep apnea in obesity. It does not automatically replace a breathing mask: even after the reduction, AHI in many participants was still in the range requiring treatment. The decision on therapy belongs in the hands of sleep medicine specialists.</w:t>
      </w:r>
    </w:p>
    <w:bookmarkEnd w:id="509"/>
    <w:bookmarkStart w:id="511" w:name="fatty-liver-disease-mash"/>
    <w:p>
      <w:pPr>
        <w:pStyle w:val="Heading4"/>
      </w:pPr>
      <w:r>
        <w:t xml:space="preserve">Fatty Liver Disease (MASH)</w:t>
      </w:r>
    </w:p>
    <w:p>
      <w:pPr>
        <w:pStyle w:val="FirstParagraph"/>
      </w:pPr>
      <w:r>
        <w:t xml:space="preserve">Metabolic dysfunction-associated steatohepatitis (MASH, formerly NASH) is an inflammatory form of fatty liver disease that can progress to scarring (fibrosis) and cirrhosis. In the phase 2 trial SYNERGY-NASH, 190 people with biopsy-confirmed MASH and moderate to severe fibrosis received tirzepatide or placebo. After 52 weeks, MASH resolved without worsening of fibrosis in 44–62% on tirzepatide versus 10% on placebo; an improvement in fibrosis of at least one stage was seen in 51–55% versus 30%</w:t>
      </w:r>
      <w:r>
        <w:rPr>
          <w:rStyle w:val="FootnoteReference"/>
        </w:rPr>
        <w:footnoteReference w:id="510"/>
      </w:r>
      <w:r>
        <w:t xml:space="preserve">. A phase 3 trial is ongoing (see Outlook).</w:t>
      </w:r>
    </w:p>
    <w:bookmarkEnd w:id="511"/>
    <w:bookmarkStart w:id="514" w:name="other-areas-of-use-and-meta-analyses"/>
    <w:p>
      <w:pPr>
        <w:pStyle w:val="Heading4"/>
      </w:pPr>
      <w:r>
        <w:t xml:space="preserve">Other Areas of Use and Meta-Analyses</w:t>
      </w:r>
    </w:p>
    <w:p>
      <w:pPr>
        <w:pStyle w:val="FirstParagraph"/>
      </w:pPr>
      <w:r>
        <w:t xml:space="preserve">The literature on tirzepatide is growing very rapidly. In addition to the large programs, there are studies on psoriasis and psoriatic arthritis in combination with biologics: in an open-label phase 3b trial with 274 people, 27.1% on ixekizumab plus tirzepatide simultaneously achieved complete clearance of skin lesions (PASI 100) and at least 10% weight loss, compared with 5.8% on ixekizumab alone</w:t>
      </w:r>
      <w:r>
        <w:rPr>
          <w:rStyle w:val="FootnoteReference"/>
        </w:rPr>
        <w:footnoteReference w:id="512"/>
      </w:r>
      <w:r>
        <w:t xml:space="preserve">. Further work addresses polycystic ovary syndrome, kidney function, and Asia-specific populations (SURMOUNT-J, SURMOUNT-CN, SURPASS-AP-Combo). A complete presentation of all individual studies would go beyond the scope of this book; they are listed in the index of studies in the appendix.</w:t>
      </w:r>
    </w:p>
    <w:p>
      <w:pPr>
        <w:pStyle w:val="BodyText"/>
      </w:pPr>
      <w:r>
        <w:t xml:space="preserve">On body composition: in a DXA substudy of SURMOUNT-1 with 160 people, about 75% of the weight lost consisted of fat and about 25% of fat-free mass (which includes muscle) – in the same ratio as in the placebo group</w:t>
      </w:r>
      <w:r>
        <w:rPr>
          <w:rStyle w:val="FootnoteReference"/>
        </w:rPr>
        <w:footnoteReference w:id="513"/>
      </w:r>
      <w:r>
        <w:t xml:space="preserve">. The concern about muscle loss is therefore justified, but it is not an effect specific to tirzepatide; rather, it is typical of any substantial weight loss.</w:t>
      </w:r>
    </w:p>
    <w:bookmarkEnd w:id="514"/>
    <w:bookmarkEnd w:id="515"/>
    <w:bookmarkStart w:id="519" w:name="animal-and-laboratory-studies-4"/>
    <w:p>
      <w:pPr>
        <w:pStyle w:val="Heading3"/>
      </w:pPr>
      <w:r>
        <w:t xml:space="preserve">Animal and laboratory studies</w:t>
      </w:r>
    </w:p>
    <w:p>
      <w:pPr>
        <w:pStyle w:val="FirstParagraph"/>
      </w:pPr>
      <w:r>
        <w:t xml:space="preserve">The preclinical development is unusually well published. In cell cultures, tirzepatide activates both receptors; in mice, it lowered weight and food intake more than a pure GLP-1 agonist</w:t>
      </w:r>
      <w:r>
        <w:rPr>
          <w:rStyle w:val="FootnoteReference"/>
        </w:rPr>
        <w:footnoteReference w:id="516"/>
      </w:r>
      <w:r>
        <w:t xml:space="preserve">. Studies in mice without a functioning GLP-1 receptor showed that the GIP component improves insulin sensitivity in adipose tissue</w:t>
      </w:r>
      <w:r>
        <w:rPr>
          <w:rStyle w:val="FootnoteReference"/>
        </w:rPr>
        <w:footnoteReference w:id="517"/>
      </w:r>
      <w:r>
        <w:t xml:space="preserve">. Studies on distribution and breakdown in the body are available in humans, rats, and monkeys: the molecule is metabolized by cleavage of the peptide backbone and breakdown of the fatty acid chain; in humans, about 66% of the labeled substance was found in urine and about 33% in feces, whereas unchanged tirzepatide was found in neither</w:t>
      </w:r>
      <w:r>
        <w:rPr>
          <w:rStyle w:val="FootnoteReference"/>
        </w:rPr>
        <w:footnoteReference w:id="518"/>
      </w:r>
      <w:r>
        <w:t xml:space="preserve">.</w:t>
      </w:r>
    </w:p>
    <w:p>
      <w:pPr>
        <w:pStyle w:val="BodyText"/>
      </w:pPr>
      <w:r>
        <w:t xml:space="preserve">As with all long-acting GLP-1 agonists, tumors of the thyroid C cells occurred in long-term studies in rodents. Whether this finding is transferable to humans is unclear, because rodents carry considerably more GLP-1 receptors on these cells. This animal finding is the basis for the warnings in the prescribing information (see below).</w:t>
      </w:r>
    </w:p>
    <w:bookmarkEnd w:id="519"/>
    <w:bookmarkStart w:id="528" w:name="risks-and-side-effects-4"/>
    <w:p>
      <w:pPr>
        <w:pStyle w:val="Heading3"/>
      </w:pPr>
      <w:r>
        <w:t xml:space="preserve">Risks and side effects</w:t>
      </w:r>
    </w:p>
    <w:p>
      <w:pPr>
        <w:pStyle w:val="FirstParagraph"/>
      </w:pPr>
      <w:r>
        <w:rPr>
          <w:bCs/>
          <w:b/>
        </w:rPr>
        <w:t xml:space="preserve">Established from studies:</w:t>
      </w:r>
    </w:p>
    <w:p>
      <w:pPr>
        <w:numPr>
          <w:ilvl w:val="0"/>
          <w:numId w:val="1064"/>
        </w:numPr>
        <w:pStyle w:val="Compact"/>
      </w:pPr>
      <w:r>
        <w:rPr>
          <w:bCs/>
          <w:b/>
        </w:rPr>
        <w:t xml:space="preserve">Gastrointestinal complaints</w:t>
      </w:r>
      <w:r>
        <w:t xml:space="preserve"> </w:t>
      </w:r>
      <w:r>
        <w:t xml:space="preserve">are by far the most common: nausea, diarrhea, vomiting, constipation, decreased appetite. In SURPASS-3, 12–24% reported nausea, 15–17% diarrhea, and 6–10% vomiting</w:t>
      </w:r>
      <w:r>
        <w:rPr>
          <w:rStyle w:val="FootnoteReference"/>
        </w:rPr>
        <w:footnoteReference w:id="520"/>
      </w:r>
      <w:r>
        <w:t xml:space="preserve">. The complaints occur mainly during the dose-escalation phase and usually subside. They are the most common reason for discontinuing therapy.</w:t>
      </w:r>
    </w:p>
    <w:p>
      <w:pPr>
        <w:numPr>
          <w:ilvl w:val="0"/>
          <w:numId w:val="1064"/>
        </w:numPr>
        <w:pStyle w:val="Compact"/>
      </w:pPr>
      <w:r>
        <w:rPr>
          <w:bCs/>
          <w:b/>
        </w:rPr>
        <w:t xml:space="preserve">Gallbladder and bile ducts:</w:t>
      </w:r>
      <w:r>
        <w:t xml:space="preserve"> </w:t>
      </w:r>
      <w:r>
        <w:t xml:space="preserve">A meta-analysis of nine trials with 9,871 participants found an increased risk for the composite category of gallbladder or biliary disease compared with placebo or insulin (relative risk 1.97; 95% CI 1.14–3.42), but no statistically significant increase for pancreatitis</w:t>
      </w:r>
      <w:r>
        <w:rPr>
          <w:rStyle w:val="FootnoteReference"/>
        </w:rPr>
        <w:footnoteReference w:id="521"/>
      </w:r>
      <w:r>
        <w:t xml:space="preserve">. Rapid weight loss itself promotes gallstones.</w:t>
      </w:r>
    </w:p>
    <w:p>
      <w:pPr>
        <w:numPr>
          <w:ilvl w:val="0"/>
          <w:numId w:val="1064"/>
        </w:numPr>
        <w:pStyle w:val="Compact"/>
      </w:pPr>
      <w:r>
        <w:rPr>
          <w:bCs/>
          <w:b/>
        </w:rPr>
        <w:t xml:space="preserve">Hypoglycemia:</w:t>
      </w:r>
      <w:r>
        <w:t xml:space="preserve"> </w:t>
      </w:r>
      <w:r>
        <w:t xml:space="preserve">rare on its own. The risk increases when insulin or sulfonylureas are taken at the same time – in SURPASS-4, hypoglycemia without a sulfonylurea occurred in 1–3%</w:t>
      </w:r>
      <w:r>
        <w:rPr>
          <w:rStyle w:val="FootnoteReference"/>
        </w:rPr>
        <w:footnoteReference w:id="522"/>
      </w:r>
      <w:r>
        <w:t xml:space="preserve">.</w:t>
      </w:r>
    </w:p>
    <w:p>
      <w:pPr>
        <w:numPr>
          <w:ilvl w:val="0"/>
          <w:numId w:val="1064"/>
        </w:numPr>
        <w:pStyle w:val="Compact"/>
      </w:pPr>
      <w:r>
        <w:rPr>
          <w:bCs/>
          <w:b/>
        </w:rPr>
        <w:t xml:space="preserve">Mental health:</w:t>
      </w:r>
      <w:r>
        <w:t xml:space="preserve"> </w:t>
      </w:r>
      <w:r>
        <w:t xml:space="preserve">A follow-up analysis of SURMOUNT-1 to -3 with 4,056 people without known serious mental illness found no indication of increased depression; suicidal thoughts were reported by 0.6% in both groups</w:t>
      </w:r>
      <w:r>
        <w:rPr>
          <w:rStyle w:val="FootnoteReference"/>
        </w:rPr>
        <w:footnoteReference w:id="523"/>
      </w:r>
      <w:r>
        <w:t xml:space="preserve">. Sufficient data are lacking for people with serious mental illness.</w:t>
      </w:r>
    </w:p>
    <w:p>
      <w:pPr>
        <w:numPr>
          <w:ilvl w:val="0"/>
          <w:numId w:val="1064"/>
        </w:numPr>
        <w:pStyle w:val="Compact"/>
      </w:pPr>
      <w:r>
        <w:rPr>
          <w:bCs/>
          <w:b/>
        </w:rPr>
        <w:t xml:space="preserve">Loss of fat-free mass:</w:t>
      </w:r>
      <w:r>
        <w:t xml:space="preserve"> </w:t>
      </w:r>
      <w:r>
        <w:t xml:space="preserve">about a quarter of the weight lost</w:t>
      </w:r>
      <w:r>
        <w:rPr>
          <w:rStyle w:val="FootnoteReference"/>
        </w:rPr>
        <w:footnoteReference w:id="524"/>
      </w:r>
      <w:r>
        <w:t xml:space="preserve">. Strength training and adequate protein intake are recommended by experts as countermeasures; hard study data on the functional benefit are limited.</w:t>
      </w:r>
    </w:p>
    <w:p>
      <w:pPr>
        <w:pStyle w:val="FirstParagraph"/>
      </w:pPr>
      <w:r>
        <w:rPr>
          <w:bCs/>
          <w:b/>
        </w:rPr>
        <w:t xml:space="preserve">From post-marketing data:</w:t>
      </w:r>
      <w:r>
        <w:t xml:space="preserve"> </w:t>
      </w:r>
      <w:r>
        <w:t xml:space="preserve">An analysis of the US adverse event database FAERS found disproportionately many reports of nausea, pancreatitis, diabetic retinal disease, and medullary thyroid cancer – but no increased risk compared with other GLP-1 agonists</w:t>
      </w:r>
      <w:r>
        <w:rPr>
          <w:rStyle w:val="FootnoteReference"/>
        </w:rPr>
        <w:footnoteReference w:id="525"/>
      </w:r>
      <w:r>
        <w:t xml:space="preserve">. Such reporting data show signals, not causes: known risks are reported more often. In a large cohort study with more than 46,000 pairs in routine care, the risk of serious gastrointestinal events (pancreatitis, biliary disease, bowel obstruction, gastroparesis, severe constipation) did not differ substantially between tirzepatide and semaglutide (hazard ratio 1.07; 95% CI 0.90–1.26)</w:t>
      </w:r>
      <w:r>
        <w:rPr>
          <w:rStyle w:val="FootnoteReference"/>
        </w:rPr>
        <w:footnoteReference w:id="526"/>
      </w:r>
      <w:r>
        <w:t xml:space="preserve">.</w:t>
      </w:r>
    </w:p>
    <w:p>
      <w:pPr>
        <w:pStyle w:val="BodyText"/>
      </w:pPr>
      <w:r>
        <w:rPr>
          <w:bCs/>
          <w:b/>
        </w:rPr>
        <w:t xml:space="preserve">Theoretical or derived from animal data:</w:t>
      </w:r>
      <w:r>
        <w:t xml:space="preserve"> </w:t>
      </w:r>
      <w:r>
        <w:t xml:space="preserve">medullary thyroid cancer (animal finding, see above). For this reason, the prescribing information includes a warning or contraindication in the case of a personal or family history of medullary thyroid carcinoma and in MEN 2 syndrome.</w:t>
      </w:r>
    </w:p>
    <w:p>
      <w:pPr>
        <w:pStyle w:val="BodyText"/>
      </w:pPr>
      <w:r>
        <w:rPr>
          <w:bCs/>
          <w:b/>
        </w:rPr>
        <w:t xml:space="preserve">Important for practice (according to the prescribing information, not to be understood as instructions):</w:t>
      </w:r>
      <w:r>
        <w:t xml:space="preserve"> </w:t>
      </w:r>
      <w:r>
        <w:t xml:space="preserve">Delayed gastric emptying can affect the absorption of tablets, which is relevant, for example, for the contraceptive pill. Tirzepatide is not used during pregnancy and breastfeeding. Before operations under anesthesia, delayed gastric emptying must be taken into account. The prescribing information and the treating physician provide all details.</w:t>
      </w:r>
    </w:p>
    <w:p>
      <w:pPr>
        <w:pStyle w:val="BodyText"/>
      </w:pPr>
      <w:r>
        <w:rPr>
          <w:bCs/>
          <w:b/>
        </w:rPr>
        <w:t xml:space="preserve">Copycat products:</w:t>
      </w:r>
      <w:r>
        <w:t xml:space="preserve"> </w:t>
      </w:r>
      <w:r>
        <w:t xml:space="preserve">During the shortages of 2022 to 2024, tirzepatide preparations were made in pharmacies in the USA (</w:t>
      </w:r>
      <w:r>
        <w:t xml:space="preserve">“</w:t>
      </w:r>
      <w:r>
        <w:t xml:space="preserve">compounding</w:t>
      </w:r>
      <w:r>
        <w:t xml:space="preserve">”</w:t>
      </w:r>
      <w:r>
        <w:t xml:space="preserve">), and at the same time a large online gray market emerged. A 2025 investigation found 33 preparations containing semaglutide or tirzepatide in dosage forms that are not approved – such as lozenges or mixtures with vitamins; data on efficacy and safety are lacking for these products</w:t>
      </w:r>
      <w:r>
        <w:rPr>
          <w:rStyle w:val="FootnoteReference"/>
        </w:rPr>
        <w:footnoteReference w:id="527"/>
      </w:r>
      <w:r>
        <w:t xml:space="preserve">. This applies to an even greater degree to</w:t>
      </w:r>
      <w:r>
        <w:t xml:space="preserve"> </w:t>
      </w:r>
      <w:r>
        <w:t xml:space="preserve">“</w:t>
      </w:r>
      <w:r>
        <w:t xml:space="preserve">research</w:t>
      </w:r>
      <w:r>
        <w:t xml:space="preserve">”</w:t>
      </w:r>
      <w:r>
        <w:t xml:space="preserve"> </w:t>
      </w:r>
      <w:r>
        <w:t xml:space="preserve">products without a marketing authorization (see Part I and Part IV).</w:t>
      </w:r>
    </w:p>
    <w:bookmarkEnd w:id="528"/>
    <w:bookmarkStart w:id="529" w:name="legal-status-4"/>
    <w:p>
      <w:pPr>
        <w:pStyle w:val="Heading3"/>
      </w:pPr>
      <w:r>
        <w:t xml:space="preserve">Legal status</w:t>
      </w:r>
    </w:p>
    <w:p>
      <w:pPr>
        <w:numPr>
          <w:ilvl w:val="0"/>
          <w:numId w:val="1065"/>
        </w:numPr>
        <w:pStyle w:val="Compact"/>
      </w:pPr>
      <w:r>
        <w:rPr>
          <w:bCs/>
          <w:b/>
        </w:rPr>
        <w:t xml:space="preserve">EU / Austria / Germany:</w:t>
      </w:r>
      <w:r>
        <w:t xml:space="preserve"> </w:t>
      </w:r>
      <w:r>
        <w:t xml:space="preserve">Tirzepatide is centrally authorized in the EU as Mounjaro (2022 for type 2 diabetes, since late 2023 also for weight management). It is prescription-only. Whether health insurance covers the costs depends on the indication: for type 2 diabetes, reimbursement is possible in principle; in Germany, weight-reduction drugs are largely excluded from reimbursement by law, and in Austria separate, restrictive rules apply. Details change – please check for current information.</w:t>
      </w:r>
    </w:p>
    <w:p>
      <w:pPr>
        <w:numPr>
          <w:ilvl w:val="0"/>
          <w:numId w:val="1065"/>
        </w:numPr>
        <w:pStyle w:val="Compact"/>
      </w:pPr>
      <w:r>
        <w:rPr>
          <w:bCs/>
          <w:b/>
        </w:rPr>
        <w:t xml:space="preserve">USA:</w:t>
      </w:r>
      <w:r>
        <w:t xml:space="preserve"> </w:t>
      </w:r>
      <w:r>
        <w:t xml:space="preserve">Approved as Mounjaro (2022, type 2 diabetes) and as Zepbound (2023, chronic weight management; in 2024 additionally obstructive sleep apnea in obesity). Since the end of the official shortage, the FDA has severely restricted the production of copies in pharmacies.</w:t>
      </w:r>
    </w:p>
    <w:p>
      <w:pPr>
        <w:numPr>
          <w:ilvl w:val="0"/>
          <w:numId w:val="1065"/>
        </w:numPr>
        <w:pStyle w:val="Compact"/>
      </w:pPr>
      <w:r>
        <w:rPr>
          <w:bCs/>
          <w:b/>
        </w:rPr>
        <w:t xml:space="preserve">Sport:</w:t>
      </w:r>
      <w:r>
        <w:t xml:space="preserve"> </w:t>
      </w:r>
      <w:r>
        <w:t xml:space="preserve">Tirzepatide is not on the WADA Prohibited List (status as of 2026; please check for current information).</w:t>
      </w:r>
    </w:p>
    <w:p>
      <w:pPr>
        <w:numPr>
          <w:ilvl w:val="0"/>
          <w:numId w:val="1065"/>
        </w:numPr>
        <w:pStyle w:val="Compact"/>
      </w:pPr>
      <w:r>
        <w:rPr>
          <w:bCs/>
          <w:b/>
        </w:rPr>
        <w:t xml:space="preserve">Gray market:</w:t>
      </w:r>
      <w:r>
        <w:t xml:space="preserve"> </w:t>
      </w:r>
      <w:r>
        <w:t xml:space="preserve">Trading in unapproved tirzepatide products (</w:t>
      </w:r>
      <w:r>
        <w:t xml:space="preserve">“</w:t>
      </w:r>
      <w:r>
        <w:t xml:space="preserve">for research use only</w:t>
      </w:r>
      <w:r>
        <w:t xml:space="preserve">”</w:t>
      </w:r>
      <w:r>
        <w:t xml:space="preserve">) is not a legal route to a medicine in the EU; the products are not subject to any quality control.</w:t>
      </w:r>
    </w:p>
    <w:bookmarkEnd w:id="529"/>
    <w:bookmarkStart w:id="535" w:name="ongoing-studies-and-outlook-4"/>
    <w:p>
      <w:pPr>
        <w:pStyle w:val="Heading3"/>
      </w:pPr>
      <w:r>
        <w:t xml:space="preserve">Ongoing studies and outlook</w:t>
      </w:r>
    </w:p>
    <w:p>
      <w:pPr>
        <w:pStyle w:val="FirstParagraph"/>
      </w:pPr>
      <w:r>
        <w:rPr>
          <w:bCs/>
          <w:b/>
        </w:rPr>
        <w:t xml:space="preserve">Established (registered studies, status as of October 2026):</w:t>
      </w:r>
    </w:p>
    <w:p>
      <w:pPr>
        <w:numPr>
          <w:ilvl w:val="0"/>
          <w:numId w:val="1066"/>
        </w:numPr>
        <w:pStyle w:val="Compact"/>
      </w:pPr>
      <w:r>
        <w:rPr>
          <w:bCs/>
          <w:b/>
        </w:rPr>
        <w:t xml:space="preserve">SURMOUNT-MMO</w:t>
      </w:r>
      <w:r>
        <w:rPr>
          <w:rStyle w:val="FootnoteReference"/>
        </w:rPr>
        <w:footnoteReference w:id="530"/>
      </w:r>
      <w:r>
        <w:t xml:space="preserve">: outcomes trial with about 15,000 people with obesity without diabetes and high cardiovascular risk, tirzepatide versus placebo. The primary endpoint comprises myocardial infarction, stroke, revascularization, heart failure events, and death from any cause; planned completion in 2027. According to the design publication, it is the first incretin outcomes trial to investigate both primary and secondary prevention of cardiovascular disease</w:t>
      </w:r>
      <w:r>
        <w:rPr>
          <w:rStyle w:val="FootnoteReference"/>
        </w:rPr>
        <w:footnoteReference w:id="531"/>
      </w:r>
      <w:r>
        <w:t xml:space="preserve">.</w:t>
      </w:r>
    </w:p>
    <w:p>
      <w:pPr>
        <w:numPr>
          <w:ilvl w:val="0"/>
          <w:numId w:val="1066"/>
        </w:numPr>
        <w:pStyle w:val="Compact"/>
      </w:pPr>
      <w:r>
        <w:rPr>
          <w:bCs/>
          <w:b/>
        </w:rPr>
        <w:t xml:space="preserve">SYNERGY-Outcomes</w:t>
      </w:r>
      <w:r>
        <w:rPr>
          <w:rStyle w:val="FootnoteReference"/>
        </w:rPr>
        <w:footnoteReference w:id="532"/>
      </w:r>
      <w:r>
        <w:t xml:space="preserve">: phase 3 master protocol on fatty liver disease with a planned 4,500 participants.</w:t>
      </w:r>
    </w:p>
    <w:p>
      <w:pPr>
        <w:numPr>
          <w:ilvl w:val="0"/>
          <w:numId w:val="1066"/>
        </w:numPr>
        <w:pStyle w:val="Compact"/>
      </w:pPr>
      <w:r>
        <w:rPr>
          <w:bCs/>
          <w:b/>
        </w:rPr>
        <w:t xml:space="preserve">Type 1 diabetes with obesity</w:t>
      </w:r>
      <w:r>
        <w:rPr>
          <w:rStyle w:val="FootnoteReference"/>
        </w:rPr>
        <w:footnoteReference w:id="533"/>
      </w:r>
      <w:r>
        <w:t xml:space="preserve">: two phase 3 trials.</w:t>
      </w:r>
    </w:p>
    <w:p>
      <w:pPr>
        <w:numPr>
          <w:ilvl w:val="0"/>
          <w:numId w:val="1066"/>
        </w:numPr>
        <w:pStyle w:val="Compact"/>
      </w:pPr>
      <w:r>
        <w:rPr>
          <w:bCs/>
          <w:b/>
        </w:rPr>
        <w:t xml:space="preserve">Adolescents with obesity</w:t>
      </w:r>
      <w:r>
        <w:t xml:space="preserve"> </w:t>
      </w:r>
      <w:r>
        <w:t xml:space="preserve">(NCT06439277, SURMOUNT-ADOLESCENTS-2) and children</w:t>
      </w:r>
      <w:r>
        <w:rPr>
          <w:rStyle w:val="FootnoteReference"/>
        </w:rPr>
        <w:footnoteReference w:id="534"/>
      </w:r>
      <w:r>
        <w:t xml:space="preserve">.</w:t>
      </w:r>
    </w:p>
    <w:p>
      <w:pPr>
        <w:numPr>
          <w:ilvl w:val="0"/>
          <w:numId w:val="1066"/>
        </w:numPr>
        <w:pStyle w:val="Compact"/>
      </w:pPr>
      <w:r>
        <w:rPr>
          <w:bCs/>
          <w:b/>
        </w:rPr>
        <w:t xml:space="preserve">Direct comparison with the successor retatrutide</w:t>
      </w:r>
      <w:r>
        <w:t xml:space="preserve"> </w:t>
      </w:r>
      <w:r>
        <w:t xml:space="preserve">(NCT06662383, see the chapter Retatrutide).</w:t>
      </w:r>
    </w:p>
    <w:p>
      <w:pPr>
        <w:numPr>
          <w:ilvl w:val="0"/>
          <w:numId w:val="1066"/>
        </w:numPr>
        <w:pStyle w:val="Compact"/>
      </w:pPr>
      <w:r>
        <w:t xml:space="preserve">Numerous studies on knee osteoarthritis, psoriasis, kidney disease, and stroke.</w:t>
      </w:r>
    </w:p>
    <w:p>
      <w:pPr>
        <w:pStyle w:val="FirstParagraph"/>
      </w:pPr>
      <w:r>
        <w:rPr>
          <w:bCs/>
          <w:b/>
        </w:rPr>
        <w:t xml:space="preserve">Assessment:</w:t>
      </w:r>
      <w:r>
        <w:t xml:space="preserve"> </w:t>
      </w:r>
      <w:r>
        <w:t xml:space="preserve">In 2026, tirzepatide is the benchmark against which new weight-loss medications must be measured. The next big question is whether SURMOUNT-MMO will show a cardiovascular benefit in people without diabetes similar to that shown by the SELECT trial for semaglutide. Competition is coming from triple agonists (retatrutide), amylin combinations (CagriSema, amycretin), and tablets (orforglipron). When the patents expire and cheaper copycat products become possible is covered in Part V.</w:t>
      </w:r>
    </w:p>
    <w:bookmarkEnd w:id="535"/>
    <w:bookmarkStart w:id="536" w:name="conclusion-4"/>
    <w:p>
      <w:pPr>
        <w:pStyle w:val="Heading3"/>
      </w:pPr>
      <w:r>
        <w:t xml:space="preserve">Conclusion</w:t>
      </w:r>
    </w:p>
    <w:p>
      <w:pPr>
        <w:pStyle w:val="FirstParagraph"/>
      </w:pPr>
      <w:r>
        <w:t xml:space="preserve">Tirzepatide is a dual GIP/GLP-1 agonist that has been studied in one of the largest trial programs in diabetes and obesity medicine. In SURMOUNT-1, body weight at the highest dose decreased on average by about 21%, and in the direct comparison with semaglutide (SURMOUNT-5) by 20.2% versus 13.7%. Against dulaglutide, it was noninferior for cardiovascular events, and favorable effects were seen in heart failure with preserved ejection fraction and in sleep apnea. Side effects mainly affect the gastrointestinal tract and the gallbladder; after discontinuation, much of the weight returns. Treatment belongs in the hands of a physician – with the original product, not with gray-market goods.</w:t>
      </w:r>
    </w:p>
    <w:bookmarkEnd w:id="536"/>
    <w:bookmarkEnd w:id="537"/>
    <w:bookmarkStart w:id="577" w:name="retatrutide"/>
    <w:p>
      <w:pPr>
        <w:pStyle w:val="Heading2"/>
      </w:pPr>
      <w:r>
        <w:t xml:space="preserve">Retatrutide</w:t>
      </w:r>
    </w:p>
    <w:bookmarkStart w:id="538" w:name="profile-5"/>
    <w:p>
      <w:pPr>
        <w:pStyle w:val="Heading3"/>
      </w:pPr>
      <w:r>
        <w:t xml:space="preserve">Profile</w:t>
      </w:r>
    </w:p>
    <w:p>
      <w:pPr>
        <w:numPr>
          <w:ilvl w:val="0"/>
          <w:numId w:val="1067"/>
        </w:numPr>
        <w:pStyle w:val="Compact"/>
      </w:pPr>
      <w:r>
        <w:rPr>
          <w:bCs/>
          <w:b/>
        </w:rPr>
        <w:t xml:space="preserve">Type/structure:</w:t>
      </w:r>
      <w:r>
        <w:t xml:space="preserve"> </w:t>
      </w:r>
      <w:r>
        <w:t xml:space="preserve">synthetic peptide with an attached fatty acid chain for once-weekly injection under the skin; development code LY3437943.</w:t>
      </w:r>
    </w:p>
    <w:p>
      <w:pPr>
        <w:numPr>
          <w:ilvl w:val="0"/>
          <w:numId w:val="1067"/>
        </w:numPr>
        <w:pStyle w:val="Compact"/>
      </w:pPr>
      <w:r>
        <w:rPr>
          <w:bCs/>
          <w:b/>
        </w:rPr>
        <w:t xml:space="preserve">Origin:</w:t>
      </w:r>
      <w:r>
        <w:t xml:space="preserve"> </w:t>
      </w:r>
      <w:r>
        <w:t xml:space="preserve">developed by Eli Lilly as the successor to tirzepatide.</w:t>
      </w:r>
    </w:p>
    <w:p>
      <w:pPr>
        <w:numPr>
          <w:ilvl w:val="0"/>
          <w:numId w:val="1067"/>
        </w:numPr>
        <w:pStyle w:val="Compact"/>
      </w:pPr>
      <w:r>
        <w:rPr>
          <w:bCs/>
          <w:b/>
        </w:rPr>
        <w:t xml:space="preserve">Mechanism of action:</w:t>
      </w:r>
      <w:r>
        <w:t xml:space="preserve"> </w:t>
      </w:r>
      <w:r>
        <w:t xml:space="preserve">“</w:t>
      </w:r>
      <w:r>
        <w:t xml:space="preserve">triple agonist</w:t>
      </w:r>
      <w:r>
        <w:t xml:space="preserve">”</w:t>
      </w:r>
      <w:r>
        <w:t xml:space="preserve"> </w:t>
      </w:r>
      <w:r>
        <w:t xml:space="preserve">at three receptors: GIP, GLP-1 and glucagon. Often called</w:t>
      </w:r>
      <w:r>
        <w:t xml:space="preserve"> </w:t>
      </w:r>
      <w:r>
        <w:t xml:space="preserve">“</w:t>
      </w:r>
      <w:r>
        <w:t xml:space="preserve">Triple G</w:t>
      </w:r>
      <w:r>
        <w:t xml:space="preserve">”</w:t>
      </w:r>
      <w:r>
        <w:t xml:space="preserve"> </w:t>
      </w:r>
      <w:r>
        <w:t xml:space="preserve">in the media.</w:t>
      </w:r>
    </w:p>
    <w:p>
      <w:pPr>
        <w:numPr>
          <w:ilvl w:val="0"/>
          <w:numId w:val="1067"/>
        </w:numPr>
        <w:pStyle w:val="Compact"/>
      </w:pPr>
      <w:r>
        <w:rPr>
          <w:bCs/>
          <w:b/>
        </w:rPr>
        <w:t xml:space="preserve">Approval EU:</w:t>
      </w:r>
      <w:r>
        <w:t xml:space="preserve"> </w:t>
      </w:r>
      <w:r>
        <w:t xml:space="preserve">no (as of October 2026; Phase 3 program TRIUMPH partly completed).</w:t>
      </w:r>
    </w:p>
    <w:p>
      <w:pPr>
        <w:numPr>
          <w:ilvl w:val="0"/>
          <w:numId w:val="1067"/>
        </w:numPr>
        <w:pStyle w:val="Compact"/>
      </w:pPr>
      <w:r>
        <w:rPr>
          <w:bCs/>
          <w:b/>
        </w:rPr>
        <w:t xml:space="preserve">Approval USA:</w:t>
      </w:r>
      <w:r>
        <w:t xml:space="preserve"> </w:t>
      </w:r>
      <w:r>
        <w:t xml:space="preserve">no (as of October 2026, please check for updates).</w:t>
      </w:r>
    </w:p>
    <w:p>
      <w:pPr>
        <w:numPr>
          <w:ilvl w:val="0"/>
          <w:numId w:val="1067"/>
        </w:numPr>
        <w:pStyle w:val="Compact"/>
      </w:pPr>
      <w:r>
        <w:rPr>
          <w:bCs/>
          <w:b/>
        </w:rPr>
        <w:t xml:space="preserve">WADA:</w:t>
      </w:r>
      <w:r>
        <w:t xml:space="preserve"> </w:t>
      </w:r>
      <w:r>
        <w:t xml:space="preserve">not listed by name; however, as a substance not approved anywhere, retatrutide falls under class S0</w:t>
      </w:r>
      <w:r>
        <w:t xml:space="preserve"> </w:t>
      </w:r>
      <w:r>
        <w:t xml:space="preserve">“</w:t>
      </w:r>
      <w:r>
        <w:t xml:space="preserve">Non-approved substances</w:t>
      </w:r>
      <w:r>
        <w:t xml:space="preserve">”</w:t>
      </w:r>
      <w:r>
        <w:t xml:space="preserve"> </w:t>
      </w:r>
      <w:r>
        <w:t xml:space="preserve">and is therefore prohibited in sport at all times.</w:t>
      </w:r>
    </w:p>
    <w:p>
      <w:pPr>
        <w:numPr>
          <w:ilvl w:val="0"/>
          <w:numId w:val="1067"/>
        </w:numPr>
        <w:pStyle w:val="Compact"/>
      </w:pPr>
      <w:r>
        <w:rPr>
          <w:bCs/>
          <w:b/>
        </w:rPr>
        <w:t xml:space="preserve">Evidence level:</w:t>
      </w:r>
      <w:r>
        <w:t xml:space="preserve"> </w:t>
      </w:r>
      <w:r>
        <w:rPr>
          <w:bCs/>
          <w:b/>
        </w:rPr>
        <w:t xml:space="preserve">B</w:t>
      </w:r>
      <w:r>
        <w:t xml:space="preserve"> </w:t>
      </w:r>
      <w:r>
        <w:t xml:space="preserve">– several large Phase 3 trials published, but no approval yet and no outcome data on the heart and kidneys. With an approval, level A would be reached.</w:t>
      </w:r>
    </w:p>
    <w:bookmarkEnd w:id="538"/>
    <w:bookmarkStart w:id="542" w:name="how-it-is-supposed-to-work-5"/>
    <w:p>
      <w:pPr>
        <w:pStyle w:val="Heading3"/>
      </w:pPr>
      <w:r>
        <w:t xml:space="preserve">How it is supposed to work</w:t>
      </w:r>
    </w:p>
    <w:p>
      <w:pPr>
        <w:pStyle w:val="FirstParagraph"/>
      </w:pPr>
      <w:r>
        <w:t xml:space="preserve">Retatrutide builds on the principle of tirzepatide (see there) and adds a third target: the glucagon receptor. At first this sounds contradictory, because glucagon is the</w:t>
      </w:r>
      <w:r>
        <w:t xml:space="preserve"> </w:t>
      </w:r>
      <w:r>
        <w:t xml:space="preserve">“</w:t>
      </w:r>
      <w:r>
        <w:t xml:space="preserve">counter-hormone</w:t>
      </w:r>
      <w:r>
        <w:t xml:space="preserve">”</w:t>
      </w:r>
      <w:r>
        <w:t xml:space="preserve"> </w:t>
      </w:r>
      <w:r>
        <w:t xml:space="preserve">to insulin – it makes the liver release sugar and raises blood glucose. But glucagon has other effects as well: it increases energy expenditure, promotes fat breakdown in the liver and contributes to satiety. The idea behind retatrutide is to use these favorable effects while the GLP-1 and GIP components offset the glucose-raising effect.</w:t>
      </w:r>
    </w:p>
    <w:p>
      <w:pPr>
        <w:pStyle w:val="BodyText"/>
      </w:pPr>
      <w:r>
        <w:t xml:space="preserve">In cell experiments, retatrutide acts with roughly equal strength at the glucagon and GLP-1 receptors and more strongly at the GIP receptor. In obese mice, the glucagon component enhanced weight loss through increased energy expenditure, while GIP and GLP-1 reduced calorie intake</w:t>
      </w:r>
      <w:r>
        <w:rPr>
          <w:rStyle w:val="FootnoteReference"/>
        </w:rPr>
        <w:footnoteReference w:id="539"/>
      </w:r>
      <w:r>
        <w:t xml:space="preserve">. Whether energy expenditure also rises appreciably in humans has not yet been adequately studied; a corresponding Phase 1 trial is registered</w:t>
      </w:r>
      <w:r>
        <w:rPr>
          <w:rStyle w:val="FootnoteReference"/>
        </w:rPr>
        <w:footnoteReference w:id="540"/>
      </w:r>
      <w:r>
        <w:t xml:space="preserve">.</w:t>
      </w:r>
    </w:p>
    <w:p>
      <w:pPr>
        <w:pStyle w:val="BodyText"/>
      </w:pPr>
      <w:r>
        <w:t xml:space="preserve">In humans, participants in a Phase 2 trial reported less hunger and less tendency toward</w:t>
      </w:r>
      <w:r>
        <w:t xml:space="preserve"> </w:t>
      </w:r>
      <w:r>
        <w:t xml:space="preserve">“</w:t>
      </w:r>
      <w:r>
        <w:t xml:space="preserve">loss of control</w:t>
      </w:r>
      <w:r>
        <w:t xml:space="preserve">”</w:t>
      </w:r>
      <w:r>
        <w:t xml:space="preserve"> </w:t>
      </w:r>
      <w:r>
        <w:t xml:space="preserve">when eating at higher doses; these changes were associated with weight loss</w:t>
      </w:r>
      <w:r>
        <w:rPr>
          <w:rStyle w:val="FootnoteReference"/>
        </w:rPr>
        <w:footnoteReference w:id="541"/>
      </w:r>
      <w:r>
        <w:t xml:space="preserve">.</w:t>
      </w:r>
    </w:p>
    <w:bookmarkEnd w:id="542"/>
    <w:bookmarkStart w:id="557" w:name="human-studies-5"/>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10 human studies, supplemented by a targeted search for the Phase 1 and Phase 3 publications. On ClinicalTrials.gov, 32 trials were registered (an obviously fictitious sample entry is not counted), including the approval program TRIUMPH (obesity) and TRANSCEND (type 2 diabetes). For a substance without approval, this is an unusually solid body of data – however, it comes almost entirely from manufacturer-funded studies.</w:t>
      </w:r>
    </w:p>
    <w:bookmarkStart w:id="545" w:name="early-studies"/>
    <w:p>
      <w:pPr>
        <w:pStyle w:val="Heading4"/>
      </w:pPr>
      <w:r>
        <w:t xml:space="preserve">Early studies</w:t>
      </w:r>
    </w:p>
    <w:p>
      <w:pPr>
        <w:pStyle w:val="FirstParagraph"/>
      </w:pPr>
      <w:r>
        <w:t xml:space="preserve">After a single-dose study in healthy people, in which body weight remained reduced for up to 43 days after a single injection</w:t>
      </w:r>
      <w:r>
        <w:rPr>
          <w:rStyle w:val="FootnoteReference"/>
        </w:rPr>
        <w:footnoteReference w:id="543"/>
      </w:r>
      <w:r>
        <w:t xml:space="preserve">, a twelve-week Phase 1b trial followed with 72 people with type 2 diabetes. The half-life was about six days, which allows weekly dosing. In the highest dose group, weight loss compared with placebo was up to almost 9 kg</w:t>
      </w:r>
      <w:r>
        <w:rPr>
          <w:rStyle w:val="FootnoteReference"/>
        </w:rPr>
        <w:footnoteReference w:id="544"/>
      </w:r>
      <w:r>
        <w:t xml:space="preserve">.</w:t>
      </w:r>
    </w:p>
    <w:bookmarkEnd w:id="545"/>
    <w:bookmarkStart w:id="551" w:name="phase-2-obesity-and-type-2-diabetes"/>
    <w:p>
      <w:pPr>
        <w:pStyle w:val="Heading4"/>
      </w:pPr>
      <w:r>
        <w:t xml:space="preserve">Phase 2: obesity and type 2 diabetes</w:t>
      </w:r>
    </w:p>
    <w:p>
      <w:pPr>
        <w:pStyle w:val="FirstParagraph"/>
      </w:pPr>
      <w:r>
        <w:t xml:space="preserve">The Phase 2 trial in obesity made headlines in 2023</w:t>
      </w:r>
      <w:r>
        <w:rPr>
          <w:rStyle w:val="FootnoteReference"/>
        </w:rPr>
        <w:footnoteReference w:id="546"/>
      </w:r>
      <w:r>
        <w:t xml:space="preserve">. 338 adults received various doses or placebo for 48 weeks. In the highest dose group, body weight decreased by an average of 24.2% (placebo: −2.1%); 83% of this group lost at least 15%. These were the highest values measured in an obesity drug trial up to that point. Gastrointestinal side effects increased with dose and were lower with slower dose escalation. Heart rate rose in a dose-dependent manner, peaked after 24 weeks and declined thereafter.</w:t>
      </w:r>
    </w:p>
    <w:p>
      <w:pPr>
        <w:pStyle w:val="BodyText"/>
      </w:pPr>
      <w:r>
        <w:t xml:space="preserve">The parallel Phase 2 trial in 281 people with type 2 diabetes showed HbA1c reductions of up to 2.02 percentage points after 24 weeks (dulaglutide: −1.41) and weight loss of up to 16.94% after 36 weeks</w:t>
      </w:r>
      <w:r>
        <w:rPr>
          <w:rStyle w:val="FootnoteReference"/>
        </w:rPr>
        <w:footnoteReference w:id="547"/>
      </w:r>
      <w:r>
        <w:t xml:space="preserve">. In a substudy with body composition measurement (DXA), fat mass fell by 23–26% at the higher doses</w:t>
      </w:r>
      <w:r>
        <w:rPr>
          <w:rStyle w:val="FootnoteReference"/>
        </w:rPr>
        <w:footnoteReference w:id="548"/>
      </w:r>
      <w:r>
        <w:t xml:space="preserve">.</w:t>
      </w:r>
    </w:p>
    <w:p>
      <w:pPr>
        <w:pStyle w:val="BodyText"/>
      </w:pPr>
      <w:r>
        <w:t xml:space="preserve">A substudy in 98 participants with fatty liver (at least 10% liver fat) found a relative reduction in liver fat of up to 82.4% after 24 weeks; at the highest dose, 86% had normal liver fat levels afterward, compared with no one on placebo</w:t>
      </w:r>
      <w:r>
        <w:rPr>
          <w:rStyle w:val="FootnoteReference"/>
        </w:rPr>
        <w:footnoteReference w:id="549"/>
      </w:r>
      <w:r>
        <w:t xml:space="preserve">. Liver fat content is a surrogate parameter – whether this reduces liver inflammation, fibrosis and cirrhosis has not yet been shown.</w:t>
      </w:r>
    </w:p>
    <w:p>
      <w:pPr>
        <w:pStyle w:val="BodyText"/>
      </w:pPr>
      <w:r>
        <w:t xml:space="preserve">Post hoc analyses of the Phase 2 trials showed improvements in blood lipids and inflammatory markers, for example non-HDL cholesterol up to 26.9% lower and a CRP level 54.8% lower in the obesity trial</w:t>
      </w:r>
      <w:r>
        <w:rPr>
          <w:rStyle w:val="FootnoteReference"/>
        </w:rPr>
        <w:footnoteReference w:id="550"/>
      </w:r>
      <w:r>
        <w:t xml:space="preserve">. These, too, are laboratory values, not hard endpoints.</w:t>
      </w:r>
    </w:p>
    <w:bookmarkEnd w:id="551"/>
    <w:bookmarkStart w:id="556" w:name="X96bdb112f2d26e9d26e267e1e9444b9c8948e2e"/>
    <w:p>
      <w:pPr>
        <w:pStyle w:val="Heading4"/>
      </w:pPr>
      <w:r>
        <w:t xml:space="preserve">Phase 3: the TRIUMPH and TRANSCEND programs</w:t>
      </w:r>
    </w:p>
    <w:p>
      <w:pPr>
        <w:pStyle w:val="FirstParagraph"/>
      </w:pPr>
      <w:r>
        <w:t xml:space="preserve">The approval program for obesity, TRIUMPH, comprises four trials with a combined total of more than 5,800 participants. A special feature is the</w:t>
      </w:r>
      <w:r>
        <w:t xml:space="preserve"> </w:t>
      </w:r>
      <w:r>
        <w:t xml:space="preserve">“</w:t>
      </w:r>
      <w:r>
        <w:t xml:space="preserve">basket</w:t>
      </w:r>
      <w:r>
        <w:t xml:space="preserve">”</w:t>
      </w:r>
      <w:r>
        <w:t xml:space="preserve"> </w:t>
      </w:r>
      <w:r>
        <w:t xml:space="preserve">design: within the large weight trials, subgroups with knee osteoarthritis or sleep apnea were analyzed with their own primary endpoints</w:t>
      </w:r>
      <w:r>
        <w:rPr>
          <w:rStyle w:val="FootnoteReference"/>
        </w:rPr>
        <w:footnoteReference w:id="55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obesity (Jastreboff 2023), PMID 37366315</w:t>
            </w:r>
          </w:p>
        </w:tc>
        <w:tc>
          <w:tcPr/>
          <w:p>
            <w:pPr>
              <w:pStyle w:val="Compact"/>
              <w:jc w:val="left"/>
            </w:pPr>
            <w:r>
              <w:t xml:space="preserve">338 adults without diabetes, vs. placebo</w:t>
            </w:r>
          </w:p>
        </w:tc>
        <w:tc>
          <w:tcPr/>
          <w:p>
            <w:pPr>
              <w:pStyle w:val="Compact"/>
              <w:jc w:val="left"/>
            </w:pPr>
            <w:r>
              <w:t xml:space="preserve">48 weeks</w:t>
            </w:r>
          </w:p>
        </w:tc>
        <w:tc>
          <w:tcPr/>
          <w:p>
            <w:pPr>
              <w:pStyle w:val="Compact"/>
              <w:jc w:val="left"/>
            </w:pPr>
            <w:r>
              <w:t xml:space="preserve">up to −24.2% weight vs. −2.1%</w:t>
            </w:r>
          </w:p>
        </w:tc>
      </w:tr>
      <w:tr>
        <w:tc>
          <w:tcPr/>
          <w:p>
            <w:pPr>
              <w:pStyle w:val="Compact"/>
              <w:jc w:val="left"/>
            </w:pPr>
            <w:r>
              <w:t xml:space="preserve">Phase 2 type 2 diabetes (Rosenstock 2023), PMID 37385280</w:t>
            </w:r>
          </w:p>
        </w:tc>
        <w:tc>
          <w:tcPr/>
          <w:p>
            <w:pPr>
              <w:pStyle w:val="Compact"/>
              <w:jc w:val="left"/>
            </w:pPr>
            <w:r>
              <w:t xml:space="preserve">281 adults, vs. placebo and dulaglutide</w:t>
            </w:r>
          </w:p>
        </w:tc>
        <w:tc>
          <w:tcPr/>
          <w:p>
            <w:pPr>
              <w:pStyle w:val="Compact"/>
              <w:jc w:val="left"/>
            </w:pPr>
            <w:r>
              <w:t xml:space="preserve">36 weeks</w:t>
            </w:r>
          </w:p>
        </w:tc>
        <w:tc>
          <w:tcPr/>
          <w:p>
            <w:pPr>
              <w:pStyle w:val="Compact"/>
              <w:jc w:val="left"/>
            </w:pPr>
            <w:r>
              <w:t xml:space="preserve">HbA1c up to −2.02 points; weight up to −16.94%</w:t>
            </w:r>
          </w:p>
        </w:tc>
      </w:tr>
      <w:tr>
        <w:tc>
          <w:tcPr/>
          <w:p>
            <w:pPr>
              <w:pStyle w:val="Compact"/>
              <w:jc w:val="left"/>
            </w:pPr>
            <w:r>
              <w:t xml:space="preserve">TRIUMPH-1 (Jastreboff 2026), PMID 42814954</w:t>
            </w:r>
          </w:p>
        </w:tc>
        <w:tc>
          <w:tcPr/>
          <w:p>
            <w:pPr>
              <w:pStyle w:val="Compact"/>
              <w:jc w:val="left"/>
            </w:pPr>
            <w:r>
              <w:t xml:space="preserve">2,339 adults with obesity without diabetes, vs. placebo</w:t>
            </w:r>
          </w:p>
        </w:tc>
        <w:tc>
          <w:tcPr/>
          <w:p>
            <w:pPr>
              <w:pStyle w:val="Compact"/>
              <w:jc w:val="left"/>
            </w:pPr>
            <w:r>
              <w:t xml:space="preserve">80 weeks</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adults with obesity and type 2 diabetes, vs. placebo</w:t>
            </w:r>
          </w:p>
        </w:tc>
        <w:tc>
          <w:tcPr/>
          <w:p>
            <w:pPr>
              <w:pStyle w:val="Compact"/>
              <w:jc w:val="left"/>
            </w:pPr>
            <w:r>
              <w:t xml:space="preserve">80 weeks</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adults with type 2 diabetes on no medication, vs. placebo</w:t>
            </w:r>
          </w:p>
        </w:tc>
        <w:tc>
          <w:tcPr/>
          <w:p>
            <w:pPr>
              <w:pStyle w:val="Compact"/>
              <w:jc w:val="left"/>
            </w:pPr>
            <w:r>
              <w:t xml:space="preserve">40 weeks</w:t>
            </w:r>
          </w:p>
        </w:tc>
        <w:tc>
          <w:tcPr/>
          <w:p>
            <w:pPr>
              <w:pStyle w:val="Compact"/>
              <w:jc w:val="left"/>
            </w:pPr>
            <w:r>
              <w:t xml:space="preserve">HbA1c −1.69 to −1.94 vs. −0.81; weight up to −15.3%</w:t>
            </w:r>
          </w:p>
        </w:tc>
      </w:tr>
    </w:tbl>
    <w:p>
      <w:pPr>
        <w:pStyle w:val="BodyText"/>
      </w:pPr>
      <w:r>
        <w:rPr>
          <w:bCs/>
          <w:b/>
        </w:rPr>
        <w:t xml:space="preserve">TRIUMPH-1</w:t>
      </w:r>
      <w:r>
        <w:rPr>
          <w:rStyle w:val="FootnoteReference"/>
        </w:rPr>
        <w:footnoteReference w:id="553"/>
      </w:r>
      <w:r>
        <w:t xml:space="preserve"> </w:t>
      </w:r>
      <w:r>
        <w:t xml:space="preserve">is the main trial. In 2,339 adults with obesity without diabetes, body weight decreased by an average of 25.0% after 80 weeks at the highest dose. For comparison: in SURMOUNT-1, tirzepatide at the highest dose achieved 20.9% after 72 weeks. Such a cross-trial comparison between studies of different duration and population is, however, only a rough guide; an ongoing trial is intended to provide the direct comparison (see Outlook).</w:t>
      </w:r>
    </w:p>
    <w:p>
      <w:pPr>
        <w:pStyle w:val="BodyText"/>
      </w:pPr>
      <w:r>
        <w:t xml:space="preserve">In the embedded substudies:</w:t>
      </w:r>
    </w:p>
    <w:p>
      <w:pPr>
        <w:numPr>
          <w:ilvl w:val="0"/>
          <w:numId w:val="1068"/>
        </w:numPr>
        <w:pStyle w:val="Compact"/>
      </w:pPr>
      <w:r>
        <w:rPr>
          <w:bCs/>
          <w:b/>
        </w:rPr>
        <w:t xml:space="preserve">Knee osteoarthritis</w:t>
      </w:r>
      <w:r>
        <w:t xml:space="preserve"> </w:t>
      </w:r>
      <w:r>
        <w:t xml:space="preserve">(574 participants): The pain score (WOMAC, scale 1 to 10) fell by 3.5 and 3.6 points on 9 and 12 mg, respectively, compared with 1.9 points on placebo.</w:t>
      </w:r>
    </w:p>
    <w:p>
      <w:pPr>
        <w:numPr>
          <w:ilvl w:val="0"/>
          <w:numId w:val="1068"/>
        </w:numPr>
        <w:pStyle w:val="Compact"/>
      </w:pPr>
      <w:r>
        <w:rPr>
          <w:bCs/>
          <w:b/>
        </w:rPr>
        <w:t xml:space="preserve">Sleep apnea</w:t>
      </w:r>
      <w:r>
        <w:t xml:space="preserve"> </w:t>
      </w:r>
      <w:r>
        <w:t xml:space="preserve">(243 participants): The apnea-hypopnea index decreased by around 32 to 34 events per hour, and by just under 10 on placebo.</w:t>
      </w:r>
    </w:p>
    <w:p>
      <w:pPr>
        <w:pStyle w:val="FirstParagraph"/>
      </w:pPr>
      <w:r>
        <w:rPr>
          <w:bCs/>
          <w:b/>
        </w:rPr>
        <w:t xml:space="preserve">TRIUMPH-2</w:t>
      </w:r>
      <w:r>
        <w:rPr>
          <w:rStyle w:val="FootnoteReference"/>
        </w:rPr>
        <w:footnoteReference w:id="554"/>
      </w:r>
      <w:r>
        <w:t xml:space="preserve"> </w:t>
      </w:r>
      <w:r>
        <w:t xml:space="preserve">confirmed the familiar pattern that people with type 2 diabetes lose less weight: −18.8% at the highest dose compared with −5.1% on placebo. This trial also provided the most precise safety data to date (see below).</w:t>
      </w:r>
    </w:p>
    <w:p>
      <w:pPr>
        <w:pStyle w:val="BodyText"/>
      </w:pPr>
      <w:r>
        <w:rPr>
          <w:bCs/>
          <w:b/>
        </w:rPr>
        <w:t xml:space="preserve">TRANSCEND-T2D-1</w:t>
      </w:r>
      <w:r>
        <w:rPr>
          <w:rStyle w:val="FootnoteReference"/>
        </w:rPr>
        <w:footnoteReference w:id="555"/>
      </w:r>
      <w:r>
        <w:t xml:space="preserve"> </w:t>
      </w:r>
      <w:r>
        <w:t xml:space="preserve">tested retatrutide as the sole diabetes treatment in people with a short duration of diabetes. HbA1c fell by up to 1.94 percentage points and weight by up to 15.3%; no severe hypoglycemia occurred.</w:t>
      </w:r>
    </w:p>
    <w:p>
      <w:pPr>
        <w:pStyle w:val="BodyText"/>
      </w:pPr>
      <w:r>
        <w:t xml:space="preserve">According to the registry, TRIUMPH-3 (obesity with cardiovascular disease, NCT05882045) and TRIUMPH-4 (knee osteoarthritis, NCT05931367) have been completed; a peer-reviewed publication was not yet available at the editorial deadline for these chapters.</w:t>
      </w:r>
    </w:p>
    <w:bookmarkEnd w:id="556"/>
    <w:bookmarkEnd w:id="557"/>
    <w:bookmarkStart w:id="561" w:name="animal-and-laboratory-studies-5"/>
    <w:p>
      <w:pPr>
        <w:pStyle w:val="Heading3"/>
      </w:pPr>
      <w:r>
        <w:t xml:space="preserve">Animal and laboratory studies</w:t>
      </w:r>
    </w:p>
    <w:p>
      <w:pPr>
        <w:pStyle w:val="FirstParagraph"/>
      </w:pPr>
      <w:r>
        <w:t xml:space="preserve">The preclinical foundations come predominantly from the manufacturer. In cell cultures, retatrutide activates all three receptors; in obese mice it lowered weight and blood glucose, with the glucagon component increasing energy expenditure</w:t>
      </w:r>
      <w:r>
        <w:rPr>
          <w:rStyle w:val="FootnoteReference"/>
        </w:rPr>
        <w:footnoteReference w:id="558"/>
      </w:r>
      <w:r>
        <w:t xml:space="preserve">. One study in obese mice describes that transplanted pancreatic and lung tumors took hold less often and grew more slowly under retatrutide</w:t>
      </w:r>
      <w:r>
        <w:rPr>
          <w:rStyle w:val="FootnoteReference"/>
        </w:rPr>
        <w:footnoteReference w:id="559"/>
      </w:r>
      <w:r>
        <w:t xml:space="preserve"> </w:t>
      </w:r>
      <w:r>
        <w:t xml:space="preserve">– an animal finding from which nothing can be inferred for humans.</w:t>
      </w:r>
    </w:p>
    <w:p>
      <w:pPr>
        <w:pStyle w:val="BodyText"/>
      </w:pPr>
      <w:r>
        <w:t xml:space="preserve">For doping analysis, a detection method was developed in 2026. For this purpose, blood and urine samples were examined from four people who had injected retatrutide themselves outside of trials. No intact retatrutide was found in urine; in blood it was detectable up to about 56 days after the first injection</w:t>
      </w:r>
      <w:r>
        <w:rPr>
          <w:rStyle w:val="FootnoteReference"/>
        </w:rPr>
        <w:footnoteReference w:id="560"/>
      </w:r>
      <w:r>
        <w:t xml:space="preserve">. The authors refer to reports of its use among recreational athletes.</w:t>
      </w:r>
    </w:p>
    <w:bookmarkEnd w:id="561"/>
    <w:bookmarkStart w:id="565" w:name="risks-and-side-effects-5"/>
    <w:p>
      <w:pPr>
        <w:pStyle w:val="Heading3"/>
      </w:pPr>
      <w:r>
        <w:t xml:space="preserve">Risks and side effects</w:t>
      </w:r>
    </w:p>
    <w:p>
      <w:pPr>
        <w:pStyle w:val="FirstParagraph"/>
      </w:pPr>
      <w:r>
        <w:rPr>
          <w:bCs/>
          <w:b/>
        </w:rPr>
        <w:t xml:space="preserve">Documented in studies:</w:t>
      </w:r>
    </w:p>
    <w:p>
      <w:pPr>
        <w:numPr>
          <w:ilvl w:val="0"/>
          <w:numId w:val="1069"/>
        </w:numPr>
        <w:pStyle w:val="Compact"/>
      </w:pPr>
      <w:r>
        <w:rPr>
          <w:bCs/>
          <w:b/>
        </w:rPr>
        <w:t xml:space="preserve">Gastrointestinal complaints</w:t>
      </w:r>
      <w:r>
        <w:t xml:space="preserve"> </w:t>
      </w:r>
      <w:r>
        <w:t xml:space="preserve">are the most common side effects and clearly dose-dependent. In TRIUMPH-2, diarrhea occurred in 27–34% (placebo 13%) and nausea in 14–28% (placebo 8%)</w:t>
      </w:r>
      <w:r>
        <w:rPr>
          <w:rStyle w:val="FootnoteReference"/>
        </w:rPr>
        <w:footnoteReference w:id="562"/>
      </w:r>
      <w:r>
        <w:t xml:space="preserve">.</w:t>
      </w:r>
    </w:p>
    <w:p>
      <w:pPr>
        <w:numPr>
          <w:ilvl w:val="0"/>
          <w:numId w:val="1069"/>
        </w:numPr>
        <w:pStyle w:val="Compact"/>
      </w:pPr>
      <w:r>
        <w:rPr>
          <w:bCs/>
          <w:b/>
        </w:rPr>
        <w:t xml:space="preserve">Treatment discontinuations:</w:t>
      </w:r>
      <w:r>
        <w:t xml:space="preserve"> </w:t>
      </w:r>
      <w:r>
        <w:t xml:space="preserve">In TRIUMPH-2, 12% (9 mg) and 8% (12 mg) discontinued treatment due to side effects or death, compared with 4% on 4 mg and 5% on placebo.</w:t>
      </w:r>
    </w:p>
    <w:p>
      <w:pPr>
        <w:numPr>
          <w:ilvl w:val="0"/>
          <w:numId w:val="1069"/>
        </w:numPr>
        <w:pStyle w:val="Compact"/>
      </w:pPr>
      <w:r>
        <w:rPr>
          <w:bCs/>
          <w:b/>
        </w:rPr>
        <w:t xml:space="preserve">Dysesthesia</w:t>
      </w:r>
      <w:r>
        <w:t xml:space="preserve"> </w:t>
      </w:r>
      <w:r>
        <w:t xml:space="preserve">– unpleasant abnormal skin sensations such as tingling, burning or sensitivity to touch – occurred in TRIUMPH-2 in a dose-dependent manner in 4–7% compared with 1% on placebo. This signal is comparatively new for retatrutide; its cause is unclear.</w:t>
      </w:r>
    </w:p>
    <w:p>
      <w:pPr>
        <w:numPr>
          <w:ilvl w:val="0"/>
          <w:numId w:val="1069"/>
        </w:numPr>
        <w:pStyle w:val="Compact"/>
      </w:pPr>
      <w:r>
        <w:rPr>
          <w:bCs/>
          <w:b/>
        </w:rPr>
        <w:t xml:space="preserve">Low blood pressure</w:t>
      </w:r>
      <w:r>
        <w:t xml:space="preserve"> </w:t>
      </w:r>
      <w:r>
        <w:t xml:space="preserve">(hypotension): 1–6% compared with under 1% on placebo (TRIUMPH-2).</w:t>
      </w:r>
    </w:p>
    <w:p>
      <w:pPr>
        <w:numPr>
          <w:ilvl w:val="0"/>
          <w:numId w:val="1069"/>
        </w:numPr>
        <w:pStyle w:val="Compact"/>
      </w:pPr>
      <w:r>
        <w:rPr>
          <w:bCs/>
          <w:b/>
        </w:rPr>
        <w:t xml:space="preserve">Heart rate:</w:t>
      </w:r>
      <w:r>
        <w:t xml:space="preserve"> </w:t>
      </w:r>
      <w:r>
        <w:t xml:space="preserve">In the Phase 2 trial, pulse rose in a dose-dependent manner and declined again after 24 weeks</w:t>
      </w:r>
      <w:r>
        <w:rPr>
          <w:rStyle w:val="FootnoteReference"/>
        </w:rPr>
        <w:footnoteReference w:id="563"/>
      </w:r>
      <w:r>
        <w:t xml:space="preserve">. A higher resting heart rate is known for all GLP-1 drugs; whether it is clinically significant with the triple agonist is to be clarified by the outcome trials.</w:t>
      </w:r>
    </w:p>
    <w:p>
      <w:pPr>
        <w:numPr>
          <w:ilvl w:val="0"/>
          <w:numId w:val="1069"/>
        </w:numPr>
        <w:pStyle w:val="Compact"/>
      </w:pPr>
      <w:r>
        <w:rPr>
          <w:bCs/>
          <w:b/>
        </w:rPr>
        <w:t xml:space="preserve">Loss of lean mass:</w:t>
      </w:r>
      <w:r>
        <w:t xml:space="preserve"> </w:t>
      </w:r>
      <w:r>
        <w:t xml:space="preserve">as with any substantial weight loss (see Tirzepatide).</w:t>
      </w:r>
    </w:p>
    <w:p>
      <w:pPr>
        <w:pStyle w:val="FirstParagraph"/>
      </w:pPr>
      <w:r>
        <w:rPr>
          <w:bCs/>
          <w:b/>
        </w:rPr>
        <w:t xml:space="preserve">Theoretical or not yet adequately studied:</w:t>
      </w:r>
      <w:r>
        <w:t xml:space="preserve"> </w:t>
      </w:r>
      <w:r>
        <w:t xml:space="preserve">The glucagon component could in the long term affect amino acid metabolism, heart rhythm and bone; there are no robust long-term data on this. For the class risks of GLP-1 drugs (gallbladder, pancreas, thyroid C-cells in animal studies), there are still too few patient-years for retatrutide to draw separate conclusions.</w:t>
      </w:r>
    </w:p>
    <w:p>
      <w:pPr>
        <w:pStyle w:val="BodyText"/>
      </w:pPr>
      <w:r>
        <w:rPr>
          <w:bCs/>
          <w:b/>
        </w:rPr>
        <w:t xml:space="preserve">Gray market:</w:t>
      </w:r>
      <w:r>
        <w:t xml:space="preserve"> </w:t>
      </w:r>
      <w:r>
        <w:t xml:space="preserve">Since the Phase 2 publication, retatrutide has been offered online as a</w:t>
      </w:r>
      <w:r>
        <w:t xml:space="preserve"> </w:t>
      </w:r>
      <w:r>
        <w:t xml:space="preserve">“</w:t>
      </w:r>
      <w:r>
        <w:t xml:space="preserve">research peptide</w:t>
      </w:r>
      <w:r>
        <w:t xml:space="preserve">”</w:t>
      </w:r>
      <w:r>
        <w:t xml:space="preserve">; the journal JAMA reported in 2026 on a growing black market for retatrutide and zenagamtide</w:t>
      </w:r>
      <w:r>
        <w:rPr>
          <w:rStyle w:val="FootnoteReference"/>
        </w:rPr>
        <w:footnoteReference w:id="564"/>
      </w:r>
      <w:r>
        <w:t xml:space="preserve">. These products are not medicines, their content is not tested, and the dose-escalation schedules used in trials cannot be reliably reproduced with them. The accumulation of side effects with rapid dose escalation in the trials shows that this very point is decisive for tolerability. See Part I and Part IV on this.</w:t>
      </w:r>
    </w:p>
    <w:bookmarkEnd w:id="565"/>
    <w:bookmarkStart w:id="567" w:name="legal-status-5"/>
    <w:p>
      <w:pPr>
        <w:pStyle w:val="Heading3"/>
      </w:pPr>
      <w:r>
        <w:t xml:space="preserve">Legal status</w:t>
      </w:r>
    </w:p>
    <w:p>
      <w:pPr>
        <w:numPr>
          <w:ilvl w:val="0"/>
          <w:numId w:val="1070"/>
        </w:numPr>
        <w:pStyle w:val="Compact"/>
      </w:pPr>
      <w:r>
        <w:rPr>
          <w:bCs/>
          <w:b/>
        </w:rPr>
        <w:t xml:space="preserve">EU / Austria / Germany:</w:t>
      </w:r>
      <w:r>
        <w:t xml:space="preserve"> </w:t>
      </w:r>
      <w:r>
        <w:t xml:space="preserve">not approved. Retatrutide may only be used within clinical trials. Selling it as a</w:t>
      </w:r>
      <w:r>
        <w:t xml:space="preserve"> </w:t>
      </w:r>
      <w:r>
        <w:t xml:space="preserve">“</w:t>
      </w:r>
      <w:r>
        <w:t xml:space="preserve">research chemical</w:t>
      </w:r>
      <w:r>
        <w:t xml:space="preserve">”</w:t>
      </w:r>
      <w:r>
        <w:t xml:space="preserve"> </w:t>
      </w:r>
      <w:r>
        <w:t xml:space="preserve">for use in humans is impermissible under pharmaceutical law.</w:t>
      </w:r>
    </w:p>
    <w:p>
      <w:pPr>
        <w:numPr>
          <w:ilvl w:val="0"/>
          <w:numId w:val="1070"/>
        </w:numPr>
        <w:pStyle w:val="Compact"/>
      </w:pPr>
      <w:r>
        <w:rPr>
          <w:bCs/>
          <w:b/>
        </w:rPr>
        <w:t xml:space="preserve">USA:</w:t>
      </w:r>
      <w:r>
        <w:t xml:space="preserve"> </w:t>
      </w:r>
      <w:r>
        <w:t xml:space="preserve">not approved (as of October 2026). An expanded access program before approval (</w:t>
      </w:r>
      <w:r>
        <w:t xml:space="preserve">“</w:t>
      </w:r>
      <w:r>
        <w:t xml:space="preserve">Expanded Access</w:t>
      </w:r>
      <w:r>
        <w:t xml:space="preserve">”</w:t>
      </w:r>
      <w:r>
        <w:t xml:space="preserve">) is entered in the registry</w:t>
      </w:r>
      <w:r>
        <w:rPr>
          <w:rStyle w:val="FootnoteReference"/>
        </w:rPr>
        <w:footnoteReference w:id="566"/>
      </w:r>
      <w:r>
        <w:t xml:space="preserve">. Whether and when an application for approval will be or has been submitted – please check for updates.</w:t>
      </w:r>
    </w:p>
    <w:p>
      <w:pPr>
        <w:numPr>
          <w:ilvl w:val="0"/>
          <w:numId w:val="1070"/>
        </w:numPr>
        <w:pStyle w:val="Compact"/>
      </w:pPr>
      <w:r>
        <w:rPr>
          <w:bCs/>
          <w:b/>
        </w:rPr>
        <w:t xml:space="preserve">Sport:</w:t>
      </w:r>
      <w:r>
        <w:t xml:space="preserve"> </w:t>
      </w:r>
      <w:r>
        <w:t xml:space="preserve">As a non-approved substance, retatrutide falls under WADA class S0 (as of 2026, please check for updates). A specific detection method in blood has been described.</w:t>
      </w:r>
    </w:p>
    <w:bookmarkEnd w:id="567"/>
    <w:bookmarkStart w:id="575" w:name="ongoing-studies-and-outlook-5"/>
    <w:p>
      <w:pPr>
        <w:pStyle w:val="Heading3"/>
      </w:pPr>
      <w:r>
        <w:t xml:space="preserve">Ongoing studies and outlook</w:t>
      </w:r>
    </w:p>
    <w:p>
      <w:pPr>
        <w:pStyle w:val="FirstParagraph"/>
      </w:pPr>
      <w:r>
        <w:rPr>
          <w:bCs/>
          <w:b/>
        </w:rPr>
        <w:t xml:space="preserve">Confirmed (registered trials, as of October 2026):</w:t>
      </w:r>
    </w:p>
    <w:p>
      <w:pPr>
        <w:numPr>
          <w:ilvl w:val="0"/>
          <w:numId w:val="1071"/>
        </w:numPr>
        <w:pStyle w:val="Compact"/>
      </w:pPr>
      <w:r>
        <w:rPr>
          <w:bCs/>
          <w:b/>
        </w:rPr>
        <w:t xml:space="preserve">TRIUMPH-Outcomes</w:t>
      </w:r>
      <w:r>
        <w:rPr>
          <w:rStyle w:val="FootnoteReference"/>
        </w:rPr>
        <w:footnoteReference w:id="568"/>
      </w:r>
      <w:r>
        <w:t xml:space="preserve">: outcome trial on cardiovascular and kidney events with around 10,000 participants with obesity, planned completion 2029.</w:t>
      </w:r>
    </w:p>
    <w:p>
      <w:pPr>
        <w:numPr>
          <w:ilvl w:val="0"/>
          <w:numId w:val="1071"/>
        </w:numPr>
        <w:pStyle w:val="Compact"/>
      </w:pPr>
      <w:r>
        <w:rPr>
          <w:bCs/>
          <w:b/>
        </w:rPr>
        <w:t xml:space="preserve">Retatrutide vs. tirzepatide</w:t>
      </w:r>
      <w:r>
        <w:rPr>
          <w:rStyle w:val="FootnoteReference"/>
        </w:rPr>
        <w:footnoteReference w:id="569"/>
      </w:r>
      <w:r>
        <w:t xml:space="preserve">: direct comparison in 800 adults with obesity, planned study completion December 2026.</w:t>
      </w:r>
    </w:p>
    <w:p>
      <w:pPr>
        <w:numPr>
          <w:ilvl w:val="0"/>
          <w:numId w:val="1071"/>
        </w:numPr>
        <w:pStyle w:val="Compact"/>
      </w:pPr>
      <w:r>
        <w:rPr>
          <w:bCs/>
          <w:b/>
        </w:rPr>
        <w:t xml:space="preserve">Retatrutide vs. semaglutide</w:t>
      </w:r>
      <w:r>
        <w:t xml:space="preserve"> </w:t>
      </w:r>
      <w:r>
        <w:t xml:space="preserve">in type 2 diabetes</w:t>
      </w:r>
      <w:r>
        <w:rPr>
          <w:rStyle w:val="FootnoteReference"/>
        </w:rPr>
        <w:footnoteReference w:id="570"/>
      </w:r>
      <w:r>
        <w:t xml:space="preserve">.</w:t>
      </w:r>
    </w:p>
    <w:p>
      <w:pPr>
        <w:numPr>
          <w:ilvl w:val="0"/>
          <w:numId w:val="1071"/>
        </w:numPr>
        <w:pStyle w:val="Compact"/>
      </w:pPr>
      <w:r>
        <w:rPr>
          <w:bCs/>
          <w:b/>
        </w:rPr>
        <w:t xml:space="preserve">Weight maintenance</w:t>
      </w:r>
      <w:r>
        <w:t xml:space="preserve"> </w:t>
      </w:r>
      <w:r>
        <w:t xml:space="preserve">after weight loss</w:t>
      </w:r>
      <w:r>
        <w:rPr>
          <w:rStyle w:val="FootnoteReference"/>
        </w:rPr>
        <w:footnoteReference w:id="571"/>
      </w:r>
      <w:r>
        <w:t xml:space="preserve">,</w:t>
      </w:r>
      <w:r>
        <w:t xml:space="preserve"> </w:t>
      </w:r>
      <w:r>
        <w:rPr>
          <w:bCs/>
          <w:b/>
        </w:rPr>
        <w:t xml:space="preserve">kidney function</w:t>
      </w:r>
      <w:r>
        <w:t xml:space="preserve"> </w:t>
      </w:r>
      <w:r>
        <w:t xml:space="preserve">in type 2 diabetes with renal impairment</w:t>
      </w:r>
      <w:r>
        <w:rPr>
          <w:rStyle w:val="FootnoteReference"/>
        </w:rPr>
        <w:footnoteReference w:id="572"/>
      </w:r>
      <w:r>
        <w:t xml:space="preserve">,</w:t>
      </w:r>
      <w:r>
        <w:t xml:space="preserve"> </w:t>
      </w:r>
      <w:r>
        <w:rPr>
          <w:bCs/>
          <w:b/>
        </w:rPr>
        <w:t xml:space="preserve">chronic back pain</w:t>
      </w:r>
      <w:r>
        <w:t xml:space="preserve"> </w:t>
      </w:r>
      <w:r>
        <w:t xml:space="preserve">in obesity</w:t>
      </w:r>
      <w:r>
        <w:rPr>
          <w:rStyle w:val="FootnoteReference"/>
        </w:rPr>
        <w:footnoteReference w:id="573"/>
      </w:r>
      <w:r>
        <w:t xml:space="preserve">.</w:t>
      </w:r>
    </w:p>
    <w:p>
      <w:pPr>
        <w:numPr>
          <w:ilvl w:val="0"/>
          <w:numId w:val="1071"/>
        </w:numPr>
        <w:pStyle w:val="Compact"/>
      </w:pPr>
      <w:r>
        <w:t xml:space="preserve">Retatrutide is also part of a Phase 3 master protocol on fatty liver disease</w:t>
      </w:r>
      <w:r>
        <w:rPr>
          <w:rStyle w:val="FootnoteReference"/>
        </w:rPr>
        <w:footnoteReference w:id="574"/>
      </w:r>
      <w:r>
        <w:t xml:space="preserve">.</w:t>
      </w:r>
    </w:p>
    <w:p>
      <w:pPr>
        <w:pStyle w:val="FirstParagraph"/>
      </w:pPr>
      <w:r>
        <w:rPr>
          <w:bCs/>
          <w:b/>
        </w:rPr>
        <w:t xml:space="preserve">Assessment:</w:t>
      </w:r>
      <w:r>
        <w:t xml:space="preserve"> </w:t>
      </w:r>
      <w:r>
        <w:t xml:space="preserve">Following the TRIUMPH-1 and TRIUMPH-2 data, applications for approval in the USA and the EU are to be expected; a market launch in 2027 or 2028 appears plausible but is not certain. Whether additional weight loss compared with tirzepatide outweighs the somewhat higher discontinuation rates and the new signal of dysesthesia will be shown by the direct comparison. For many people, moderate, well-tolerated weight loss is more important than a record value.</w:t>
      </w:r>
    </w:p>
    <w:bookmarkEnd w:id="575"/>
    <w:bookmarkStart w:id="576" w:name="conclusion-5"/>
    <w:p>
      <w:pPr>
        <w:pStyle w:val="Heading3"/>
      </w:pPr>
      <w:r>
        <w:t xml:space="preserve">Conclusion</w:t>
      </w:r>
    </w:p>
    <w:p>
      <w:pPr>
        <w:pStyle w:val="FirstParagraph"/>
      </w:pPr>
      <w:r>
        <w:t xml:space="preserve">Retatrutide is a triple agonist at the GIP, GLP-1 and glucagon receptors and achieved an average weight loss of 25.0% after 80 weeks in the Phase 3 trial TRIUMPH-1 – the highest value measured to date in a large drug trial. Clear effects were also seen in type 2 diabetes, knee osteoarthritis and sleep apnea. Side effects mainly affect the gastrointestinal tract; abnormal skin sensations are new, and discontinuation rates rise at high doses. Data on cardiovascular events and an approval are still pending. Gray-market products labeled</w:t>
      </w:r>
      <w:r>
        <w:t xml:space="preserve"> </w:t>
      </w:r>
      <w:r>
        <w:t xml:space="preserve">“</w:t>
      </w:r>
      <w:r>
        <w:t xml:space="preserve">Retatrutide</w:t>
      </w:r>
      <w:r>
        <w:t xml:space="preserve">”</w:t>
      </w:r>
      <w:r>
        <w:t xml:space="preserve"> </w:t>
      </w:r>
      <w:r>
        <w:t xml:space="preserve">are not a safe shortcut to this medicine.</w:t>
      </w:r>
    </w:p>
    <w:bookmarkEnd w:id="576"/>
    <w:bookmarkEnd w:id="577"/>
    <w:bookmarkStart w:id="613" w:name="survodutide"/>
    <w:p>
      <w:pPr>
        <w:pStyle w:val="Heading2"/>
      </w:pPr>
      <w:r>
        <w:t xml:space="preserve">Survodutide</w:t>
      </w:r>
    </w:p>
    <w:bookmarkStart w:id="578" w:name="profile-6"/>
    <w:p>
      <w:pPr>
        <w:pStyle w:val="Heading3"/>
      </w:pPr>
      <w:r>
        <w:t xml:space="preserve">Profile</w:t>
      </w:r>
    </w:p>
    <w:p>
      <w:pPr>
        <w:numPr>
          <w:ilvl w:val="0"/>
          <w:numId w:val="1072"/>
        </w:numPr>
        <w:pStyle w:val="Compact"/>
      </w:pPr>
      <w:r>
        <w:rPr>
          <w:bCs/>
          <w:b/>
        </w:rPr>
        <w:t xml:space="preserve">Type/structure:</w:t>
      </w:r>
      <w:r>
        <w:t xml:space="preserve"> </w:t>
      </w:r>
      <w:r>
        <w:t xml:space="preserve">synthetic, fatty-acid-modified peptide for once-weekly injection under the skin; development code BI 456906.</w:t>
      </w:r>
    </w:p>
    <w:p>
      <w:pPr>
        <w:numPr>
          <w:ilvl w:val="0"/>
          <w:numId w:val="1072"/>
        </w:numPr>
        <w:pStyle w:val="Compact"/>
      </w:pPr>
      <w:r>
        <w:rPr>
          <w:bCs/>
          <w:b/>
        </w:rPr>
        <w:t xml:space="preserve">Origin:</w:t>
      </w:r>
      <w:r>
        <w:t xml:space="preserve"> </w:t>
      </w:r>
      <w:r>
        <w:t xml:space="preserve">developed by Boehringer Ingelheim in collaboration with the Danish company Zealand Pharma.</w:t>
      </w:r>
    </w:p>
    <w:p>
      <w:pPr>
        <w:numPr>
          <w:ilvl w:val="0"/>
          <w:numId w:val="1072"/>
        </w:numPr>
        <w:pStyle w:val="Compact"/>
      </w:pPr>
      <w:r>
        <w:rPr>
          <w:bCs/>
          <w:b/>
        </w:rPr>
        <w:t xml:space="preserve">Mechanism of action:</w:t>
      </w:r>
      <w:r>
        <w:t xml:space="preserve"> </w:t>
      </w:r>
      <w:r>
        <w:t xml:space="preserve">dual agonist at the glucagon receptor and GLP-1 receptor (without a GIP component).</w:t>
      </w:r>
    </w:p>
    <w:p>
      <w:pPr>
        <w:numPr>
          <w:ilvl w:val="0"/>
          <w:numId w:val="1072"/>
        </w:numPr>
        <w:pStyle w:val="Compact"/>
      </w:pPr>
      <w:r>
        <w:rPr>
          <w:bCs/>
          <w:b/>
        </w:rPr>
        <w:t xml:space="preserve">Approval EU:</w:t>
      </w:r>
      <w:r>
        <w:t xml:space="preserve"> </w:t>
      </w:r>
      <w:r>
        <w:t xml:space="preserve">no (as of October 2026).</w:t>
      </w:r>
    </w:p>
    <w:p>
      <w:pPr>
        <w:numPr>
          <w:ilvl w:val="0"/>
          <w:numId w:val="1072"/>
        </w:numPr>
        <w:pStyle w:val="Compact"/>
      </w:pPr>
      <w:r>
        <w:rPr>
          <w:bCs/>
          <w:b/>
        </w:rPr>
        <w:t xml:space="preserve">Approval USA:</w:t>
      </w:r>
      <w:r>
        <w:t xml:space="preserve"> </w:t>
      </w:r>
      <w:r>
        <w:t xml:space="preserve">no (as of October 2026).</w:t>
      </w:r>
    </w:p>
    <w:p>
      <w:pPr>
        <w:numPr>
          <w:ilvl w:val="0"/>
          <w:numId w:val="1072"/>
        </w:numPr>
        <w:pStyle w:val="Compact"/>
      </w:pPr>
      <w:r>
        <w:rPr>
          <w:bCs/>
          <w:b/>
        </w:rPr>
        <w:t xml:space="preserve">WADA:</w:t>
      </w:r>
      <w:r>
        <w:t xml:space="preserve"> </w:t>
      </w:r>
      <w:r>
        <w:t xml:space="preserve">as a substance not approved anywhere, prohibited under S0</w:t>
      </w:r>
      <w:r>
        <w:t xml:space="preserve"> </w:t>
      </w:r>
      <w:r>
        <w:t xml:space="preserve">“</w:t>
      </w:r>
      <w:r>
        <w:t xml:space="preserve">Non-approved substances</w:t>
      </w:r>
      <w:r>
        <w:t xml:space="preserve">”</w:t>
      </w:r>
      <w:r>
        <w:t xml:space="preserve">.</w:t>
      </w:r>
    </w:p>
    <w:p>
      <w:pPr>
        <w:numPr>
          <w:ilvl w:val="0"/>
          <w:numId w:val="1072"/>
        </w:numPr>
        <w:pStyle w:val="Compact"/>
      </w:pPr>
      <w:r>
        <w:rPr>
          <w:bCs/>
          <w:b/>
        </w:rPr>
        <w:t xml:space="preserve">Evidence level:</w:t>
      </w:r>
      <w:r>
        <w:t xml:space="preserve"> </w:t>
      </w:r>
      <w:r>
        <w:rPr>
          <w:bCs/>
          <w:b/>
        </w:rPr>
        <w:t xml:space="preserve">B</w:t>
      </w:r>
      <w:r>
        <w:t xml:space="preserve"> </w:t>
      </w:r>
      <w:r>
        <w:t xml:space="preserve">– randomized Phase 2 and first Phase 3 trials published, no approval.</w:t>
      </w:r>
    </w:p>
    <w:bookmarkEnd w:id="578"/>
    <w:bookmarkStart w:id="582" w:name="how-it-is-supposed-to-work-6"/>
    <w:p>
      <w:pPr>
        <w:pStyle w:val="Heading3"/>
      </w:pPr>
      <w:r>
        <w:t xml:space="preserve">How it is supposed to work</w:t>
      </w:r>
    </w:p>
    <w:p>
      <w:pPr>
        <w:pStyle w:val="FirstParagraph"/>
      </w:pPr>
      <w:r>
        <w:t xml:space="preserve">Survodutide combines two gut and pancreatic hormones: GLP-1, which promotes satiety and enhances insulin secretion, and glucagon, which increases energy expenditure and stimulates the liver to break down fat. While tirzepatide relies on GIP plus GLP-1 and retatrutide combines all three signals, survodutide omits the GIP component and instead emphasizes the glucagon effect. The manufacturer is thus targeting the liver in particular: the fatty liver disease MASH is the second main area of development alongside obesity.</w:t>
      </w:r>
    </w:p>
    <w:p>
      <w:pPr>
        <w:pStyle w:val="BodyText"/>
      </w:pPr>
      <w:r>
        <w:t xml:space="preserve">Survodutide was selected from 19 similar candidates because it engaged both receptors in a balanced way in animal experiments. In obese mice, body weight decreased by about a quarter</w:t>
      </w:r>
      <w:r>
        <w:rPr>
          <w:rStyle w:val="FootnoteReference"/>
        </w:rPr>
        <w:footnoteReference w:id="579"/>
      </w:r>
      <w:r>
        <w:t xml:space="preserve">. Studies in mice suggest that the appetite-reducing effect in the brain runs mainly via the GLP-1 receptor; the glucagon component acts rather in the body, for example in the liver</w:t>
      </w:r>
      <w:r>
        <w:rPr>
          <w:rStyle w:val="FootnoteReference"/>
        </w:rPr>
        <w:footnoteReference w:id="580"/>
      </w:r>
      <w:r>
        <w:t xml:space="preserve">. These are animal findings; in humans, the effect on energy expenditure is currently being measured in a dedicated trial</w:t>
      </w:r>
      <w:r>
        <w:rPr>
          <w:rStyle w:val="FootnoteReference"/>
        </w:rPr>
        <w:footnoteReference w:id="581"/>
      </w:r>
      <w:r>
        <w:t xml:space="preserve">.</w:t>
      </w:r>
    </w:p>
    <w:bookmarkEnd w:id="582"/>
    <w:bookmarkStart w:id="592" w:name="human-studies-6"/>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10 human studies; in addition, there is the publication of the Phase 3 trial SYNCHRONIZE-2, found through a targeted follow-up search. On ClinicalTrials.gov, 29 trials were registered, including the Phase 3 program SYNCHRONIZE (obesity) and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type 2 diabetes (Blüher 2024), PMID 38095657</w:t>
            </w:r>
          </w:p>
        </w:tc>
        <w:tc>
          <w:tcPr/>
          <w:p>
            <w:pPr>
              <w:pStyle w:val="Compact"/>
              <w:jc w:val="left"/>
            </w:pPr>
            <w:r>
              <w:t xml:space="preserve">413 adults on metformin, vs. placebo and open-label semaglutide</w:t>
            </w:r>
          </w:p>
        </w:tc>
        <w:tc>
          <w:tcPr/>
          <w:p>
            <w:pPr>
              <w:pStyle w:val="Compact"/>
              <w:jc w:val="left"/>
            </w:pPr>
            <w:r>
              <w:t xml:space="preserve">16 weeks</w:t>
            </w:r>
          </w:p>
        </w:tc>
        <w:tc>
          <w:tcPr/>
          <w:p>
            <w:pPr>
              <w:pStyle w:val="Compact"/>
              <w:jc w:val="left"/>
            </w:pPr>
            <w:r>
              <w:t xml:space="preserve">HbA1c up to −1.71 points; weight up to −8.7% (semaglutide −5.3%)</w:t>
            </w:r>
          </w:p>
        </w:tc>
      </w:tr>
      <w:tr>
        <w:tc>
          <w:tcPr/>
          <w:p>
            <w:pPr>
              <w:pStyle w:val="Compact"/>
              <w:jc w:val="left"/>
            </w:pPr>
            <w:r>
              <w:t xml:space="preserve">Phase 2 obesity (le Roux 2024), PMID 38330987</w:t>
            </w:r>
          </w:p>
        </w:tc>
        <w:tc>
          <w:tcPr/>
          <w:p>
            <w:pPr>
              <w:pStyle w:val="Compact"/>
              <w:jc w:val="left"/>
            </w:pPr>
            <w:r>
              <w:t xml:space="preserve">387 adults without diabetes, vs. placebo</w:t>
            </w:r>
          </w:p>
        </w:tc>
        <w:tc>
          <w:tcPr/>
          <w:p>
            <w:pPr>
              <w:pStyle w:val="Compact"/>
              <w:jc w:val="left"/>
            </w:pPr>
            <w:r>
              <w:t xml:space="preserve">46 weeks</w:t>
            </w:r>
          </w:p>
        </w:tc>
        <w:tc>
          <w:tcPr/>
          <w:p>
            <w:pPr>
              <w:pStyle w:val="Compact"/>
              <w:jc w:val="left"/>
            </w:pPr>
            <w:r>
              <w:t xml:space="preserve">−6.2 to −14.9% weight vs. −2.8%</w:t>
            </w:r>
          </w:p>
        </w:tc>
      </w:tr>
      <w:tr>
        <w:tc>
          <w:tcPr/>
          <w:p>
            <w:pPr>
              <w:pStyle w:val="Compact"/>
              <w:jc w:val="left"/>
            </w:pPr>
            <w:r>
              <w:t xml:space="preserve">Phase 2 MASH (Sanyal 2024), PMID 38847460</w:t>
            </w:r>
          </w:p>
        </w:tc>
        <w:tc>
          <w:tcPr/>
          <w:p>
            <w:pPr>
              <w:pStyle w:val="Compact"/>
              <w:jc w:val="left"/>
            </w:pPr>
            <w:r>
              <w:t xml:space="preserve">293 adults with biopsy-confirmed MASH and fibrosis F1–F3</w:t>
            </w:r>
          </w:p>
        </w:tc>
        <w:tc>
          <w:tcPr/>
          <w:p>
            <w:pPr>
              <w:pStyle w:val="Compact"/>
              <w:jc w:val="left"/>
            </w:pPr>
            <w:r>
              <w:t xml:space="preserve">48 weeks</w:t>
            </w:r>
          </w:p>
        </w:tc>
        <w:tc>
          <w:tcPr/>
          <w:p>
            <w:pPr>
              <w:pStyle w:val="Compact"/>
              <w:jc w:val="left"/>
            </w:pPr>
            <w:r>
              <w:t xml:space="preserve">MASH improvement in 43–62% vs. 14%</w:t>
            </w:r>
          </w:p>
        </w:tc>
      </w:tr>
      <w:tr>
        <w:tc>
          <w:tcPr/>
          <w:p>
            <w:pPr>
              <w:pStyle w:val="Compact"/>
              <w:jc w:val="left"/>
            </w:pPr>
            <w:r>
              <w:t xml:space="preserve">SYNCHRONIZE-1 (le Roux 2026), PMID 42253238</w:t>
            </w:r>
          </w:p>
        </w:tc>
        <w:tc>
          <w:tcPr/>
          <w:p>
            <w:pPr>
              <w:pStyle w:val="Compact"/>
              <w:jc w:val="left"/>
            </w:pPr>
            <w:r>
              <w:t xml:space="preserve">725 adults with obesity without diabetes, vs. placebo</w:t>
            </w:r>
          </w:p>
        </w:tc>
        <w:tc>
          <w:tcPr/>
          <w:p>
            <w:pPr>
              <w:pStyle w:val="Compact"/>
              <w:jc w:val="left"/>
            </w:pPr>
            <w:r>
              <w:t xml:space="preserve">76 weeks</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adults with obesity and type 2 diabetes, vs. placebo</w:t>
            </w:r>
          </w:p>
        </w:tc>
        <w:tc>
          <w:tcPr/>
          <w:p>
            <w:pPr>
              <w:pStyle w:val="Compact"/>
              <w:jc w:val="left"/>
            </w:pPr>
            <w:r>
              <w:t xml:space="preserve">76 weeks</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adults with obesity and fatty liver with risk signs</w:t>
            </w:r>
          </w:p>
        </w:tc>
        <w:tc>
          <w:tcPr/>
          <w:p>
            <w:pPr>
              <w:pStyle w:val="Compact"/>
              <w:jc w:val="left"/>
            </w:pPr>
            <w:r>
              <w:t xml:space="preserve">48 weeks</w:t>
            </w:r>
          </w:p>
        </w:tc>
        <w:tc>
          <w:tcPr/>
          <w:p>
            <w:pPr>
              <w:pStyle w:val="Compact"/>
              <w:jc w:val="left"/>
            </w:pPr>
            <w:r>
              <w:t xml:space="preserve">liver fat −30% or more in 84.2% vs. 24.3%</w:t>
            </w:r>
          </w:p>
        </w:tc>
      </w:tr>
    </w:tbl>
    <w:bookmarkStart w:id="587" w:name="obesity-and-type-2-diabetes"/>
    <w:p>
      <w:pPr>
        <w:pStyle w:val="Heading4"/>
      </w:pPr>
      <w:r>
        <w:t xml:space="preserve">Obesity and type 2 diabetes</w:t>
      </w:r>
    </w:p>
    <w:p>
      <w:pPr>
        <w:pStyle w:val="FirstParagraph"/>
      </w:pPr>
      <w:r>
        <w:t xml:space="preserve">The Phase 2 trial in obesity</w:t>
      </w:r>
      <w:r>
        <w:rPr>
          <w:rStyle w:val="FootnoteReference"/>
        </w:rPr>
        <w:footnoteReference w:id="583"/>
      </w:r>
      <w:r>
        <w:t xml:space="preserve"> </w:t>
      </w:r>
      <w:r>
        <w:t xml:space="preserve">showed dose-dependent weight loss of up to 14.9% after 46 weeks. The high discontinuation rate was striking: only 61% of participants on survodutide completed the 46 weeks of treatment, but likewise only 60% on placebo. Gastrointestinal side effects occurred in 75% on survodutide and 42% on placebo. Dose escalation in this trial was comparatively fast.</w:t>
      </w:r>
    </w:p>
    <w:p>
      <w:pPr>
        <w:pStyle w:val="BodyText"/>
      </w:pPr>
      <w:r>
        <w:t xml:space="preserve">In the Phase 3 trial</w:t>
      </w:r>
      <w:r>
        <w:t xml:space="preserve"> </w:t>
      </w:r>
      <w:r>
        <w:rPr>
          <w:bCs/>
          <w:b/>
        </w:rPr>
        <w:t xml:space="preserve">SYNCHRONIZE-1</w:t>
      </w:r>
      <w:r>
        <w:rPr>
          <w:rStyle w:val="FootnoteReference"/>
        </w:rPr>
        <w:footnoteReference w:id="584"/>
      </w:r>
      <w:r>
        <w:t xml:space="preserve">, the dose was escalated more slowly. After 76 weeks, participants on the higher dose lost 13.0% of their body weight, and 5.4% on placebo. This is below the values that tirzepatide or retatrutide achieved in similarly designed trials. It should be noted that the main analysis included all persons – including those who discontinued treatment or in whom dose escalation was extended. Gastrointestinal complaints affected 80.9% and 89.7%, respectively, compared with 47.9% on placebo; there were no deaths.</w:t>
      </w:r>
    </w:p>
    <w:p>
      <w:pPr>
        <w:pStyle w:val="BodyText"/>
      </w:pPr>
      <w:r>
        <w:rPr>
          <w:bCs/>
          <w:b/>
        </w:rPr>
        <w:t xml:space="preserve">SYNCHRONIZE-2</w:t>
      </w:r>
      <w:r>
        <w:rPr>
          <w:rStyle w:val="FootnoteReference"/>
        </w:rPr>
        <w:footnoteReference w:id="585"/>
      </w:r>
      <w:r>
        <w:t xml:space="preserve"> </w:t>
      </w:r>
      <w:r>
        <w:t xml:space="preserve">studied 752 people with obesity and type 2 diabetes. Weight loss after 76 weeks was 8.2% and 9.8%, respectively, compared with 3.9% on placebo; HbA1c fell from 7.4% by 0.8 to 0.9 percentage points.</w:t>
      </w:r>
    </w:p>
    <w:p>
      <w:pPr>
        <w:pStyle w:val="BodyText"/>
      </w:pPr>
      <w:r>
        <w:t xml:space="preserve">In the Phase 2 trial in type 2 diabetes, survodutide at a low dose lowered HbA1c after 16 weeks about as much as semaglutide 1 mg (about −1.46 and −1.47 points, respectively); the higher doses led to more weight loss than semaglutide</w:t>
      </w:r>
      <w:r>
        <w:rPr>
          <w:rStyle w:val="FootnoteReference"/>
        </w:rPr>
        <w:footnoteReference w:id="586"/>
      </w:r>
      <w:r>
        <w:t xml:space="preserve">. However, the semaglutide arm was open-label and the trial was short.</w:t>
      </w:r>
    </w:p>
    <w:bookmarkEnd w:id="587"/>
    <w:bookmarkStart w:id="591" w:name="fatty-liver-masld-and-mash"/>
    <w:p>
      <w:pPr>
        <w:pStyle w:val="Heading4"/>
      </w:pPr>
      <w:r>
        <w:t xml:space="preserve">Fatty liver (MASLD and MASH)</w:t>
      </w:r>
    </w:p>
    <w:p>
      <w:pPr>
        <w:pStyle w:val="FirstParagraph"/>
      </w:pPr>
      <w:r>
        <w:t xml:space="preserve">This is where the real strength of the data so far lies. In the Phase 2 trial in biopsy-confirmed MASH with fibrosis</w:t>
      </w:r>
      <w:r>
        <w:rPr>
          <w:rStyle w:val="FootnoteReference"/>
        </w:rPr>
        <w:footnoteReference w:id="588"/>
      </w:r>
      <w:r>
        <w:t xml:space="preserve">, liver inflammation improved without worsening of fibrosis in 47%, 62% and 43% of the three dose groups compared with 14% on placebo. An improvement in fibrosis by at least one stage was seen in 34–36% compared with 22%. The dose-response curve was not linear: the middle dose performed best.</w:t>
      </w:r>
    </w:p>
    <w:p>
      <w:pPr>
        <w:pStyle w:val="BodyText"/>
      </w:pPr>
      <w:r>
        <w:t xml:space="preserve">The Phase 3 trial</w:t>
      </w:r>
      <w:r>
        <w:t xml:space="preserve"> </w:t>
      </w:r>
      <w:r>
        <w:rPr>
          <w:bCs/>
          <w:b/>
        </w:rPr>
        <w:t xml:space="preserve">SYNCHRONIZE-MASLD</w:t>
      </w:r>
      <w:r>
        <w:rPr>
          <w:rStyle w:val="FootnoteReference"/>
        </w:rPr>
        <w:footnoteReference w:id="589"/>
      </w:r>
      <w:r>
        <w:t xml:space="preserve"> </w:t>
      </w:r>
      <w:r>
        <w:t xml:space="preserve">with 216 adults showed, after 48 weeks, a reduction in liver fat of at least 30% in 84.2% on survodutide (placebo 24.3%), measured by MRI. According to the stricter analysis, which also takes treatment discontinuations into account, it was 68.5% compared with 28.6%. The authors themselves cite the short duration and recruitment only in the USA and Spain as limitations.</w:t>
      </w:r>
    </w:p>
    <w:p>
      <w:pPr>
        <w:pStyle w:val="BodyText"/>
      </w:pPr>
      <w:r>
        <w:t xml:space="preserve">In an open-label Phase 1 trial, survodutide was also studied in people with liver cirrhosis, including advanced stages. Blood levels did not differ substantially from those of people with healthy livers; liver fat, liver stiffness and body weight decreased over 28 weeks</w:t>
      </w:r>
      <w:r>
        <w:rPr>
          <w:rStyle w:val="FootnoteReference"/>
        </w:rPr>
        <w:footnoteReference w:id="590"/>
      </w:r>
      <w:r>
        <w:t xml:space="preserve">. This trial was small and uncontrolled.</w:t>
      </w:r>
    </w:p>
    <w:bookmarkEnd w:id="591"/>
    <w:bookmarkEnd w:id="592"/>
    <w:bookmarkStart w:id="595" w:name="animal-and-laboratory-studies-6"/>
    <w:p>
      <w:pPr>
        <w:pStyle w:val="Heading3"/>
      </w:pPr>
      <w:r>
        <w:t xml:space="preserve">Animal and laboratory studies</w:t>
      </w:r>
    </w:p>
    <w:p>
      <w:pPr>
        <w:pStyle w:val="FirstParagraph"/>
      </w:pPr>
      <w:r>
        <w:t xml:space="preserve">The preclinical data come predominantly from the manufacturer’s laboratories: receptor profiles in cell lines, weight loss in mice with diet-induced obesity and blood glucose reduction in diabetic mice</w:t>
      </w:r>
      <w:r>
        <w:rPr>
          <w:rStyle w:val="FootnoteReference"/>
        </w:rPr>
        <w:footnoteReference w:id="593"/>
      </w:r>
      <w:r>
        <w:t xml:space="preserve">. Studies in mice and in human tissue are available on the site of action in the brain</w:t>
      </w:r>
      <w:r>
        <w:rPr>
          <w:rStyle w:val="FootnoteReference"/>
        </w:rPr>
        <w:footnoteReference w:id="594"/>
      </w:r>
      <w:r>
        <w:t xml:space="preserve">. Independent animal studies are rare.</w:t>
      </w:r>
    </w:p>
    <w:bookmarkEnd w:id="595"/>
    <w:bookmarkStart w:id="599" w:name="risks-and-side-effects-6"/>
    <w:p>
      <w:pPr>
        <w:pStyle w:val="Heading3"/>
      </w:pPr>
      <w:r>
        <w:t xml:space="preserve">Risks and side effects</w:t>
      </w:r>
    </w:p>
    <w:p>
      <w:pPr>
        <w:pStyle w:val="FirstParagraph"/>
      </w:pPr>
      <w:r>
        <w:rPr>
          <w:bCs/>
          <w:b/>
        </w:rPr>
        <w:t xml:space="preserve">Documented in studies:</w:t>
      </w:r>
    </w:p>
    <w:p>
      <w:pPr>
        <w:numPr>
          <w:ilvl w:val="0"/>
          <w:numId w:val="1073"/>
        </w:numPr>
        <w:pStyle w:val="Compact"/>
      </w:pPr>
      <w:r>
        <w:rPr>
          <w:bCs/>
          <w:b/>
        </w:rPr>
        <w:t xml:space="preserve">Gastrointestinal complaints</w:t>
      </w:r>
      <w:r>
        <w:t xml:space="preserve"> </w:t>
      </w:r>
      <w:r>
        <w:t xml:space="preserve">are particularly common with survodutide. In the MASH trial, nausea occurred in 66% (placebo 23%), diarrhea in 49% (23%) and vomiting in 41% (4%)</w:t>
      </w:r>
      <w:r>
        <w:rPr>
          <w:rStyle w:val="FootnoteReference"/>
        </w:rPr>
        <w:footnoteReference w:id="596"/>
      </w:r>
      <w:r>
        <w:t xml:space="preserve">. In SYNCHRONIZE-1, up to 89.7% reported gastrointestinal complaints</w:t>
      </w:r>
      <w:r>
        <w:rPr>
          <w:rStyle w:val="FootnoteReference"/>
        </w:rPr>
        <w:footnoteReference w:id="597"/>
      </w:r>
      <w:r>
        <w:t xml:space="preserve">. The frequency is high compared with other incretin drugs, even though most complaints were mild to moderate.</w:t>
      </w:r>
    </w:p>
    <w:p>
      <w:pPr>
        <w:numPr>
          <w:ilvl w:val="0"/>
          <w:numId w:val="1073"/>
        </w:numPr>
        <w:pStyle w:val="Compact"/>
      </w:pPr>
      <w:r>
        <w:rPr>
          <w:bCs/>
          <w:b/>
        </w:rPr>
        <w:t xml:space="preserve">Serious adverse events</w:t>
      </w:r>
      <w:r>
        <w:t xml:space="preserve"> </w:t>
      </w:r>
      <w:r>
        <w:t xml:space="preserve">were similarly frequent in the MASH trial, at 8% on survodutide and 7% on placebo.</w:t>
      </w:r>
    </w:p>
    <w:p>
      <w:pPr>
        <w:numPr>
          <w:ilvl w:val="0"/>
          <w:numId w:val="1073"/>
        </w:numPr>
        <w:pStyle w:val="Compact"/>
      </w:pPr>
      <w:r>
        <w:rPr>
          <w:bCs/>
          <w:b/>
        </w:rPr>
        <w:t xml:space="preserve">Discontinuations:</w:t>
      </w:r>
      <w:r>
        <w:t xml:space="preserve"> </w:t>
      </w:r>
      <w:r>
        <w:t xml:space="preserve">In the Phase 2 obesity trial, only around 60% completed the treatment phase – in both groups.</w:t>
      </w:r>
    </w:p>
    <w:p>
      <w:pPr>
        <w:pStyle w:val="FirstParagraph"/>
      </w:pPr>
      <w:r>
        <w:rPr>
          <w:bCs/>
          <w:b/>
        </w:rPr>
        <w:t xml:space="preserve">Still open:</w:t>
      </w:r>
      <w:r>
        <w:t xml:space="preserve"> </w:t>
      </w:r>
      <w:r>
        <w:t xml:space="preserve">Increases in heart rate are known for glucagon and GLP-1 agonists; a dedicated trial on cardiac safety was conducted</w:t>
      </w:r>
      <w:r>
        <w:rPr>
          <w:rStyle w:val="FootnoteReference"/>
        </w:rPr>
        <w:footnoteReference w:id="598"/>
      </w:r>
      <w:r>
        <w:t xml:space="preserve">. According to the registry, the large cardiovascular safety trial SYNCHRONIZE-CVOT has been completed; at the editorial deadline, the results had not yet been published in a peer-reviewed journal. Long-term effects of the glucagon component on muscle, bone and amino acid metabolism have not been studied.</w:t>
      </w:r>
    </w:p>
    <w:bookmarkEnd w:id="599"/>
    <w:bookmarkStart w:id="600" w:name="legal-status-6"/>
    <w:p>
      <w:pPr>
        <w:pStyle w:val="Heading3"/>
      </w:pPr>
      <w:r>
        <w:t xml:space="preserve">Legal status</w:t>
      </w:r>
    </w:p>
    <w:p>
      <w:pPr>
        <w:numPr>
          <w:ilvl w:val="0"/>
          <w:numId w:val="1074"/>
        </w:numPr>
        <w:pStyle w:val="Compact"/>
      </w:pPr>
      <w:r>
        <w:rPr>
          <w:bCs/>
          <w:b/>
        </w:rPr>
        <w:t xml:space="preserve">EU / Austria / Germany:</w:t>
      </w:r>
      <w:r>
        <w:t xml:space="preserve"> </w:t>
      </w:r>
      <w:r>
        <w:t xml:space="preserve">not approved; use only in clinical trials. Gray-market offerings are not legal medicines.</w:t>
      </w:r>
    </w:p>
    <w:p>
      <w:pPr>
        <w:numPr>
          <w:ilvl w:val="0"/>
          <w:numId w:val="1074"/>
        </w:numPr>
        <w:pStyle w:val="Compact"/>
      </w:pPr>
      <w:r>
        <w:rPr>
          <w:bCs/>
          <w:b/>
        </w:rPr>
        <w:t xml:space="preserve">USA:</w:t>
      </w:r>
      <w:r>
        <w:t xml:space="preserve"> </w:t>
      </w:r>
      <w:r>
        <w:t xml:space="preserve">not approved. The FDA has designated survodutide a</w:t>
      </w:r>
      <w:r>
        <w:t xml:space="preserve"> </w:t>
      </w:r>
      <w:r>
        <w:t xml:space="preserve">“</w:t>
      </w:r>
      <w:r>
        <w:t xml:space="preserve">Breakthrough Therapy</w:t>
      </w:r>
      <w:r>
        <w:t xml:space="preserve">”</w:t>
      </w:r>
      <w:r>
        <w:t xml:space="preserve"> </w:t>
      </w:r>
      <w:r>
        <w:t xml:space="preserve">for the treatment of MASH, which can speed up the review process.</w:t>
      </w:r>
    </w:p>
    <w:p>
      <w:pPr>
        <w:numPr>
          <w:ilvl w:val="0"/>
          <w:numId w:val="1074"/>
        </w:numPr>
        <w:pStyle w:val="Compact"/>
      </w:pPr>
      <w:r>
        <w:rPr>
          <w:bCs/>
          <w:b/>
        </w:rPr>
        <w:t xml:space="preserve">Sport:</w:t>
      </w:r>
      <w:r>
        <w:t xml:space="preserve"> </w:t>
      </w:r>
      <w:r>
        <w:t xml:space="preserve">WADA class S0 (non-approved substance), as of 2026, please check for updates.</w:t>
      </w:r>
    </w:p>
    <w:bookmarkEnd w:id="600"/>
    <w:bookmarkStart w:id="611" w:name="ongoing-studies-and-outlook-6"/>
    <w:p>
      <w:pPr>
        <w:pStyle w:val="Heading3"/>
      </w:pPr>
      <w:r>
        <w:t xml:space="preserve">Ongoing studies and outlook</w:t>
      </w:r>
    </w:p>
    <w:p>
      <w:pPr>
        <w:pStyle w:val="FirstParagraph"/>
      </w:pPr>
      <w:r>
        <w:rPr>
          <w:bCs/>
          <w:b/>
        </w:rPr>
        <w:t xml:space="preserve">Confirmed (registered trials, as of October 2026):</w:t>
      </w:r>
    </w:p>
    <w:p>
      <w:pPr>
        <w:numPr>
          <w:ilvl w:val="0"/>
          <w:numId w:val="1075"/>
        </w:numPr>
        <w:pStyle w:val="Compact"/>
      </w:pPr>
      <w:r>
        <w:rPr>
          <w:bCs/>
          <w:b/>
        </w:rPr>
        <w:t xml:space="preserve">SYNCHRONIZE-CVOT</w:t>
      </w:r>
      <w:r>
        <w:rPr>
          <w:rStyle w:val="FootnoteReference"/>
        </w:rPr>
        <w:footnoteReference w:id="601"/>
      </w:r>
      <w:r>
        <w:t xml:space="preserve">: cardiovascular safety trial with 5,531 participants, completed according to the registry; design described in Kosiborod 2024</w:t>
      </w:r>
      <w:r>
        <w:rPr>
          <w:rStyle w:val="FootnoteReference"/>
        </w:rPr>
        <w:footnoteReference w:id="602"/>
      </w:r>
      <w:r>
        <w:t xml:space="preserve">.</w:t>
      </w:r>
    </w:p>
    <w:p>
      <w:pPr>
        <w:numPr>
          <w:ilvl w:val="0"/>
          <w:numId w:val="1075"/>
        </w:numPr>
        <w:pStyle w:val="Compact"/>
      </w:pPr>
      <w:r>
        <w:rPr>
          <w:bCs/>
          <w:b/>
        </w:rPr>
        <w:t xml:space="preserve">LIVERAGE</w:t>
      </w:r>
      <w:r>
        <w:rPr>
          <w:rStyle w:val="FootnoteReference"/>
        </w:rPr>
        <w:footnoteReference w:id="603"/>
      </w:r>
      <w:r>
        <w:t xml:space="preserve"> </w:t>
      </w:r>
      <w:r>
        <w:t xml:space="preserve">with 1,800 participants with MASH and fibrosis, and</w:t>
      </w:r>
      <w:r>
        <w:t xml:space="preserve"> </w:t>
      </w:r>
      <w:r>
        <w:rPr>
          <w:bCs/>
          <w:b/>
        </w:rPr>
        <w:t xml:space="preserve">LIVERAGE-Cirrhosis</w:t>
      </w:r>
      <w:r>
        <w:rPr>
          <w:rStyle w:val="FootnoteReference"/>
        </w:rPr>
        <w:footnoteReference w:id="604"/>
      </w:r>
      <w:r>
        <w:t xml:space="preserve"> </w:t>
      </w:r>
      <w:r>
        <w:t xml:space="preserve">with 1,590 participants with MASH cirrhosis – the decisive trials for approval in hepatology, with planned completion dates between 2029 and 2031.</w:t>
      </w:r>
    </w:p>
    <w:p>
      <w:pPr>
        <w:numPr>
          <w:ilvl w:val="0"/>
          <w:numId w:val="1075"/>
        </w:numPr>
        <w:pStyle w:val="Compact"/>
      </w:pPr>
      <w:r>
        <w:t xml:space="preserve">Further Phase 3 trials: type 2 diabetes</w:t>
      </w:r>
      <w:r>
        <w:rPr>
          <w:rStyle w:val="FootnoteReference"/>
        </w:rPr>
        <w:footnoteReference w:id="605"/>
      </w:r>
      <w:r>
        <w:t xml:space="preserve">, women with obesity</w:t>
      </w:r>
      <w:r>
        <w:rPr>
          <w:rStyle w:val="FootnoteReference"/>
        </w:rPr>
        <w:footnoteReference w:id="606"/>
      </w:r>
      <w:r>
        <w:t xml:space="preserve">, cardiac structure in obesity</w:t>
      </w:r>
      <w:r>
        <w:rPr>
          <w:rStyle w:val="FootnoteReference"/>
        </w:rPr>
        <w:footnoteReference w:id="607"/>
      </w:r>
      <w:r>
        <w:t xml:space="preserve">, persons without prior treatment</w:t>
      </w:r>
      <w:r>
        <w:rPr>
          <w:rStyle w:val="FootnoteReference"/>
        </w:rPr>
        <w:footnoteReference w:id="608"/>
      </w:r>
      <w:r>
        <w:t xml:space="preserve">.</w:t>
      </w:r>
    </w:p>
    <w:p>
      <w:pPr>
        <w:numPr>
          <w:ilvl w:val="0"/>
          <w:numId w:val="1075"/>
        </w:numPr>
        <w:pStyle w:val="Compact"/>
      </w:pPr>
      <w:r>
        <w:t xml:space="preserve">Phase 3 trials in China</w:t>
      </w:r>
      <w:r>
        <w:rPr>
          <w:rStyle w:val="FootnoteReference"/>
        </w:rPr>
        <w:footnoteReference w:id="609"/>
      </w:r>
      <w:r>
        <w:t xml:space="preserve"> </w:t>
      </w:r>
      <w:r>
        <w:t xml:space="preserve">and Japan</w:t>
      </w:r>
      <w:r>
        <w:rPr>
          <w:rStyle w:val="FootnoteReference"/>
        </w:rPr>
        <w:footnoteReference w:id="610"/>
      </w:r>
      <w:r>
        <w:t xml:space="preserve"> </w:t>
      </w:r>
      <w:r>
        <w:t xml:space="preserve">have been completed.</w:t>
      </w:r>
    </w:p>
    <w:p>
      <w:pPr>
        <w:pStyle w:val="FirstParagraph"/>
      </w:pPr>
      <w:r>
        <w:rPr>
          <w:bCs/>
          <w:b/>
        </w:rPr>
        <w:t xml:space="preserve">Assessment:</w:t>
      </w:r>
      <w:r>
        <w:t xml:space="preserve"> </w:t>
      </w:r>
      <w:r>
        <w:t xml:space="preserve">As a pure weight-loss drug, survodutide is likely to have a hard time against tirzepatide, semaglutide and the upcoming triple agonists – weight loss in SYNCHRONIZE-1 was lower and gastrointestinal side effects were frequent. Its niche could become fatty liver disease, especially advanced stages up to cirrhosis, for which there are hardly any treatment options. Whether this succeeds will be decided by the LIVERAGE trials.</w:t>
      </w:r>
    </w:p>
    <w:bookmarkEnd w:id="611"/>
    <w:bookmarkStart w:id="612" w:name="conclusion-6"/>
    <w:p>
      <w:pPr>
        <w:pStyle w:val="Heading3"/>
      </w:pPr>
      <w:r>
        <w:t xml:space="preserve">Conclusion</w:t>
      </w:r>
    </w:p>
    <w:p>
      <w:pPr>
        <w:pStyle w:val="FirstParagraph"/>
      </w:pPr>
      <w:r>
        <w:t xml:space="preserve">Survodutide is a dual glucagon and GLP-1 agonist that, in Phase 3 trials, reduced body weight after 76 weeks by up to 13.0% (without diabetes) and 9.8% (with type 2 diabetes), respectively. The effects on the liver were more pronounced: in the Phase 2 trial, liver inflammation improved in up to 62% compared with 14% on placebo. Gastrointestinal complaints are very common. Survodutide is not approved; whether it has a future as a liver drug will be shown by the ongoing Phase 3 trials.</w:t>
      </w:r>
    </w:p>
    <w:bookmarkEnd w:id="612"/>
    <w:bookmarkEnd w:id="613"/>
    <w:bookmarkStart w:id="651" w:name="mazdutide"/>
    <w:p>
      <w:pPr>
        <w:pStyle w:val="Heading2"/>
      </w:pPr>
      <w:r>
        <w:t xml:space="preserve">Mazdutide</w:t>
      </w:r>
    </w:p>
    <w:bookmarkStart w:id="614" w:name="profile-7"/>
    <w:p>
      <w:pPr>
        <w:pStyle w:val="Heading3"/>
      </w:pPr>
      <w:r>
        <w:t xml:space="preserve">Profile</w:t>
      </w:r>
    </w:p>
    <w:p>
      <w:pPr>
        <w:numPr>
          <w:ilvl w:val="0"/>
          <w:numId w:val="1076"/>
        </w:numPr>
        <w:pStyle w:val="Compact"/>
      </w:pPr>
      <w:r>
        <w:rPr>
          <w:bCs/>
          <w:b/>
        </w:rPr>
        <w:t xml:space="preserve">Type/structure:</w:t>
      </w:r>
      <w:r>
        <w:t xml:space="preserve"> </w:t>
      </w:r>
      <w:r>
        <w:t xml:space="preserve">synthetic, fatty-acid-modified peptide derived from the gut hormone oxyntomodulin; once-weekly injection under the skin. Development codes LY3305677 (Eli Lilly) and IBI362 (Innovent Biologics).</w:t>
      </w:r>
    </w:p>
    <w:p>
      <w:pPr>
        <w:numPr>
          <w:ilvl w:val="0"/>
          <w:numId w:val="1076"/>
        </w:numPr>
        <w:pStyle w:val="Compact"/>
      </w:pPr>
      <w:r>
        <w:rPr>
          <w:bCs/>
          <w:b/>
        </w:rPr>
        <w:t xml:space="preserve">Origin:</w:t>
      </w:r>
      <w:r>
        <w:t xml:space="preserve"> </w:t>
      </w:r>
      <w:r>
        <w:t xml:space="preserve">originally developed by Eli Lilly; brought to approval in China by Innovent Biologics, and studied further outside China by Lilly.</w:t>
      </w:r>
    </w:p>
    <w:p>
      <w:pPr>
        <w:numPr>
          <w:ilvl w:val="0"/>
          <w:numId w:val="1076"/>
        </w:numPr>
        <w:pStyle w:val="Compact"/>
      </w:pPr>
      <w:r>
        <w:rPr>
          <w:bCs/>
          <w:b/>
        </w:rPr>
        <w:t xml:space="preserve">Mechanism of action:</w:t>
      </w:r>
      <w:r>
        <w:t xml:space="preserve"> </w:t>
      </w:r>
      <w:r>
        <w:t xml:space="preserve">dual agonist at the GLP-1 and glucagon receptors – like survodutide, but a distinct molecule.</w:t>
      </w:r>
    </w:p>
    <w:p>
      <w:pPr>
        <w:numPr>
          <w:ilvl w:val="0"/>
          <w:numId w:val="1076"/>
        </w:numPr>
        <w:pStyle w:val="Compact"/>
      </w:pPr>
      <w:r>
        <w:rPr>
          <w:bCs/>
          <w:b/>
        </w:rPr>
        <w:t xml:space="preserve">Approval EU:</w:t>
      </w:r>
      <w:r>
        <w:t xml:space="preserve"> </w:t>
      </w:r>
      <w:r>
        <w:t xml:space="preserve">no.</w:t>
      </w:r>
    </w:p>
    <w:p>
      <w:pPr>
        <w:numPr>
          <w:ilvl w:val="0"/>
          <w:numId w:val="1076"/>
        </w:numPr>
        <w:pStyle w:val="Compact"/>
      </w:pPr>
      <w:r>
        <w:rPr>
          <w:bCs/>
          <w:b/>
        </w:rPr>
        <w:t xml:space="preserve">Approval USA:</w:t>
      </w:r>
      <w:r>
        <w:t xml:space="preserve"> </w:t>
      </w:r>
      <w:r>
        <w:t xml:space="preserve">no.</w:t>
      </w:r>
    </w:p>
    <w:p>
      <w:pPr>
        <w:numPr>
          <w:ilvl w:val="0"/>
          <w:numId w:val="1076"/>
        </w:numPr>
        <w:pStyle w:val="Compact"/>
      </w:pPr>
      <w:r>
        <w:rPr>
          <w:bCs/>
          <w:b/>
        </w:rPr>
        <w:t xml:space="preserve">Approval China:</w:t>
      </w:r>
      <w:r>
        <w:t xml:space="preserve"> </w:t>
      </w:r>
      <w:r>
        <w:t xml:space="preserve">yes, since June 2025 for weight management, and since September 2025 also for type 2 diabetes (brand name Xinermei).</w:t>
      </w:r>
    </w:p>
    <w:p>
      <w:pPr>
        <w:numPr>
          <w:ilvl w:val="0"/>
          <w:numId w:val="1076"/>
        </w:numPr>
        <w:pStyle w:val="Compact"/>
      </w:pPr>
      <w:r>
        <w:rPr>
          <w:bCs/>
          <w:b/>
        </w:rPr>
        <w:t xml:space="preserve">WADA:</w:t>
      </w:r>
      <w:r>
        <w:t xml:space="preserve"> </w:t>
      </w:r>
      <w:r>
        <w:t xml:space="preserve">not listed by name. Since mazdutide is approved by a governmental health authority (China), it no longer falls under S0 according to the wording; use in sport without a medical indication is nevertheless problematic.</w:t>
      </w:r>
    </w:p>
    <w:p>
      <w:pPr>
        <w:numPr>
          <w:ilvl w:val="0"/>
          <w:numId w:val="1076"/>
        </w:numPr>
        <w:pStyle w:val="Compact"/>
      </w:pPr>
      <w:r>
        <w:rPr>
          <w:bCs/>
          <w:b/>
        </w:rPr>
        <w:t xml:space="preserve">Evidence level:</w:t>
      </w:r>
      <w:r>
        <w:t xml:space="preserve"> </w:t>
      </w:r>
      <w:r>
        <w:rPr>
          <w:bCs/>
          <w:b/>
        </w:rPr>
        <w:t xml:space="preserve">A</w:t>
      </w:r>
      <w:r>
        <w:t xml:space="preserve"> </w:t>
      </w:r>
      <w:r>
        <w:t xml:space="preserve">– several large Phase 3 trials and an approval, though almost exclusively in Chinese participants.</w:t>
      </w:r>
    </w:p>
    <w:bookmarkEnd w:id="614"/>
    <w:bookmarkStart w:id="615" w:name="how-it-is-supposed-to-work-7"/>
    <w:p>
      <w:pPr>
        <w:pStyle w:val="Heading3"/>
      </w:pPr>
      <w:r>
        <w:t xml:space="preserve">How it is supposed to work</w:t>
      </w:r>
    </w:p>
    <w:p>
      <w:pPr>
        <w:pStyle w:val="FirstParagraph"/>
      </w:pPr>
      <w:r>
        <w:t xml:space="preserve">Oxyntomodulin is a natural hormone from the gut that – similar to GLP-1 – is released after eating. It activates both the GLP-1 and the glucagon receptor, but only weakly and very briefly. Mazdutide is a stabilized, long-acting version of this principle.</w:t>
      </w:r>
    </w:p>
    <w:p>
      <w:pPr>
        <w:pStyle w:val="BodyText"/>
      </w:pPr>
      <w:r>
        <w:t xml:space="preserve">The GLP-1 component dampens appetite, slows gastric emptying and promotes glucose-dependent insulin secretion. The glucagon component is intended to increase energy expenditure and promote fat breakdown in the liver (see also chapter Survodutide). In humans, the contribution of the glucagon component to weight loss has not been measured directly; the hypothesis rests mainly on animal data.</w:t>
      </w:r>
    </w:p>
    <w:bookmarkEnd w:id="615"/>
    <w:bookmarkStart w:id="630" w:name="human-studies-7"/>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9 human studies, supplemented by a high-dose Phase 1 trial and a case report. On ClinicalTrials.gov, 44 trials were registered, most of them in China. The approval trials are called</w:t>
      </w:r>
      <w:r>
        <w:t xml:space="preserve"> </w:t>
      </w:r>
      <w:r>
        <w:rPr>
          <w:bCs/>
          <w:b/>
        </w:rPr>
        <w:t xml:space="preserve">GLORY</w:t>
      </w:r>
      <w:r>
        <w:t xml:space="preserve"> </w:t>
      </w:r>
      <w:r>
        <w:t xml:space="preserve">(obesity) and</w:t>
      </w:r>
      <w:r>
        <w:t xml:space="preserve"> </w:t>
      </w:r>
      <w:r>
        <w:rPr>
          <w:bCs/>
          <w:b/>
        </w:rPr>
        <w:t xml:space="preserve">DREAMS</w:t>
      </w:r>
      <w:r>
        <w:t xml:space="preserve"> </w:t>
      </w:r>
      <w:r>
        <w:t xml:space="preserve">(type 2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obesity (Ji 2023), PMID 38092790</w:t>
            </w:r>
          </w:p>
        </w:tc>
        <w:tc>
          <w:tcPr/>
          <w:p>
            <w:pPr>
              <w:pStyle w:val="Compact"/>
              <w:jc w:val="left"/>
            </w:pPr>
            <w:r>
              <w:t xml:space="preserve">248 Chinese adults with overweight/obesity</w:t>
            </w:r>
          </w:p>
        </w:tc>
        <w:tc>
          <w:tcPr/>
          <w:p>
            <w:pPr>
              <w:pStyle w:val="Compact"/>
              <w:jc w:val="left"/>
            </w:pPr>
            <w:r>
              <w:t xml:space="preserve">24 weeks</w:t>
            </w:r>
          </w:p>
        </w:tc>
        <w:tc>
          <w:tcPr/>
          <w:p>
            <w:pPr>
              <w:pStyle w:val="Compact"/>
              <w:jc w:val="left"/>
            </w:pPr>
            <w:r>
              <w:t xml:space="preserve">−6.7 to −11.3% weight vs. +1.0%</w:t>
            </w:r>
          </w:p>
        </w:tc>
      </w:tr>
      <w:tr>
        <w:tc>
          <w:tcPr/>
          <w:p>
            <w:pPr>
              <w:pStyle w:val="Compact"/>
              <w:jc w:val="left"/>
            </w:pPr>
            <w:r>
              <w:t xml:space="preserve">Phase 2 type 2 diabetes (Zhang 2024), PMID 37943529</w:t>
            </w:r>
          </w:p>
        </w:tc>
        <w:tc>
          <w:tcPr/>
          <w:p>
            <w:pPr>
              <w:pStyle w:val="Compact"/>
              <w:jc w:val="left"/>
            </w:pPr>
            <w:r>
              <w:t xml:space="preserve">250 Chinese adults, vs. placebo and open-label dulaglutide</w:t>
            </w:r>
          </w:p>
        </w:tc>
        <w:tc>
          <w:tcPr/>
          <w:p>
            <w:pPr>
              <w:pStyle w:val="Compact"/>
              <w:jc w:val="left"/>
            </w:pPr>
            <w:r>
              <w:t xml:space="preserve">20 weeks</w:t>
            </w:r>
          </w:p>
        </w:tc>
        <w:tc>
          <w:tcPr/>
          <w:p>
            <w:pPr>
              <w:pStyle w:val="Compact"/>
              <w:jc w:val="left"/>
            </w:pPr>
            <w:r>
              <w:t xml:space="preserve">HbA1c −1.41 to −1.67 (dulaglutide −1.35)</w:t>
            </w:r>
          </w:p>
        </w:tc>
      </w:tr>
      <w:tr>
        <w:tc>
          <w:tcPr/>
          <w:p>
            <w:pPr>
              <w:pStyle w:val="Compact"/>
              <w:jc w:val="left"/>
            </w:pPr>
            <w:r>
              <w:t xml:space="preserve">GLORY-1 (Ji 2025), PMID 40421736</w:t>
            </w:r>
          </w:p>
        </w:tc>
        <w:tc>
          <w:tcPr/>
          <w:p>
            <w:pPr>
              <w:pStyle w:val="Compact"/>
              <w:jc w:val="left"/>
            </w:pPr>
            <w:r>
              <w:t xml:space="preserve">610 Chinese adults with overweight/obesity, vs. placebo</w:t>
            </w:r>
          </w:p>
        </w:tc>
        <w:tc>
          <w:tcPr/>
          <w:p>
            <w:pPr>
              <w:pStyle w:val="Compact"/>
              <w:jc w:val="left"/>
            </w:pPr>
            <w:r>
              <w:t xml:space="preserve">48 weeks</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Chinese adults with obesity, higher dose vs. placebo</w:t>
            </w:r>
          </w:p>
        </w:tc>
        <w:tc>
          <w:tcPr/>
          <w:p>
            <w:pPr>
              <w:pStyle w:val="Compact"/>
              <w:jc w:val="left"/>
            </w:pPr>
            <w:r>
              <w:t xml:space="preserve">60 weeks</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Chinese adults with type 2 diabetes, vs. placebo</w:t>
            </w:r>
          </w:p>
        </w:tc>
        <w:tc>
          <w:tcPr/>
          <w:p>
            <w:pPr>
              <w:pStyle w:val="Compact"/>
              <w:jc w:val="left"/>
            </w:pPr>
            <w:r>
              <w:t xml:space="preserve">24 weeks</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Chinese adults with type 2 diabetes, vs. dulaglutide</w:t>
            </w:r>
          </w:p>
        </w:tc>
        <w:tc>
          <w:tcPr/>
          <w:p>
            <w:pPr>
              <w:pStyle w:val="Compact"/>
              <w:jc w:val="left"/>
            </w:pPr>
            <w:r>
              <w:t xml:space="preserve">28 weeks</w:t>
            </w:r>
          </w:p>
        </w:tc>
        <w:tc>
          <w:tcPr/>
          <w:p>
            <w:pPr>
              <w:pStyle w:val="Compact"/>
              <w:jc w:val="left"/>
            </w:pPr>
            <w:r>
              <w:t xml:space="preserve">HbA1c additional −0.24 / −0.30; weight additional −3.78 / −5.76%</w:t>
            </w:r>
          </w:p>
        </w:tc>
      </w:tr>
      <w:tr>
        <w:tc>
          <w:tcPr/>
          <w:p>
            <w:pPr>
              <w:pStyle w:val="Compact"/>
              <w:jc w:val="left"/>
            </w:pPr>
            <w:r>
              <w:t xml:space="preserve">Phase 2 USA (Hsia 2026), PMID 42628555</w:t>
            </w:r>
          </w:p>
        </w:tc>
        <w:tc>
          <w:tcPr/>
          <w:p>
            <w:pPr>
              <w:pStyle w:val="Compact"/>
              <w:jc w:val="left"/>
            </w:pPr>
            <w:r>
              <w:t xml:space="preserve">179 adults with overweight/obesity, vs. placebo</w:t>
            </w:r>
          </w:p>
        </w:tc>
        <w:tc>
          <w:tcPr/>
          <w:p>
            <w:pPr>
              <w:pStyle w:val="Compact"/>
              <w:jc w:val="left"/>
            </w:pPr>
            <w:r>
              <w:t xml:space="preserve">48 weeks (primary endpoint 32)</w:t>
            </w:r>
          </w:p>
        </w:tc>
        <w:tc>
          <w:tcPr/>
          <w:p>
            <w:pPr>
              <w:pStyle w:val="Compact"/>
              <w:jc w:val="left"/>
            </w:pPr>
            <w:r>
              <w:t xml:space="preserve">−7.3 to −18.1% after 32 weeks vs. −0.9%</w:t>
            </w:r>
          </w:p>
        </w:tc>
      </w:tr>
    </w:tbl>
    <w:bookmarkStart w:id="618" w:name="obesity-glory-1-and-glory-2"/>
    <w:p>
      <w:pPr>
        <w:pStyle w:val="Heading4"/>
      </w:pPr>
      <w:r>
        <w:t xml:space="preserve">Obesity: GLORY-1 and GLORY-2</w:t>
      </w:r>
    </w:p>
    <w:p>
      <w:pPr>
        <w:pStyle w:val="FirstParagraph"/>
      </w:pPr>
      <w:r>
        <w:rPr>
          <w:bCs/>
          <w:b/>
        </w:rPr>
        <w:t xml:space="preserve">GLORY-1</w:t>
      </w:r>
      <w:r>
        <w:rPr>
          <w:rStyle w:val="FootnoteReference"/>
        </w:rPr>
        <w:footnoteReference w:id="616"/>
      </w:r>
      <w:r>
        <w:t xml:space="preserve"> </w:t>
      </w:r>
      <w:r>
        <w:t xml:space="preserve">was the approval trial for China. The inclusion criteria were based on Chinese thresholds: BMI of 28 or more, or 24 or more with a comorbidity. From a baseline weight of 87.2 kg, weight decreased after 48 weeks by 11.0% (4 mg) and 14.0% (6 mg), respectively; on placebo it remained practically unchanged. 35.7% and 49.5% of participants, respectively, lost at least 15%. Discontinuations due to side effects were very rare at 0.5–1.5%.</w:t>
      </w:r>
    </w:p>
    <w:p>
      <w:pPr>
        <w:pStyle w:val="BodyText"/>
      </w:pPr>
      <w:r>
        <w:rPr>
          <w:bCs/>
          <w:b/>
        </w:rPr>
        <w:t xml:space="preserve">GLORY-2</w:t>
      </w:r>
      <w:r>
        <w:rPr>
          <w:rStyle w:val="FootnoteReference"/>
        </w:rPr>
        <w:footnoteReference w:id="617"/>
      </w:r>
      <w:r>
        <w:t xml:space="preserve"> </w:t>
      </w:r>
      <w:r>
        <w:t xml:space="preserve">tested a higher dose in people with a BMI of 30 or more. With an average age of 33.9 years, the participants were strikingly young. After 60 weeks, weight loss was 16.65% compared with 1.50% on placebo. The price was markedly more gastrointestinal complaints: vomiting in 53.1% (placebo 1.3%), nausea in 46.9% (3.2%) and diarrhea in 39.4% (6.5%). Nevertheless, only 2.9% discontinued treatment due to side effects.</w:t>
      </w:r>
    </w:p>
    <w:bookmarkEnd w:id="618"/>
    <w:bookmarkStart w:id="623" w:name="type-2-diabetes-dreams-1-and-dreams-2"/>
    <w:p>
      <w:pPr>
        <w:pStyle w:val="Heading4"/>
      </w:pPr>
      <w:r>
        <w:t xml:space="preserve">Type 2 diabetes: DREAMS-1 and DREAMS-2</w:t>
      </w:r>
    </w:p>
    <w:p>
      <w:pPr>
        <w:pStyle w:val="FirstParagraph"/>
      </w:pPr>
      <w:r>
        <w:t xml:space="preserve">In</w:t>
      </w:r>
      <w:r>
        <w:t xml:space="preserve"> </w:t>
      </w:r>
      <w:r>
        <w:rPr>
          <w:bCs/>
          <w:b/>
        </w:rPr>
        <w:t xml:space="preserve">DREAMS-1</w:t>
      </w:r>
      <w:r>
        <w:rPr>
          <w:rStyle w:val="FootnoteReference"/>
        </w:rPr>
        <w:footnoteReference w:id="619"/>
      </w:r>
      <w:r>
        <w:t xml:space="preserve">, people with type 2 diabetes that was not adequately controlled with diet and exercise alone (mean diabetes duration 1.9 years) received mazdutide without any other diabetes medication. At the higher dose, HbA1c fell by 2.15 percentage points after 24 weeks (placebo −0.14), and weight by 7.81%.</w:t>
      </w:r>
    </w:p>
    <w:p>
      <w:pPr>
        <w:pStyle w:val="BodyText"/>
      </w:pPr>
      <w:r>
        <w:rPr>
          <w:bCs/>
          <w:b/>
        </w:rPr>
        <w:t xml:space="preserve">DREAMS-2</w:t>
      </w:r>
      <w:r>
        <w:rPr>
          <w:rStyle w:val="FootnoteReference"/>
        </w:rPr>
        <w:footnoteReference w:id="620"/>
      </w:r>
      <w:r>
        <w:t xml:space="preserve"> </w:t>
      </w:r>
      <w:r>
        <w:t xml:space="preserve">is the most important comparative trial so far: against the established GLP-1 drug dulaglutide, mazdutide was non-inferior and superior for HbA1c, albeit by a small margin (an additional −0.24 and −0.30 percentage points, respectively). The difference in weight was more pronounced (an additional −3.78 and −5.76%, respectively). Gastrointestinal side effects were more frequent on mazdutide than on dulaglutide.</w:t>
      </w:r>
    </w:p>
    <w:p>
      <w:pPr>
        <w:pStyle w:val="BodyText"/>
      </w:pPr>
      <w:r>
        <w:t xml:space="preserve">A comparative trial against semaglutide in people with early type 2 diabetes and obesity (DREAMS-3) has been completed according to the registry</w:t>
      </w:r>
      <w:r>
        <w:rPr>
          <w:rStyle w:val="FootnoteReference"/>
        </w:rPr>
        <w:footnoteReference w:id="621"/>
      </w:r>
      <w:r>
        <w:t xml:space="preserve">; its design and the baseline data of the 349 participants have been published</w:t>
      </w:r>
      <w:r>
        <w:rPr>
          <w:rStyle w:val="FootnoteReference"/>
        </w:rPr>
        <w:footnoteReference w:id="622"/>
      </w:r>
      <w:r>
        <w:t xml:space="preserve">, but not yet the results.</w:t>
      </w:r>
    </w:p>
    <w:bookmarkEnd w:id="623"/>
    <w:bookmarkStart w:id="626" w:name="studies-outside-china-and-higher-doses"/>
    <w:p>
      <w:pPr>
        <w:pStyle w:val="Heading4"/>
      </w:pPr>
      <w:r>
        <w:t xml:space="preserve">Studies outside China and higher doses</w:t>
      </w:r>
    </w:p>
    <w:p>
      <w:pPr>
        <w:pStyle w:val="FirstParagraph"/>
      </w:pPr>
      <w:r>
        <w:t xml:space="preserve">Lilly is studying mazdutide outside China at higher doses. In a small Phase 1 trial with 32 adults in the USA, body weight at the highest dose fell after 20 weeks by 20.0% and 21.0% (two dose-escalation schedules) compared with 0.1% on placebo; no serious side effects occurred</w:t>
      </w:r>
      <w:r>
        <w:rPr>
          <w:rStyle w:val="FootnoteReference"/>
        </w:rPr>
        <w:footnoteReference w:id="624"/>
      </w:r>
      <w:r>
        <w:t xml:space="preserve">.</w:t>
      </w:r>
    </w:p>
    <w:p>
      <w:pPr>
        <w:pStyle w:val="BodyText"/>
      </w:pPr>
      <w:r>
        <w:t xml:space="preserve">In the US Phase 2 trial with 179 participants</w:t>
      </w:r>
      <w:r>
        <w:rPr>
          <w:rStyle w:val="FootnoteReference"/>
        </w:rPr>
        <w:footnoteReference w:id="625"/>
      </w:r>
      <w:r>
        <w:t xml:space="preserve">, weight loss after 32 weeks was up to 18.1% at the highest dose. However, 20% at the highest dose discontinued treatment due to side effects, mostly gastrointestinal complaints. The main analysis also used the</w:t>
      </w:r>
      <w:r>
        <w:t xml:space="preserve"> </w:t>
      </w:r>
      <w:r>
        <w:t xml:space="preserve">“</w:t>
      </w:r>
      <w:r>
        <w:t xml:space="preserve">efficacy estimand,</w:t>
      </w:r>
      <w:r>
        <w:t xml:space="preserve">”</w:t>
      </w:r>
      <w:r>
        <w:t xml:space="preserve"> </w:t>
      </w:r>
      <w:r>
        <w:t xml:space="preserve">which no longer counts people after discontinuation and therefore tends to present the effect more favorably.</w:t>
      </w:r>
    </w:p>
    <w:bookmarkEnd w:id="626"/>
    <w:bookmarkStart w:id="629" w:name="case-reports"/>
    <w:p>
      <w:pPr>
        <w:pStyle w:val="Heading4"/>
      </w:pPr>
      <w:r>
        <w:t xml:space="preserve">Case reports</w:t>
      </w:r>
    </w:p>
    <w:p>
      <w:pPr>
        <w:pStyle w:val="FirstParagraph"/>
      </w:pPr>
      <w:r>
        <w:t xml:space="preserve">One case report describes a 15-year-old patient with obesity, type 2 diabetes and elevated uric acid who received mazdutide in addition to metformin and insulin and lost 16.8 kg after 36 weeks</w:t>
      </w:r>
      <w:r>
        <w:rPr>
          <w:rStyle w:val="FootnoteReference"/>
        </w:rPr>
        <w:footnoteReference w:id="627"/>
      </w:r>
      <w:r>
        <w:t xml:space="preserve">. A single case allows no conclusion about efficacy or safety in adolescents; a trial on this is ongoing</w:t>
      </w:r>
      <w:r>
        <w:rPr>
          <w:rStyle w:val="FootnoteReference"/>
        </w:rPr>
        <w:footnoteReference w:id="628"/>
      </w:r>
      <w:r>
        <w:t xml:space="preserve">.</w:t>
      </w:r>
    </w:p>
    <w:bookmarkEnd w:id="629"/>
    <w:bookmarkEnd w:id="630"/>
    <w:bookmarkStart w:id="634" w:name="animal-and-laboratory-studies-7"/>
    <w:p>
      <w:pPr>
        <w:pStyle w:val="Heading3"/>
      </w:pPr>
      <w:r>
        <w:t xml:space="preserve">Animal and laboratory studies</w:t>
      </w:r>
    </w:p>
    <w:p>
      <w:pPr>
        <w:pStyle w:val="FirstParagraph"/>
      </w:pPr>
      <w:r>
        <w:t xml:space="preserve">In diabetic mice (db/db model), mazdutide performed better than dulaglutide in memory and behavioral tests; brain tissue showed less damage</w:t>
      </w:r>
      <w:r>
        <w:rPr>
          <w:rStyle w:val="FootnoteReference"/>
        </w:rPr>
        <w:footnoteReference w:id="631"/>
      </w:r>
      <w:r>
        <w:t xml:space="preserve">. In mice with diet-induced fatty liver and in liver cell cultures, mazdutide reduced fat deposition and signs of inflammation</w:t>
      </w:r>
      <w:r>
        <w:rPr>
          <w:rStyle w:val="FootnoteReference"/>
        </w:rPr>
        <w:footnoteReference w:id="632"/>
      </w:r>
      <w:r>
        <w:t xml:space="preserve">. Whether this translates into benefits for humans is open; a trial on type 2 diabetes with incipient cognitive impairment is registered in China</w:t>
      </w:r>
      <w:r>
        <w:rPr>
          <w:rStyle w:val="FootnoteReference"/>
        </w:rPr>
        <w:footnoteReference w:id="633"/>
      </w:r>
      <w:r>
        <w:t xml:space="preserve">.</w:t>
      </w:r>
    </w:p>
    <w:bookmarkEnd w:id="634"/>
    <w:bookmarkStart w:id="639" w:name="risks-and-side-effects-7"/>
    <w:p>
      <w:pPr>
        <w:pStyle w:val="Heading3"/>
      </w:pPr>
      <w:r>
        <w:t xml:space="preserve">Risks and side effects</w:t>
      </w:r>
    </w:p>
    <w:p>
      <w:pPr>
        <w:pStyle w:val="FirstParagraph"/>
      </w:pPr>
      <w:r>
        <w:rPr>
          <w:bCs/>
          <w:b/>
        </w:rPr>
        <w:t xml:space="preserve">Documented in studies:</w:t>
      </w:r>
    </w:p>
    <w:p>
      <w:pPr>
        <w:numPr>
          <w:ilvl w:val="0"/>
          <w:numId w:val="1077"/>
        </w:numPr>
        <w:pStyle w:val="Compact"/>
      </w:pPr>
      <w:r>
        <w:rPr>
          <w:bCs/>
          <w:b/>
        </w:rPr>
        <w:t xml:space="preserve">Gastrointestinal complaints</w:t>
      </w:r>
      <w:r>
        <w:t xml:space="preserve"> </w:t>
      </w:r>
      <w:r>
        <w:t xml:space="preserve">are the most common side effects; their frequency increases with dose. In the Phase 2 diabetes trial, diarrhea occurred in 36%, decreased appetite in 29%, nausea in 23% and vomiting in 14%</w:t>
      </w:r>
      <w:r>
        <w:rPr>
          <w:rStyle w:val="FootnoteReference"/>
        </w:rPr>
        <w:footnoteReference w:id="635"/>
      </w:r>
      <w:r>
        <w:t xml:space="preserve">. In GLORY-2, more than half of participants vomited at least once</w:t>
      </w:r>
      <w:r>
        <w:rPr>
          <w:rStyle w:val="FootnoteReference"/>
        </w:rPr>
        <w:footnoteReference w:id="636"/>
      </w:r>
      <w:r>
        <w:t xml:space="preserve">.</w:t>
      </w:r>
    </w:p>
    <w:p>
      <w:pPr>
        <w:numPr>
          <w:ilvl w:val="0"/>
          <w:numId w:val="1077"/>
        </w:numPr>
        <w:pStyle w:val="Compact"/>
      </w:pPr>
      <w:r>
        <w:rPr>
          <w:bCs/>
          <w:b/>
        </w:rPr>
        <w:t xml:space="preserve">Hypoglycemia:</w:t>
      </w:r>
      <w:r>
        <w:t xml:space="preserve"> </w:t>
      </w:r>
      <w:r>
        <w:t xml:space="preserve">In the Phase 2 diabetes trial, hypoglycemia was reported in 10% on mazdutide and 8% on placebo</w:t>
      </w:r>
      <w:r>
        <w:rPr>
          <w:rStyle w:val="FootnoteReference"/>
        </w:rPr>
        <w:footnoteReference w:id="637"/>
      </w:r>
      <w:r>
        <w:t xml:space="preserve">.</w:t>
      </w:r>
    </w:p>
    <w:p>
      <w:pPr>
        <w:numPr>
          <w:ilvl w:val="0"/>
          <w:numId w:val="1077"/>
        </w:numPr>
        <w:pStyle w:val="Compact"/>
      </w:pPr>
      <w:r>
        <w:rPr>
          <w:bCs/>
          <w:b/>
        </w:rPr>
        <w:t xml:space="preserve">Discontinuations at high doses:</w:t>
      </w:r>
      <w:r>
        <w:t xml:space="preserve"> </w:t>
      </w:r>
      <w:r>
        <w:t xml:space="preserve">up to 20% in the US Phase 2 trial</w:t>
      </w:r>
      <w:r>
        <w:rPr>
          <w:rStyle w:val="FootnoteReference"/>
        </w:rPr>
        <w:footnoteReference w:id="638"/>
      </w:r>
      <w:r>
        <w:t xml:space="preserve">.</w:t>
      </w:r>
    </w:p>
    <w:p>
      <w:pPr>
        <w:pStyle w:val="FirstParagraph"/>
      </w:pPr>
      <w:r>
        <w:rPr>
          <w:bCs/>
          <w:b/>
        </w:rPr>
        <w:t xml:space="preserve">Still open:</w:t>
      </w:r>
      <w:r>
        <w:t xml:space="preserve"> </w:t>
      </w:r>
      <w:r>
        <w:t xml:space="preserve">There is no cardiovascular outcome trial. Long-term data beyond 60 weeks are lacking. The trials included almost exclusively people of Chinese origin, who had different baseline values (lower body weight) than European study populations for the same weight loss. The class risks known for GLP-1 drugs (gallbladder, pancreas, thyroid C-cells in animal studies) have not yet been assessed independently for mazdutide owing to a lack of patient-years.</w:t>
      </w:r>
    </w:p>
    <w:bookmarkEnd w:id="639"/>
    <w:bookmarkStart w:id="641" w:name="legal-status-7"/>
    <w:p>
      <w:pPr>
        <w:pStyle w:val="Heading3"/>
      </w:pPr>
      <w:r>
        <w:t xml:space="preserve">Legal status</w:t>
      </w:r>
    </w:p>
    <w:p>
      <w:pPr>
        <w:numPr>
          <w:ilvl w:val="0"/>
          <w:numId w:val="1078"/>
        </w:numPr>
        <w:pStyle w:val="Compact"/>
      </w:pPr>
      <w:r>
        <w:rPr>
          <w:bCs/>
          <w:b/>
        </w:rPr>
        <w:t xml:space="preserve">China:</w:t>
      </w:r>
      <w:r>
        <w:t xml:space="preserve"> </w:t>
      </w:r>
      <w:r>
        <w:t xml:space="preserve">approved (June 2025 for weight management, September 2025 for type 2 diabetes)</w:t>
      </w:r>
      <w:r>
        <w:rPr>
          <w:rStyle w:val="FootnoteReference"/>
        </w:rPr>
        <w:footnoteReference w:id="640"/>
      </w:r>
      <w:r>
        <w:t xml:space="preserve">.</w:t>
      </w:r>
    </w:p>
    <w:p>
      <w:pPr>
        <w:numPr>
          <w:ilvl w:val="0"/>
          <w:numId w:val="1078"/>
        </w:numPr>
        <w:pStyle w:val="Compact"/>
      </w:pPr>
      <w:r>
        <w:rPr>
          <w:bCs/>
          <w:b/>
        </w:rPr>
        <w:t xml:space="preserve">EU / Austria / Germany:</w:t>
      </w:r>
      <w:r>
        <w:t xml:space="preserve"> </w:t>
      </w:r>
      <w:r>
        <w:t xml:space="preserve">not approved. Importing it for use is not legal without approval;</w:t>
      </w:r>
      <w:r>
        <w:t xml:space="preserve"> </w:t>
      </w:r>
      <w:r>
        <w:t xml:space="preserve">“</w:t>
      </w:r>
      <w:r>
        <w:t xml:space="preserve">mazdutide</w:t>
      </w:r>
      <w:r>
        <w:t xml:space="preserve">”</w:t>
      </w:r>
      <w:r>
        <w:t xml:space="preserve"> </w:t>
      </w:r>
      <w:r>
        <w:t xml:space="preserve">products offered on the gray market are not tested medicines.</w:t>
      </w:r>
    </w:p>
    <w:p>
      <w:pPr>
        <w:numPr>
          <w:ilvl w:val="0"/>
          <w:numId w:val="1078"/>
        </w:numPr>
        <w:pStyle w:val="Compact"/>
      </w:pPr>
      <w:r>
        <w:rPr>
          <w:bCs/>
          <w:b/>
        </w:rPr>
        <w:t xml:space="preserve">USA:</w:t>
      </w:r>
      <w:r>
        <w:t xml:space="preserve"> </w:t>
      </w:r>
      <w:r>
        <w:t xml:space="preserve">not approved; Lilly is conducting its own trials.</w:t>
      </w:r>
    </w:p>
    <w:p>
      <w:pPr>
        <w:numPr>
          <w:ilvl w:val="0"/>
          <w:numId w:val="1078"/>
        </w:numPr>
        <w:pStyle w:val="Compact"/>
      </w:pPr>
      <w:r>
        <w:rPr>
          <w:bCs/>
          <w:b/>
        </w:rPr>
        <w:t xml:space="preserve">Sport:</w:t>
      </w:r>
      <w:r>
        <w:t xml:space="preserve"> </w:t>
      </w:r>
      <w:r>
        <w:t xml:space="preserve">not listed by name; status under S0 unclear because of the Chinese approval – as of 2026, please check for updates.</w:t>
      </w:r>
    </w:p>
    <w:bookmarkEnd w:id="641"/>
    <w:bookmarkStart w:id="649" w:name="ongoing-studies-and-outlook-7"/>
    <w:p>
      <w:pPr>
        <w:pStyle w:val="Heading3"/>
      </w:pPr>
      <w:r>
        <w:t xml:space="preserve">Ongoing studies and outlook</w:t>
      </w:r>
    </w:p>
    <w:p>
      <w:pPr>
        <w:pStyle w:val="FirstParagraph"/>
      </w:pPr>
      <w:r>
        <w:rPr>
          <w:bCs/>
          <w:b/>
        </w:rPr>
        <w:t xml:space="preserve">Confirmed (registered trials, as of October 2026):</w:t>
      </w:r>
    </w:p>
    <w:p>
      <w:pPr>
        <w:numPr>
          <w:ilvl w:val="0"/>
          <w:numId w:val="1079"/>
        </w:numPr>
        <w:pStyle w:val="Compact"/>
      </w:pPr>
      <w:r>
        <w:t xml:space="preserve">Comparison with semaglutide in fatty liver</w:t>
      </w:r>
      <w:r>
        <w:rPr>
          <w:rStyle w:val="FootnoteReference"/>
        </w:rPr>
        <w:footnoteReference w:id="642"/>
      </w:r>
      <w:r>
        <w:t xml:space="preserve"> </w:t>
      </w:r>
      <w:r>
        <w:t xml:space="preserve">and in early type 2 diabetes (NCT06184568, completed).</w:t>
      </w:r>
    </w:p>
    <w:p>
      <w:pPr>
        <w:numPr>
          <w:ilvl w:val="0"/>
          <w:numId w:val="1079"/>
        </w:numPr>
        <w:pStyle w:val="Compact"/>
      </w:pPr>
      <w:r>
        <w:t xml:space="preserve">Sleep apnea</w:t>
      </w:r>
      <w:r>
        <w:rPr>
          <w:rStyle w:val="FootnoteReference"/>
        </w:rPr>
        <w:footnoteReference w:id="643"/>
      </w:r>
      <w:r>
        <w:t xml:space="preserve">, hypertension with obesity</w:t>
      </w:r>
      <w:r>
        <w:rPr>
          <w:rStyle w:val="FootnoteReference"/>
        </w:rPr>
        <w:footnoteReference w:id="644"/>
      </w:r>
      <w:r>
        <w:t xml:space="preserve">, adolescents</w:t>
      </w:r>
      <w:r>
        <w:rPr>
          <w:rStyle w:val="FootnoteReference"/>
        </w:rPr>
        <w:footnoteReference w:id="645"/>
      </w:r>
      <w:r>
        <w:t xml:space="preserve">.</w:t>
      </w:r>
    </w:p>
    <w:p>
      <w:pPr>
        <w:numPr>
          <w:ilvl w:val="0"/>
          <w:numId w:val="1079"/>
        </w:numPr>
        <w:pStyle w:val="Compact"/>
      </w:pPr>
      <w:r>
        <w:t xml:space="preserve">Phase 2 trials on MASH</w:t>
      </w:r>
      <w:r>
        <w:rPr>
          <w:rStyle w:val="FootnoteReference"/>
        </w:rPr>
        <w:footnoteReference w:id="646"/>
      </w:r>
      <w:r>
        <w:t xml:space="preserve">, heart failure with obesity</w:t>
      </w:r>
      <w:r>
        <w:rPr>
          <w:rStyle w:val="FootnoteReference"/>
        </w:rPr>
        <w:footnoteReference w:id="647"/>
      </w:r>
      <w:r>
        <w:t xml:space="preserve"> </w:t>
      </w:r>
      <w:r>
        <w:t xml:space="preserve">and alcohol use disorder (NCT06817356, completed, sponsor Lilly).</w:t>
      </w:r>
    </w:p>
    <w:p>
      <w:pPr>
        <w:numPr>
          <w:ilvl w:val="0"/>
          <w:numId w:val="1079"/>
        </w:numPr>
        <w:pStyle w:val="Compact"/>
      </w:pPr>
      <w:r>
        <w:t xml:space="preserve">Lilly is also testing mazdutide in a Phase 2 master protocol</w:t>
      </w:r>
      <w:r>
        <w:rPr>
          <w:rStyle w:val="FootnoteReference"/>
        </w:rPr>
        <w:footnoteReference w:id="648"/>
      </w:r>
      <w:r>
        <w:t xml:space="preserve">.</w:t>
      </w:r>
    </w:p>
    <w:p>
      <w:pPr>
        <w:pStyle w:val="FirstParagraph"/>
      </w:pPr>
      <w:r>
        <w:rPr>
          <w:bCs/>
          <w:b/>
        </w:rPr>
        <w:t xml:space="preserve">Assessment:</w:t>
      </w:r>
      <w:r>
        <w:t xml:space="preserve"> </w:t>
      </w:r>
      <w:r>
        <w:t xml:space="preserve">Mazdutide is the first glucagon/GLP-1 dual drug with an approval – though only in China. Whether Lilly will seek approval in the USA and Europe probably depends on whether the molecule can be differentiated from tirzepatide and retatrutide from the same company, for example in fatty liver or alcohol use disorder. This is an assessment; specific applications for approval outside China are not known.</w:t>
      </w:r>
    </w:p>
    <w:bookmarkEnd w:id="649"/>
    <w:bookmarkStart w:id="650" w:name="conclusion-7"/>
    <w:p>
      <w:pPr>
        <w:pStyle w:val="Heading3"/>
      </w:pPr>
      <w:r>
        <w:t xml:space="preserve">Conclusion</w:t>
      </w:r>
    </w:p>
    <w:p>
      <w:pPr>
        <w:pStyle w:val="FirstParagraph"/>
      </w:pPr>
      <w:r>
        <w:t xml:space="preserve">Mazdutide is a long-acting derivative of the gut hormone oxyntomodulin that activates the GLP-1 and glucagon receptors simultaneously. In Chinese Phase 3 trials, body weight decreased by 11–14% after 48 weeks and by 16.65% after 60 weeks at a higher dose; in type 2 diabetes it was slightly superior to dulaglutide. The most common side effects are gastrointestinal complaints, which become very frequent at higher doses. Mazdutide is approved only in China; data on cardiovascular endpoints and on non-Asian populations are largely lacking.</w:t>
      </w:r>
    </w:p>
    <w:bookmarkEnd w:id="650"/>
    <w:bookmarkEnd w:id="651"/>
    <w:bookmarkStart w:id="699" w:name="cagrilintide-and-cagrisema"/>
    <w:p>
      <w:pPr>
        <w:pStyle w:val="Heading2"/>
      </w:pPr>
      <w:r>
        <w:t xml:space="preserve">Cagrilintide and CagriSema</w:t>
      </w:r>
    </w:p>
    <w:bookmarkStart w:id="652" w:name="profile-8"/>
    <w:p>
      <w:pPr>
        <w:pStyle w:val="Heading3"/>
      </w:pPr>
      <w:r>
        <w:t xml:space="preserve">Profile</w:t>
      </w:r>
    </w:p>
    <w:p>
      <w:pPr>
        <w:numPr>
          <w:ilvl w:val="0"/>
          <w:numId w:val="1080"/>
        </w:numPr>
        <w:pStyle w:val="Compact"/>
      </w:pPr>
      <w:r>
        <w:rPr>
          <w:bCs/>
          <w:b/>
        </w:rPr>
        <w:t xml:space="preserve">Type/structure:</w:t>
      </w:r>
      <w:r>
        <w:t xml:space="preserve"> </w:t>
      </w:r>
      <w:r>
        <w:t xml:space="preserve">Cagrilintide is a synthetic, fatty-acid-modified analog of the hormone amylin for once-weekly injection under the skin.</w:t>
      </w:r>
      <w:r>
        <w:t xml:space="preserve"> </w:t>
      </w:r>
      <w:r>
        <w:rPr>
          <w:bCs/>
          <w:b/>
        </w:rPr>
        <w:t xml:space="preserve">CagriSema</w:t>
      </w:r>
      <w:r>
        <w:t xml:space="preserve"> </w:t>
      </w:r>
      <w:r>
        <w:t xml:space="preserve">is the fixed combination of cagrilintide and semaglutide in one injection device.</w:t>
      </w:r>
    </w:p>
    <w:p>
      <w:pPr>
        <w:numPr>
          <w:ilvl w:val="0"/>
          <w:numId w:val="1080"/>
        </w:numPr>
        <w:pStyle w:val="Compact"/>
      </w:pPr>
      <w:r>
        <w:rPr>
          <w:bCs/>
          <w:b/>
        </w:rPr>
        <w:t xml:space="preserve">Origin:</w:t>
      </w:r>
      <w:r>
        <w:t xml:space="preserve"> </w:t>
      </w:r>
      <w:r>
        <w:t xml:space="preserve">developed by Novo Nordisk, the manufacturer of semaglutide.</w:t>
      </w:r>
    </w:p>
    <w:p>
      <w:pPr>
        <w:numPr>
          <w:ilvl w:val="0"/>
          <w:numId w:val="1080"/>
        </w:numPr>
        <w:pStyle w:val="Compact"/>
      </w:pPr>
      <w:r>
        <w:rPr>
          <w:bCs/>
          <w:b/>
        </w:rPr>
        <w:t xml:space="preserve">Mechanism of action:</w:t>
      </w:r>
      <w:r>
        <w:t xml:space="preserve"> </w:t>
      </w:r>
      <w:r>
        <w:t xml:space="preserve">Cagrilintide activates amylin receptors and additionally the related calcitonin receptor (a</w:t>
      </w:r>
      <w:r>
        <w:t xml:space="preserve"> </w:t>
      </w:r>
      <w:r>
        <w:t xml:space="preserve">“</w:t>
      </w:r>
      <w:r>
        <w:t xml:space="preserve">dual amylin and calcitonin receptor agonist</w:t>
      </w:r>
      <w:r>
        <w:t xml:space="preserve">”</w:t>
      </w:r>
      <w:r>
        <w:t xml:space="preserve">). In CagriSema, the GLP-1 effect of semaglutide is added.</w:t>
      </w:r>
    </w:p>
    <w:p>
      <w:pPr>
        <w:numPr>
          <w:ilvl w:val="0"/>
          <w:numId w:val="1080"/>
        </w:numPr>
        <w:pStyle w:val="Compact"/>
      </w:pPr>
      <w:r>
        <w:rPr>
          <w:bCs/>
          <w:b/>
        </w:rPr>
        <w:t xml:space="preserve">Approval EU:</w:t>
      </w:r>
      <w:r>
        <w:t xml:space="preserve"> </w:t>
      </w:r>
      <w:r>
        <w:t xml:space="preserve">no (as of October 2026).</w:t>
      </w:r>
    </w:p>
    <w:p>
      <w:pPr>
        <w:numPr>
          <w:ilvl w:val="0"/>
          <w:numId w:val="1080"/>
        </w:numPr>
        <w:pStyle w:val="Compact"/>
      </w:pPr>
      <w:r>
        <w:rPr>
          <w:bCs/>
          <w:b/>
        </w:rPr>
        <w:t xml:space="preserve">Approval USA:</w:t>
      </w:r>
      <w:r>
        <w:t xml:space="preserve"> </w:t>
      </w:r>
      <w:r>
        <w:t xml:space="preserve">no (as of October 2026; an approval procedure for CagriSema has been announced or may already be under way – please check for updates).</w:t>
      </w:r>
    </w:p>
    <w:p>
      <w:pPr>
        <w:numPr>
          <w:ilvl w:val="0"/>
          <w:numId w:val="1080"/>
        </w:numPr>
        <w:pStyle w:val="Compact"/>
      </w:pPr>
      <w:r>
        <w:rPr>
          <w:bCs/>
          <w:b/>
        </w:rPr>
        <w:t xml:space="preserve">WADA:</w:t>
      </w:r>
      <w:r>
        <w:t xml:space="preserve"> </w:t>
      </w:r>
      <w:r>
        <w:t xml:space="preserve">prohibited as a non-approved substance under S0.</w:t>
      </w:r>
    </w:p>
    <w:p>
      <w:pPr>
        <w:numPr>
          <w:ilvl w:val="0"/>
          <w:numId w:val="1080"/>
        </w:numPr>
        <w:pStyle w:val="Compact"/>
      </w:pPr>
      <w:r>
        <w:rPr>
          <w:bCs/>
          <w:b/>
        </w:rPr>
        <w:t xml:space="preserve">Evidence level:</w:t>
      </w:r>
      <w:r>
        <w:t xml:space="preserve"> </w:t>
      </w:r>
      <w:r>
        <w:rPr>
          <w:bCs/>
          <w:b/>
        </w:rPr>
        <w:t xml:space="preserve">B</w:t>
      </w:r>
      <w:r>
        <w:t xml:space="preserve"> </w:t>
      </w:r>
      <w:r>
        <w:t xml:space="preserve">– several large Phase 3 trials published, but no approval yet. With approval, CagriSema would reach level A.</w:t>
      </w:r>
    </w:p>
    <w:bookmarkEnd w:id="652"/>
    <w:bookmarkStart w:id="657" w:name="how-it-is-supposed-to-work-8"/>
    <w:p>
      <w:pPr>
        <w:pStyle w:val="Heading3"/>
      </w:pPr>
      <w:r>
        <w:t xml:space="preserve">How it is supposed to work</w:t>
      </w:r>
    </w:p>
    <w:p>
      <w:pPr>
        <w:pStyle w:val="FirstParagraph"/>
      </w:pPr>
      <w:r>
        <w:t xml:space="preserve">Amylin is a hormone released by the beta cells of the pancreas together with insulin. It acts mainly in the brainstem: it promotes the feeling of satiety, slows gastric emptying and curbs glucagon release after meals. People with type 1 diabetes lack not only insulin but also amylin.</w:t>
      </w:r>
    </w:p>
    <w:p>
      <w:pPr>
        <w:pStyle w:val="BodyText"/>
      </w:pPr>
      <w:r>
        <w:t xml:space="preserve">Natural amylin is unsuitable as a medicine because it tends to clump (it forms so-called amyloid fibrils) and lasts only minutes in the blood. The first amylin drug, pramlintide (see separate chapter), therefore has to be injected several times a day. Cagrilintide was specifically modified so that it remains stable and, thanks to a fatty acid chain, acts for one week</w:t>
      </w:r>
      <w:r>
        <w:rPr>
          <w:rStyle w:val="FootnoteReference"/>
        </w:rPr>
        <w:footnoteReference w:id="653"/>
      </w:r>
      <w:r>
        <w:t xml:space="preserve">. In Phase 1 data, the half-life was 159 to 195 hours, i.e., about one week</w:t>
      </w:r>
      <w:r>
        <w:rPr>
          <w:rStyle w:val="FootnoteReference"/>
        </w:rPr>
        <w:footnoteReference w:id="654"/>
      </w:r>
      <w:r>
        <w:t xml:space="preserve">.</w:t>
      </w:r>
    </w:p>
    <w:p>
      <w:pPr>
        <w:pStyle w:val="BodyText"/>
      </w:pPr>
      <w:r>
        <w:t xml:space="preserve">The combination with semaglutide follows a simple idea: amylin and GLP-1 act on satiety via different receptors and partly different brain regions – the effects could add up. Studies in genetically modified mice show that cagrilintide requires amylin receptor subtypes 1 and 3 in the brain for its weight-lowering effect</w:t>
      </w:r>
      <w:r>
        <w:rPr>
          <w:rStyle w:val="FootnoteReference"/>
        </w:rPr>
        <w:footnoteReference w:id="655"/>
      </w:r>
      <w:r>
        <w:t xml:space="preserve">. In rats, CagriSema mainly lowered energy intake, while energy expenditure was largely preserved</w:t>
      </w:r>
      <w:r>
        <w:rPr>
          <w:rStyle w:val="FootnoteReference"/>
        </w:rPr>
        <w:footnoteReference w:id="656"/>
      </w:r>
      <w:r>
        <w:t xml:space="preserve">.</w:t>
      </w:r>
    </w:p>
    <w:bookmarkEnd w:id="657"/>
    <w:bookmarkStart w:id="672" w:name="human-studies-8"/>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15 human studies on cagrilintide or CagriSema. On ClinicalTrials.gov, 44 trials were registered. The approval program is called</w:t>
      </w:r>
      <w:r>
        <w:t xml:space="preserve"> </w:t>
      </w:r>
      <w:r>
        <w:rPr>
          <w:bCs/>
          <w:b/>
        </w:rPr>
        <w:t xml:space="preserve">REDEFINE</w:t>
      </w:r>
      <w:r>
        <w:t xml:space="preserve"> </w:t>
      </w:r>
      <w:r>
        <w:t xml:space="preserve">(weight management) and</w:t>
      </w:r>
      <w:r>
        <w:t xml:space="preserve"> </w:t>
      </w:r>
      <w:r>
        <w:rPr>
          <w:bCs/>
          <w:b/>
        </w:rPr>
        <w:t xml:space="preserve">REIMAGINE</w:t>
      </w:r>
      <w:r>
        <w:t xml:space="preserve"> </w:t>
      </w:r>
      <w:r>
        <w:t xml:space="preserve">(type 2 diabetes).</w:t>
      </w:r>
    </w:p>
    <w:bookmarkStart w:id="660" w:name="cagrilintide-alone"/>
    <w:p>
      <w:pPr>
        <w:pStyle w:val="Heading4"/>
      </w:pPr>
      <w:r>
        <w:t xml:space="preserve">Cagrilintide alone</w:t>
      </w:r>
    </w:p>
    <w:p>
      <w:pPr>
        <w:pStyle w:val="FirstParagraph"/>
      </w:pPr>
      <w:r>
        <w:t xml:space="preserve">In the Phase 2 dose-finding trial</w:t>
      </w:r>
      <w:r>
        <w:rPr>
          <w:rStyle w:val="FootnoteReference"/>
        </w:rPr>
        <w:footnoteReference w:id="658"/>
      </w:r>
      <w:r>
        <w:t xml:space="preserve">, 706 adults with overweight or obesity received cagrilintide in five doses for 26 weeks, 99 received liraglutide and 101 placebo. Weight fell in a dose-dependent manner by 6.0 to 10.8% (placebo 3.0%). The highest dose was slightly superior to liraglutide 3.0 mg (10.8% vs. 9.0%). Nausea occurred in 20–47% (placebo 18%). Cagrilintide alone thus reaches roughly the range of older GLP-1 drugs, not that of semaglutide or tirzepatide. It is now also being tested as a single agent in Phase 3</w:t>
      </w:r>
      <w:r>
        <w:rPr>
          <w:rStyle w:val="FootnoteReference"/>
        </w:rPr>
        <w:footnoteReference w:id="659"/>
      </w:r>
      <w:r>
        <w:t xml:space="preserve">.</w:t>
      </w:r>
    </w:p>
    <w:bookmarkEnd w:id="660"/>
    <w:bookmarkStart w:id="663" w:name="cagrisema-early-studies"/>
    <w:p>
      <w:pPr>
        <w:pStyle w:val="Heading4"/>
      </w:pPr>
      <w:r>
        <w:t xml:space="preserve">CagriSema: early studies</w:t>
      </w:r>
    </w:p>
    <w:p>
      <w:pPr>
        <w:pStyle w:val="FirstParagraph"/>
      </w:pPr>
      <w:r>
        <w:t xml:space="preserve">In a Phase 1b trial in 95 healthy people with overweight, participants on semaglutide plus cagrilintide lost up to 17.1% of their weight after 20 weeks, and 9.8% with semaglutide plus placebo</w:t>
      </w:r>
      <w:r>
        <w:rPr>
          <w:rStyle w:val="FootnoteReference"/>
        </w:rPr>
        <w:footnoteReference w:id="661"/>
      </w:r>
      <w:r>
        <w:t xml:space="preserve">. Cagrilintide did not alter semaglutide blood levels.</w:t>
      </w:r>
    </w:p>
    <w:p>
      <w:pPr>
        <w:pStyle w:val="BodyText"/>
      </w:pPr>
      <w:r>
        <w:t xml:space="preserve">A small Phase 2 trial in 92 people with type 2 diabetes compared CagriSema directly with both individual substances</w:t>
      </w:r>
      <w:r>
        <w:rPr>
          <w:rStyle w:val="FootnoteReference"/>
        </w:rPr>
        <w:footnoteReference w:id="662"/>
      </w:r>
      <w:r>
        <w:t xml:space="preserve">. After 32 weeks, weight loss was 15.6% with CagriSema, 5.1% with semaglutide and 8.1% with cagrilintide. For HbA1c, CagriSema at −2.2 percentage points was not statistically superior to semaglutide (−1.8).</w:t>
      </w:r>
    </w:p>
    <w:bookmarkEnd w:id="663"/>
    <w:bookmarkStart w:id="671" w:name="cagrisema-phase-3-redefine-and-reimagine"/>
    <w:p>
      <w:pPr>
        <w:pStyle w:val="Heading4"/>
      </w:pPr>
      <w:r>
        <w:t xml:space="preserve">CagriSema: Phase 3 (REDEFINE and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REDEFINE 1 (Garvey 2025), PMID 40544433</w:t>
            </w:r>
          </w:p>
        </w:tc>
        <w:tc>
          <w:tcPr/>
          <w:p>
            <w:pPr>
              <w:pStyle w:val="Compact"/>
              <w:jc w:val="left"/>
            </w:pPr>
            <w:r>
              <w:t xml:space="preserve">3,417 adults with overweight/obesity without diabetes; vs. placebo and individual substances</w:t>
            </w:r>
          </w:p>
        </w:tc>
        <w:tc>
          <w:tcPr/>
          <w:p>
            <w:pPr>
              <w:pStyle w:val="Compact"/>
              <w:jc w:val="left"/>
            </w:pPr>
            <w:r>
              <w:t xml:space="preserve">68 weeks</w:t>
            </w:r>
          </w:p>
        </w:tc>
        <w:tc>
          <w:tcPr/>
          <w:p>
            <w:pPr>
              <w:pStyle w:val="Compact"/>
              <w:jc w:val="left"/>
            </w:pPr>
            <w:r>
              <w:t xml:space="preserve">−20.4% weight vs. −3.0%</w:t>
            </w:r>
          </w:p>
        </w:tc>
      </w:tr>
      <w:tr>
        <w:tc>
          <w:tcPr/>
          <w:p>
            <w:pPr>
              <w:pStyle w:val="Compact"/>
              <w:jc w:val="left"/>
            </w:pPr>
            <w:r>
              <w:t xml:space="preserve">REDEFINE 2 (Davies 2025), PMID 40544432</w:t>
            </w:r>
          </w:p>
        </w:tc>
        <w:tc>
          <w:tcPr/>
          <w:p>
            <w:pPr>
              <w:pStyle w:val="Compact"/>
              <w:jc w:val="left"/>
            </w:pPr>
            <w:r>
              <w:t xml:space="preserve">1,206 adults with obesity and type 2 diabetes, vs. placebo</w:t>
            </w:r>
          </w:p>
        </w:tc>
        <w:tc>
          <w:tcPr/>
          <w:p>
            <w:pPr>
              <w:pStyle w:val="Compact"/>
              <w:jc w:val="left"/>
            </w:pPr>
            <w:r>
              <w:t xml:space="preserve">68 weeks</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adults in Japan and Taiwan, vs. semaglutide</w:t>
            </w:r>
          </w:p>
        </w:tc>
        <w:tc>
          <w:tcPr/>
          <w:p>
            <w:pPr>
              <w:pStyle w:val="Compact"/>
              <w:jc w:val="left"/>
            </w:pPr>
            <w:r>
              <w:t xml:space="preserve">68 weeks</w:t>
            </w:r>
          </w:p>
        </w:tc>
        <w:tc>
          <w:tcPr/>
          <w:p>
            <w:pPr>
              <w:pStyle w:val="Compact"/>
              <w:jc w:val="left"/>
            </w:pPr>
            <w:r>
              <w:t xml:space="preserve">−18.4% vs. −11.9% (semaglutide)</w:t>
            </w:r>
          </w:p>
        </w:tc>
      </w:tr>
      <w:tr>
        <w:tc>
          <w:tcPr/>
          <w:p>
            <w:pPr>
              <w:pStyle w:val="Compact"/>
              <w:jc w:val="left"/>
            </w:pPr>
            <w:r>
              <w:t xml:space="preserve">REIMAGINE 1 (Aroda 2026), PMID 42251860</w:t>
            </w:r>
          </w:p>
        </w:tc>
        <w:tc>
          <w:tcPr/>
          <w:p>
            <w:pPr>
              <w:pStyle w:val="Compact"/>
              <w:jc w:val="left"/>
            </w:pPr>
            <w:r>
              <w:t xml:space="preserve">189 adults with type 2 diabetes on no medication, vs. placebo</w:t>
            </w:r>
          </w:p>
        </w:tc>
        <w:tc>
          <w:tcPr/>
          <w:p>
            <w:pPr>
              <w:pStyle w:val="Compact"/>
              <w:jc w:val="left"/>
            </w:pPr>
            <w:r>
              <w:t xml:space="preserve">40 weeks</w:t>
            </w:r>
          </w:p>
        </w:tc>
        <w:tc>
          <w:tcPr/>
          <w:p>
            <w:pPr>
              <w:pStyle w:val="Compact"/>
              <w:jc w:val="left"/>
            </w:pPr>
            <w:r>
              <w:t xml:space="preserve">HbA1c −1.8 vs. −0.1; weight −13.8% vs. −1.4%</w:t>
            </w:r>
          </w:p>
        </w:tc>
      </w:tr>
      <w:tr>
        <w:tc>
          <w:tcPr/>
          <w:p>
            <w:pPr>
              <w:pStyle w:val="Compact"/>
              <w:jc w:val="left"/>
            </w:pPr>
            <w:r>
              <w:t xml:space="preserve">REIMAGINE 2 (Buse 2026), PMID 42251859</w:t>
            </w:r>
          </w:p>
        </w:tc>
        <w:tc>
          <w:tcPr/>
          <w:p>
            <w:pPr>
              <w:pStyle w:val="Compact"/>
              <w:jc w:val="left"/>
            </w:pPr>
            <w:r>
              <w:t xml:space="preserve">2,713 adults with type 2 diabetes, vs. semaglutide, cagrilintide and placebo</w:t>
            </w:r>
          </w:p>
        </w:tc>
        <w:tc>
          <w:tcPr/>
          <w:p>
            <w:pPr>
              <w:pStyle w:val="Compact"/>
              <w:jc w:val="left"/>
            </w:pPr>
            <w:r>
              <w:t xml:space="preserve">68 weeks</w:t>
            </w:r>
          </w:p>
        </w:tc>
        <w:tc>
          <w:tcPr/>
          <w:p>
            <w:pPr>
              <w:pStyle w:val="Compact"/>
              <w:jc w:val="left"/>
            </w:pPr>
            <w:r>
              <w:t xml:space="preserve">HbA1c −1.91 vs. −1.75 (semaglutide 2.4 mg)</w:t>
            </w:r>
          </w:p>
        </w:tc>
      </w:tr>
      <w:tr>
        <w:tc>
          <w:tcPr/>
          <w:p>
            <w:pPr>
              <w:pStyle w:val="Compact"/>
              <w:jc w:val="left"/>
            </w:pPr>
            <w:r>
              <w:t xml:space="preserve">REIMAGINE 3 (Rosenstock 2026), PMID 42251856</w:t>
            </w:r>
          </w:p>
        </w:tc>
        <w:tc>
          <w:tcPr/>
          <w:p>
            <w:pPr>
              <w:pStyle w:val="Compact"/>
              <w:jc w:val="left"/>
            </w:pPr>
            <w:r>
              <w:t xml:space="preserve">274 adults with type 2 diabetes and basal insulin, vs. placebo</w:t>
            </w:r>
          </w:p>
        </w:tc>
        <w:tc>
          <w:tcPr/>
          <w:p>
            <w:pPr>
              <w:pStyle w:val="Compact"/>
              <w:jc w:val="left"/>
            </w:pPr>
            <w:r>
              <w:t xml:space="preserve">40 weeks</w:t>
            </w:r>
          </w:p>
        </w:tc>
        <w:tc>
          <w:tcPr/>
          <w:p>
            <w:pPr>
              <w:pStyle w:val="Compact"/>
              <w:jc w:val="left"/>
            </w:pPr>
            <w:r>
              <w:t xml:space="preserve">HbA1c −2.33 vs. −0.66; weight −10 to −12%</w:t>
            </w:r>
          </w:p>
        </w:tc>
      </w:tr>
    </w:tbl>
    <w:p>
      <w:pPr>
        <w:pStyle w:val="BodyText"/>
      </w:pPr>
      <w:r>
        <w:rPr>
          <w:bCs/>
          <w:b/>
        </w:rPr>
        <w:t xml:space="preserve">REDEFINE 1</w:t>
      </w:r>
      <w:r>
        <w:rPr>
          <w:rStyle w:val="FootnoteReference"/>
        </w:rPr>
        <w:footnoteReference w:id="664"/>
      </w:r>
      <w:r>
        <w:t xml:space="preserve"> </w:t>
      </w:r>
      <w:r>
        <w:t xml:space="preserve">is the main trial. In 3,417 adults without diabetes, body weight decreased after 68 weeks by an average of 20.4% compared with 3.0% on placebo. The trial also included smaller groups with semaglutide alone and cagrilintide alone. In a post hoc analysis, 30.3% on CagriSema, 19.1% on semaglutide, 9.0% on cagrilintide and 3.3% on placebo achieved both a BMI below 27 and a favorable waist-to-height ratio</w:t>
      </w:r>
      <w:r>
        <w:rPr>
          <w:rStyle w:val="FootnoteReference"/>
        </w:rPr>
        <w:footnoteReference w:id="665"/>
      </w:r>
      <w:r>
        <w:t xml:space="preserve">. Systolic blood pressure fell by 10.9 mmHg on CagriSema (placebo −2.8)</w:t>
      </w:r>
      <w:r>
        <w:rPr>
          <w:rStyle w:val="FootnoteReference"/>
        </w:rPr>
        <w:footnoteReference w:id="666"/>
      </w:r>
      <w:r>
        <w:t xml:space="preserve">.</w:t>
      </w:r>
    </w:p>
    <w:p>
      <w:pPr>
        <w:pStyle w:val="BodyText"/>
      </w:pPr>
      <w:r>
        <w:t xml:space="preserve">For context: the 20.4% achieved is in the range of tirzepatide in SURMOUNT-1 (20.9% after 72 weeks at the highest dose). Such a cross-trial comparison between different studies is only a rough guide; the direct comparison is still pending (see below).</w:t>
      </w:r>
    </w:p>
    <w:p>
      <w:pPr>
        <w:pStyle w:val="BodyText"/>
      </w:pPr>
      <w:r>
        <w:rPr>
          <w:bCs/>
          <w:b/>
        </w:rPr>
        <w:t xml:space="preserve">REDEFINE 2</w:t>
      </w:r>
      <w:r>
        <w:rPr>
          <w:rStyle w:val="FootnoteReference"/>
        </w:rPr>
        <w:footnoteReference w:id="667"/>
      </w:r>
      <w:r>
        <w:t xml:space="preserve"> </w:t>
      </w:r>
      <w:r>
        <w:t xml:space="preserve">confirmed the pattern in people with type 2 diabetes: −13.7% compared with −3.4%. 73.5% reached an HbA1c of 6.5% or less (placebo 15.9%).</w:t>
      </w:r>
    </w:p>
    <w:p>
      <w:pPr>
        <w:pStyle w:val="BodyText"/>
      </w:pPr>
      <w:r>
        <w:rPr>
          <w:bCs/>
          <w:b/>
        </w:rPr>
        <w:t xml:space="preserve">REDEFINE 5</w:t>
      </w:r>
      <w:r>
        <w:rPr>
          <w:rStyle w:val="FootnoteReference"/>
        </w:rPr>
        <w:footnoteReference w:id="668"/>
      </w:r>
      <w:r>
        <w:t xml:space="preserve"> </w:t>
      </w:r>
      <w:r>
        <w:t xml:space="preserve">is the first published blinded Phase 3 trial in direct comparison with semaglutide 2.4 mg: in Japan and Taiwan, participants lost 18.4% with CagriSema compared with 11.9% with semaglutide alone. Gastrointestinal complaints were similarly frequent at 53% vs. 51%.</w:t>
      </w:r>
    </w:p>
    <w:p>
      <w:pPr>
        <w:pStyle w:val="BodyText"/>
      </w:pPr>
      <w:r>
        <w:rPr>
          <w:bCs/>
          <w:b/>
        </w:rPr>
        <w:t xml:space="preserve">REIMAGINE 2</w:t>
      </w:r>
      <w:r>
        <w:rPr>
          <w:rStyle w:val="FootnoteReference"/>
        </w:rPr>
        <w:footnoteReference w:id="669"/>
      </w:r>
      <w:r>
        <w:t xml:space="preserve"> </w:t>
      </w:r>
      <w:r>
        <w:t xml:space="preserve">showed in type 2 diabetes that CagriSema lowers HbA1c only slightly more than semaglutide 2.4 mg alone (−1.91 vs. −1.75 percentage points). The added benefit of cagrilintide therefore lies mainly in weight, hardly in blood glucose.</w:t>
      </w:r>
    </w:p>
    <w:p>
      <w:pPr>
        <w:pStyle w:val="BodyText"/>
      </w:pPr>
      <w:r>
        <w:t xml:space="preserve">The direct comparative trial against tirzepatide in obesity (REDEFINE 4, NCT06131437) and two comparative trials against tirzepatide in type 2 diabetes</w:t>
      </w:r>
      <w:r>
        <w:rPr>
          <w:rStyle w:val="FootnoteReference"/>
        </w:rPr>
        <w:footnoteReference w:id="670"/>
      </w:r>
      <w:r>
        <w:t xml:space="preserve"> </w:t>
      </w:r>
      <w:r>
        <w:t xml:space="preserve">have been completed according to the registry; peer-reviewed publications were not yet available at the time of research.</w:t>
      </w:r>
    </w:p>
    <w:bookmarkEnd w:id="671"/>
    <w:bookmarkEnd w:id="672"/>
    <w:bookmarkStart w:id="677" w:name="animal-and-laboratory-studies-8"/>
    <w:p>
      <w:pPr>
        <w:pStyle w:val="Heading3"/>
      </w:pPr>
      <w:r>
        <w:t xml:space="preserve">Animal and laboratory studies</w:t>
      </w:r>
    </w:p>
    <w:p>
      <w:pPr>
        <w:pStyle w:val="FirstParagraph"/>
      </w:pPr>
      <w:r>
        <w:t xml:space="preserve">Structural biology studies show how cagrilintide binds to amylin and calcitonin receptors</w:t>
      </w:r>
      <w:r>
        <w:rPr>
          <w:rStyle w:val="FootnoteReference"/>
        </w:rPr>
        <w:footnoteReference w:id="673"/>
      </w:r>
      <w:r>
        <w:t xml:space="preserve">. In mice lacking amylin receptor subtypes 1 and 3, the effect was greatly attenuated</w:t>
      </w:r>
      <w:r>
        <w:rPr>
          <w:rStyle w:val="FootnoteReference"/>
        </w:rPr>
        <w:footnoteReference w:id="674"/>
      </w:r>
      <w:r>
        <w:t xml:space="preserve">. In rats, CagriSema lowered food intake by 39%; according to the authors’ calculations, about one third of the weight loss was due to energy expenditure not falling to the usual extent</w:t>
      </w:r>
      <w:r>
        <w:rPr>
          <w:rStyle w:val="FootnoteReference"/>
        </w:rPr>
        <w:footnoteReference w:id="675"/>
      </w:r>
      <w:r>
        <w:t xml:space="preserve">. In another rat study, combining cagrilintide with retatrutide enhanced weight loss</w:t>
      </w:r>
      <w:r>
        <w:rPr>
          <w:rStyle w:val="FootnoteReference"/>
        </w:rPr>
        <w:footnoteReference w:id="676"/>
      </w:r>
      <w:r>
        <w:t xml:space="preserve"> </w:t>
      </w:r>
      <w:r>
        <w:t xml:space="preserve">– an indication that amylin agents could in future also be combined with other incretin drugs. All of these results come from animal experiments.</w:t>
      </w:r>
    </w:p>
    <w:bookmarkEnd w:id="677"/>
    <w:bookmarkStart w:id="685" w:name="risks-and-side-effects-8"/>
    <w:p>
      <w:pPr>
        <w:pStyle w:val="Heading3"/>
      </w:pPr>
      <w:r>
        <w:t xml:space="preserve">Risks and side effects</w:t>
      </w:r>
    </w:p>
    <w:p>
      <w:pPr>
        <w:pStyle w:val="FirstParagraph"/>
      </w:pPr>
      <w:r>
        <w:rPr>
          <w:bCs/>
          <w:b/>
        </w:rPr>
        <w:t xml:space="preserve">Documented in studies:</w:t>
      </w:r>
    </w:p>
    <w:p>
      <w:pPr>
        <w:numPr>
          <w:ilvl w:val="0"/>
          <w:numId w:val="1081"/>
        </w:numPr>
        <w:pStyle w:val="Compact"/>
      </w:pPr>
      <w:r>
        <w:rPr>
          <w:bCs/>
          <w:b/>
        </w:rPr>
        <w:t xml:space="preserve">Gastrointestinal complaints</w:t>
      </w:r>
      <w:r>
        <w:t xml:space="preserve"> </w:t>
      </w:r>
      <w:r>
        <w:t xml:space="preserve">– nausea, vomiting, diarrhea, constipation, abdominal pain – affected 79.6% on CagriSema compared with 39.9% on placebo in REDEFINE 1; they were mostly transient and mild to moderate</w:t>
      </w:r>
      <w:r>
        <w:rPr>
          <w:rStyle w:val="FootnoteReference"/>
        </w:rPr>
        <w:footnoteReference w:id="678"/>
      </w:r>
      <w:r>
        <w:t xml:space="preserve">. In REDEFINE 2, the figures were 72.5% compared with 34.4%</w:t>
      </w:r>
      <w:r>
        <w:rPr>
          <w:rStyle w:val="FootnoteReference"/>
        </w:rPr>
        <w:footnoteReference w:id="679"/>
      </w:r>
      <w:r>
        <w:t xml:space="preserve">.</w:t>
      </w:r>
    </w:p>
    <w:p>
      <w:pPr>
        <w:numPr>
          <w:ilvl w:val="0"/>
          <w:numId w:val="1081"/>
        </w:numPr>
        <w:pStyle w:val="Compact"/>
      </w:pPr>
      <w:r>
        <w:rPr>
          <w:bCs/>
          <w:b/>
        </w:rPr>
        <w:t xml:space="preserve">Hypoglycemia:</w:t>
      </w:r>
      <w:r>
        <w:t xml:space="preserve"> </w:t>
      </w:r>
      <w:r>
        <w:t xml:space="preserve">In REIMAGINE 3, no severe hypoglycemia occurred despite concomitant insulin treatment</w:t>
      </w:r>
      <w:r>
        <w:rPr>
          <w:rStyle w:val="FootnoteReference"/>
        </w:rPr>
        <w:footnoteReference w:id="680"/>
      </w:r>
      <w:r>
        <w:t xml:space="preserve">. In combination with insulin or sulfonylureas, however, the risk fundamentally remains.</w:t>
      </w:r>
    </w:p>
    <w:p>
      <w:pPr>
        <w:numPr>
          <w:ilvl w:val="0"/>
          <w:numId w:val="1081"/>
        </w:numPr>
        <w:pStyle w:val="Compact"/>
      </w:pPr>
      <w:r>
        <w:rPr>
          <w:bCs/>
          <w:b/>
        </w:rPr>
        <w:t xml:space="preserve">Heart rhythm:</w:t>
      </w:r>
      <w:r>
        <w:t xml:space="preserve"> </w:t>
      </w:r>
      <w:r>
        <w:t xml:space="preserve">In a dedicated study with 105 healthy people, cagrilintide did not prolong the QT interval on the ECG to a clinically relevant extent</w:t>
      </w:r>
      <w:r>
        <w:rPr>
          <w:rStyle w:val="FootnoteReference"/>
        </w:rPr>
        <w:footnoteReference w:id="681"/>
      </w:r>
      <w:r>
        <w:t xml:space="preserve">.</w:t>
      </w:r>
    </w:p>
    <w:p>
      <w:pPr>
        <w:numPr>
          <w:ilvl w:val="0"/>
          <w:numId w:val="1081"/>
        </w:numPr>
        <w:pStyle w:val="Compact"/>
      </w:pPr>
      <w:r>
        <w:rPr>
          <w:bCs/>
          <w:b/>
        </w:rPr>
        <w:t xml:space="preserve">Kidney and liver function:</w:t>
      </w:r>
      <w:r>
        <w:t xml:space="preserve"> </w:t>
      </w:r>
      <w:r>
        <w:t xml:space="preserve">Cagrilintide blood levels did not change substantially in impaired kidney or liver function</w:t>
      </w:r>
      <w:r>
        <w:rPr>
          <w:rStyle w:val="FootnoteReference"/>
        </w:rPr>
        <w:footnoteReference w:id="682"/>
      </w:r>
      <w:r>
        <w:t xml:space="preserve">.</w:t>
      </w:r>
    </w:p>
    <w:p>
      <w:pPr>
        <w:pStyle w:val="FirstParagraph"/>
      </w:pPr>
      <w:r>
        <w:rPr>
          <w:bCs/>
          <w:b/>
        </w:rPr>
        <w:t xml:space="preserve">Theoretical or not yet adequately studied:</w:t>
      </w:r>
      <w:r>
        <w:t xml:space="preserve"> </w:t>
      </w:r>
      <w:r>
        <w:t xml:space="preserve">The calcitonin receptor is also found in bone; how continuous stimulation affects bone metabolism is currently being studied</w:t>
      </w:r>
      <w:r>
        <w:rPr>
          <w:rStyle w:val="FootnoteReference"/>
        </w:rPr>
        <w:footnoteReference w:id="683"/>
      </w:r>
      <w:r>
        <w:t xml:space="preserve">. It is likewise unclear whether the combination affects the loss of muscle mass</w:t>
      </w:r>
      <w:r>
        <w:rPr>
          <w:rStyle w:val="FootnoteReference"/>
        </w:rPr>
        <w:footnoteReference w:id="684"/>
      </w:r>
      <w:r>
        <w:t xml:space="preserve">. For the class risks of semaglutide (gallbladder, pancreas, thyroid C-cells in animal studies), see the chapter Semaglutide.</w:t>
      </w:r>
    </w:p>
    <w:bookmarkEnd w:id="685"/>
    <w:bookmarkStart w:id="686" w:name="legal-status-8"/>
    <w:p>
      <w:pPr>
        <w:pStyle w:val="Heading3"/>
      </w:pPr>
      <w:r>
        <w:t xml:space="preserve">Legal status</w:t>
      </w:r>
    </w:p>
    <w:p>
      <w:pPr>
        <w:numPr>
          <w:ilvl w:val="0"/>
          <w:numId w:val="1082"/>
        </w:numPr>
        <w:pStyle w:val="Compact"/>
      </w:pPr>
      <w:r>
        <w:rPr>
          <w:bCs/>
          <w:b/>
        </w:rPr>
        <w:t xml:space="preserve">EU / Austria / Germany:</w:t>
      </w:r>
      <w:r>
        <w:t xml:space="preserve"> </w:t>
      </w:r>
      <w:r>
        <w:t xml:space="preserve">neither cagrilintide nor CagriSema is approved; use only in trials. Gray-market offerings of</w:t>
      </w:r>
      <w:r>
        <w:t xml:space="preserve"> </w:t>
      </w:r>
      <w:r>
        <w:t xml:space="preserve">“</w:t>
      </w:r>
      <w:r>
        <w:t xml:space="preserve">cagrilintide</w:t>
      </w:r>
      <w:r>
        <w:t xml:space="preserve">”</w:t>
      </w:r>
      <w:r>
        <w:t xml:space="preserve"> </w:t>
      </w:r>
      <w:r>
        <w:t xml:space="preserve">are not medicines and are not tested.</w:t>
      </w:r>
    </w:p>
    <w:p>
      <w:pPr>
        <w:numPr>
          <w:ilvl w:val="0"/>
          <w:numId w:val="1082"/>
        </w:numPr>
        <w:pStyle w:val="Compact"/>
      </w:pPr>
      <w:r>
        <w:rPr>
          <w:bCs/>
          <w:b/>
        </w:rPr>
        <w:t xml:space="preserve">USA:</w:t>
      </w:r>
      <w:r>
        <w:t xml:space="preserve"> </w:t>
      </w:r>
      <w:r>
        <w:t xml:space="preserve">not approved (as of October 2026, please check for updates).</w:t>
      </w:r>
    </w:p>
    <w:p>
      <w:pPr>
        <w:numPr>
          <w:ilvl w:val="0"/>
          <w:numId w:val="1082"/>
        </w:numPr>
        <w:pStyle w:val="Compact"/>
      </w:pPr>
      <w:r>
        <w:rPr>
          <w:bCs/>
          <w:b/>
        </w:rPr>
        <w:t xml:space="preserve">Sport:</w:t>
      </w:r>
      <w:r>
        <w:t xml:space="preserve"> </w:t>
      </w:r>
      <w:r>
        <w:t xml:space="preserve">WADA class S0 (not approved), as of 2026, please check for updates.</w:t>
      </w:r>
    </w:p>
    <w:bookmarkEnd w:id="686"/>
    <w:bookmarkStart w:id="697" w:name="ongoing-studies-and-outlook-8"/>
    <w:p>
      <w:pPr>
        <w:pStyle w:val="Heading3"/>
      </w:pPr>
      <w:r>
        <w:t xml:space="preserve">Ongoing studies and outlook</w:t>
      </w:r>
    </w:p>
    <w:p>
      <w:pPr>
        <w:pStyle w:val="FirstParagraph"/>
      </w:pPr>
      <w:r>
        <w:rPr>
          <w:bCs/>
          <w:b/>
        </w:rPr>
        <w:t xml:space="preserve">Confirmed (registered trials, as of October 2026):</w:t>
      </w:r>
    </w:p>
    <w:p>
      <w:pPr>
        <w:numPr>
          <w:ilvl w:val="0"/>
          <w:numId w:val="1083"/>
        </w:numPr>
        <w:pStyle w:val="Compact"/>
      </w:pPr>
      <w:r>
        <w:rPr>
          <w:bCs/>
          <w:b/>
        </w:rPr>
        <w:t xml:space="preserve">REDEFINE 3</w:t>
      </w:r>
      <w:r>
        <w:rPr>
          <w:rStyle w:val="FootnoteReference"/>
        </w:rPr>
        <w:footnoteReference w:id="687"/>
      </w:r>
      <w:r>
        <w:t xml:space="preserve">: cardiovascular outcome trial with 7,076 randomized people with established cardiovascular disease and overweight; planned completion 2027. Design and baseline data have been published</w:t>
      </w:r>
      <w:r>
        <w:rPr>
          <w:rStyle w:val="FootnoteReference"/>
        </w:rPr>
        <w:footnoteReference w:id="688"/>
      </w:r>
      <w:r>
        <w:t xml:space="preserve">.</w:t>
      </w:r>
    </w:p>
    <w:p>
      <w:pPr>
        <w:numPr>
          <w:ilvl w:val="0"/>
          <w:numId w:val="1083"/>
        </w:numPr>
        <w:pStyle w:val="Compact"/>
      </w:pPr>
      <w:r>
        <w:rPr>
          <w:bCs/>
          <w:b/>
        </w:rPr>
        <w:t xml:space="preserve">Comparisons against tirzepatide</w:t>
      </w:r>
      <w:r>
        <w:rPr>
          <w:rStyle w:val="FootnoteReference"/>
        </w:rPr>
        <w:footnoteReference w:id="689"/>
      </w:r>
      <w:r>
        <w:t xml:space="preserve">: completed, publication pending.</w:t>
      </w:r>
    </w:p>
    <w:p>
      <w:pPr>
        <w:numPr>
          <w:ilvl w:val="0"/>
          <w:numId w:val="1083"/>
        </w:numPr>
        <w:pStyle w:val="Compact"/>
      </w:pPr>
      <w:r>
        <w:rPr>
          <w:bCs/>
          <w:b/>
        </w:rPr>
        <w:t xml:space="preserve">Higher CagriSema doses</w:t>
      </w:r>
      <w:r>
        <w:t xml:space="preserve"> </w:t>
      </w:r>
      <w:r>
        <w:t xml:space="preserve">vs. semaglutide</w:t>
      </w:r>
      <w:r>
        <w:rPr>
          <w:rStyle w:val="FootnoteReference"/>
        </w:rPr>
        <w:footnoteReference w:id="690"/>
      </w:r>
      <w:r>
        <w:t xml:space="preserve"> </w:t>
      </w:r>
      <w:r>
        <w:t xml:space="preserve">and a long-term trial on weight maintenance</w:t>
      </w:r>
      <w:r>
        <w:rPr>
          <w:rStyle w:val="FootnoteReference"/>
        </w:rPr>
        <w:footnoteReference w:id="691"/>
      </w:r>
      <w:r>
        <w:t xml:space="preserve">.</w:t>
      </w:r>
    </w:p>
    <w:p>
      <w:pPr>
        <w:numPr>
          <w:ilvl w:val="0"/>
          <w:numId w:val="1083"/>
        </w:numPr>
        <w:pStyle w:val="Compact"/>
      </w:pPr>
      <w:r>
        <w:rPr>
          <w:bCs/>
          <w:b/>
        </w:rPr>
        <w:t xml:space="preserve">Children and adolescents</w:t>
      </w:r>
      <w:r>
        <w:rPr>
          <w:rStyle w:val="FootnoteReference"/>
        </w:rPr>
        <w:footnoteReference w:id="692"/>
      </w:r>
      <w:r>
        <w:t xml:space="preserve"> </w:t>
      </w:r>
      <w:r>
        <w:t xml:space="preserve">as well as cagrilintide alone</w:t>
      </w:r>
      <w:r>
        <w:rPr>
          <w:rStyle w:val="FootnoteReference"/>
        </w:rPr>
        <w:footnoteReference w:id="693"/>
      </w:r>
      <w:r>
        <w:t xml:space="preserve">.</w:t>
      </w:r>
    </w:p>
    <w:p>
      <w:pPr>
        <w:numPr>
          <w:ilvl w:val="0"/>
          <w:numId w:val="1083"/>
        </w:numPr>
        <w:pStyle w:val="Compact"/>
      </w:pPr>
      <w:r>
        <w:t xml:space="preserve">Smaller trials on bone</w:t>
      </w:r>
      <w:r>
        <w:rPr>
          <w:rStyle w:val="FootnoteReference"/>
        </w:rPr>
        <w:footnoteReference w:id="694"/>
      </w:r>
      <w:r>
        <w:t xml:space="preserve">, muscle</w:t>
      </w:r>
      <w:r>
        <w:rPr>
          <w:rStyle w:val="FootnoteReference"/>
        </w:rPr>
        <w:footnoteReference w:id="695"/>
      </w:r>
      <w:r>
        <w:t xml:space="preserve"> </w:t>
      </w:r>
      <w:r>
        <w:t xml:space="preserve">and on people who do not tolerate GLP-1 drugs</w:t>
      </w:r>
      <w:r>
        <w:rPr>
          <w:rStyle w:val="FootnoteReference"/>
        </w:rPr>
        <w:footnoteReference w:id="696"/>
      </w:r>
      <w:r>
        <w:t xml:space="preserve">.</w:t>
      </w:r>
    </w:p>
    <w:p>
      <w:pPr>
        <w:pStyle w:val="FirstParagraph"/>
      </w:pPr>
      <w:r>
        <w:rPr>
          <w:bCs/>
          <w:b/>
        </w:rPr>
        <w:t xml:space="preserve">Assessment:</w:t>
      </w:r>
      <w:r>
        <w:t xml:space="preserve"> </w:t>
      </w:r>
      <w:r>
        <w:t xml:space="preserve">CagriSema is likely to come to market as the first amylin-GLP-1 combination. Whether it prevails against tirzepatide and the upcoming triple agonists depends on the comparative trials and on tolerability. The scientifically more interesting aspect is the expansion of the toolbox: after GLP-1, GIP and glucagon, amylin is the fourth hormonal pathway being opened up for obesity treatment (see also Amycretin).</w:t>
      </w:r>
    </w:p>
    <w:bookmarkEnd w:id="697"/>
    <w:bookmarkStart w:id="698" w:name="conclusion-8"/>
    <w:p>
      <w:pPr>
        <w:pStyle w:val="Heading3"/>
      </w:pPr>
      <w:r>
        <w:t xml:space="preserve">Conclusion</w:t>
      </w:r>
    </w:p>
    <w:p>
      <w:pPr>
        <w:pStyle w:val="FirstParagraph"/>
      </w:pPr>
      <w:r>
        <w:t xml:space="preserve">Cagrilintide is a long-acting amylin analog that, on its own, lowered weight by up to 10.8% in Phase 2. In combination with semaglutide (CagriSema), it achieved a weight loss of 20.4% after 68 weeks in REDEFINE 1 and was clearly superior to semaglutide alone in East Asia (18.4% vs. 11.9%). Gastrointestinal complaints affect about four out of five people treated. CagriSema is not yet approved; data on cardiovascular events and on the direct comparison with tirzepatide are pending.</w:t>
      </w:r>
    </w:p>
    <w:bookmarkEnd w:id="698"/>
    <w:bookmarkEnd w:id="699"/>
    <w:bookmarkStart w:id="728" w:name="amycretin-zenagamtide"/>
    <w:p>
      <w:pPr>
        <w:pStyle w:val="Heading2"/>
      </w:pPr>
      <w:r>
        <w:t xml:space="preserve">Amycretin (Zenagamtide)</w:t>
      </w:r>
    </w:p>
    <w:bookmarkStart w:id="700" w:name="profile-9"/>
    <w:p>
      <w:pPr>
        <w:pStyle w:val="Heading3"/>
      </w:pPr>
      <w:r>
        <w:t xml:space="preserve">Profile</w:t>
      </w:r>
    </w:p>
    <w:p>
      <w:pPr>
        <w:numPr>
          <w:ilvl w:val="0"/>
          <w:numId w:val="1084"/>
        </w:numPr>
        <w:pStyle w:val="Compact"/>
      </w:pPr>
      <w:r>
        <w:rPr>
          <w:bCs/>
          <w:b/>
        </w:rPr>
        <w:t xml:space="preserve">Type/structure:</w:t>
      </w:r>
      <w:r>
        <w:t xml:space="preserve"> </w:t>
      </w:r>
      <w:r>
        <w:t xml:space="preserve">synthetic peptide that combines GLP-1 and amylin activity in a single molecule (</w:t>
      </w:r>
      <w:r>
        <w:t xml:space="preserve">“</w:t>
      </w:r>
      <w:r>
        <w:t xml:space="preserve">unimolecular</w:t>
      </w:r>
      <w:r>
        <w:t xml:space="preserve">”</w:t>
      </w:r>
      <w:r>
        <w:t xml:space="preserve">). Since 2026 it has carried the international nonproprietary name</w:t>
      </w:r>
      <w:r>
        <w:t xml:space="preserve"> </w:t>
      </w:r>
      <w:r>
        <w:rPr>
          <w:bCs/>
          <w:b/>
        </w:rPr>
        <w:t xml:space="preserve">zenagamtide</w:t>
      </w:r>
      <w:r>
        <w:t xml:space="preserve">; development code NNC0487-0111. It is being developed in two forms: as a weekly injection and as a daily tablet.</w:t>
      </w:r>
    </w:p>
    <w:p>
      <w:pPr>
        <w:numPr>
          <w:ilvl w:val="0"/>
          <w:numId w:val="1084"/>
        </w:numPr>
        <w:pStyle w:val="Compact"/>
      </w:pPr>
      <w:r>
        <w:rPr>
          <w:bCs/>
          <w:b/>
        </w:rPr>
        <w:t xml:space="preserve">Origin:</w:t>
      </w:r>
      <w:r>
        <w:t xml:space="preserve"> </w:t>
      </w:r>
      <w:r>
        <w:t xml:space="preserve">developed by Novo Nordisk.</w:t>
      </w:r>
    </w:p>
    <w:p>
      <w:pPr>
        <w:numPr>
          <w:ilvl w:val="0"/>
          <w:numId w:val="1084"/>
        </w:numPr>
        <w:pStyle w:val="Compact"/>
      </w:pPr>
      <w:r>
        <w:rPr>
          <w:bCs/>
          <w:b/>
        </w:rPr>
        <w:t xml:space="preserve">Mechanism of action:</w:t>
      </w:r>
      <w:r>
        <w:t xml:space="preserve"> </w:t>
      </w:r>
      <w:r>
        <w:t xml:space="preserve">agonist at GLP-1, amylin and calcitonin receptors.</w:t>
      </w:r>
    </w:p>
    <w:p>
      <w:pPr>
        <w:numPr>
          <w:ilvl w:val="0"/>
          <w:numId w:val="1084"/>
        </w:numPr>
        <w:pStyle w:val="Compact"/>
      </w:pPr>
      <w:r>
        <w:rPr>
          <w:bCs/>
          <w:b/>
        </w:rPr>
        <w:t xml:space="preserve">Approval EU:</w:t>
      </w:r>
      <w:r>
        <w:t xml:space="preserve"> </w:t>
      </w:r>
      <w:r>
        <w:t xml:space="preserve">no.</w:t>
      </w:r>
    </w:p>
    <w:p>
      <w:pPr>
        <w:numPr>
          <w:ilvl w:val="0"/>
          <w:numId w:val="1084"/>
        </w:numPr>
        <w:pStyle w:val="Compact"/>
      </w:pPr>
      <w:r>
        <w:rPr>
          <w:bCs/>
          <w:b/>
        </w:rPr>
        <w:t xml:space="preserve">Approval USA:</w:t>
      </w:r>
      <w:r>
        <w:t xml:space="preserve"> </w:t>
      </w:r>
      <w:r>
        <w:t xml:space="preserve">no.</w:t>
      </w:r>
    </w:p>
    <w:p>
      <w:pPr>
        <w:numPr>
          <w:ilvl w:val="0"/>
          <w:numId w:val="1084"/>
        </w:numPr>
        <w:pStyle w:val="Compact"/>
      </w:pPr>
      <w:r>
        <w:rPr>
          <w:bCs/>
          <w:b/>
        </w:rPr>
        <w:t xml:space="preserve">WADA:</w:t>
      </w:r>
      <w:r>
        <w:t xml:space="preserve"> </w:t>
      </w:r>
      <w:r>
        <w:t xml:space="preserve">prohibited as a non-approved substance under S0.</w:t>
      </w:r>
    </w:p>
    <w:p>
      <w:pPr>
        <w:numPr>
          <w:ilvl w:val="0"/>
          <w:numId w:val="1084"/>
        </w:numPr>
        <w:pStyle w:val="Compact"/>
      </w:pPr>
      <w:r>
        <w:rPr>
          <w:bCs/>
          <w:b/>
        </w:rPr>
        <w:t xml:space="preserve">Evidence level:</w:t>
      </w:r>
      <w:r>
        <w:t xml:space="preserve"> </w:t>
      </w:r>
      <w:r>
        <w:rPr>
          <w:bCs/>
          <w:b/>
        </w:rPr>
        <w:t xml:space="preserve">B</w:t>
      </w:r>
      <w:r>
        <w:t xml:space="preserve"> </w:t>
      </w:r>
      <w:r>
        <w:t xml:space="preserve">– randomized Phase 1 and Phase 2 trials published; Phase 3 began in 2026.</w:t>
      </w:r>
    </w:p>
    <w:bookmarkEnd w:id="700"/>
    <w:bookmarkStart w:id="702" w:name="how-it-is-supposed-to-work-9"/>
    <w:p>
      <w:pPr>
        <w:pStyle w:val="Heading3"/>
      </w:pPr>
      <w:r>
        <w:t xml:space="preserve">How it is supposed to work</w:t>
      </w:r>
    </w:p>
    <w:p>
      <w:pPr>
        <w:pStyle w:val="FirstParagraph"/>
      </w:pPr>
      <w:r>
        <w:t xml:space="preserve">CagriSema (see previous chapter) combines two separate active substances – the amylin analog cagrilintide and the GLP-1 agonist semaglutide – in one injection. Amycretin goes one step further: a single peptide activates both receptor systems. This simplifies manufacturing and dosing and in principle allows a tablet form, as already exists with oral semaglutide.</w:t>
      </w:r>
    </w:p>
    <w:p>
      <w:pPr>
        <w:pStyle w:val="BodyText"/>
      </w:pPr>
      <w:r>
        <w:t xml:space="preserve">GLP-1 and amylin both promote the feeling of satiety, slow gastric emptying and dampen glucagon release, but act via different receptors and nerve pathways in the brainstem. In cell experiments, amycretin activated human, mouse and rat receptors for GLP-1, amylin and calcitonin. In rats with diet-induced obesity, it reduced energy intake by 47% and body weight by 18% over 21 days, while energy expenditure was preserved; insulin sensitivity improved and fatty liver decreased</w:t>
      </w:r>
      <w:r>
        <w:rPr>
          <w:rStyle w:val="FootnoteReference"/>
        </w:rPr>
        <w:footnoteReference w:id="701"/>
      </w:r>
      <w:r>
        <w:t xml:space="preserve">. These are animal data.</w:t>
      </w:r>
    </w:p>
    <w:bookmarkEnd w:id="702"/>
    <w:bookmarkStart w:id="710" w:name="human-studies-9"/>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4 human studies. The automated registry search under the name</w:t>
      </w:r>
      <w:r>
        <w:t xml:space="preserve"> </w:t>
      </w:r>
      <w:r>
        <w:t xml:space="preserve">“</w:t>
      </w:r>
      <w:r>
        <w:t xml:space="preserve">amycretin</w:t>
      </w:r>
      <w:r>
        <w:t xml:space="preserve">”</w:t>
      </w:r>
      <w:r>
        <w:t xml:space="preserve"> </w:t>
      </w:r>
      <w:r>
        <w:t xml:space="preserve">found only one entry; under the new name zenagamtide and the development code NNC0487-0111, however, around 30 trials are registered on ClinicalTrials.gov, including the Phase 3 program</w:t>
      </w:r>
      <w:r>
        <w:t xml:space="preserve"> </w:t>
      </w:r>
      <w:r>
        <w:rPr>
          <w:bCs/>
          <w:b/>
        </w:rPr>
        <w:t xml:space="preserve">AMAZE</w:t>
      </w:r>
      <w:r>
        <w:t xml:space="preserve"> </w:t>
      </w:r>
      <w:r>
        <w:t xml:space="preserve">(weight) and</w:t>
      </w:r>
      <w:r>
        <w:t xml:space="preserve"> </w:t>
      </w:r>
      <w:r>
        <w:rPr>
          <w:bCs/>
          <w:b/>
        </w:rPr>
        <w:t xml:space="preserve">AMBITION</w:t>
      </w:r>
      <w:r>
        <w:t xml:space="preserve"> </w:t>
      </w:r>
      <w:r>
        <w:t xml:space="preserve">(type 2 diabetes), launched in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1, tablet (Gasiorek 2025), PMID 40550229</w:t>
            </w:r>
          </w:p>
        </w:tc>
        <w:tc>
          <w:tcPr/>
          <w:p>
            <w:pPr>
              <w:pStyle w:val="Compact"/>
              <w:jc w:val="left"/>
            </w:pPr>
            <w:r>
              <w:t xml:space="preserve">144 adults with overweight/obesity, vs. placebo</w:t>
            </w:r>
          </w:p>
        </w:tc>
        <w:tc>
          <w:tcPr/>
          <w:p>
            <w:pPr>
              <w:pStyle w:val="Compact"/>
              <w:jc w:val="left"/>
            </w:pPr>
            <w:r>
              <w:t xml:space="preserve">up to 12 weeks</w:t>
            </w:r>
          </w:p>
        </w:tc>
        <w:tc>
          <w:tcPr/>
          <w:p>
            <w:pPr>
              <w:pStyle w:val="Compact"/>
              <w:jc w:val="left"/>
            </w:pPr>
            <w:r>
              <w:t xml:space="preserve">Safety; side effects dose-dependent, all mild to moderate</w:t>
            </w:r>
          </w:p>
        </w:tc>
      </w:tr>
      <w:tr>
        <w:tc>
          <w:tcPr/>
          <w:p>
            <w:pPr>
              <w:pStyle w:val="Compact"/>
              <w:jc w:val="left"/>
            </w:pPr>
            <w:r>
              <w:t xml:space="preserve">Phase 1b/2a, injection (Dahl 2025), PMID 40550231</w:t>
            </w:r>
          </w:p>
        </w:tc>
        <w:tc>
          <w:tcPr/>
          <w:p>
            <w:pPr>
              <w:pStyle w:val="Compact"/>
              <w:jc w:val="left"/>
            </w:pPr>
            <w:r>
              <w:t xml:space="preserve">125 adults with overweight/obesity, vs. placebo</w:t>
            </w:r>
          </w:p>
        </w:tc>
        <w:tc>
          <w:tcPr/>
          <w:p>
            <w:pPr>
              <w:pStyle w:val="Compact"/>
              <w:jc w:val="left"/>
            </w:pPr>
            <w:r>
              <w:t xml:space="preserve">up to 36 weeks</w:t>
            </w:r>
          </w:p>
        </w:tc>
        <w:tc>
          <w:tcPr/>
          <w:p>
            <w:pPr>
              <w:pStyle w:val="Compact"/>
              <w:jc w:val="left"/>
            </w:pPr>
            <w:r>
              <w:t xml:space="preserve">up to −24.3% weight vs. −1.1%</w:t>
            </w:r>
          </w:p>
        </w:tc>
      </w:tr>
      <w:tr>
        <w:tc>
          <w:tcPr/>
          <w:p>
            <w:pPr>
              <w:pStyle w:val="Compact"/>
              <w:jc w:val="left"/>
            </w:pPr>
            <w:r>
              <w:t xml:space="preserve">Phase 2, tablet (Mora 2026), PMID 42532079</w:t>
            </w:r>
          </w:p>
        </w:tc>
        <w:tc>
          <w:tcPr/>
          <w:p>
            <w:pPr>
              <w:pStyle w:val="Compact"/>
              <w:jc w:val="left"/>
            </w:pPr>
            <w:r>
              <w:t xml:space="preserve">186 adults with type 2 diabetes, vs. placebo</w:t>
            </w:r>
          </w:p>
        </w:tc>
        <w:tc>
          <w:tcPr/>
          <w:p>
            <w:pPr>
              <w:pStyle w:val="Compact"/>
              <w:jc w:val="left"/>
            </w:pPr>
            <w:r>
              <w:t xml:space="preserve">36 weeks</w:t>
            </w:r>
          </w:p>
        </w:tc>
        <w:tc>
          <w:tcPr/>
          <w:p>
            <w:pPr>
              <w:pStyle w:val="Compact"/>
              <w:jc w:val="left"/>
            </w:pPr>
            <w:r>
              <w:t xml:space="preserve">HbA1c −0.9 to −1.4</w:t>
            </w:r>
          </w:p>
        </w:tc>
      </w:tr>
      <w:tr>
        <w:tc>
          <w:tcPr/>
          <w:p>
            <w:pPr>
              <w:pStyle w:val="Compact"/>
              <w:jc w:val="left"/>
            </w:pPr>
            <w:r>
              <w:t xml:space="preserve">Phase 2, injection (Mora 2026), PMID 42532080</w:t>
            </w:r>
          </w:p>
        </w:tc>
        <w:tc>
          <w:tcPr/>
          <w:p>
            <w:pPr>
              <w:pStyle w:val="Compact"/>
              <w:jc w:val="left"/>
            </w:pPr>
            <w:r>
              <w:t xml:space="preserve">262 adults with type 2 diabetes, vs. placebo</w:t>
            </w:r>
          </w:p>
        </w:tc>
        <w:tc>
          <w:tcPr/>
          <w:p>
            <w:pPr>
              <w:pStyle w:val="Compact"/>
              <w:jc w:val="left"/>
            </w:pPr>
            <w:r>
              <w:t xml:space="preserve">36 weeks</w:t>
            </w:r>
          </w:p>
        </w:tc>
        <w:tc>
          <w:tcPr/>
          <w:p>
            <w:pPr>
              <w:pStyle w:val="Compact"/>
              <w:jc w:val="left"/>
            </w:pPr>
            <w:r>
              <w:t xml:space="preserve">HbA1c −0.9 to −1.7</w:t>
            </w:r>
          </w:p>
        </w:tc>
      </w:tr>
    </w:tbl>
    <w:bookmarkStart w:id="704" w:name="tablet-form-first-in-human-study"/>
    <w:p>
      <w:pPr>
        <w:pStyle w:val="Heading4"/>
      </w:pPr>
      <w:r>
        <w:t xml:space="preserve">Tablet form: first-in-human study</w:t>
      </w:r>
    </w:p>
    <w:p>
      <w:pPr>
        <w:pStyle w:val="FirstParagraph"/>
      </w:pPr>
      <w:r>
        <w:t xml:space="preserve">The first-in-human study tested amycretin as a tablet</w:t>
      </w:r>
      <w:r>
        <w:rPr>
          <w:rStyle w:val="FootnoteReference"/>
        </w:rPr>
        <w:footnoteReference w:id="703"/>
      </w:r>
      <w:r>
        <w:t xml:space="preserve">. 144 adults with overweight or obesity received single or multiple doses for up to twelve weeks. 62% reported at least one adverse event; all were mild or moderate and increased with dose. About half of the events affected the gastrointestinal tract. Blood levels rose in proportion to the dose. The weight data were only a secondary, exploratory endpoint of this safety study.</w:t>
      </w:r>
    </w:p>
    <w:bookmarkEnd w:id="704"/>
    <w:bookmarkStart w:id="706" w:name="injection-form-phase-1b2a"/>
    <w:p>
      <w:pPr>
        <w:pStyle w:val="Heading4"/>
      </w:pPr>
      <w:r>
        <w:t xml:space="preserve">Injection form: Phase 1b/2a</w:t>
      </w:r>
    </w:p>
    <w:p>
      <w:pPr>
        <w:pStyle w:val="FirstParagraph"/>
      </w:pPr>
      <w:r>
        <w:t xml:space="preserve">In the study with the weekly injection</w:t>
      </w:r>
      <w:r>
        <w:rPr>
          <w:rStyle w:val="FootnoteReference"/>
        </w:rPr>
        <w:footnoteReference w:id="705"/>
      </w:r>
      <w:r>
        <w:t xml:space="preserve">, 125 people received amycretin or placebo in several study parts with different target doses and treatment durations. The weight loss was remarkable for an early study:</w:t>
      </w:r>
    </w:p>
    <w:p>
      <w:pPr>
        <w:numPr>
          <w:ilvl w:val="0"/>
          <w:numId w:val="1085"/>
        </w:numPr>
        <w:pStyle w:val="Compact"/>
      </w:pPr>
      <w:r>
        <w:t xml:space="preserve">highest dose, 36 weeks: −24.3% compared with −1.1% on placebo</w:t>
      </w:r>
    </w:p>
    <w:p>
      <w:pPr>
        <w:numPr>
          <w:ilvl w:val="0"/>
          <w:numId w:val="1085"/>
        </w:numPr>
        <w:pStyle w:val="Compact"/>
      </w:pPr>
      <w:r>
        <w:t xml:space="preserve">second-highest dose, 36 weeks: −22.0% compared with +1.9%</w:t>
      </w:r>
    </w:p>
    <w:p>
      <w:pPr>
        <w:numPr>
          <w:ilvl w:val="0"/>
          <w:numId w:val="1085"/>
        </w:numPr>
        <w:pStyle w:val="Compact"/>
      </w:pPr>
      <w:r>
        <w:t xml:space="preserve">medium dose, 28 weeks: −16.2% compared with +2.3%</w:t>
      </w:r>
    </w:p>
    <w:p>
      <w:pPr>
        <w:numPr>
          <w:ilvl w:val="0"/>
          <w:numId w:val="1085"/>
        </w:numPr>
        <w:pStyle w:val="Compact"/>
      </w:pPr>
      <w:r>
        <w:t xml:space="preserve">low dose, 20 weeks: −9.7% compared with +2.0%</w:t>
      </w:r>
    </w:p>
    <w:p>
      <w:pPr>
        <w:pStyle w:val="FirstParagraph"/>
      </w:pPr>
      <w:r>
        <w:t xml:space="preserve">These figures should be read with caution: the groups were small, the study took place at a single center, and the authors themselves report that many participants left the study early – largely for reasons unrelated to side effects. A weight loss of more than 20% after 36 weeks is a strong signal, but not yet a robust estimate for broad use.</w:t>
      </w:r>
    </w:p>
    <w:bookmarkEnd w:id="706"/>
    <w:bookmarkStart w:id="709" w:name="type-2-diabetes-two-phase-2-trials"/>
    <w:p>
      <w:pPr>
        <w:pStyle w:val="Heading4"/>
      </w:pPr>
      <w:r>
        <w:t xml:space="preserve">Type 2 diabetes: two Phase 2 trials</w:t>
      </w:r>
    </w:p>
    <w:p>
      <w:pPr>
        <w:pStyle w:val="FirstParagraph"/>
      </w:pPr>
      <w:r>
        <w:t xml:space="preserve">In 2026, two parallel dose-finding trials were published in people with type 2 diabetes taking metformin (with or without an SGLT2 inhibitor):</w:t>
      </w:r>
    </w:p>
    <w:p>
      <w:pPr>
        <w:numPr>
          <w:ilvl w:val="0"/>
          <w:numId w:val="1086"/>
        </w:numPr>
        <w:pStyle w:val="Compact"/>
      </w:pPr>
      <w:r>
        <w:rPr>
          <w:bCs/>
          <w:b/>
        </w:rPr>
        <w:t xml:space="preserve">Tablet</w:t>
      </w:r>
      <w:r>
        <w:rPr>
          <w:rStyle w:val="FootnoteReference"/>
        </w:rPr>
        <w:footnoteReference w:id="707"/>
      </w:r>
      <w:r>
        <w:t xml:space="preserve">: After 36 weeks, HbA1c fell by 0.9 to 1.4 percentage points (baseline around 8%). Gastrointestinal complaints occurred in 26–47% (placebo 23%). Serious adverse events affected 4% on zenagamtide and no one on placebo.</w:t>
      </w:r>
    </w:p>
    <w:p>
      <w:pPr>
        <w:numPr>
          <w:ilvl w:val="0"/>
          <w:numId w:val="1086"/>
        </w:numPr>
        <w:pStyle w:val="Compact"/>
      </w:pPr>
      <w:r>
        <w:rPr>
          <w:bCs/>
          <w:b/>
        </w:rPr>
        <w:t xml:space="preserve">Injection</w:t>
      </w:r>
      <w:r>
        <w:rPr>
          <w:rStyle w:val="FootnoteReference"/>
        </w:rPr>
        <w:footnoteReference w:id="708"/>
      </w:r>
      <w:r>
        <w:t xml:space="preserve">: HbA1c fell by 0.9 to 1.7 percentage points depending on dose. Serious adverse events occurred in 8% of participants, distributed across all dose groups and placebo.</w:t>
      </w:r>
    </w:p>
    <w:p>
      <w:pPr>
        <w:pStyle w:val="FirstParagraph"/>
      </w:pPr>
      <w:r>
        <w:t xml:space="preserve">The weight results of these diabetes trials are not quantified in the abstracts and are therefore not given here.</w:t>
      </w:r>
    </w:p>
    <w:bookmarkEnd w:id="709"/>
    <w:bookmarkEnd w:id="710"/>
    <w:bookmarkStart w:id="712" w:name="animal-and-laboratory-studies-9"/>
    <w:p>
      <w:pPr>
        <w:pStyle w:val="Heading3"/>
      </w:pPr>
      <w:r>
        <w:t xml:space="preserve">Animal and laboratory studies</w:t>
      </w:r>
    </w:p>
    <w:p>
      <w:pPr>
        <w:pStyle w:val="FirstParagraph"/>
      </w:pPr>
      <w:r>
        <w:t xml:space="preserve">The preclinical data come from the manufacturer</w:t>
      </w:r>
      <w:r>
        <w:rPr>
          <w:rStyle w:val="FootnoteReference"/>
        </w:rPr>
        <w:footnoteReference w:id="711"/>
      </w:r>
      <w:r>
        <w:t xml:space="preserve">: receptor activation in cell cultures, weight loss and improved insulin sensitivity in obese rats, less fatty liver and accumulation in appetite-regulating brain regions of mice. Independent animal studies are scarcely available.</w:t>
      </w:r>
    </w:p>
    <w:bookmarkEnd w:id="712"/>
    <w:bookmarkStart w:id="717" w:name="risks-and-side-effects-9"/>
    <w:p>
      <w:pPr>
        <w:pStyle w:val="Heading3"/>
      </w:pPr>
      <w:r>
        <w:t xml:space="preserve">Risks and side effects</w:t>
      </w:r>
    </w:p>
    <w:p>
      <w:pPr>
        <w:pStyle w:val="FirstParagraph"/>
      </w:pPr>
      <w:r>
        <w:rPr>
          <w:bCs/>
          <w:b/>
        </w:rPr>
        <w:t xml:space="preserve">Documented in studies:</w:t>
      </w:r>
    </w:p>
    <w:p>
      <w:pPr>
        <w:numPr>
          <w:ilvl w:val="0"/>
          <w:numId w:val="1087"/>
        </w:numPr>
        <w:pStyle w:val="Compact"/>
      </w:pPr>
      <w:r>
        <w:rPr>
          <w:bCs/>
          <w:b/>
        </w:rPr>
        <w:t xml:space="preserve">Gastrointestinal complaints</w:t>
      </w:r>
      <w:r>
        <w:t xml:space="preserve"> </w:t>
      </w:r>
      <w:r>
        <w:t xml:space="preserve">are the most common side effects, affecting the majority of those treated in the early studies; they were mostly mild to moderate and dose-dependent</w:t>
      </w:r>
      <w:r>
        <w:rPr>
          <w:rStyle w:val="FootnoteReference"/>
        </w:rPr>
        <w:footnoteReference w:id="713"/>
      </w:r>
      <w:r>
        <w:t xml:space="preserve">.</w:t>
      </w:r>
    </w:p>
    <w:p>
      <w:pPr>
        <w:numPr>
          <w:ilvl w:val="0"/>
          <w:numId w:val="1087"/>
        </w:numPr>
        <w:pStyle w:val="Compact"/>
      </w:pPr>
      <w:r>
        <w:rPr>
          <w:bCs/>
          <w:b/>
        </w:rPr>
        <w:t xml:space="preserve">Serious adverse events</w:t>
      </w:r>
      <w:r>
        <w:t xml:space="preserve"> </w:t>
      </w:r>
      <w:r>
        <w:t xml:space="preserve">were rare in the Phase 2 trials; in the tablet trial they occurred only on zenagamtide (4% vs. 0%), in the injection trial they were evenly distributed</w:t>
      </w:r>
      <w:r>
        <w:rPr>
          <w:rStyle w:val="FootnoteReference"/>
        </w:rPr>
        <w:footnoteReference w:id="714"/>
      </w:r>
      <w:r>
        <w:t xml:space="preserve">.</w:t>
      </w:r>
    </w:p>
    <w:p>
      <w:pPr>
        <w:numPr>
          <w:ilvl w:val="0"/>
          <w:numId w:val="1087"/>
        </w:numPr>
        <w:pStyle w:val="Compact"/>
      </w:pPr>
      <w:r>
        <w:rPr>
          <w:bCs/>
          <w:b/>
        </w:rPr>
        <w:t xml:space="preserve">Kidney function:</w:t>
      </w:r>
      <w:r>
        <w:t xml:space="preserve"> </w:t>
      </w:r>
      <w:r>
        <w:t xml:space="preserve">In impaired kidney function up to end-stage renal failure, blood levels after a single dose did not change to a clinically relevant extent</w:t>
      </w:r>
      <w:r>
        <w:rPr>
          <w:rStyle w:val="FootnoteReference"/>
        </w:rPr>
        <w:footnoteReference w:id="715"/>
      </w:r>
      <w:r>
        <w:t xml:space="preserve">.</w:t>
      </w:r>
    </w:p>
    <w:p>
      <w:pPr>
        <w:pStyle w:val="FirstParagraph"/>
      </w:pPr>
      <w:r>
        <w:rPr>
          <w:bCs/>
          <w:b/>
        </w:rPr>
        <w:t xml:space="preserve">Still open:</w:t>
      </w:r>
      <w:r>
        <w:t xml:space="preserve"> </w:t>
      </w:r>
      <w:r>
        <w:t xml:space="preserve">long-term safety, effects on bone (calcitonin receptor), muscle mass and the cardiovascular system. For the class risks of GLP-1 drugs (gallbladder, pancreas), there are still too few treatment-years.</w:t>
      </w:r>
    </w:p>
    <w:p>
      <w:pPr>
        <w:pStyle w:val="BodyText"/>
      </w:pPr>
      <w:r>
        <w:rPr>
          <w:bCs/>
          <w:b/>
        </w:rPr>
        <w:t xml:space="preserve">Gray market:</w:t>
      </w:r>
      <w:r>
        <w:t xml:space="preserve"> </w:t>
      </w:r>
      <w:r>
        <w:t xml:space="preserve">Even before the start of Phase 3, zenagamtide is being offered online as a</w:t>
      </w:r>
      <w:r>
        <w:t xml:space="preserve"> </w:t>
      </w:r>
      <w:r>
        <w:t xml:space="preserve">“</w:t>
      </w:r>
      <w:r>
        <w:t xml:space="preserve">research peptide.</w:t>
      </w:r>
      <w:r>
        <w:t xml:space="preserve">”</w:t>
      </w:r>
      <w:r>
        <w:t xml:space="preserve"> </w:t>
      </w:r>
      <w:r>
        <w:t xml:space="preserve">A report in the journal JAMA describes a growing black market for the two non-approved substances retatrutide and zenagamtide and the associated risks</w:t>
      </w:r>
      <w:r>
        <w:rPr>
          <w:rStyle w:val="FootnoteReference"/>
        </w:rPr>
        <w:footnoteReference w:id="716"/>
      </w:r>
      <w:r>
        <w:t xml:space="preserve">. Anyone using such products knows neither the content nor the purity nor a tested dosage (see Part I and Part IV).</w:t>
      </w:r>
    </w:p>
    <w:bookmarkEnd w:id="717"/>
    <w:bookmarkStart w:id="718" w:name="legal-status-9"/>
    <w:p>
      <w:pPr>
        <w:pStyle w:val="Heading3"/>
      </w:pPr>
      <w:r>
        <w:t xml:space="preserve">Legal status</w:t>
      </w:r>
    </w:p>
    <w:p>
      <w:pPr>
        <w:numPr>
          <w:ilvl w:val="0"/>
          <w:numId w:val="1088"/>
        </w:numPr>
        <w:pStyle w:val="Compact"/>
      </w:pPr>
      <w:r>
        <w:rPr>
          <w:bCs/>
          <w:b/>
        </w:rPr>
        <w:t xml:space="preserve">EU / Austria / Germany:</w:t>
      </w:r>
      <w:r>
        <w:t xml:space="preserve"> </w:t>
      </w:r>
      <w:r>
        <w:t xml:space="preserve">not approved; use only in clinical trials.</w:t>
      </w:r>
    </w:p>
    <w:p>
      <w:pPr>
        <w:numPr>
          <w:ilvl w:val="0"/>
          <w:numId w:val="1088"/>
        </w:numPr>
        <w:pStyle w:val="Compact"/>
      </w:pPr>
      <w:r>
        <w:rPr>
          <w:bCs/>
          <w:b/>
        </w:rPr>
        <w:t xml:space="preserve">USA:</w:t>
      </w:r>
      <w:r>
        <w:t xml:space="preserve"> </w:t>
      </w:r>
      <w:r>
        <w:t xml:space="preserve">not approved.</w:t>
      </w:r>
    </w:p>
    <w:p>
      <w:pPr>
        <w:numPr>
          <w:ilvl w:val="0"/>
          <w:numId w:val="1088"/>
        </w:numPr>
        <w:pStyle w:val="Compact"/>
      </w:pPr>
      <w:r>
        <w:rPr>
          <w:bCs/>
          <w:b/>
        </w:rPr>
        <w:t xml:space="preserve">Sport:</w:t>
      </w:r>
      <w:r>
        <w:t xml:space="preserve"> </w:t>
      </w:r>
      <w:r>
        <w:t xml:space="preserve">WADA class S0 (non-approved substance), as of 2026, please check for updates.</w:t>
      </w:r>
    </w:p>
    <w:bookmarkEnd w:id="718"/>
    <w:bookmarkStart w:id="726" w:name="ongoing-studies-and-outlook-9"/>
    <w:p>
      <w:pPr>
        <w:pStyle w:val="Heading3"/>
      </w:pPr>
      <w:r>
        <w:t xml:space="preserve">Ongoing studies and outlook</w:t>
      </w:r>
    </w:p>
    <w:p>
      <w:pPr>
        <w:pStyle w:val="FirstParagraph"/>
      </w:pPr>
      <w:r>
        <w:rPr>
          <w:bCs/>
          <w:b/>
        </w:rPr>
        <w:t xml:space="preserve">Confirmed (registered trials, as of October 2026):</w:t>
      </w:r>
    </w:p>
    <w:p>
      <w:pPr>
        <w:numPr>
          <w:ilvl w:val="0"/>
          <w:numId w:val="1089"/>
        </w:numPr>
        <w:pStyle w:val="Compact"/>
      </w:pPr>
      <w:r>
        <w:rPr>
          <w:bCs/>
          <w:b/>
        </w:rPr>
        <w:t xml:space="preserve">AMAZE 1</w:t>
      </w:r>
      <w:r>
        <w:rPr>
          <w:rStyle w:val="FootnoteReference"/>
        </w:rPr>
        <w:footnoteReference w:id="719"/>
      </w:r>
      <w:r>
        <w:t xml:space="preserve">: Phase 3 with 1,150 adults with overweight/obesity, injection form.</w:t>
      </w:r>
    </w:p>
    <w:p>
      <w:pPr>
        <w:numPr>
          <w:ilvl w:val="0"/>
          <w:numId w:val="1089"/>
        </w:numPr>
        <w:pStyle w:val="Compact"/>
      </w:pPr>
      <w:r>
        <w:rPr>
          <w:bCs/>
          <w:b/>
        </w:rPr>
        <w:t xml:space="preserve">AMAZE 2</w:t>
      </w:r>
      <w:r>
        <w:rPr>
          <w:rStyle w:val="FootnoteReference"/>
        </w:rPr>
        <w:footnoteReference w:id="720"/>
      </w:r>
      <w:r>
        <w:t xml:space="preserve">: overweight with type 2 diabetes.</w:t>
      </w:r>
    </w:p>
    <w:p>
      <w:pPr>
        <w:numPr>
          <w:ilvl w:val="0"/>
          <w:numId w:val="1089"/>
        </w:numPr>
        <w:pStyle w:val="Compact"/>
      </w:pPr>
      <w:r>
        <w:rPr>
          <w:bCs/>
          <w:b/>
        </w:rPr>
        <w:t xml:space="preserve">AMAZE 3 and 4</w:t>
      </w:r>
      <w:r>
        <w:rPr>
          <w:rStyle w:val="FootnoteReference"/>
        </w:rPr>
        <w:footnoteReference w:id="721"/>
      </w:r>
      <w:r>
        <w:t xml:space="preserve">: sleep apnea without and with positive airway pressure therapy, respectively.</w:t>
      </w:r>
    </w:p>
    <w:p>
      <w:pPr>
        <w:numPr>
          <w:ilvl w:val="0"/>
          <w:numId w:val="1089"/>
        </w:numPr>
        <w:pStyle w:val="Compact"/>
      </w:pPr>
      <w:r>
        <w:rPr>
          <w:bCs/>
          <w:b/>
        </w:rPr>
        <w:t xml:space="preserve">AMAZE 6</w:t>
      </w:r>
      <w:r>
        <w:rPr>
          <w:rStyle w:val="FootnoteReference"/>
        </w:rPr>
        <w:footnoteReference w:id="722"/>
      </w:r>
      <w:r>
        <w:t xml:space="preserve"> </w:t>
      </w:r>
      <w:r>
        <w:t xml:space="preserve">and another trial</w:t>
      </w:r>
      <w:r>
        <w:rPr>
          <w:rStyle w:val="FootnoteReference"/>
        </w:rPr>
        <w:footnoteReference w:id="723"/>
      </w:r>
      <w:r>
        <w:t xml:space="preserve">: knee osteoarthritis.</w:t>
      </w:r>
    </w:p>
    <w:p>
      <w:pPr>
        <w:numPr>
          <w:ilvl w:val="0"/>
          <w:numId w:val="1089"/>
        </w:numPr>
        <w:pStyle w:val="Compact"/>
      </w:pPr>
      <w:r>
        <w:rPr>
          <w:bCs/>
          <w:b/>
        </w:rPr>
        <w:t xml:space="preserve">AMAZE 9</w:t>
      </w:r>
      <w:r>
        <w:rPr>
          <w:rStyle w:val="FootnoteReference"/>
        </w:rPr>
        <w:footnoteReference w:id="724"/>
      </w:r>
      <w:r>
        <w:t xml:space="preserve">: tablet form in overweight.</w:t>
      </w:r>
    </w:p>
    <w:p>
      <w:pPr>
        <w:numPr>
          <w:ilvl w:val="0"/>
          <w:numId w:val="1089"/>
        </w:numPr>
        <w:pStyle w:val="Compact"/>
      </w:pPr>
      <w:r>
        <w:rPr>
          <w:bCs/>
          <w:b/>
        </w:rPr>
        <w:t xml:space="preserve">AMAZE 12</w:t>
      </w:r>
      <w:r>
        <w:rPr>
          <w:rStyle w:val="FootnoteReference"/>
        </w:rPr>
        <w:footnoteReference w:id="725"/>
      </w:r>
      <w:r>
        <w:t xml:space="preserve">: weight maintenance after weight loss.</w:t>
      </w:r>
    </w:p>
    <w:p>
      <w:pPr>
        <w:numPr>
          <w:ilvl w:val="0"/>
          <w:numId w:val="1089"/>
        </w:numPr>
        <w:pStyle w:val="Compact"/>
      </w:pPr>
      <w:r>
        <w:t xml:space="preserve">Comparison with semaglutide (NCT07668414; in type 2 diabetes NCT07400107) and with insulin glargine in type 2 diabetes (NCT07797335, AMBITION 7).</w:t>
      </w:r>
    </w:p>
    <w:p>
      <w:pPr>
        <w:numPr>
          <w:ilvl w:val="0"/>
          <w:numId w:val="1089"/>
        </w:numPr>
        <w:pStyle w:val="Compact"/>
      </w:pPr>
      <w:r>
        <w:t xml:space="preserve">Outcome trials: heart failure with obesity (NCT07567001, 5,610 participants) and cardiovascular events in atherosclerosis (NCT07861100, 8,500 participants planned).</w:t>
      </w:r>
    </w:p>
    <w:p>
      <w:pPr>
        <w:pStyle w:val="FirstParagraph"/>
      </w:pPr>
      <w:r>
        <w:rPr>
          <w:bCs/>
          <w:b/>
        </w:rPr>
        <w:t xml:space="preserve">Assessment:</w:t>
      </w:r>
      <w:r>
        <w:t xml:space="preserve"> </w:t>
      </w:r>
      <w:r>
        <w:t xml:space="preserve">With this broad Phase 3 program, Novo Nordisk is clearly betting on making amycretin/zenagamtide the successor to semaglutide. Results of the first Phase 3 trials are expected in 2027 at the earliest, and approval hardly before 2028. Whether the impressive figures of the small Phase 1b/2a study hold up in large trials is open.</w:t>
      </w:r>
    </w:p>
    <w:bookmarkEnd w:id="726"/>
    <w:bookmarkStart w:id="727" w:name="conclusion-9"/>
    <w:p>
      <w:pPr>
        <w:pStyle w:val="Heading3"/>
      </w:pPr>
      <w:r>
        <w:t xml:space="preserve">Conclusion</w:t>
      </w:r>
    </w:p>
    <w:p>
      <w:pPr>
        <w:pStyle w:val="FirstParagraph"/>
      </w:pPr>
      <w:r>
        <w:t xml:space="preserve">Amycretin – since 2026 zenagamtide – is a single peptide that activates GLP-1 and amylin receptors simultaneously and is being developed as an injection and as a tablet. In a small Phase 1b/2a study, weight fell by up to 24.3% after 36 weeks; in Phase 2 trials in type 2 diabetes, HbA1c fell by up to 1.7 percentage points. The most common side effects affect the gastrointestinal tract. The Phase 3 trials began in 2026; until a possible approval, zenagamtide is purely an investigational product, and gray-market goods are no substitute.</w:t>
      </w:r>
    </w:p>
    <w:bookmarkEnd w:id="727"/>
    <w:bookmarkEnd w:id="728"/>
    <w:bookmarkStart w:id="760" w:name="maridebart-cafraglutide-maritide"/>
    <w:p>
      <w:pPr>
        <w:pStyle w:val="Heading2"/>
      </w:pPr>
      <w:r>
        <w:t xml:space="preserve">Maridebart Cafraglutide (MariTide)</w:t>
      </w:r>
    </w:p>
    <w:bookmarkStart w:id="729" w:name="profile-10"/>
    <w:p>
      <w:pPr>
        <w:pStyle w:val="Heading3"/>
      </w:pPr>
      <w:r>
        <w:t xml:space="preserve">Profile</w:t>
      </w:r>
    </w:p>
    <w:p>
      <w:pPr>
        <w:numPr>
          <w:ilvl w:val="0"/>
          <w:numId w:val="1090"/>
        </w:numPr>
        <w:pStyle w:val="Compact"/>
      </w:pPr>
      <w:r>
        <w:rPr>
          <w:bCs/>
          <w:b/>
        </w:rPr>
        <w:t xml:space="preserve">Type/structure:</w:t>
      </w:r>
      <w:r>
        <w:t xml:space="preserve"> </w:t>
      </w:r>
      <w:r>
        <w:t xml:space="preserve">a so-called antibody-peptide conjugate. A fully human monoclonal antibody is linked via short amino acid linkers to two GLP-1-like peptides. Strictly speaking, MariTide is therefore not a pure peptide but a hybrid of antibody and peptide. Development code AMG 133, short name MariTide.</w:t>
      </w:r>
    </w:p>
    <w:p>
      <w:pPr>
        <w:numPr>
          <w:ilvl w:val="0"/>
          <w:numId w:val="1090"/>
        </w:numPr>
        <w:pStyle w:val="Compact"/>
      </w:pPr>
      <w:r>
        <w:rPr>
          <w:bCs/>
          <w:b/>
        </w:rPr>
        <w:t xml:space="preserve">Origin:</w:t>
      </w:r>
      <w:r>
        <w:t xml:space="preserve"> </w:t>
      </w:r>
      <w:r>
        <w:t xml:space="preserve">developed by Amgen.</w:t>
      </w:r>
    </w:p>
    <w:p>
      <w:pPr>
        <w:numPr>
          <w:ilvl w:val="0"/>
          <w:numId w:val="1090"/>
        </w:numPr>
        <w:pStyle w:val="Compact"/>
      </w:pPr>
      <w:r>
        <w:rPr>
          <w:bCs/>
          <w:b/>
        </w:rPr>
        <w:t xml:space="preserve">Mechanism of action:</w:t>
      </w:r>
      <w:r>
        <w:t xml:space="preserve"> </w:t>
      </w:r>
      <w:r>
        <w:t xml:space="preserve">The GLP-1 component</w:t>
      </w:r>
      <w:r>
        <w:t xml:space="preserve"> </w:t>
      </w:r>
      <w:r>
        <w:rPr>
          <w:bCs/>
          <w:b/>
        </w:rPr>
        <w:t xml:space="preserve">activates</w:t>
      </w:r>
      <w:r>
        <w:t xml:space="preserve"> </w:t>
      </w:r>
      <w:r>
        <w:t xml:space="preserve">the GLP-1 receptor, the antibody</w:t>
      </w:r>
      <w:r>
        <w:t xml:space="preserve"> </w:t>
      </w:r>
      <w:r>
        <w:rPr>
          <w:bCs/>
          <w:b/>
        </w:rPr>
        <w:t xml:space="preserve">blocks</w:t>
      </w:r>
      <w:r>
        <w:t xml:space="preserve"> </w:t>
      </w:r>
      <w:r>
        <w:t xml:space="preserve">the GIP receptor (GIPR antagonist). This is the opposite of tirzepatide, which activates the GIP receptor.</w:t>
      </w:r>
    </w:p>
    <w:p>
      <w:pPr>
        <w:numPr>
          <w:ilvl w:val="0"/>
          <w:numId w:val="1090"/>
        </w:numPr>
        <w:pStyle w:val="Compact"/>
      </w:pPr>
      <w:r>
        <w:rPr>
          <w:bCs/>
          <w:b/>
        </w:rPr>
        <w:t xml:space="preserve">Special feature:</w:t>
      </w:r>
      <w:r>
        <w:t xml:space="preserve"> </w:t>
      </w:r>
      <w:r>
        <w:t xml:space="preserve">Thanks to the antibody component, MariTide acts for a very long time; dosing every four weeks or less often is being studied.</w:t>
      </w:r>
    </w:p>
    <w:p>
      <w:pPr>
        <w:numPr>
          <w:ilvl w:val="0"/>
          <w:numId w:val="1090"/>
        </w:numPr>
        <w:pStyle w:val="Compact"/>
      </w:pPr>
      <w:r>
        <w:rPr>
          <w:bCs/>
          <w:b/>
        </w:rPr>
        <w:t xml:space="preserve">Approval EU / USA:</w:t>
      </w:r>
      <w:r>
        <w:t xml:space="preserve"> </w:t>
      </w:r>
      <w:r>
        <w:t xml:space="preserve">no (as of October 2026).</w:t>
      </w:r>
    </w:p>
    <w:p>
      <w:pPr>
        <w:numPr>
          <w:ilvl w:val="0"/>
          <w:numId w:val="1090"/>
        </w:numPr>
        <w:pStyle w:val="Compact"/>
      </w:pPr>
      <w:r>
        <w:rPr>
          <w:bCs/>
          <w:b/>
        </w:rPr>
        <w:t xml:space="preserve">WADA:</w:t>
      </w:r>
      <w:r>
        <w:t xml:space="preserve"> </w:t>
      </w:r>
      <w:r>
        <w:t xml:space="preserve">prohibited as a non-approved substance under S0.</w:t>
      </w:r>
    </w:p>
    <w:p>
      <w:pPr>
        <w:numPr>
          <w:ilvl w:val="0"/>
          <w:numId w:val="1090"/>
        </w:numPr>
        <w:pStyle w:val="Compact"/>
      </w:pPr>
      <w:r>
        <w:rPr>
          <w:bCs/>
          <w:b/>
        </w:rPr>
        <w:t xml:space="preserve">Evidence level:</w:t>
      </w:r>
      <w:r>
        <w:t xml:space="preserve"> </w:t>
      </w:r>
      <w:r>
        <w:rPr>
          <w:bCs/>
          <w:b/>
        </w:rPr>
        <w:t xml:space="preserve">B</w:t>
      </w:r>
      <w:r>
        <w:t xml:space="preserve"> </w:t>
      </w:r>
      <w:r>
        <w:t xml:space="preserve">– one large randomized Phase 2 trial, Phase 3 ongoing.</w:t>
      </w:r>
    </w:p>
    <w:bookmarkEnd w:id="729"/>
    <w:bookmarkStart w:id="733" w:name="how-it-is-supposed-to-work-10"/>
    <w:p>
      <w:pPr>
        <w:pStyle w:val="Heading3"/>
      </w:pPr>
      <w:r>
        <w:t xml:space="preserve">How it is supposed to work</w:t>
      </w:r>
    </w:p>
    <w:p>
      <w:pPr>
        <w:pStyle w:val="FirstParagraph"/>
      </w:pPr>
      <w:r>
        <w:t xml:space="preserve">GIP presents a remarkable paradox. Tirzepatide</w:t>
      </w:r>
      <w:r>
        <w:t xml:space="preserve"> </w:t>
      </w:r>
      <w:r>
        <w:rPr>
          <w:iCs/>
          <w:i/>
        </w:rPr>
        <w:t xml:space="preserve">activates</w:t>
      </w:r>
      <w:r>
        <w:t xml:space="preserve"> </w:t>
      </w:r>
      <w:r>
        <w:t xml:space="preserve">the GIP receptor and, together with GLP-1, thereby achieves strong weight loss. At the same time, genetic studies and mouse experiments showed that</w:t>
      </w:r>
      <w:r>
        <w:t xml:space="preserve"> </w:t>
      </w:r>
      <w:r>
        <w:rPr>
          <w:iCs/>
          <w:i/>
        </w:rPr>
        <w:t xml:space="preserve">blocking</w:t>
      </w:r>
      <w:r>
        <w:t xml:space="preserve"> </w:t>
      </w:r>
      <w:r>
        <w:t xml:space="preserve">the GIP receptor can also protect against overweight. One possible explanation: continuous activation of the receptor causes the cell to switch it off – in effect, the result then resembles a blockade. This has not been definitively resolved; a comparative study in mice found that both approaches lowered food intake and weight in obesity but differed in their metabolic effects: the GIP agonist improved glucose tolerance, while the antagonist tended to reduce insulin sensitivity</w:t>
      </w:r>
      <w:r>
        <w:rPr>
          <w:rStyle w:val="FootnoteReference"/>
        </w:rPr>
        <w:footnoteReference w:id="730"/>
      </w:r>
      <w:r>
        <w:t xml:space="preserve">.</w:t>
      </w:r>
    </w:p>
    <w:p>
      <w:pPr>
        <w:pStyle w:val="BodyText"/>
      </w:pPr>
      <w:r>
        <w:t xml:space="preserve">Amgen is betting on blockade. The antibody against the GIP receptor at the same time ensures that the molecule stays in the blood for a very long time – antibodies are broken down slowly. In obese mice and monkeys, AMG 133 lowered body weight and improved metabolic values</w:t>
      </w:r>
      <w:r>
        <w:rPr>
          <w:rStyle w:val="FootnoteReference"/>
        </w:rPr>
        <w:footnoteReference w:id="731"/>
      </w:r>
      <w:r>
        <w:t xml:space="preserve">. The chemical development up to the final molecule was described in 2026</w:t>
      </w:r>
      <w:r>
        <w:rPr>
          <w:rStyle w:val="FootnoteReference"/>
        </w:rPr>
        <w:footnoteReference w:id="732"/>
      </w:r>
      <w:r>
        <w:t xml:space="preserve">.</w:t>
      </w:r>
    </w:p>
    <w:bookmarkEnd w:id="733"/>
    <w:bookmarkStart w:id="738" w:name="human-studies-10"/>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2 human studies: one Phase 1 and one Phase 2 trial. On ClinicalTrials.gov, 28 trials were registered, including the Phase 3 program</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1 (Véniant 2024), PMID 38316982</w:t>
            </w:r>
          </w:p>
        </w:tc>
        <w:tc>
          <w:tcPr/>
          <w:p>
            <w:pPr>
              <w:pStyle w:val="Compact"/>
              <w:jc w:val="left"/>
            </w:pPr>
            <w:r>
              <w:t xml:space="preserve">Adults with obesity, single and multiple doses vs. placebo</w:t>
            </w:r>
          </w:p>
        </w:tc>
        <w:tc>
          <w:tcPr/>
          <w:p>
            <w:pPr>
              <w:pStyle w:val="Compact"/>
              <w:jc w:val="left"/>
            </w:pPr>
            <w:r>
              <w:t xml:space="preserve">Single and multiple dosing with follow-up</w:t>
            </w:r>
          </w:p>
        </w:tc>
        <w:tc>
          <w:tcPr/>
          <w:p>
            <w:pPr>
              <w:pStyle w:val="Compact"/>
              <w:jc w:val="left"/>
            </w:pPr>
            <w:r>
              <w:t xml:space="preserve">dose-dependent weight loss, persisting up to 150 days after last dose</w:t>
            </w:r>
          </w:p>
        </w:tc>
      </w:tr>
      <w:tr>
        <w:tc>
          <w:tcPr/>
          <w:p>
            <w:pPr>
              <w:pStyle w:val="Compact"/>
              <w:jc w:val="left"/>
            </w:pPr>
            <w:r>
              <w:t xml:space="preserve">Phase 2 (Jastreboff 2025), PMID 40549887</w:t>
            </w:r>
          </w:p>
        </w:tc>
        <w:tc>
          <w:tcPr/>
          <w:p>
            <w:pPr>
              <w:pStyle w:val="Compact"/>
              <w:jc w:val="left"/>
            </w:pPr>
            <w:r>
              <w:t xml:space="preserve">592 adults with obesity, with or without type 2 diabetes; vs. placebo</w:t>
            </w:r>
          </w:p>
        </w:tc>
        <w:tc>
          <w:tcPr/>
          <w:p>
            <w:pPr>
              <w:pStyle w:val="Compact"/>
              <w:jc w:val="left"/>
            </w:pPr>
            <w:r>
              <w:t xml:space="preserve">52 weeks</w:t>
            </w:r>
          </w:p>
        </w:tc>
        <w:tc>
          <w:tcPr/>
          <w:p>
            <w:pPr>
              <w:pStyle w:val="Compact"/>
              <w:jc w:val="left"/>
            </w:pPr>
            <w:r>
              <w:t xml:space="preserve">without diabetes −12.3 to −16.2% vs. −2.5%; with diabetes −8.4 to −12.3% vs. −1.7%</w:t>
            </w:r>
          </w:p>
        </w:tc>
      </w:tr>
    </w:tbl>
    <w:bookmarkStart w:id="735" w:name="phase-1"/>
    <w:p>
      <w:pPr>
        <w:pStyle w:val="Heading4"/>
      </w:pPr>
      <w:r>
        <w:t xml:space="preserve">Phase 1</w:t>
      </w:r>
    </w:p>
    <w:p>
      <w:pPr>
        <w:pStyle w:val="FirstParagraph"/>
      </w:pPr>
      <w:r>
        <w:t xml:space="preserve">In the first-in-human study</w:t>
      </w:r>
      <w:r>
        <w:rPr>
          <w:rStyle w:val="FootnoteReference"/>
        </w:rPr>
        <w:footnoteReference w:id="734"/>
      </w:r>
      <w:r>
        <w:t xml:space="preserve">, AMG 133 showed dose-dependent weight loss with acceptable tolerability. The long duration of action was striking: in the multiple-dose groups, weight loss persisted for up to 150 days after the last dose.</w:t>
      </w:r>
    </w:p>
    <w:bookmarkEnd w:id="735"/>
    <w:bookmarkStart w:id="737" w:name="phase-2"/>
    <w:p>
      <w:pPr>
        <w:pStyle w:val="Heading4"/>
      </w:pPr>
      <w:r>
        <w:t xml:space="preserve">Phase 2</w:t>
      </w:r>
    </w:p>
    <w:p>
      <w:pPr>
        <w:pStyle w:val="FirstParagraph"/>
      </w:pPr>
      <w:r>
        <w:t xml:space="preserve">The Phase 2 trial</w:t>
      </w:r>
      <w:r>
        <w:rPr>
          <w:rStyle w:val="FootnoteReference"/>
        </w:rPr>
        <w:footnoteReference w:id="736"/>
      </w:r>
      <w:r>
        <w:t xml:space="preserve"> </w:t>
      </w:r>
      <w:r>
        <w:t xml:space="preserve">was broadly designed: eleven groups in two cohorts with different doses, dosing intervals (every four or eight weeks) and with or without slow dose escalation.</w:t>
      </w:r>
    </w:p>
    <w:p>
      <w:pPr>
        <w:numPr>
          <w:ilvl w:val="0"/>
          <w:numId w:val="1091"/>
        </w:numPr>
        <w:pStyle w:val="Compact"/>
      </w:pPr>
      <w:r>
        <w:rPr>
          <w:bCs/>
          <w:b/>
        </w:rPr>
        <w:t xml:space="preserve">Without diabetes</w:t>
      </w:r>
      <w:r>
        <w:t xml:space="preserve"> </w:t>
      </w:r>
      <w:r>
        <w:t xml:space="preserve">(465 participants, mean BMI 37.9): After 52 weeks, weight loss was 12.3 to 16.2% depending on the group, and 2.5% on placebo. This analysis includes all participants regardless of treatment discontinuation.</w:t>
      </w:r>
    </w:p>
    <w:p>
      <w:pPr>
        <w:numPr>
          <w:ilvl w:val="0"/>
          <w:numId w:val="1091"/>
        </w:numPr>
        <w:pStyle w:val="Compact"/>
      </w:pPr>
      <w:r>
        <w:rPr>
          <w:bCs/>
          <w:b/>
        </w:rPr>
        <w:t xml:space="preserve">With type 2 diabetes</w:t>
      </w:r>
      <w:r>
        <w:t xml:space="preserve"> </w:t>
      </w:r>
      <w:r>
        <w:t xml:space="preserve">(127 participants): weight loss of 8.4 to 12.3% compared with 1.7%; HbA1c fell by 1.2 to 1.6 percentage points (placebo +0.1).</w:t>
      </w:r>
    </w:p>
    <w:p>
      <w:pPr>
        <w:pStyle w:val="FirstParagraph"/>
      </w:pPr>
      <w:r>
        <w:t xml:space="preserve">Gastrointestinal side effects were common, but less so when treatment started at a lower dose and was increased slowly. According to the authors, no unexpected safety signals occurred. A weight loss of around 16% after one year is in the range of semaglutide, but below that of tirzepatide. The potential advantage of MariTide is therefore less the extent of weight loss than the infrequent dosing.</w:t>
      </w:r>
    </w:p>
    <w:bookmarkEnd w:id="737"/>
    <w:bookmarkEnd w:id="738"/>
    <w:bookmarkStart w:id="741" w:name="animal-and-laboratory-studies-10"/>
    <w:p>
      <w:pPr>
        <w:pStyle w:val="Heading3"/>
      </w:pPr>
      <w:r>
        <w:t xml:space="preserve">Animal and laboratory studies</w:t>
      </w:r>
    </w:p>
    <w:p>
      <w:pPr>
        <w:pStyle w:val="FirstParagraph"/>
      </w:pPr>
      <w:r>
        <w:t xml:space="preserve">Cell systems confirmed that AMG 133 blocks the GIP receptor and activates the GLP-1 receptor. In obese mice and cynomolgus monkeys, it reduced body weight and improved metabolic markers</w:t>
      </w:r>
      <w:r>
        <w:rPr>
          <w:rStyle w:val="FootnoteReference"/>
        </w:rPr>
        <w:footnoteReference w:id="739"/>
      </w:r>
      <w:r>
        <w:t xml:space="preserve">. Comparative mouse studies of GIP blockade versus GIP activation show different effects on insulin sensitivity and adipose tissue</w:t>
      </w:r>
      <w:r>
        <w:rPr>
          <w:rStyle w:val="FootnoteReference"/>
        </w:rPr>
        <w:footnoteReference w:id="740"/>
      </w:r>
      <w:r>
        <w:t xml:space="preserve">. All of these findings come from animal experiments.</w:t>
      </w:r>
    </w:p>
    <w:bookmarkEnd w:id="741"/>
    <w:bookmarkStart w:id="745" w:name="risks-and-side-effects-10"/>
    <w:p>
      <w:pPr>
        <w:pStyle w:val="Heading3"/>
      </w:pPr>
      <w:r>
        <w:t xml:space="preserve">Risks and side effects</w:t>
      </w:r>
    </w:p>
    <w:p>
      <w:pPr>
        <w:pStyle w:val="FirstParagraph"/>
      </w:pPr>
      <w:r>
        <w:rPr>
          <w:bCs/>
          <w:b/>
        </w:rPr>
        <w:t xml:space="preserve">Documented in studies:</w:t>
      </w:r>
    </w:p>
    <w:p>
      <w:pPr>
        <w:numPr>
          <w:ilvl w:val="0"/>
          <w:numId w:val="1092"/>
        </w:numPr>
        <w:pStyle w:val="Compact"/>
      </w:pPr>
      <w:r>
        <w:rPr>
          <w:bCs/>
          <w:b/>
        </w:rPr>
        <w:t xml:space="preserve">Gastrointestinal complaints</w:t>
      </w:r>
      <w:r>
        <w:t xml:space="preserve"> </w:t>
      </w:r>
      <w:r>
        <w:t xml:space="preserve">(nausea, vomiting) were common in the Phase 2 trial, especially at a high starting dose without dose escalation</w:t>
      </w:r>
      <w:r>
        <w:rPr>
          <w:rStyle w:val="FootnoteReference"/>
        </w:rPr>
        <w:footnoteReference w:id="742"/>
      </w:r>
      <w:r>
        <w:t xml:space="preserve">. Exact percentages are not included in the abstract.</w:t>
      </w:r>
    </w:p>
    <w:p>
      <w:pPr>
        <w:pStyle w:val="FirstParagraph"/>
      </w:pPr>
      <w:r>
        <w:rPr>
          <w:bCs/>
          <w:b/>
        </w:rPr>
        <w:t xml:space="preserve">Specific open questions:</w:t>
      </w:r>
    </w:p>
    <w:p>
      <w:pPr>
        <w:numPr>
          <w:ilvl w:val="0"/>
          <w:numId w:val="1093"/>
        </w:numPr>
        <w:pStyle w:val="Compact"/>
      </w:pPr>
      <w:r>
        <w:rPr>
          <w:bCs/>
          <w:b/>
        </w:rPr>
        <w:t xml:space="preserve">Long duration of action:</w:t>
      </w:r>
      <w:r>
        <w:t xml:space="preserve"> </w:t>
      </w:r>
      <w:r>
        <w:t xml:space="preserve">What many patients regard as an advantage is a disadvantage when side effects occur: a medicine that remains in the body for months cannot be stopped quickly. In the Phase 1 trial, the effect persisted for up to 150 days after the last dose</w:t>
      </w:r>
      <w:r>
        <w:rPr>
          <w:rStyle w:val="FootnoteReference"/>
        </w:rPr>
        <w:footnoteReference w:id="743"/>
      </w:r>
      <w:r>
        <w:t xml:space="preserve">. This is relevant, for example, in the case of an unplanned pregnancy or before surgery.</w:t>
      </w:r>
    </w:p>
    <w:p>
      <w:pPr>
        <w:numPr>
          <w:ilvl w:val="0"/>
          <w:numId w:val="1093"/>
        </w:numPr>
        <w:pStyle w:val="Compact"/>
      </w:pPr>
      <w:r>
        <w:rPr>
          <w:bCs/>
          <w:b/>
        </w:rPr>
        <w:t xml:space="preserve">GIP blockade:</w:t>
      </w:r>
      <w:r>
        <w:t xml:space="preserve"> </w:t>
      </w:r>
      <w:r>
        <w:t xml:space="preserve">The long-term consequences of permanent blockade of the GIP receptor – for example on bone, adipose tissue or insulin sensitivity – are unknown in humans. In mouse studies, a GIP antagonist reduced insulin sensitivity compared with control animals given the same amount of food</w:t>
      </w:r>
      <w:r>
        <w:rPr>
          <w:rStyle w:val="FootnoteReference"/>
        </w:rPr>
        <w:footnoteReference w:id="744"/>
      </w:r>
      <w:r>
        <w:t xml:space="preserve">.</w:t>
      </w:r>
    </w:p>
    <w:p>
      <w:pPr>
        <w:numPr>
          <w:ilvl w:val="0"/>
          <w:numId w:val="1093"/>
        </w:numPr>
        <w:pStyle w:val="Compact"/>
      </w:pPr>
      <w:r>
        <w:rPr>
          <w:bCs/>
          <w:b/>
        </w:rPr>
        <w:t xml:space="preserve">Antibody formation:</w:t>
      </w:r>
      <w:r>
        <w:t xml:space="preserve"> </w:t>
      </w:r>
      <w:r>
        <w:t xml:space="preserve">With antibody-based drugs, the immune system can form antibodies against the drug. Data on this from large trials are pending.</w:t>
      </w:r>
    </w:p>
    <w:p>
      <w:pPr>
        <w:numPr>
          <w:ilvl w:val="0"/>
          <w:numId w:val="1093"/>
        </w:numPr>
        <w:pStyle w:val="Compact"/>
      </w:pPr>
      <w:r>
        <w:t xml:space="preserve">The known class risks of GLP-1 drugs (gallbladder, pancreas) have not yet been adequately studied for MariTide.</w:t>
      </w:r>
    </w:p>
    <w:bookmarkEnd w:id="745"/>
    <w:bookmarkStart w:id="746" w:name="legal-status-10"/>
    <w:p>
      <w:pPr>
        <w:pStyle w:val="Heading3"/>
      </w:pPr>
      <w:r>
        <w:t xml:space="preserve">Legal status</w:t>
      </w:r>
    </w:p>
    <w:p>
      <w:pPr>
        <w:numPr>
          <w:ilvl w:val="0"/>
          <w:numId w:val="1094"/>
        </w:numPr>
        <w:pStyle w:val="Compact"/>
      </w:pPr>
      <w:r>
        <w:rPr>
          <w:bCs/>
          <w:b/>
        </w:rPr>
        <w:t xml:space="preserve">EU / Austria / Germany:</w:t>
      </w:r>
      <w:r>
        <w:t xml:space="preserve"> </w:t>
      </w:r>
      <w:r>
        <w:t xml:space="preserve">not approved; use only in clinical trials. Since it is a complex biotechnological product, imitation on the gray market is considerably more difficult than with small peptides.</w:t>
      </w:r>
    </w:p>
    <w:p>
      <w:pPr>
        <w:numPr>
          <w:ilvl w:val="0"/>
          <w:numId w:val="1094"/>
        </w:numPr>
        <w:pStyle w:val="Compact"/>
      </w:pPr>
      <w:r>
        <w:rPr>
          <w:bCs/>
          <w:b/>
        </w:rPr>
        <w:t xml:space="preserve">USA:</w:t>
      </w:r>
      <w:r>
        <w:t xml:space="preserve"> </w:t>
      </w:r>
      <w:r>
        <w:t xml:space="preserve">not approved.</w:t>
      </w:r>
    </w:p>
    <w:p>
      <w:pPr>
        <w:numPr>
          <w:ilvl w:val="0"/>
          <w:numId w:val="1094"/>
        </w:numPr>
        <w:pStyle w:val="Compact"/>
      </w:pPr>
      <w:r>
        <w:rPr>
          <w:bCs/>
          <w:b/>
        </w:rPr>
        <w:t xml:space="preserve">Sport:</w:t>
      </w:r>
      <w:r>
        <w:t xml:space="preserve"> </w:t>
      </w:r>
      <w:r>
        <w:t xml:space="preserve">WADA class S0 (non-approved substance), as of 2026, please check for updates.</w:t>
      </w:r>
    </w:p>
    <w:bookmarkEnd w:id="746"/>
    <w:bookmarkStart w:id="758" w:name="ongoing-studies-and-outlook-10"/>
    <w:p>
      <w:pPr>
        <w:pStyle w:val="Heading3"/>
      </w:pPr>
      <w:r>
        <w:t xml:space="preserve">Ongoing studies and outlook</w:t>
      </w:r>
    </w:p>
    <w:p>
      <w:pPr>
        <w:pStyle w:val="FirstParagraph"/>
      </w:pPr>
      <w:r>
        <w:rPr>
          <w:bCs/>
          <w:b/>
        </w:rPr>
        <w:t xml:space="preserve">Confirmed (registered trials, as of October 2026):</w:t>
      </w:r>
    </w:p>
    <w:p>
      <w:pPr>
        <w:numPr>
          <w:ilvl w:val="0"/>
          <w:numId w:val="1095"/>
        </w:numPr>
        <w:pStyle w:val="Compact"/>
      </w:pPr>
      <w:r>
        <w:rPr>
          <w:bCs/>
          <w:b/>
        </w:rPr>
        <w:t xml:space="preserve">Weight management without diabetes</w:t>
      </w:r>
      <w:r>
        <w:rPr>
          <w:rStyle w:val="FootnoteReference"/>
        </w:rPr>
        <w:footnoteReference w:id="747"/>
      </w:r>
      <w:r>
        <w:t xml:space="preserve">: Phase 3 with 3,853 participants, planned completion 2027.</w:t>
      </w:r>
    </w:p>
    <w:p>
      <w:pPr>
        <w:numPr>
          <w:ilvl w:val="0"/>
          <w:numId w:val="1095"/>
        </w:numPr>
        <w:pStyle w:val="Compact"/>
      </w:pPr>
      <w:r>
        <w:rPr>
          <w:bCs/>
          <w:b/>
        </w:rPr>
        <w:t xml:space="preserve">Weight management with type 2 diabetes</w:t>
      </w:r>
      <w:r>
        <w:rPr>
          <w:rStyle w:val="FootnoteReference"/>
        </w:rPr>
        <w:footnoteReference w:id="748"/>
      </w:r>
      <w:r>
        <w:t xml:space="preserve">: Phase 3 with 1,105 participants.</w:t>
      </w:r>
    </w:p>
    <w:p>
      <w:pPr>
        <w:numPr>
          <w:ilvl w:val="0"/>
          <w:numId w:val="1095"/>
        </w:numPr>
        <w:pStyle w:val="Compact"/>
      </w:pPr>
      <w:r>
        <w:rPr>
          <w:bCs/>
          <w:b/>
        </w:rPr>
        <w:t xml:space="preserve">Cardiovascular outcome trial</w:t>
      </w:r>
      <w:r>
        <w:rPr>
          <w:rStyle w:val="FootnoteReference"/>
        </w:rPr>
        <w:footnoteReference w:id="749"/>
      </w:r>
      <w:r>
        <w:t xml:space="preserve"> </w:t>
      </w:r>
      <w:r>
        <w:t xml:space="preserve">with 12,800 participants and</w:t>
      </w:r>
      <w:r>
        <w:t xml:space="preserve"> </w:t>
      </w:r>
      <w:r>
        <w:rPr>
          <w:bCs/>
          <w:b/>
        </w:rPr>
        <w:t xml:space="preserve">heart failure trial</w:t>
      </w:r>
      <w:r>
        <w:rPr>
          <w:rStyle w:val="FootnoteReference"/>
        </w:rPr>
        <w:footnoteReference w:id="750"/>
      </w:r>
      <w:r>
        <w:t xml:space="preserve"> </w:t>
      </w:r>
      <w:r>
        <w:t xml:space="preserve">with 5,056 participants, each running until 2030.</w:t>
      </w:r>
    </w:p>
    <w:p>
      <w:pPr>
        <w:numPr>
          <w:ilvl w:val="0"/>
          <w:numId w:val="1095"/>
        </w:numPr>
        <w:pStyle w:val="Compact"/>
      </w:pPr>
      <w:r>
        <w:rPr>
          <w:bCs/>
          <w:b/>
        </w:rPr>
        <w:t xml:space="preserve">Sleep apnea</w:t>
      </w:r>
      <w:r>
        <w:t xml:space="preserve"> </w:t>
      </w:r>
      <w:r>
        <w:t xml:space="preserve">without and with a breathing mask</w:t>
      </w:r>
      <w:r>
        <w:rPr>
          <w:rStyle w:val="FootnoteReference"/>
        </w:rPr>
        <w:footnoteReference w:id="751"/>
      </w:r>
      <w:r>
        <w:t xml:space="preserve">.</w:t>
      </w:r>
    </w:p>
    <w:p>
      <w:pPr>
        <w:numPr>
          <w:ilvl w:val="0"/>
          <w:numId w:val="1095"/>
        </w:numPr>
        <w:pStyle w:val="Compact"/>
      </w:pPr>
      <w:r>
        <w:rPr>
          <w:bCs/>
          <w:b/>
        </w:rPr>
        <w:t xml:space="preserve">Comparison with semaglutide</w:t>
      </w:r>
      <w:r>
        <w:t xml:space="preserve"> </w:t>
      </w:r>
      <w:r>
        <w:t xml:space="preserve">in type 2 diabetes</w:t>
      </w:r>
      <w:r>
        <w:rPr>
          <w:rStyle w:val="FootnoteReference"/>
        </w:rPr>
        <w:footnoteReference w:id="752"/>
      </w:r>
      <w:r>
        <w:t xml:space="preserve">, switching from other GLP-1 drugs</w:t>
      </w:r>
      <w:r>
        <w:rPr>
          <w:rStyle w:val="FootnoteReference"/>
        </w:rPr>
        <w:footnoteReference w:id="753"/>
      </w:r>
      <w:r>
        <w:t xml:space="preserve">, Japan</w:t>
      </w:r>
      <w:r>
        <w:rPr>
          <w:rStyle w:val="FootnoteReference"/>
        </w:rPr>
        <w:footnoteReference w:id="754"/>
      </w:r>
      <w:r>
        <w:t xml:space="preserve">, fatty liver (NCT07441252, Phase 2).</w:t>
      </w:r>
    </w:p>
    <w:p>
      <w:pPr>
        <w:numPr>
          <w:ilvl w:val="0"/>
          <w:numId w:val="1095"/>
        </w:numPr>
        <w:pStyle w:val="Compact"/>
      </w:pPr>
      <w:r>
        <w:t xml:space="preserve">Phase 1 trials on gastric emptying</w:t>
      </w:r>
      <w:r>
        <w:rPr>
          <w:rStyle w:val="FootnoteReference"/>
        </w:rPr>
        <w:footnoteReference w:id="755"/>
      </w:r>
      <w:r>
        <w:t xml:space="preserve">, heart rhythm</w:t>
      </w:r>
      <w:r>
        <w:rPr>
          <w:rStyle w:val="FootnoteReference"/>
        </w:rPr>
        <w:footnoteReference w:id="756"/>
      </w:r>
      <w:r>
        <w:t xml:space="preserve"> </w:t>
      </w:r>
      <w:r>
        <w:t xml:space="preserve">and interactions with the contraceptive pill</w:t>
      </w:r>
      <w:r>
        <w:rPr>
          <w:rStyle w:val="FootnoteReference"/>
        </w:rPr>
        <w:footnoteReference w:id="757"/>
      </w:r>
      <w:r>
        <w:t xml:space="preserve">.</w:t>
      </w:r>
    </w:p>
    <w:p>
      <w:pPr>
        <w:pStyle w:val="FirstParagraph"/>
      </w:pPr>
      <w:r>
        <w:rPr>
          <w:bCs/>
          <w:b/>
        </w:rPr>
        <w:t xml:space="preserve">Assessment:</w:t>
      </w:r>
      <w:r>
        <w:t xml:space="preserve"> </w:t>
      </w:r>
      <w:r>
        <w:t xml:space="preserve">MariTide stands for a different concept from the tirzepatide family – fewer injections rather than maximum weight loss. For people who need long-term treatment, monthly or even less frequent dosing could improve adherence. Whether the concept of GIP blockade is safe in the long term must be shown by the large Phase 3 trials. Approval is realistic from 2028 at the earliest.</w:t>
      </w:r>
    </w:p>
    <w:bookmarkEnd w:id="758"/>
    <w:bookmarkStart w:id="759" w:name="conclusion-10"/>
    <w:p>
      <w:pPr>
        <w:pStyle w:val="Heading3"/>
      </w:pPr>
      <w:r>
        <w:t xml:space="preserve">Conclusion</w:t>
      </w:r>
    </w:p>
    <w:p>
      <w:pPr>
        <w:pStyle w:val="FirstParagraph"/>
      </w:pPr>
      <w:r>
        <w:t xml:space="preserve">Maridebart cafraglutide is an antibody-peptide conjugate that activates the GLP-1 receptor and blocks the GIP receptor, and is given only once a month or less often. In the Phase 2 trial, body weight fell after 52 weeks by up to 16.2% without and by up to 12.3% with type 2 diabetes. Gastrointestinal complaints are common and depend strongly on dose escalation; the long duration of action is both an advantage and a risk. The Phase 3 program, with outcome trials on cardiovascular disease and heart failure, is ongoing.</w:t>
      </w:r>
    </w:p>
    <w:bookmarkEnd w:id="759"/>
    <w:bookmarkEnd w:id="760"/>
    <w:bookmarkStart w:id="793" w:name="pramlintide"/>
    <w:p>
      <w:pPr>
        <w:pStyle w:val="Heading2"/>
      </w:pPr>
      <w:r>
        <w:t xml:space="preserve">Pramlintide</w:t>
      </w:r>
    </w:p>
    <w:bookmarkStart w:id="761" w:name="profile-11"/>
    <w:p>
      <w:pPr>
        <w:pStyle w:val="Heading3"/>
      </w:pPr>
      <w:r>
        <w:t xml:space="preserve">Profile</w:t>
      </w:r>
    </w:p>
    <w:p>
      <w:pPr>
        <w:numPr>
          <w:ilvl w:val="0"/>
          <w:numId w:val="1096"/>
        </w:numPr>
        <w:pStyle w:val="Compact"/>
      </w:pPr>
      <w:r>
        <w:rPr>
          <w:bCs/>
          <w:b/>
        </w:rPr>
        <w:t xml:space="preserve">Type/structure:</w:t>
      </w:r>
      <w:r>
        <w:t xml:space="preserve"> </w:t>
      </w:r>
      <w:r>
        <w:t xml:space="preserve">synthetic analog of the human hormone amylin consisting of 37 amino acids. Amino acids were substituted at three positions (modeled on rat amylin) so that the molecule does not clump like natural human amylin. It acts only briefly and is injected before main meals.</w:t>
      </w:r>
    </w:p>
    <w:p>
      <w:pPr>
        <w:numPr>
          <w:ilvl w:val="0"/>
          <w:numId w:val="1096"/>
        </w:numPr>
        <w:pStyle w:val="Compact"/>
      </w:pPr>
      <w:r>
        <w:rPr>
          <w:bCs/>
          <w:b/>
        </w:rPr>
        <w:t xml:space="preserve">Origin:</w:t>
      </w:r>
      <w:r>
        <w:t xml:space="preserve"> </w:t>
      </w:r>
      <w:r>
        <w:t xml:space="preserve">developed by Amylin Pharmaceuticals; today part of AstraZeneca’s portfolio. Brand name in the USA: Symlin.</w:t>
      </w:r>
    </w:p>
    <w:p>
      <w:pPr>
        <w:numPr>
          <w:ilvl w:val="0"/>
          <w:numId w:val="1096"/>
        </w:numPr>
        <w:pStyle w:val="Compact"/>
      </w:pPr>
      <w:r>
        <w:rPr>
          <w:bCs/>
          <w:b/>
        </w:rPr>
        <w:t xml:space="preserve">Mechanism of action:</w:t>
      </w:r>
      <w:r>
        <w:t xml:space="preserve"> </w:t>
      </w:r>
      <w:r>
        <w:t xml:space="preserve">agonist at amylin receptors – slows gastric emptying, dampens glucagon release after meals and promotes the feeling of satiety.</w:t>
      </w:r>
    </w:p>
    <w:p>
      <w:pPr>
        <w:numPr>
          <w:ilvl w:val="0"/>
          <w:numId w:val="1096"/>
        </w:numPr>
        <w:pStyle w:val="Compact"/>
      </w:pPr>
      <w:r>
        <w:rPr>
          <w:bCs/>
          <w:b/>
        </w:rPr>
        <w:t xml:space="preserve">Approval EU:</w:t>
      </w:r>
      <w:r>
        <w:t xml:space="preserve"> </w:t>
      </w:r>
      <w:r>
        <w:t xml:space="preserve">no – pramlintide was never approved in the EU.</w:t>
      </w:r>
    </w:p>
    <w:p>
      <w:pPr>
        <w:numPr>
          <w:ilvl w:val="0"/>
          <w:numId w:val="1096"/>
        </w:numPr>
        <w:pStyle w:val="Compact"/>
      </w:pPr>
      <w:r>
        <w:rPr>
          <w:bCs/>
          <w:b/>
        </w:rPr>
        <w:t xml:space="preserve">Approval USA:</w:t>
      </w:r>
      <w:r>
        <w:t xml:space="preserve"> </w:t>
      </w:r>
      <w:r>
        <w:t xml:space="preserve">yes, since 2005 as an add-on to mealtime insulin in type 1 and type 2 diabetes.</w:t>
      </w:r>
    </w:p>
    <w:p>
      <w:pPr>
        <w:numPr>
          <w:ilvl w:val="0"/>
          <w:numId w:val="1096"/>
        </w:numPr>
        <w:pStyle w:val="Compact"/>
      </w:pPr>
      <w:r>
        <w:rPr>
          <w:bCs/>
          <w:b/>
        </w:rPr>
        <w:t xml:space="preserve">WADA:</w:t>
      </w:r>
      <w:r>
        <w:t xml:space="preserve"> </w:t>
      </w:r>
      <w:r>
        <w:t xml:space="preserve">not listed by name; because of its US approval, it does not fall under S0.</w:t>
      </w:r>
    </w:p>
    <w:p>
      <w:pPr>
        <w:numPr>
          <w:ilvl w:val="0"/>
          <w:numId w:val="1096"/>
        </w:numPr>
        <w:pStyle w:val="Compact"/>
      </w:pPr>
      <w:r>
        <w:rPr>
          <w:bCs/>
          <w:b/>
        </w:rPr>
        <w:t xml:space="preserve">Evidence level:</w:t>
      </w:r>
      <w:r>
        <w:t xml:space="preserve"> </w:t>
      </w:r>
      <w:r>
        <w:rPr>
          <w:bCs/>
          <w:b/>
        </w:rPr>
        <w:t xml:space="preserve">A</w:t>
      </w:r>
      <w:r>
        <w:t xml:space="preserve"> </w:t>
      </w:r>
      <w:r>
        <w:t xml:space="preserve">– several large randomized trials, approval in the USA.</w:t>
      </w:r>
    </w:p>
    <w:bookmarkEnd w:id="761"/>
    <w:bookmarkStart w:id="763" w:name="how-it-is-supposed-to-work-11"/>
    <w:p>
      <w:pPr>
        <w:pStyle w:val="Heading3"/>
      </w:pPr>
      <w:r>
        <w:t xml:space="preserve">How it is supposed to work</w:t>
      </w:r>
    </w:p>
    <w:p>
      <w:pPr>
        <w:pStyle w:val="FirstParagraph"/>
      </w:pPr>
      <w:r>
        <w:t xml:space="preserve">The beta cells of the pancreas release not only insulin but, in the same rhythm, also amylin. In type 1 diabetes, the beta cells are destroyed – so both hormones are missing, but as a rule only insulin is replaced. In advanced type 2 diabetes, amylin secretion is also reduced.</w:t>
      </w:r>
    </w:p>
    <w:p>
      <w:pPr>
        <w:pStyle w:val="BodyText"/>
      </w:pPr>
      <w:r>
        <w:t xml:space="preserve">After a meal, amylin acts in three ways: it slows gastric emptying so that sugar enters the blood more slowly; it dampens glucagon release, which in diabetes is often inappropriately high after meals; and it promotes the feeling of satiety via the brainstem. Pramlintide was intended to replace this missing effect and thus smooth out blood glucose spikes after meals. That it delays gastric emptying was shown, among others, in a small study with twelve people with type 1 and type 2 diabetes: the time until half of a solid meal had left the stomach increased from 91 to 268 to 329 minutes</w:t>
      </w:r>
      <w:r>
        <w:rPr>
          <w:rStyle w:val="FootnoteReference"/>
        </w:rPr>
        <w:footnoteReference w:id="762"/>
      </w:r>
      <w:r>
        <w:t xml:space="preserve">.</w:t>
      </w:r>
    </w:p>
    <w:p>
      <w:pPr>
        <w:pStyle w:val="BodyText"/>
      </w:pPr>
      <w:r>
        <w:t xml:space="preserve">Pramlintide is historically important: it was the first amylin drug and is considered the forerunner of today’s long-acting amylin agents such as cagrilintide and amycretin (see there). Its great practical disadvantage is the short duration of action, which requires several injections per day.</w:t>
      </w:r>
    </w:p>
    <w:bookmarkEnd w:id="763"/>
    <w:bookmarkStart w:id="778" w:name="human-studies-11"/>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76 human studies, mostly from 1996 to 2010, as well as several meta-analyses. On ClinicalTrials.gov, 64 trials were registered, almost all completed; new trials mainly concern</w:t>
      </w:r>
      <w:r>
        <w:t xml:space="preserve"> </w:t>
      </w:r>
      <w:r>
        <w:t xml:space="preserve">“</w:t>
      </w:r>
      <w:r>
        <w:t xml:space="preserve">artificial pancreas</w:t>
      </w:r>
      <w:r>
        <w:t xml:space="preserve">”</w:t>
      </w:r>
      <w:r>
        <w:t xml:space="preserve"> </w:t>
      </w:r>
      <w:r>
        <w:t xml:space="preserve">systems and migraine research.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Whitehouse 2002, PMID 11919132</w:t>
            </w:r>
          </w:p>
        </w:tc>
        <w:tc>
          <w:tcPr/>
          <w:p>
            <w:pPr>
              <w:pStyle w:val="Compact"/>
              <w:jc w:val="left"/>
            </w:pPr>
            <w:r>
              <w:t xml:space="preserve">480 adults with type 1 diabetes, vs. placebo</w:t>
            </w:r>
          </w:p>
        </w:tc>
        <w:tc>
          <w:tcPr/>
          <w:p>
            <w:pPr>
              <w:pStyle w:val="Compact"/>
              <w:jc w:val="left"/>
            </w:pPr>
            <w:r>
              <w:t xml:space="preserve">52 weeks (+1 year open-label)</w:t>
            </w:r>
          </w:p>
        </w:tc>
        <w:tc>
          <w:tcPr/>
          <w:p>
            <w:pPr>
              <w:pStyle w:val="Compact"/>
              <w:jc w:val="left"/>
            </w:pPr>
            <w:r>
              <w:t xml:space="preserve">HbA1c −0.67 vs. −0.16 after 13 weeks; weight loss instead of gain</w:t>
            </w:r>
          </w:p>
        </w:tc>
      </w:tr>
      <w:tr>
        <w:tc>
          <w:tcPr/>
          <w:p>
            <w:pPr>
              <w:pStyle w:val="Compact"/>
              <w:jc w:val="left"/>
            </w:pPr>
            <w:r>
              <w:t xml:space="preserve">Ratner 2004, PMID 15498087</w:t>
            </w:r>
          </w:p>
        </w:tc>
        <w:tc>
          <w:tcPr/>
          <w:p>
            <w:pPr>
              <w:pStyle w:val="Compact"/>
              <w:jc w:val="left"/>
            </w:pPr>
            <w:r>
              <w:t xml:space="preserve">651 adults with type 1 diabetes, vs. placebo</w:t>
            </w:r>
          </w:p>
        </w:tc>
        <w:tc>
          <w:tcPr/>
          <w:p>
            <w:pPr>
              <w:pStyle w:val="Compact"/>
              <w:jc w:val="left"/>
            </w:pPr>
            <w:r>
              <w:t xml:space="preserve">52 weeks</w:t>
            </w:r>
          </w:p>
        </w:tc>
        <w:tc>
          <w:tcPr/>
          <w:p>
            <w:pPr>
              <w:pStyle w:val="Compact"/>
              <w:jc w:val="left"/>
            </w:pPr>
            <w:r>
              <w:t xml:space="preserve">HbA1c −0.29 to −0.34 vs. −0.04; weight −0.4 kg vs. +0.8 kg</w:t>
            </w:r>
          </w:p>
        </w:tc>
      </w:tr>
      <w:tr>
        <w:tc>
          <w:tcPr/>
          <w:p>
            <w:pPr>
              <w:pStyle w:val="Compact"/>
              <w:jc w:val="left"/>
            </w:pPr>
            <w:r>
              <w:t xml:space="preserve">Hollander 2003, PMID 12610038</w:t>
            </w:r>
          </w:p>
        </w:tc>
        <w:tc>
          <w:tcPr/>
          <w:p>
            <w:pPr>
              <w:pStyle w:val="Compact"/>
              <w:jc w:val="left"/>
            </w:pPr>
            <w:r>
              <w:t xml:space="preserve">656 adults with insulin-treated type 2 diabetes, vs. placebo</w:t>
            </w:r>
          </w:p>
        </w:tc>
        <w:tc>
          <w:tcPr/>
          <w:p>
            <w:pPr>
              <w:pStyle w:val="Compact"/>
              <w:jc w:val="left"/>
            </w:pPr>
            <w:r>
              <w:t xml:space="preserve">52 weeks</w:t>
            </w:r>
          </w:p>
        </w:tc>
        <w:tc>
          <w:tcPr/>
          <w:p>
            <w:pPr>
              <w:pStyle w:val="Compact"/>
              <w:jc w:val="left"/>
            </w:pPr>
            <w:r>
              <w:t xml:space="preserve">HbA1c −0.62 (week 52); weight −1.4 kg vs. +0.7 kg</w:t>
            </w:r>
          </w:p>
        </w:tc>
      </w:tr>
      <w:tr>
        <w:tc>
          <w:tcPr/>
          <w:p>
            <w:pPr>
              <w:pStyle w:val="Compact"/>
              <w:jc w:val="left"/>
            </w:pPr>
            <w:r>
              <w:t xml:space="preserve">Edelman 2006, PMID 17003291</w:t>
            </w:r>
          </w:p>
        </w:tc>
        <w:tc>
          <w:tcPr/>
          <w:p>
            <w:pPr>
              <w:pStyle w:val="Compact"/>
              <w:jc w:val="left"/>
            </w:pPr>
            <w:r>
              <w:t xml:space="preserve">296 adults with type 1 diabetes, intensive insulin therapy</w:t>
            </w:r>
          </w:p>
        </w:tc>
        <w:tc>
          <w:tcPr/>
          <w:p>
            <w:pPr>
              <w:pStyle w:val="Compact"/>
              <w:jc w:val="left"/>
            </w:pPr>
            <w:r>
              <w:t xml:space="preserve">29 weeks</w:t>
            </w:r>
          </w:p>
        </w:tc>
        <w:tc>
          <w:tcPr/>
          <w:p>
            <w:pPr>
              <w:pStyle w:val="Compact"/>
              <w:jc w:val="left"/>
            </w:pPr>
            <w:r>
              <w:t xml:space="preserve">HbA1c same (−0.5 both); weight −1.3 vs. +1.2 kg; insulin −28%</w:t>
            </w:r>
          </w:p>
        </w:tc>
      </w:tr>
      <w:tr>
        <w:tc>
          <w:tcPr/>
          <w:p>
            <w:pPr>
              <w:pStyle w:val="Compact"/>
              <w:jc w:val="left"/>
            </w:pPr>
            <w:r>
              <w:t xml:space="preserve">Riddle 2007, PMID 17698615</w:t>
            </w:r>
          </w:p>
        </w:tc>
        <w:tc>
          <w:tcPr/>
          <w:p>
            <w:pPr>
              <w:pStyle w:val="Compact"/>
              <w:jc w:val="left"/>
            </w:pPr>
            <w:r>
              <w:t xml:space="preserve">212 adults with type 2 diabetes and basal insulin, vs. placebo</w:t>
            </w:r>
          </w:p>
        </w:tc>
        <w:tc>
          <w:tcPr/>
          <w:p>
            <w:pPr>
              <w:pStyle w:val="Compact"/>
              <w:jc w:val="left"/>
            </w:pPr>
            <w:r>
              <w:t xml:space="preserve">16 weeks</w:t>
            </w:r>
          </w:p>
        </w:tc>
        <w:tc>
          <w:tcPr/>
          <w:p>
            <w:pPr>
              <w:pStyle w:val="Compact"/>
              <w:jc w:val="left"/>
            </w:pPr>
            <w:r>
              <w:t xml:space="preserve">HbA1c −0.70 vs. −0.36; weight −1.6 vs. +0.7 kg</w:t>
            </w:r>
          </w:p>
        </w:tc>
      </w:tr>
      <w:tr>
        <w:tc>
          <w:tcPr/>
          <w:p>
            <w:pPr>
              <w:pStyle w:val="Compact"/>
              <w:jc w:val="left"/>
            </w:pPr>
            <w:r>
              <w:t xml:space="preserve">Smith 2008, PMID 18753666</w:t>
            </w:r>
          </w:p>
        </w:tc>
        <w:tc>
          <w:tcPr/>
          <w:p>
            <w:pPr>
              <w:pStyle w:val="Compact"/>
              <w:jc w:val="left"/>
            </w:pPr>
            <w:r>
              <w:t xml:space="preserve">411 adults with obesity, with lifestyle program</w:t>
            </w:r>
          </w:p>
        </w:tc>
        <w:tc>
          <w:tcPr/>
          <w:p>
            <w:pPr>
              <w:pStyle w:val="Compact"/>
              <w:jc w:val="left"/>
            </w:pPr>
            <w:r>
              <w:t xml:space="preserve">4 months (+8 months)</w:t>
            </w:r>
          </w:p>
        </w:tc>
        <w:tc>
          <w:tcPr/>
          <w:p>
            <w:pPr>
              <w:pStyle w:val="Compact"/>
              <w:jc w:val="left"/>
            </w:pPr>
            <w:r>
              <w:t xml:space="preserve">after 12 months placebo-adjusted up to −7.2 kg</w:t>
            </w:r>
          </w:p>
        </w:tc>
      </w:tr>
    </w:tbl>
    <w:bookmarkStart w:id="765" w:name="type-1-diabetes"/>
    <w:p>
      <w:pPr>
        <w:pStyle w:val="Heading4"/>
      </w:pPr>
      <w:r>
        <w:t xml:space="preserve">Type 1 diabetes</w:t>
      </w:r>
    </w:p>
    <w:p>
      <w:pPr>
        <w:pStyle w:val="FirstParagraph"/>
      </w:pPr>
      <w:r>
        <w:t xml:space="preserve">The large approval trials ran for one year. In the study by Whitehouse (2002, PMID 11919132) with 480 people with type 1 diabetes, HbA1c fell by 0.67 percentage points after 13 weeks compared with 0.16 on placebo; the difference remained statistically significant until week 52. On average, participants lost weight instead of gaining it, and the overall rate of severe hypoglycemia was not increased. In the study by Ratner (2004, PMID 15498087) with 651 participants, the effect was smaller: −0.29 and −0.34 percentage points, respectively, compared with −0.04.</w:t>
      </w:r>
    </w:p>
    <w:p>
      <w:pPr>
        <w:pStyle w:val="BodyText"/>
      </w:pPr>
      <w:r>
        <w:t xml:space="preserve">These effects are modest. A network meta-analysis of all add-on drugs in type 1 diabetes with 58 trials rated the certainty of the evidence as predominantly moderate to very low and found that pramlintide – like GLP-1 agonists and metformin – makes nausea more frequent</w:t>
      </w:r>
      <w:r>
        <w:rPr>
          <w:rStyle w:val="FootnoteReference"/>
        </w:rPr>
        <w:footnoteReference w:id="764"/>
      </w:r>
      <w:r>
        <w:t xml:space="preserve">.</w:t>
      </w:r>
    </w:p>
    <w:p>
      <w:pPr>
        <w:pStyle w:val="BodyText"/>
      </w:pPr>
      <w:r>
        <w:t xml:space="preserve">The study by Edelman (2006, PMID 17003291) provided an important lesson: when the mealtime insulin dose was reduced by 30 to 50% as a precaution at the start of pramlintide treatment, HbA1c had fallen equally in both groups after 29 weeks (−0.5 each). On pramlintide, however, post-meal blood glucose spikes were smaller, weight fell by 1.3 kg (placebo +1.2 kg), and 28% less insulin was needed. Nausea occurred in 63% (placebo 36%).</w:t>
      </w:r>
    </w:p>
    <w:bookmarkEnd w:id="765"/>
    <w:bookmarkStart w:id="769" w:name="type-2-diabetes"/>
    <w:p>
      <w:pPr>
        <w:pStyle w:val="Heading4"/>
      </w:pPr>
      <w:r>
        <w:t xml:space="preserve">Type 2 diabetes</w:t>
      </w:r>
    </w:p>
    <w:p>
      <w:pPr>
        <w:pStyle w:val="FirstParagraph"/>
      </w:pPr>
      <w:r>
        <w:t xml:space="preserve">In insulin-treated type 2 diabetes, pramlintide lowered HbA1c by 0.62 percentage points after one year, with a weight loss of 1.4 kg compared with a 0.7 kg gain on placebo</w:t>
      </w:r>
      <w:r>
        <w:rPr>
          <w:rStyle w:val="FootnoteReference"/>
        </w:rPr>
        <w:footnoteReference w:id="766"/>
      </w:r>
      <w:r>
        <w:t xml:space="preserve">. As an add-on to basal insulin, it was similarly effective in an open-label trial with 113 participants as a rapid-acting mealtime insulin, but did not lead to weight gain (0.0 kg vs. +4.7 kg) and led to fewer mild to moderate hypoglycemic episodes; on the other hand, 21% complained of nausea</w:t>
      </w:r>
      <w:r>
        <w:rPr>
          <w:rStyle w:val="FootnoteReference"/>
        </w:rPr>
        <w:footnoteReference w:id="767"/>
      </w:r>
      <w:r>
        <w:t xml:space="preserve">.</w:t>
      </w:r>
    </w:p>
    <w:p>
      <w:pPr>
        <w:pStyle w:val="BodyText"/>
      </w:pPr>
      <w:r>
        <w:t xml:space="preserve">A meta-analysis of eight randomized trials found an HbA1c reduction of 0.33 percentage points and a weight loss of 2.57 kg compared with control in type 2 diabetes; nausea occurred 1.8 times more often</w:t>
      </w:r>
      <w:r>
        <w:rPr>
          <w:rStyle w:val="FootnoteReference"/>
        </w:rPr>
        <w:footnoteReference w:id="768"/>
      </w:r>
      <w:r>
        <w:t xml:space="preserve">.</w:t>
      </w:r>
    </w:p>
    <w:bookmarkEnd w:id="769"/>
    <w:bookmarkStart w:id="773" w:name="obesity"/>
    <w:p>
      <w:pPr>
        <w:pStyle w:val="Heading4"/>
      </w:pPr>
      <w:r>
        <w:t xml:space="preserve">Obesity</w:t>
      </w:r>
    </w:p>
    <w:p>
      <w:pPr>
        <w:pStyle w:val="FirstParagraph"/>
      </w:pPr>
      <w:r>
        <w:t xml:space="preserve">Between 2005 and 2010, pramlintide was also tested as a weight-loss drug. In a 16-week trial with 204 people with obesity, placebo-adjusted weight loss was 3.7%</w:t>
      </w:r>
      <w:r>
        <w:rPr>
          <w:rStyle w:val="FootnoteReference"/>
        </w:rPr>
        <w:footnoteReference w:id="770"/>
      </w:r>
      <w:r>
        <w:t xml:space="preserve">. Combined with a lifestyle program, almost all dose groups maintained their weight loss over twelve months; placebo-adjusted, this amounted to up to 7.2 kg or 6.8%</w:t>
      </w:r>
      <w:r>
        <w:rPr>
          <w:rStyle w:val="FootnoteReference"/>
        </w:rPr>
        <w:footnoteReference w:id="771"/>
      </w:r>
      <w:r>
        <w:t xml:space="preserve">. A combination with metreleptin (a leptin analog) achieved 12.7% weight loss after 20 weeks compared with 8.4% with pramlintide alone</w:t>
      </w:r>
      <w:r>
        <w:rPr>
          <w:rStyle w:val="FootnoteReference"/>
        </w:rPr>
        <w:footnoteReference w:id="772"/>
      </w:r>
      <w:r>
        <w:t xml:space="preserve">. This development was not pursued up to approval.</w:t>
      </w:r>
    </w:p>
    <w:bookmarkEnd w:id="773"/>
    <w:bookmarkStart w:id="777" w:name="newer-applications-artificial-pancreas"/>
    <w:p>
      <w:pPr>
        <w:pStyle w:val="Heading4"/>
      </w:pPr>
      <w:r>
        <w:t xml:space="preserve">Newer applications: artificial pancreas</w:t>
      </w:r>
    </w:p>
    <w:p>
      <w:pPr>
        <w:pStyle w:val="FirstParagraph"/>
      </w:pPr>
      <w:r>
        <w:t xml:space="preserve">Since about 2015, pramlintide has experienced a small renaissance in research on automated insulin pump systems. In a randomized crossover trial, time in range increased from 74% to 84% with a system that delivers pramlintide in addition to rapid-acting insulin</w:t>
      </w:r>
      <w:r>
        <w:rPr>
          <w:rStyle w:val="FootnoteReference"/>
        </w:rPr>
        <w:footnoteReference w:id="774"/>
      </w:r>
      <w:r>
        <w:t xml:space="preserve">. A small pilot study examined whether such a system can make carbohydrate counting unnecessary; the differences from standard treatment were not statistically significant</w:t>
      </w:r>
      <w:r>
        <w:rPr>
          <w:rStyle w:val="FootnoteReference"/>
        </w:rPr>
        <w:footnoteReference w:id="775"/>
      </w:r>
      <w:r>
        <w:t xml:space="preserve">. A fixed mixture of pramlintide and an insulin (ADO09) led, in a 16-week trial with 80 people with type 1 diabetes, to 2.1 kg more weight loss than insulin lispro, with unchanged HbA1c</w:t>
      </w:r>
      <w:r>
        <w:rPr>
          <w:rStyle w:val="FootnoteReference"/>
        </w:rPr>
        <w:footnoteReference w:id="776"/>
      </w:r>
      <w:r>
        <w:t xml:space="preserve">.</w:t>
      </w:r>
    </w:p>
    <w:bookmarkEnd w:id="777"/>
    <w:bookmarkEnd w:id="778"/>
    <w:bookmarkStart w:id="781" w:name="animal-and-laboratory-studies-11"/>
    <w:p>
      <w:pPr>
        <w:pStyle w:val="Heading3"/>
      </w:pPr>
      <w:r>
        <w:t xml:space="preserve">Animal and laboratory studies</w:t>
      </w:r>
    </w:p>
    <w:p>
      <w:pPr>
        <w:pStyle w:val="FirstParagraph"/>
      </w:pPr>
      <w:r>
        <w:t xml:space="preserve">The foundations of amylin research come from animal and laboratory studies that are not presented in detail here. In rodents, the combination of amylin and leptin led to a more-than-additive weight loss</w:t>
      </w:r>
      <w:r>
        <w:rPr>
          <w:rStyle w:val="FootnoteReference"/>
        </w:rPr>
        <w:footnoteReference w:id="779"/>
      </w:r>
      <w:r>
        <w:t xml:space="preserve">. In mouse models, amylin, similar to the migraine messenger peptide CGRP, triggered hypersensitivity and light aversion</w:t>
      </w:r>
      <w:r>
        <w:rPr>
          <w:rStyle w:val="FootnoteReference"/>
        </w:rPr>
        <w:footnoteReference w:id="780"/>
      </w:r>
      <w:r>
        <w:t xml:space="preserve">.</w:t>
      </w:r>
    </w:p>
    <w:bookmarkEnd w:id="781"/>
    <w:bookmarkStart w:id="785" w:name="risks-and-side-effects-11"/>
    <w:p>
      <w:pPr>
        <w:pStyle w:val="Heading3"/>
      </w:pPr>
      <w:r>
        <w:t xml:space="preserve">Risks and side effects</w:t>
      </w:r>
    </w:p>
    <w:p>
      <w:pPr>
        <w:pStyle w:val="FirstParagraph"/>
      </w:pPr>
      <w:r>
        <w:rPr>
          <w:bCs/>
          <w:b/>
        </w:rPr>
        <w:t xml:space="preserve">Documented in studies:</w:t>
      </w:r>
    </w:p>
    <w:p>
      <w:pPr>
        <w:numPr>
          <w:ilvl w:val="0"/>
          <w:numId w:val="1097"/>
        </w:numPr>
        <w:pStyle w:val="Compact"/>
      </w:pPr>
      <w:r>
        <w:rPr>
          <w:bCs/>
          <w:b/>
        </w:rPr>
        <w:t xml:space="preserve">Nausea</w:t>
      </w:r>
      <w:r>
        <w:t xml:space="preserve"> </w:t>
      </w:r>
      <w:r>
        <w:t xml:space="preserve">is the most common side effect, especially in the first weeks; between 9% and 63% depending on the study</w:t>
      </w:r>
      <w:r>
        <w:rPr>
          <w:rStyle w:val="FootnoteReference"/>
        </w:rPr>
        <w:footnoteReference w:id="782"/>
      </w:r>
      <w:r>
        <w:t xml:space="preserve">.</w:t>
      </w:r>
    </w:p>
    <w:p>
      <w:pPr>
        <w:numPr>
          <w:ilvl w:val="0"/>
          <w:numId w:val="1097"/>
        </w:numPr>
        <w:pStyle w:val="Compact"/>
      </w:pPr>
      <w:r>
        <w:rPr>
          <w:bCs/>
          <w:b/>
        </w:rPr>
        <w:t xml:space="preserve">Severe hypoglycemia</w:t>
      </w:r>
      <w:r>
        <w:t xml:space="preserve"> </w:t>
      </w:r>
      <w:r>
        <w:t xml:space="preserve">is the most important risk. Pramlintide itself hardly lowers blood glucose, but it enhances the effect of the insulin injected at the same time, because the sugar from the meal arrives with a delay. In the study by Edelman, severe hypoglycemia occurred more frequently on pramlintide than on placebo (0.57 vs. 0.30 events per patient-year), particularly in participants who remained on a low dose</w:t>
      </w:r>
      <w:r>
        <w:rPr>
          <w:rStyle w:val="FootnoteReference"/>
        </w:rPr>
        <w:footnoteReference w:id="783"/>
      </w:r>
      <w:r>
        <w:t xml:space="preserve">. In the USA, the drug therefore carries a prominent warning; a reduction of the mealtime insulin dose is provided for before starting treatment – details are set out in the prescribing information, and implementation belongs in the hands of a physician.</w:t>
      </w:r>
    </w:p>
    <w:p>
      <w:pPr>
        <w:numPr>
          <w:ilvl w:val="0"/>
          <w:numId w:val="1097"/>
        </w:numPr>
        <w:pStyle w:val="Compact"/>
      </w:pPr>
      <w:r>
        <w:rPr>
          <w:bCs/>
          <w:b/>
        </w:rPr>
        <w:t xml:space="preserve">Headache and migraine:</w:t>
      </w:r>
      <w:r>
        <w:t xml:space="preserve"> </w:t>
      </w:r>
      <w:r>
        <w:t xml:space="preserve">In an experimental study with 36 people with migraine, 88% developed headache and 41% a migraine-like attack after a pramlintide infusion</w:t>
      </w:r>
      <w:r>
        <w:rPr>
          <w:rStyle w:val="FootnoteReference"/>
        </w:rPr>
        <w:footnoteReference w:id="784"/>
      </w:r>
      <w:r>
        <w:t xml:space="preserve">. This study used an infusion for research purposes; however, it shows that amylin receptors play a role in migraine. This finding is also relevant for the new, long-acting amylin drugs.</w:t>
      </w:r>
    </w:p>
    <w:p>
      <w:pPr>
        <w:numPr>
          <w:ilvl w:val="0"/>
          <w:numId w:val="1097"/>
        </w:numPr>
        <w:pStyle w:val="Compact"/>
      </w:pPr>
      <w:r>
        <w:rPr>
          <w:bCs/>
          <w:b/>
        </w:rPr>
        <w:t xml:space="preserve">Interactions:</w:t>
      </w:r>
      <w:r>
        <w:t xml:space="preserve"> </w:t>
      </w:r>
      <w:r>
        <w:t xml:space="preserve">Since pramlintide delays gastric emptying, tablets for which a rapid onset of action is important may be absorbed with a delay (prescribing information).</w:t>
      </w:r>
    </w:p>
    <w:bookmarkEnd w:id="785"/>
    <w:bookmarkStart w:id="786" w:name="legal-status-11"/>
    <w:p>
      <w:pPr>
        <w:pStyle w:val="Heading3"/>
      </w:pPr>
      <w:r>
        <w:t xml:space="preserve">Legal status</w:t>
      </w:r>
    </w:p>
    <w:p>
      <w:pPr>
        <w:numPr>
          <w:ilvl w:val="0"/>
          <w:numId w:val="1098"/>
        </w:numPr>
        <w:pStyle w:val="Compact"/>
      </w:pPr>
      <w:r>
        <w:rPr>
          <w:bCs/>
          <w:b/>
        </w:rPr>
        <w:t xml:space="preserve">EU / Austria / Germany:</w:t>
      </w:r>
      <w:r>
        <w:t xml:space="preserve"> </w:t>
      </w:r>
      <w:r>
        <w:t xml:space="preserve">not approved. In Europe, pramlintide is conceivable only via individual import for specific patients and plays practically no role.</w:t>
      </w:r>
    </w:p>
    <w:p>
      <w:pPr>
        <w:numPr>
          <w:ilvl w:val="0"/>
          <w:numId w:val="1098"/>
        </w:numPr>
        <w:pStyle w:val="Compact"/>
      </w:pPr>
      <w:r>
        <w:rPr>
          <w:bCs/>
          <w:b/>
        </w:rPr>
        <w:t xml:space="preserve">USA:</w:t>
      </w:r>
      <w:r>
        <w:t xml:space="preserve"> </w:t>
      </w:r>
      <w:r>
        <w:t xml:space="preserve">approved since 2005 (Symlin) as an add-on to mealtime insulin in type 1 and type 2 diabetes; prescription only. It is not approved for obesity without diabetes.</w:t>
      </w:r>
    </w:p>
    <w:p>
      <w:pPr>
        <w:numPr>
          <w:ilvl w:val="0"/>
          <w:numId w:val="1098"/>
        </w:numPr>
        <w:pStyle w:val="Compact"/>
      </w:pPr>
      <w:r>
        <w:rPr>
          <w:bCs/>
          <w:b/>
        </w:rPr>
        <w:t xml:space="preserve">Sport:</w:t>
      </w:r>
      <w:r>
        <w:t xml:space="preserve"> </w:t>
      </w:r>
      <w:r>
        <w:t xml:space="preserve">not named on the WADA list (as of 2026, please check for updates).</w:t>
      </w:r>
    </w:p>
    <w:bookmarkEnd w:id="786"/>
    <w:bookmarkStart w:id="791" w:name="ongoing-studies-and-outlook-11"/>
    <w:p>
      <w:pPr>
        <w:pStyle w:val="Heading3"/>
      </w:pPr>
      <w:r>
        <w:t xml:space="preserve">Ongoing studies and outlook</w:t>
      </w:r>
    </w:p>
    <w:p>
      <w:pPr>
        <w:pStyle w:val="FirstParagraph"/>
      </w:pPr>
      <w:r>
        <w:rPr>
          <w:bCs/>
          <w:b/>
        </w:rPr>
        <w:t xml:space="preserve">Confirmed (registered trials, as of October 2026):</w:t>
      </w:r>
      <w:r>
        <w:t xml:space="preserve"> </w:t>
      </w:r>
      <w:r>
        <w:t xml:space="preserve">New trials with pramlintide are predominantly small basic research studies, for example on the role of amylin in migraine without aura</w:t>
      </w:r>
      <w:r>
        <w:rPr>
          <w:rStyle w:val="FootnoteReference"/>
        </w:rPr>
        <w:footnoteReference w:id="787"/>
      </w:r>
      <w:r>
        <w:t xml:space="preserve">, in headache after head injury</w:t>
      </w:r>
      <w:r>
        <w:rPr>
          <w:rStyle w:val="FootnoteReference"/>
        </w:rPr>
        <w:footnoteReference w:id="788"/>
      </w:r>
      <w:r>
        <w:t xml:space="preserve"> </w:t>
      </w:r>
      <w:r>
        <w:t xml:space="preserve">and on satiety</w:t>
      </w:r>
      <w:r>
        <w:rPr>
          <w:rStyle w:val="FootnoteReference"/>
        </w:rPr>
        <w:footnoteReference w:id="789"/>
      </w:r>
      <w:r>
        <w:t xml:space="preserve">. The authors of the pilot study on the pramlintide insulin pump announce a larger trial</w:t>
      </w:r>
      <w:r>
        <w:rPr>
          <w:rStyle w:val="FootnoteReference"/>
        </w:rPr>
        <w:footnoteReference w:id="790"/>
      </w:r>
      <w:r>
        <w:t xml:space="preserve">.</w:t>
      </w:r>
    </w:p>
    <w:p>
      <w:pPr>
        <w:pStyle w:val="BodyText"/>
      </w:pPr>
      <w:r>
        <w:rPr>
          <w:bCs/>
          <w:b/>
        </w:rPr>
        <w:t xml:space="preserve">Assessment:</w:t>
      </w:r>
      <w:r>
        <w:t xml:space="preserve"> </w:t>
      </w:r>
      <w:r>
        <w:t xml:space="preserve">As a medicine, pramlintide has remained a niche product – too many injections, too much nausea, too small an effect on HbA1c. Its most important role is likely to be that of a pioneer: the new generation of long-acting amylin analogs (cagrilintide, amycretin, eloralintide and others) build on its experience. It could retain a small role in research on dual-hormone systems in type 1 diabetes.</w:t>
      </w:r>
    </w:p>
    <w:bookmarkEnd w:id="791"/>
    <w:bookmarkStart w:id="792" w:name="conclusion-11"/>
    <w:p>
      <w:pPr>
        <w:pStyle w:val="Heading3"/>
      </w:pPr>
      <w:r>
        <w:t xml:space="preserve">Conclusion</w:t>
      </w:r>
    </w:p>
    <w:p>
      <w:pPr>
        <w:pStyle w:val="FirstParagraph"/>
      </w:pPr>
      <w:r>
        <w:t xml:space="preserve">Pramlintide is the first amylin drug and has been approved since 2005 in the USA, but not in the EU, as an add-on to insulin. In large trials it lowered HbA1c by only about 0.3 to 0.7 percentage points, but prevented the weight gain typical of insulin and smoothed out blood glucose spikes after meals. Nausea is common, and in combination with insulin there is a relevant risk of severe hypoglycemia. Today, pramlintide is significant mainly as the forerunner of the new long-acting amylin drugs.</w:t>
      </w:r>
    </w:p>
    <w:bookmarkEnd w:id="792"/>
    <w:bookmarkEnd w:id="793"/>
    <w:bookmarkStart w:id="830" w:name="setmelanotide"/>
    <w:p>
      <w:pPr>
        <w:pStyle w:val="Heading2"/>
      </w:pPr>
      <w:r>
        <w:t xml:space="preserve">Setmelanotide</w:t>
      </w:r>
    </w:p>
    <w:bookmarkStart w:id="795" w:name="profile-12"/>
    <w:p>
      <w:pPr>
        <w:pStyle w:val="Heading3"/>
      </w:pPr>
      <w:r>
        <w:t xml:space="preserve">Profile</w:t>
      </w:r>
    </w:p>
    <w:p>
      <w:pPr>
        <w:numPr>
          <w:ilvl w:val="0"/>
          <w:numId w:val="1099"/>
        </w:numPr>
        <w:pStyle w:val="Compact"/>
      </w:pPr>
      <w:r>
        <w:rPr>
          <w:bCs/>
          <w:b/>
        </w:rPr>
        <w:t xml:space="preserve">Type/structure:</w:t>
      </w:r>
      <w:r>
        <w:t xml:space="preserve"> </w:t>
      </w:r>
      <w:r>
        <w:t xml:space="preserve">small, ring-shaped (cyclic) synthetic peptide that mimics the body’s own messenger alpha-MSH. Once-daily injection under the skin. Former development code RM-493.</w:t>
      </w:r>
    </w:p>
    <w:p>
      <w:pPr>
        <w:numPr>
          <w:ilvl w:val="0"/>
          <w:numId w:val="1099"/>
        </w:numPr>
        <w:pStyle w:val="Compact"/>
      </w:pPr>
      <w:r>
        <w:rPr>
          <w:bCs/>
          <w:b/>
        </w:rPr>
        <w:t xml:space="preserve">Origin:</w:t>
      </w:r>
      <w:r>
        <w:t xml:space="preserve"> </w:t>
      </w:r>
      <w:r>
        <w:t xml:space="preserve">developed by Rhythm Pharmaceuticals; brand name Imcivree.</w:t>
      </w:r>
    </w:p>
    <w:p>
      <w:pPr>
        <w:numPr>
          <w:ilvl w:val="0"/>
          <w:numId w:val="1099"/>
        </w:numPr>
        <w:pStyle w:val="Compact"/>
      </w:pPr>
      <w:r>
        <w:rPr>
          <w:bCs/>
          <w:b/>
        </w:rPr>
        <w:t xml:space="preserve">Mechanism of action:</w:t>
      </w:r>
      <w:r>
        <w:t xml:space="preserve"> </w:t>
      </w:r>
      <w:r>
        <w:t xml:space="preserve">agonist at the melanocortin-4 receptor (MC4R) in the hypothalamus, a central control point for hunger and satiety.</w:t>
      </w:r>
    </w:p>
    <w:p>
      <w:pPr>
        <w:numPr>
          <w:ilvl w:val="0"/>
          <w:numId w:val="1099"/>
        </w:numPr>
        <w:pStyle w:val="Compact"/>
      </w:pPr>
      <w:r>
        <w:rPr>
          <w:bCs/>
          <w:b/>
        </w:rPr>
        <w:t xml:space="preserve">Approval EU:</w:t>
      </w:r>
      <w:r>
        <w:t xml:space="preserve"> </w:t>
      </w:r>
      <w:r>
        <w:t xml:space="preserve">yes (Imcivree) for obesity due to genetically confirmed POMC, PCSK1 or leptin receptor deficiency and in Bardet-Biedl syndrome.</w:t>
      </w:r>
    </w:p>
    <w:p>
      <w:pPr>
        <w:numPr>
          <w:ilvl w:val="0"/>
          <w:numId w:val="1099"/>
        </w:numPr>
        <w:pStyle w:val="Compact"/>
      </w:pPr>
      <w:r>
        <w:rPr>
          <w:bCs/>
          <w:b/>
        </w:rPr>
        <w:t xml:space="preserve">Approval USA:</w:t>
      </w:r>
      <w:r>
        <w:t xml:space="preserve"> </w:t>
      </w:r>
      <w:r>
        <w:t xml:space="preserve">yes (Imcivree), first in 2020, for the same rare genetic forms</w:t>
      </w:r>
      <w:r>
        <w:rPr>
          <w:rStyle w:val="FootnoteReference"/>
        </w:rPr>
        <w:footnoteReference w:id="794"/>
      </w:r>
      <w:r>
        <w:t xml:space="preserve">.</w:t>
      </w:r>
    </w:p>
    <w:p>
      <w:pPr>
        <w:numPr>
          <w:ilvl w:val="0"/>
          <w:numId w:val="1099"/>
        </w:numPr>
        <w:pStyle w:val="Compact"/>
      </w:pPr>
      <w:r>
        <w:rPr>
          <w:bCs/>
          <w:b/>
        </w:rPr>
        <w:t xml:space="preserve">WADA:</w:t>
      </w:r>
      <w:r>
        <w:t xml:space="preserve"> </w:t>
      </w:r>
      <w:r>
        <w:t xml:space="preserve">not listed by name; as an approved medicine, not under S0.</w:t>
      </w:r>
    </w:p>
    <w:p>
      <w:pPr>
        <w:numPr>
          <w:ilvl w:val="0"/>
          <w:numId w:val="1099"/>
        </w:numPr>
        <w:pStyle w:val="Compact"/>
      </w:pPr>
      <w:r>
        <w:rPr>
          <w:bCs/>
          <w:b/>
        </w:rPr>
        <w:t xml:space="preserve">Evidence level:</w:t>
      </w:r>
      <w:r>
        <w:t xml:space="preserve"> </w:t>
      </w:r>
      <w:r>
        <w:rPr>
          <w:bCs/>
          <w:b/>
        </w:rPr>
        <w:t xml:space="preserve">A</w:t>
      </w:r>
      <w:r>
        <w:t xml:space="preserve"> </w:t>
      </w:r>
      <w:r>
        <w:t xml:space="preserve">– approval based on Phase 3 trials; because of the rarity of the conditions, however, the trials are small and partly uncontrolled.</w:t>
      </w:r>
    </w:p>
    <w:bookmarkEnd w:id="795"/>
    <w:bookmarkStart w:id="796" w:name="how-it-is-supposed-to-work-12"/>
    <w:p>
      <w:pPr>
        <w:pStyle w:val="Heading3"/>
      </w:pPr>
      <w:r>
        <w:t xml:space="preserve">How it is supposed to work</w:t>
      </w:r>
    </w:p>
    <w:p>
      <w:pPr>
        <w:pStyle w:val="FirstParagraph"/>
      </w:pPr>
      <w:r>
        <w:t xml:space="preserve">Setmelanotide differs fundamentally from all the other substances in this part. It is not a general weight-loss drug but a targeted treatment for people in whom a particular signaling chain in the brain is defective.</w:t>
      </w:r>
    </w:p>
    <w:p>
      <w:pPr>
        <w:pStyle w:val="BodyText"/>
      </w:pPr>
      <w:r>
        <w:t xml:space="preserve">This chain is called the leptin-melanocortin pathway. Simplified: adipose tissue releases the hormone leptin. Leptin acts in the hypothalamus on nerve cells that produce the messenger alpha-MSH from a precursor molecule called POMC. This production requires an enzyme called PCSK1. Alpha-MSH finally activates the MC4 receptor – and the signal reads:</w:t>
      </w:r>
      <w:r>
        <w:t xml:space="preserve"> </w:t>
      </w:r>
      <w:r>
        <w:t xml:space="preserve">“</w:t>
      </w:r>
      <w:r>
        <w:t xml:space="preserve">Enough eaten.</w:t>
      </w:r>
      <w:r>
        <w:t xml:space="preserve">”</w:t>
      </w:r>
    </w:p>
    <w:p>
      <w:pPr>
        <w:pStyle w:val="BodyText"/>
      </w:pPr>
      <w:r>
        <w:t xml:space="preserve">If one of these links fails due to an inherited genetic change, an agonizing, insatiable hunger (hyperphagia) develops that leads to severe obesity as early as infancy. Diet and exercise alone can do little against it. Setmelanotide acts at the end of the chain and activates the MC4 receptor directly – it bypasses, so to speak, the defective links before it.</w:t>
      </w:r>
    </w:p>
    <w:p>
      <w:pPr>
        <w:pStyle w:val="BodyText"/>
      </w:pPr>
      <w:r>
        <w:t xml:space="preserve">Setmelanotide also acts at the closely related melanocortin-1 receptor in the skin. This explains the most common side effect: tanning of the skin (see below) – and it links setmelanotide to the tanning peptides such as melanotan II and afamelanotide (Part II, Group E).</w:t>
      </w:r>
    </w:p>
    <w:bookmarkEnd w:id="796"/>
    <w:bookmarkStart w:id="812" w:name="human-studies-12"/>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15 human studies. On ClinicalTrials.gov, 27 trials were registered. Because of the rarity of the target conditions, the trials often include only 10 to 40 participants; the largest published randomized trial (on hypothalamic obesity) enrolled 120 people.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Kühnen 2016, PMID 27468060</w:t>
            </w:r>
          </w:p>
        </w:tc>
        <w:tc>
          <w:tcPr/>
          <w:p>
            <w:pPr>
              <w:pStyle w:val="Compact"/>
              <w:jc w:val="left"/>
            </w:pPr>
            <w:r>
              <w:t xml:space="preserve">2 people with POMC deficiency, open-label</w:t>
            </w:r>
          </w:p>
        </w:tc>
        <w:tc>
          <w:tcPr/>
          <w:p>
            <w:pPr>
              <w:pStyle w:val="Compact"/>
              <w:jc w:val="left"/>
            </w:pPr>
            <w:r>
              <w:t xml:space="preserve">12 and 42 weeks</w:t>
            </w:r>
          </w:p>
        </w:tc>
        <w:tc>
          <w:tcPr/>
          <w:p>
            <w:pPr>
              <w:pStyle w:val="Compact"/>
              <w:jc w:val="left"/>
            </w:pPr>
            <w:r>
              <w:t xml:space="preserve">−20.5 kg and −51.0 kg; less hunger</w:t>
            </w:r>
          </w:p>
        </w:tc>
      </w:tr>
      <w:tr>
        <w:tc>
          <w:tcPr/>
          <w:p>
            <w:pPr>
              <w:pStyle w:val="Compact"/>
              <w:jc w:val="left"/>
            </w:pPr>
            <w:r>
              <w:t xml:space="preserve">Clément 2020 (POMC/LEPR), PMID 33137293</w:t>
            </w:r>
          </w:p>
        </w:tc>
        <w:tc>
          <w:tcPr/>
          <w:p>
            <w:pPr>
              <w:pStyle w:val="Compact"/>
              <w:jc w:val="left"/>
            </w:pPr>
            <w:r>
              <w:t xml:space="preserve">10 people with POMC and 11 with LEPR deficiency; single-arm, with withdrawal phase</w:t>
            </w:r>
          </w:p>
        </w:tc>
        <w:tc>
          <w:tcPr/>
          <w:p>
            <w:pPr>
              <w:pStyle w:val="Compact"/>
              <w:jc w:val="left"/>
            </w:pPr>
            <w:r>
              <w:t xml:space="preserve">about 1 year</w:t>
            </w:r>
          </w:p>
        </w:tc>
        <w:tc>
          <w:tcPr/>
          <w:p>
            <w:pPr>
              <w:pStyle w:val="Compact"/>
              <w:jc w:val="left"/>
            </w:pPr>
            <w:r>
              <w:t xml:space="preserve">≥10% weight loss in 80% (POMC) and 45% (LEPR)</w:t>
            </w:r>
          </w:p>
        </w:tc>
      </w:tr>
      <w:tr>
        <w:tc>
          <w:tcPr/>
          <w:p>
            <w:pPr>
              <w:pStyle w:val="Compact"/>
              <w:jc w:val="left"/>
            </w:pPr>
            <w:r>
              <w:t xml:space="preserve">Haqq 2022 (BBS/Alström), PMID 36356613</w:t>
            </w:r>
          </w:p>
        </w:tc>
        <w:tc>
          <w:tcPr/>
          <w:p>
            <w:pPr>
              <w:pStyle w:val="Compact"/>
              <w:jc w:val="left"/>
            </w:pPr>
            <w:r>
              <w:t xml:space="preserve">38 people with Bardet-Biedl or Alström syndrome; 14 weeks vs. placebo, then open-label</w:t>
            </w:r>
          </w:p>
        </w:tc>
        <w:tc>
          <w:tcPr/>
          <w:p>
            <w:pPr>
              <w:pStyle w:val="Compact"/>
              <w:jc w:val="left"/>
            </w:pPr>
            <w:r>
              <w:t xml:space="preserve">66 weeks</w:t>
            </w:r>
          </w:p>
        </w:tc>
        <w:tc>
          <w:tcPr/>
          <w:p>
            <w:pPr>
              <w:pStyle w:val="Compact"/>
              <w:jc w:val="left"/>
            </w:pPr>
            <w:r>
              <w:t xml:space="preserve">≥10% weight loss in 32.3% of BBS patients aged 12 and over</w:t>
            </w:r>
          </w:p>
        </w:tc>
      </w:tr>
      <w:tr>
        <w:tc>
          <w:tcPr/>
          <w:p>
            <w:pPr>
              <w:pStyle w:val="Compact"/>
              <w:jc w:val="left"/>
            </w:pPr>
            <w:r>
              <w:t xml:space="preserve">VENTURE (Argente 2025), PMID 39549719</w:t>
            </w:r>
          </w:p>
        </w:tc>
        <w:tc>
          <w:tcPr/>
          <w:p>
            <w:pPr>
              <w:pStyle w:val="Compact"/>
              <w:jc w:val="left"/>
            </w:pPr>
            <w:r>
              <w:t xml:space="preserve">12 children aged 2 to 5 years, open-label</w:t>
            </w:r>
          </w:p>
        </w:tc>
        <w:tc>
          <w:tcPr/>
          <w:p>
            <w:pPr>
              <w:pStyle w:val="Compact"/>
              <w:jc w:val="left"/>
            </w:pPr>
            <w:r>
              <w:t xml:space="preserve">52 weeks</w:t>
            </w:r>
          </w:p>
        </w:tc>
        <w:tc>
          <w:tcPr/>
          <w:p>
            <w:pPr>
              <w:pStyle w:val="Compact"/>
              <w:jc w:val="left"/>
            </w:pPr>
            <w:r>
              <w:t xml:space="preserve">BMI −18% on average</w:t>
            </w:r>
          </w:p>
        </w:tc>
      </w:tr>
      <w:tr>
        <w:tc>
          <w:tcPr/>
          <w:p>
            <w:pPr>
              <w:pStyle w:val="Compact"/>
              <w:jc w:val="left"/>
            </w:pPr>
            <w:r>
              <w:t xml:space="preserve">Roth 2024 (hypothalamic obesity), PMID 38697184</w:t>
            </w:r>
          </w:p>
        </w:tc>
        <w:tc>
          <w:tcPr/>
          <w:p>
            <w:pPr>
              <w:pStyle w:val="Compact"/>
              <w:jc w:val="left"/>
            </w:pPr>
            <w:r>
              <w:t xml:space="preserve">18 people, open-label</w:t>
            </w:r>
          </w:p>
        </w:tc>
        <w:tc>
          <w:tcPr/>
          <w:p>
            <w:pPr>
              <w:pStyle w:val="Compact"/>
              <w:jc w:val="left"/>
            </w:pPr>
            <w:r>
              <w:t xml:space="preserve">16 weeks</w:t>
            </w:r>
          </w:p>
        </w:tc>
        <w:tc>
          <w:tcPr/>
          <w:p>
            <w:pPr>
              <w:pStyle w:val="Compact"/>
              <w:jc w:val="left"/>
            </w:pPr>
            <w:r>
              <w:t xml:space="preserve">BMI −15% on average</w:t>
            </w:r>
          </w:p>
        </w:tc>
      </w:tr>
      <w:tr>
        <w:tc>
          <w:tcPr/>
          <w:p>
            <w:pPr>
              <w:pStyle w:val="Compact"/>
              <w:jc w:val="left"/>
            </w:pPr>
            <w:r>
              <w:t xml:space="preserve">TRANSCEND (Miller 2026), PMID 42418774</w:t>
            </w:r>
          </w:p>
        </w:tc>
        <w:tc>
          <w:tcPr/>
          <w:p>
            <w:pPr>
              <w:pStyle w:val="Compact"/>
              <w:jc w:val="left"/>
            </w:pPr>
            <w:r>
              <w:t xml:space="preserve">120 people with acquired hypothalamic obesity, vs. placebo</w:t>
            </w:r>
          </w:p>
        </w:tc>
        <w:tc>
          <w:tcPr/>
          <w:p>
            <w:pPr>
              <w:pStyle w:val="Compact"/>
              <w:jc w:val="left"/>
            </w:pPr>
            <w:r>
              <w:t xml:space="preserve">52 weeks</w:t>
            </w:r>
          </w:p>
        </w:tc>
        <w:tc>
          <w:tcPr/>
          <w:p>
            <w:pPr>
              <w:pStyle w:val="Compact"/>
              <w:jc w:val="left"/>
            </w:pPr>
            <w:r>
              <w:t xml:space="preserve">BMI −16.5% vs. +3.3%</w:t>
            </w:r>
          </w:p>
        </w:tc>
      </w:tr>
    </w:tbl>
    <w:bookmarkStart w:id="800" w:name="X26deddd12de3b3d2c2e9d80c00cb51245844d5a"/>
    <w:p>
      <w:pPr>
        <w:pStyle w:val="Heading4"/>
      </w:pPr>
      <w:r>
        <w:t xml:space="preserve">POMC, PCSK1 and leptin receptor deficiency</w:t>
      </w:r>
    </w:p>
    <w:p>
      <w:pPr>
        <w:pStyle w:val="FirstParagraph"/>
      </w:pPr>
      <w:r>
        <w:t xml:space="preserve">The first reports were individual cases: two patients with POMC deficiency lost 51.0 kg after 42 weeks and 20.5 kg after 12 weeks, respectively, in an investigator-initiated study, and their hunger subsided permanently</w:t>
      </w:r>
      <w:r>
        <w:rPr>
          <w:rStyle w:val="FootnoteReference"/>
        </w:rPr>
        <w:footnoteReference w:id="797"/>
      </w:r>
      <w:r>
        <w:t xml:space="preserve">. Similar findings were described for three people with leptin receptor deficiency</w:t>
      </w:r>
      <w:r>
        <w:rPr>
          <w:rStyle w:val="FootnoteReference"/>
        </w:rPr>
        <w:footnoteReference w:id="798"/>
      </w:r>
      <w:r>
        <w:t xml:space="preserve">.</w:t>
      </w:r>
    </w:p>
    <w:p>
      <w:pPr>
        <w:pStyle w:val="BodyText"/>
      </w:pPr>
      <w:r>
        <w:t xml:space="preserve">The approval trials</w:t>
      </w:r>
      <w:r>
        <w:rPr>
          <w:rStyle w:val="FootnoteReference"/>
        </w:rPr>
        <w:footnoteReference w:id="799"/>
      </w:r>
      <w:r>
        <w:t xml:space="preserve"> </w:t>
      </w:r>
      <w:r>
        <w:t xml:space="preserve">were single-arm – so there was no continuous placebo group – but included a short blinded withdrawal phase. After about one year, 8 of 10 people with POMC deficiency and 5 of 11 with leptin receptor deficiency had lost at least 10% of their weight. Hunger on a scale of 0 to 10 decreased by 27.1% and 43.7%, respectively. For such rare conditions, small, uncontrolled trials are often the only feasible option. For a condition in which practically no weight loss is to be expected without treatment, the results are nevertheless meaningful.</w:t>
      </w:r>
    </w:p>
    <w:bookmarkEnd w:id="800"/>
    <w:bookmarkStart w:id="803" w:name="bardet-biedl-syndrome"/>
    <w:p>
      <w:pPr>
        <w:pStyle w:val="Heading4"/>
      </w:pPr>
      <w:r>
        <w:t xml:space="preserve">Bardet-Biedl syndrome</w:t>
      </w:r>
    </w:p>
    <w:p>
      <w:pPr>
        <w:pStyle w:val="FirstParagraph"/>
      </w:pPr>
      <w:r>
        <w:t xml:space="preserve">Bardet-Biedl syndrome (BBS) is a rare hereditary disease in which the fine cell projections (cilia) are impaired; in addition to retinal damage, kidney problems and extra fingers or toes, it includes severe hunger and obesity. In the Phase 3 trial</w:t>
      </w:r>
      <w:r>
        <w:rPr>
          <w:rStyle w:val="FootnoteReference"/>
        </w:rPr>
        <w:footnoteReference w:id="801"/>
      </w:r>
      <w:r>
        <w:t xml:space="preserve">, 32.3% of people with BBS aged 12 and over achieved a weight loss of at least 10% after 52 weeks. In the related Alström syndrome, the results were inconclusive. A comparison with a matched control group from a BBS registry found that 58.6% of treated patients versus 6.9% of untreated patients reached the respective success criterion</w:t>
      </w:r>
      <w:r>
        <w:rPr>
          <w:rStyle w:val="FootnoteReference"/>
        </w:rPr>
        <w:footnoteReference w:id="802"/>
      </w:r>
      <w:r>
        <w:t xml:space="preserve"> </w:t>
      </w:r>
      <w:r>
        <w:t xml:space="preserve">– an indirect but helpful context.</w:t>
      </w:r>
    </w:p>
    <w:bookmarkEnd w:id="803"/>
    <w:bookmarkStart w:id="805" w:name="young-children"/>
    <w:p>
      <w:pPr>
        <w:pStyle w:val="Heading4"/>
      </w:pPr>
      <w:r>
        <w:t xml:space="preserve">Young children</w:t>
      </w:r>
    </w:p>
    <w:p>
      <w:pPr>
        <w:pStyle w:val="FirstParagraph"/>
      </w:pPr>
      <w:r>
        <w:t xml:space="preserve">In the open-label VENTURE trial with 12 children between 2 and 5 years of age, BMI fell by an average of 18% after one year: by 26% in POMC or leptin receptor deficiency and by 10% in BBS. 91% of caregivers reported that the children were less hungry</w:t>
      </w:r>
      <w:r>
        <w:rPr>
          <w:rStyle w:val="FootnoteReference"/>
        </w:rPr>
        <w:footnoteReference w:id="804"/>
      </w:r>
      <w:r>
        <w:t xml:space="preserve">.</w:t>
      </w:r>
    </w:p>
    <w:bookmarkEnd w:id="805"/>
    <w:bookmarkStart w:id="808" w:name="hypothalamic-obesity"/>
    <w:p>
      <w:pPr>
        <w:pStyle w:val="Heading4"/>
      </w:pPr>
      <w:r>
        <w:t xml:space="preserve">Hypothalamic obesity</w:t>
      </w:r>
    </w:p>
    <w:p>
      <w:pPr>
        <w:pStyle w:val="FirstParagraph"/>
      </w:pPr>
      <w:r>
        <w:t xml:space="preserve">A second, more common target group consists of people whose hypothalamus has been damaged by a tumor (often a craniopharyngioma), surgery or radiation. They frequently develop obesity that is difficult to treat. After an open-label Phase 2 trial with 18 people, in which BMI fell by an average of 15% after 16 weeks</w:t>
      </w:r>
      <w:r>
        <w:rPr>
          <w:rStyle w:val="FootnoteReference"/>
        </w:rPr>
        <w:footnoteReference w:id="806"/>
      </w:r>
      <w:r>
        <w:t xml:space="preserve">, the randomized Phase 3 trial TRANSCEND followed</w:t>
      </w:r>
      <w:r>
        <w:rPr>
          <w:rStyle w:val="FootnoteReference"/>
        </w:rPr>
        <w:footnoteReference w:id="807"/>
      </w:r>
      <w:r>
        <w:t xml:space="preserve">:</w:t>
      </w:r>
    </w:p>
    <w:p>
      <w:pPr>
        <w:numPr>
          <w:ilvl w:val="0"/>
          <w:numId w:val="1100"/>
        </w:numPr>
        <w:pStyle w:val="Compact"/>
      </w:pPr>
      <w:r>
        <w:t xml:space="preserve">120 people between 4 and 66 years of age, 2:1 ratio of setmelanotide to placebo.</w:t>
      </w:r>
    </w:p>
    <w:p>
      <w:pPr>
        <w:numPr>
          <w:ilvl w:val="0"/>
          <w:numId w:val="1100"/>
        </w:numPr>
        <w:pStyle w:val="Compact"/>
      </w:pPr>
      <w:r>
        <w:t xml:space="preserve">After 52 weeks: BMI −16.5% on setmelanotide, +3.3% on placebo.</w:t>
      </w:r>
    </w:p>
    <w:p>
      <w:pPr>
        <w:numPr>
          <w:ilvl w:val="0"/>
          <w:numId w:val="1100"/>
        </w:numPr>
        <w:pStyle w:val="Compact"/>
      </w:pPr>
      <w:r>
        <w:t xml:space="preserve">Hunger score: −2.73 vs. −1.45 points.</w:t>
      </w:r>
    </w:p>
    <w:p>
      <w:pPr>
        <w:numPr>
          <w:ilvl w:val="0"/>
          <w:numId w:val="1100"/>
        </w:numPr>
        <w:pStyle w:val="Compact"/>
      </w:pPr>
      <w:r>
        <w:t xml:space="preserve">Serious adverse events: 28% vs. 8%.</w:t>
      </w:r>
    </w:p>
    <w:bookmarkEnd w:id="808"/>
    <w:bookmarkStart w:id="811" w:name="more-common-genetic-variants"/>
    <w:p>
      <w:pPr>
        <w:pStyle w:val="Heading4"/>
      </w:pPr>
      <w:r>
        <w:t xml:space="preserve">More common genetic variants</w:t>
      </w:r>
    </w:p>
    <w:p>
      <w:pPr>
        <w:pStyle w:val="FirstParagraph"/>
      </w:pPr>
      <w:r>
        <w:t xml:space="preserve">The data are less convincing in people with only one altered copy of the MC4R gene – one of the most common genetic causes of severe obesity. In a small 28-day study, such people did lose weight, but considerably less than people with POMC defects</w:t>
      </w:r>
      <w:r>
        <w:rPr>
          <w:rStyle w:val="FootnoteReference"/>
        </w:rPr>
        <w:footnoteReference w:id="809"/>
      </w:r>
      <w:r>
        <w:t xml:space="preserve">. The larger Phase 3 trial EMANATE on various variants in the MC4R pathway has been completed according to the registry</w:t>
      </w:r>
      <w:r>
        <w:rPr>
          <w:rStyle w:val="FootnoteReference"/>
        </w:rPr>
        <w:footnoteReference w:id="810"/>
      </w:r>
      <w:r>
        <w:t xml:space="preserve">; a peer-reviewed publication was not yet available at the time of research.</w:t>
      </w:r>
    </w:p>
    <w:bookmarkEnd w:id="811"/>
    <w:bookmarkEnd w:id="812"/>
    <w:bookmarkStart w:id="814" w:name="animal-and-laboratory-studies-12"/>
    <w:p>
      <w:pPr>
        <w:pStyle w:val="Heading3"/>
      </w:pPr>
      <w:r>
        <w:t xml:space="preserve">Animal and laboratory studies</w:t>
      </w:r>
    </w:p>
    <w:p>
      <w:pPr>
        <w:pStyle w:val="FirstParagraph"/>
      </w:pPr>
      <w:r>
        <w:t xml:space="preserve">In cell experiments, setmelanotide is considerably more potent at the MC4 receptor than the body’s own alpha-MSH and can partially reactivate some defective receptor variants. In normal rodents it led to weight loss, but not in mice completely lacking the MC4 receptor</w:t>
      </w:r>
      <w:r>
        <w:rPr>
          <w:rStyle w:val="FootnoteReference"/>
        </w:rPr>
        <w:footnoteReference w:id="813"/>
      </w:r>
      <w:r>
        <w:t xml:space="preserve">. This confirms that the effect actually runs via this receptor.</w:t>
      </w:r>
    </w:p>
    <w:bookmarkEnd w:id="814"/>
    <w:bookmarkStart w:id="820" w:name="risks-and-side-effects-12"/>
    <w:p>
      <w:pPr>
        <w:pStyle w:val="Heading3"/>
      </w:pPr>
      <w:r>
        <w:t xml:space="preserve">Risks and side effects</w:t>
      </w:r>
    </w:p>
    <w:p>
      <w:pPr>
        <w:pStyle w:val="FirstParagraph"/>
      </w:pPr>
      <w:r>
        <w:rPr>
          <w:bCs/>
          <w:b/>
        </w:rPr>
        <w:t xml:space="preserve">Documented in studies:</w:t>
      </w:r>
    </w:p>
    <w:p>
      <w:pPr>
        <w:numPr>
          <w:ilvl w:val="0"/>
          <w:numId w:val="1101"/>
        </w:numPr>
        <w:pStyle w:val="Compact"/>
      </w:pPr>
      <w:r>
        <w:rPr>
          <w:bCs/>
          <w:b/>
        </w:rPr>
        <w:t xml:space="preserve">Skin reactions at the injection site</w:t>
      </w:r>
      <w:r>
        <w:t xml:space="preserve"> </w:t>
      </w:r>
      <w:r>
        <w:t xml:space="preserve">(redness, swelling): in 96% in a meta-analysis of seven studies with 185 people</w:t>
      </w:r>
      <w:r>
        <w:rPr>
          <w:rStyle w:val="FootnoteReference"/>
        </w:rPr>
        <w:footnoteReference w:id="815"/>
      </w:r>
      <w:r>
        <w:t xml:space="preserve">.</w:t>
      </w:r>
    </w:p>
    <w:p>
      <w:pPr>
        <w:numPr>
          <w:ilvl w:val="0"/>
          <w:numId w:val="1101"/>
        </w:numPr>
        <w:pStyle w:val="Compact"/>
      </w:pPr>
      <w:r>
        <w:rPr>
          <w:bCs/>
          <w:b/>
        </w:rPr>
        <w:t xml:space="preserve">Darker skin (hyperpigmentation):</w:t>
      </w:r>
      <w:r>
        <w:t xml:space="preserve"> </w:t>
      </w:r>
      <w:r>
        <w:t xml:space="preserve">in 62% in the same meta-analysis. Through its action at the melanocortin-1 receptor, the skin tans, lips and moles become darker, and red hair can turn brown. In an observation over up to 46 months, the tanning stabilized over time; no malignant skin changes occurred</w:t>
      </w:r>
      <w:r>
        <w:rPr>
          <w:rStyle w:val="FootnoteReference"/>
        </w:rPr>
        <w:footnoteReference w:id="816"/>
      </w:r>
      <w:r>
        <w:t xml:space="preserve">. Experts recommend regular skin examinations.</w:t>
      </w:r>
    </w:p>
    <w:p>
      <w:pPr>
        <w:numPr>
          <w:ilvl w:val="0"/>
          <w:numId w:val="1101"/>
        </w:numPr>
        <w:pStyle w:val="Compact"/>
      </w:pPr>
      <w:r>
        <w:rPr>
          <w:bCs/>
          <w:b/>
        </w:rPr>
        <w:t xml:space="preserve">Nausea and vomiting:</w:t>
      </w:r>
      <w:r>
        <w:t xml:space="preserve"> </w:t>
      </w:r>
      <w:r>
        <w:t xml:space="preserve">in 36% and 26%, respectively; diarrhea in 21%</w:t>
      </w:r>
      <w:r>
        <w:rPr>
          <w:rStyle w:val="FootnoteReference"/>
        </w:rPr>
        <w:footnoteReference w:id="817"/>
      </w:r>
      <w:r>
        <w:t xml:space="preserve">.</w:t>
      </w:r>
    </w:p>
    <w:p>
      <w:pPr>
        <w:numPr>
          <w:ilvl w:val="0"/>
          <w:numId w:val="1101"/>
        </w:numPr>
        <w:pStyle w:val="Compact"/>
      </w:pPr>
      <w:r>
        <w:rPr>
          <w:bCs/>
          <w:b/>
        </w:rPr>
        <w:t xml:space="preserve">Serious adverse events:</w:t>
      </w:r>
      <w:r>
        <w:t xml:space="preserve"> </w:t>
      </w:r>
      <w:r>
        <w:t xml:space="preserve">more frequent on setmelanotide in TRANSCEND (28% vs. 8%)</w:t>
      </w:r>
      <w:r>
        <w:rPr>
          <w:rStyle w:val="FootnoteReference"/>
        </w:rPr>
        <w:footnoteReference w:id="818"/>
      </w:r>
      <w:r>
        <w:t xml:space="preserve">; the abstract does not break them down individually.</w:t>
      </w:r>
    </w:p>
    <w:p>
      <w:pPr>
        <w:numPr>
          <w:ilvl w:val="0"/>
          <w:numId w:val="1101"/>
        </w:numPr>
        <w:pStyle w:val="Compact"/>
      </w:pPr>
      <w:r>
        <w:t xml:space="preserve">In the BBS trial, serious events reported included suicidal ideation, which was not classified as treatment-related</w:t>
      </w:r>
      <w:r>
        <w:rPr>
          <w:rStyle w:val="FootnoteReference"/>
        </w:rPr>
        <w:footnoteReference w:id="819"/>
      </w:r>
      <w:r>
        <w:t xml:space="preserve">. The prescribing information contains warnings on depression and suicidal ideation as well as on spontaneous erections in men.</w:t>
      </w:r>
    </w:p>
    <w:p>
      <w:pPr>
        <w:pStyle w:val="FirstParagraph"/>
      </w:pPr>
      <w:r>
        <w:rPr>
          <w:bCs/>
          <w:b/>
        </w:rPr>
        <w:t xml:space="preserve">Theoretical:</w:t>
      </w:r>
      <w:r>
        <w:t xml:space="preserve"> </w:t>
      </w:r>
      <w:r>
        <w:t xml:space="preserve">Whether the sustained stimulation of pigment cells influences the risk of skin cancer in the long term has not been clarified; observations to date over several years show no signal.</w:t>
      </w:r>
    </w:p>
    <w:p>
      <w:pPr>
        <w:pStyle w:val="BodyText"/>
      </w:pPr>
      <w:r>
        <w:rPr>
          <w:bCs/>
          <w:b/>
        </w:rPr>
        <w:t xml:space="preserve">Potential for misuse:</w:t>
      </w:r>
      <w:r>
        <w:t xml:space="preserve"> </w:t>
      </w:r>
      <w:r>
        <w:t xml:space="preserve">Because of its tanning effect, setmelanotide is occasionally associated with melanotan II in internet forums. For people without a proven genetic defect, it is not a suitable weight-loss agent and has not been studied for that purpose.</w:t>
      </w:r>
    </w:p>
    <w:bookmarkEnd w:id="820"/>
    <w:bookmarkStart w:id="821" w:name="legal-status-12"/>
    <w:p>
      <w:pPr>
        <w:pStyle w:val="Heading3"/>
      </w:pPr>
      <w:r>
        <w:t xml:space="preserve">Legal status</w:t>
      </w:r>
    </w:p>
    <w:p>
      <w:pPr>
        <w:numPr>
          <w:ilvl w:val="0"/>
          <w:numId w:val="1102"/>
        </w:numPr>
        <w:pStyle w:val="Compact"/>
      </w:pPr>
      <w:r>
        <w:rPr>
          <w:bCs/>
          <w:b/>
        </w:rPr>
        <w:t xml:space="preserve">EU / Austria / Germany:</w:t>
      </w:r>
      <w:r>
        <w:t xml:space="preserve"> </w:t>
      </w:r>
      <w:r>
        <w:t xml:space="preserve">approved (Imcivree), prescription only, only for genetically confirmed forms (POMC, PCSK1, leptin receptor deficiency, Bardet-Biedl syndrome). The diagnosis requires genetic testing; initiation and monitoring belong in specialized centers. Details on the extension to hypothalamic obesity:</w:t>
      </w:r>
    </w:p>
    <w:p>
      <w:pPr>
        <w:numPr>
          <w:ilvl w:val="0"/>
          <w:numId w:val="1102"/>
        </w:numPr>
        <w:pStyle w:val="Compact"/>
      </w:pPr>
      <w:r>
        <w:rPr>
          <w:bCs/>
          <w:b/>
        </w:rPr>
        <w:t xml:space="preserve">USA:</w:t>
      </w:r>
      <w:r>
        <w:t xml:space="preserve"> </w:t>
      </w:r>
      <w:r>
        <w:t xml:space="preserve">approved since 2020 (POMC, PCSK1, LEPR), later extended to Bardet-Biedl syndrome and to younger children; an application for hypothalamic obesity has been submitted on the basis of TRANSCEND.</w:t>
      </w:r>
    </w:p>
    <w:p>
      <w:pPr>
        <w:numPr>
          <w:ilvl w:val="0"/>
          <w:numId w:val="1102"/>
        </w:numPr>
        <w:pStyle w:val="Compact"/>
      </w:pPr>
      <w:r>
        <w:rPr>
          <w:bCs/>
          <w:b/>
        </w:rPr>
        <w:t xml:space="preserve">Sport:</w:t>
      </w:r>
      <w:r>
        <w:t xml:space="preserve"> </w:t>
      </w:r>
      <w:r>
        <w:t xml:space="preserve">not named on the WADA list (as of 2026, please check for updates).</w:t>
      </w:r>
    </w:p>
    <w:bookmarkEnd w:id="821"/>
    <w:bookmarkStart w:id="828" w:name="ongoing-studies-and-outlook-12"/>
    <w:p>
      <w:pPr>
        <w:pStyle w:val="Heading3"/>
      </w:pPr>
      <w:r>
        <w:t xml:space="preserve">Ongoing studies and outlook</w:t>
      </w:r>
    </w:p>
    <w:p>
      <w:pPr>
        <w:pStyle w:val="FirstParagraph"/>
      </w:pPr>
      <w:r>
        <w:rPr>
          <w:bCs/>
          <w:b/>
        </w:rPr>
        <w:t xml:space="preserve">Confirmed (registered trials, as of October 2026):</w:t>
      </w:r>
    </w:p>
    <w:p>
      <w:pPr>
        <w:numPr>
          <w:ilvl w:val="0"/>
          <w:numId w:val="1103"/>
        </w:numPr>
        <w:pStyle w:val="Compact"/>
      </w:pPr>
      <w:r>
        <w:rPr>
          <w:bCs/>
          <w:b/>
        </w:rPr>
        <w:t xml:space="preserve">TRANSCEND</w:t>
      </w:r>
      <w:r>
        <w:rPr>
          <w:rStyle w:val="FootnoteReference"/>
        </w:rPr>
        <w:footnoteReference w:id="822"/>
      </w:r>
      <w:r>
        <w:t xml:space="preserve"> </w:t>
      </w:r>
      <w:r>
        <w:t xml:space="preserve">continues in an extension; a substudy is examining congenital hypothalamic obesity</w:t>
      </w:r>
      <w:r>
        <w:rPr>
          <w:rStyle w:val="FootnoteReference"/>
        </w:rPr>
        <w:footnoteReference w:id="823"/>
      </w:r>
      <w:r>
        <w:t xml:space="preserve">.</w:t>
      </w:r>
    </w:p>
    <w:p>
      <w:pPr>
        <w:numPr>
          <w:ilvl w:val="0"/>
          <w:numId w:val="1103"/>
        </w:numPr>
        <w:pStyle w:val="Compact"/>
      </w:pPr>
      <w:r>
        <w:rPr>
          <w:bCs/>
          <w:b/>
        </w:rPr>
        <w:t xml:space="preserve">Prader-Willi syndrome</w:t>
      </w:r>
      <w:r>
        <w:rPr>
          <w:rStyle w:val="FootnoteReference"/>
        </w:rPr>
        <w:footnoteReference w:id="824"/>
      </w:r>
      <w:r>
        <w:t xml:space="preserve">: Phase 2 with 18 participants.</w:t>
      </w:r>
    </w:p>
    <w:p>
      <w:pPr>
        <w:numPr>
          <w:ilvl w:val="0"/>
          <w:numId w:val="1103"/>
        </w:numPr>
        <w:pStyle w:val="Compact"/>
      </w:pPr>
      <w:r>
        <w:rPr>
          <w:bCs/>
          <w:b/>
        </w:rPr>
        <w:t xml:space="preserve">Long-term observation</w:t>
      </w:r>
      <w:r>
        <w:t xml:space="preserve"> </w:t>
      </w:r>
      <w:r>
        <w:t xml:space="preserve">in BBS and severe genetic obesity in routine practice</w:t>
      </w:r>
      <w:r>
        <w:rPr>
          <w:rStyle w:val="FootnoteReference"/>
        </w:rPr>
        <w:footnoteReference w:id="825"/>
      </w:r>
      <w:r>
        <w:t xml:space="preserve">.</w:t>
      </w:r>
    </w:p>
    <w:p>
      <w:pPr>
        <w:numPr>
          <w:ilvl w:val="0"/>
          <w:numId w:val="1103"/>
        </w:numPr>
        <w:pStyle w:val="Compact"/>
      </w:pPr>
      <w:r>
        <w:rPr>
          <w:bCs/>
          <w:b/>
        </w:rPr>
        <w:t xml:space="preserve">EMANATE</w:t>
      </w:r>
      <w:r>
        <w:rPr>
          <w:rStyle w:val="FootnoteReference"/>
        </w:rPr>
        <w:footnoteReference w:id="826"/>
      </w:r>
      <w:r>
        <w:t xml:space="preserve"> </w:t>
      </w:r>
      <w:r>
        <w:t xml:space="preserve">and</w:t>
      </w:r>
      <w:r>
        <w:t xml:space="preserve"> </w:t>
      </w:r>
      <w:r>
        <w:rPr>
          <w:bCs/>
          <w:b/>
        </w:rPr>
        <w:t xml:space="preserve">DAYBREAK</w:t>
      </w:r>
      <w:r>
        <w:rPr>
          <w:rStyle w:val="FootnoteReference"/>
        </w:rPr>
        <w:footnoteReference w:id="827"/>
      </w:r>
      <w:r>
        <w:t xml:space="preserve"> </w:t>
      </w:r>
      <w:r>
        <w:t xml:space="preserve">on further gene variants: completed, publication pending.</w:t>
      </w:r>
    </w:p>
    <w:p>
      <w:pPr>
        <w:pStyle w:val="FirstParagraph"/>
      </w:pPr>
      <w:r>
        <w:rPr>
          <w:bCs/>
          <w:b/>
        </w:rPr>
        <w:t xml:space="preserve">Assessment:</w:t>
      </w:r>
      <w:r>
        <w:t xml:space="preserve"> </w:t>
      </w:r>
      <w:r>
        <w:t xml:space="preserve">Setmelanotide has shown that precision medicine is possible in obesity: if you know the cause, you can treat it in a targeted way. The target group remains small; with hypothalamic obesity, however, it could expand considerably. For the great majority of people with obesity, in whom no such genetic defect is present, GLP-1-based drugs are more effective and better studied.</w:t>
      </w:r>
    </w:p>
    <w:bookmarkEnd w:id="828"/>
    <w:bookmarkStart w:id="829" w:name="conclusion-12"/>
    <w:p>
      <w:pPr>
        <w:pStyle w:val="Heading3"/>
      </w:pPr>
      <w:r>
        <w:t xml:space="preserve">Conclusion</w:t>
      </w:r>
    </w:p>
    <w:p>
      <w:pPr>
        <w:pStyle w:val="FirstParagraph"/>
      </w:pPr>
      <w:r>
        <w:t xml:space="preserve">Setmelanotide is a small cyclic peptide that activates the MC4 receptor in the brain and thereby bypasses defective links of the leptin-melanocortin pathway. In small approval trials, 80% of people with POMC deficiency and 45% with leptin receptor deficiency lost at least 10% of their weight; in hypothalamic obesity, BMI fell by 16.5% after one year compared with an increase on placebo. Almost all those treated develop skin reactions at the injection site, and the majority darker skin. Setmelanotide is approved in the EU and the USA for rare genetic forms of obesity and is not a drug for general weight loss.</w:t>
      </w:r>
    </w:p>
    <w:bookmarkEnd w:id="829"/>
    <w:bookmarkEnd w:id="830"/>
    <w:bookmarkStart w:id="855" w:name="aod-9604"/>
    <w:p>
      <w:pPr>
        <w:pStyle w:val="Heading2"/>
      </w:pPr>
      <w:r>
        <w:t xml:space="preserve">AOD-9604</w:t>
      </w:r>
    </w:p>
    <w:bookmarkStart w:id="832" w:name="profile-13"/>
    <w:p>
      <w:pPr>
        <w:pStyle w:val="Heading3"/>
      </w:pPr>
      <w:r>
        <w:t xml:space="preserve">Profile</w:t>
      </w:r>
    </w:p>
    <w:p>
      <w:pPr>
        <w:numPr>
          <w:ilvl w:val="0"/>
          <w:numId w:val="1104"/>
        </w:numPr>
        <w:pStyle w:val="Compact"/>
      </w:pPr>
      <w:r>
        <w:rPr>
          <w:bCs/>
          <w:b/>
        </w:rPr>
        <w:t xml:space="preserve">Type/structure:</w:t>
      </w:r>
      <w:r>
        <w:t xml:space="preserve"> </w:t>
      </w:r>
      <w:r>
        <w:t xml:space="preserve">synthetic peptide from the rear end (C-terminus) of human growth hormone: amino acids 177 to 191, supplemented by an additional tyrosine at the beginning</w:t>
      </w:r>
      <w:r>
        <w:rPr>
          <w:rStyle w:val="FootnoteReference"/>
        </w:rPr>
        <w:footnoteReference w:id="831"/>
      </w:r>
      <w:r>
        <w:t xml:space="preserve">. Often offered online under names such as</w:t>
      </w:r>
      <w:r>
        <w:t xml:space="preserve"> </w:t>
      </w:r>
      <w:r>
        <w:t xml:space="preserve">“</w:t>
      </w:r>
      <w:r>
        <w:t xml:space="preserve">hGH Fragment 176-191</w:t>
      </w:r>
      <w:r>
        <w:t xml:space="preserve">”</w:t>
      </w:r>
      <w:r>
        <w:t xml:space="preserve"> </w:t>
      </w:r>
      <w:r>
        <w:t xml:space="preserve">or</w:t>
      </w:r>
      <w:r>
        <w:t xml:space="preserve"> </w:t>
      </w:r>
      <w:r>
        <w:t xml:space="preserve">“</w:t>
      </w:r>
      <w:r>
        <w:t xml:space="preserve">Frag 176-191.</w:t>
      </w:r>
      <w:r>
        <w:t xml:space="preserve">”</w:t>
      </w:r>
      <w:r>
        <w:t xml:space="preserve"> </w:t>
      </w:r>
      <w:r>
        <w:t xml:space="preserve">The name stands for</w:t>
      </w:r>
      <w:r>
        <w:t xml:space="preserve"> </w:t>
      </w:r>
      <w:r>
        <w:t xml:space="preserve">“</w:t>
      </w:r>
      <w:r>
        <w:t xml:space="preserve">Anti-Obesity Drug 9604.</w:t>
      </w:r>
      <w:r>
        <w:t xml:space="preserve">”</w:t>
      </w:r>
    </w:p>
    <w:p>
      <w:pPr>
        <w:numPr>
          <w:ilvl w:val="0"/>
          <w:numId w:val="1104"/>
        </w:numPr>
        <w:pStyle w:val="Compact"/>
      </w:pPr>
      <w:r>
        <w:rPr>
          <w:bCs/>
          <w:b/>
        </w:rPr>
        <w:t xml:space="preserve">Origin:</w:t>
      </w:r>
      <w:r>
        <w:t xml:space="preserve"> </w:t>
      </w:r>
      <w:r>
        <w:t xml:space="preserve">developed in the 1990s at Monash University in Melbourne and pursued as a weight-loss drug by the Australian company Metabolic Pharmaceuticals.</w:t>
      </w:r>
    </w:p>
    <w:p>
      <w:pPr>
        <w:numPr>
          <w:ilvl w:val="0"/>
          <w:numId w:val="1104"/>
        </w:numPr>
        <w:pStyle w:val="Compact"/>
      </w:pPr>
      <w:r>
        <w:rPr>
          <w:bCs/>
          <w:b/>
        </w:rPr>
        <w:t xml:space="preserve">Mechanism of action (hypothesis):</w:t>
      </w:r>
      <w:r>
        <w:t xml:space="preserve"> </w:t>
      </w:r>
      <w:r>
        <w:t xml:space="preserve">intended to mimic the fat-burning effect of growth hormone without its effects on blood glucose and growth.</w:t>
      </w:r>
    </w:p>
    <w:p>
      <w:pPr>
        <w:numPr>
          <w:ilvl w:val="0"/>
          <w:numId w:val="1104"/>
        </w:numPr>
        <w:pStyle w:val="Compact"/>
      </w:pPr>
      <w:r>
        <w:rPr>
          <w:bCs/>
          <w:b/>
        </w:rPr>
        <w:t xml:space="preserve">Approval EU / USA:</w:t>
      </w:r>
      <w:r>
        <w:t xml:space="preserve"> </w:t>
      </w:r>
      <w:r>
        <w:t xml:space="preserve">no. Development as a medicine was discontinued after Phase 2 trials.</w:t>
      </w:r>
    </w:p>
    <w:p>
      <w:pPr>
        <w:numPr>
          <w:ilvl w:val="0"/>
          <w:numId w:val="1104"/>
        </w:numPr>
        <w:pStyle w:val="Compact"/>
      </w:pPr>
      <w:r>
        <w:rPr>
          <w:bCs/>
          <w:b/>
        </w:rPr>
        <w:t xml:space="preserve">WADA:</w:t>
      </w:r>
      <w:r>
        <w:t xml:space="preserve"> </w:t>
      </w:r>
      <w:r>
        <w:t xml:space="preserve">prohibited – growth hormone fragments such as AOD-9604 are explicitly named on the Prohibited List in class S2.</w:t>
      </w:r>
    </w:p>
    <w:p>
      <w:pPr>
        <w:numPr>
          <w:ilvl w:val="0"/>
          <w:numId w:val="1104"/>
        </w:numPr>
        <w:pStyle w:val="Compact"/>
      </w:pPr>
      <w:r>
        <w:rPr>
          <w:bCs/>
          <w:b/>
        </w:rPr>
        <w:t xml:space="preserve">Evidence level:</w:t>
      </w:r>
      <w:r>
        <w:t xml:space="preserve"> </w:t>
      </w:r>
      <w:r>
        <w:rPr>
          <w:bCs/>
          <w:b/>
        </w:rPr>
        <w:t xml:space="preserve">D</w:t>
      </w:r>
      <w:r>
        <w:t xml:space="preserve"> </w:t>
      </w:r>
      <w:r>
        <w:t xml:space="preserve">– no published results of human studies retrievable in PubMed; data from animal and laboratory studies.</w:t>
      </w:r>
    </w:p>
    <w:bookmarkEnd w:id="832"/>
    <w:bookmarkStart w:id="836" w:name="how-it-is-supposed-to-work-13"/>
    <w:p>
      <w:pPr>
        <w:pStyle w:val="Heading3"/>
      </w:pPr>
      <w:r>
        <w:t xml:space="preserve">How it is supposed to work</w:t>
      </w:r>
    </w:p>
    <w:p>
      <w:pPr>
        <w:pStyle w:val="FirstParagraph"/>
      </w:pPr>
      <w:r>
        <w:t xml:space="preserve">Growth hormone (hGH) has many effects: it promotes longitudinal growth, acts on muscles and bones, stimulates fat burning – and raises blood glucose by weakening the effect of insulin. As early as the 1970s and 1980s, researchers investigated in animals whether individual segments of the hormone carry different partial effects. Notably, in a study in rats, chemically modified versions of exactly this segment (amino acids 177 to 191) triggered elevated blood glucose and insulin resistance</w:t>
      </w:r>
      <w:r>
        <w:rPr>
          <w:rStyle w:val="FootnoteReference"/>
        </w:rPr>
        <w:footnoteReference w:id="833"/>
      </w:r>
      <w:r>
        <w:t xml:space="preserve"> </w:t>
      </w:r>
      <w:r>
        <w:t xml:space="preserve">– precisely the effect that AOD-9604 was later meant to avoid. The results evidently depend strongly on the exact chemical form of the peptide.</w:t>
      </w:r>
    </w:p>
    <w:p>
      <w:pPr>
        <w:pStyle w:val="BodyText"/>
      </w:pPr>
      <w:r>
        <w:t xml:space="preserve">The idea behind AOD-9604: a short piece from the end of the hormone should retain only the fat-burning effect. Laboratory studies showed that AOD-9604 does not bind to the growth hormone receptor and does not stimulate cell division there either</w:t>
      </w:r>
      <w:r>
        <w:rPr>
          <w:rStyle w:val="FootnoteReference"/>
        </w:rPr>
        <w:footnoteReference w:id="834"/>
      </w:r>
      <w:r>
        <w:t xml:space="preserve">. It would therefore not be a</w:t>
      </w:r>
      <w:r>
        <w:t xml:space="preserve"> </w:t>
      </w:r>
      <w:r>
        <w:t xml:space="preserve">“</w:t>
      </w:r>
      <w:r>
        <w:t xml:space="preserve">mini growth hormone</w:t>
      </w:r>
      <w:r>
        <w:t xml:space="preserve">”</w:t>
      </w:r>
      <w:r>
        <w:t xml:space="preserve"> </w:t>
      </w:r>
      <w:r>
        <w:t xml:space="preserve">but a molecule with its own, not yet fully understood mechanism of action. In experiments in mice lacking the beta-3 adrenergic receptor (an important receptor for fat breakdown), the long-term weight-lowering effect was absent; the authors concluded from this that the receptor is involved but is not the direct target</w:t>
      </w:r>
      <w:r>
        <w:rPr>
          <w:rStyle w:val="FootnoteReference"/>
        </w:rPr>
        <w:footnoteReference w:id="835"/>
      </w:r>
      <w:r>
        <w:t xml:space="preserve">.</w:t>
      </w:r>
    </w:p>
    <w:bookmarkEnd w:id="836"/>
    <w:bookmarkStart w:id="838" w:name="human-studies-13"/>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no</w:t>
      </w:r>
      <w:r>
        <w:t xml:space="preserve"> </w:t>
      </w:r>
      <w:r>
        <w:t xml:space="preserve">published human study. On ClinicalTrials.gov, no trial is registered under</w:t>
      </w:r>
      <w:r>
        <w:t xml:space="preserve"> </w:t>
      </w:r>
      <w:r>
        <w:t xml:space="preserve">“</w:t>
      </w:r>
      <w:r>
        <w:t xml:space="preserve">AOD9604</w:t>
      </w:r>
      <w:r>
        <w:t xml:space="preserve">”</w:t>
      </w:r>
      <w:r>
        <w:t xml:space="preserve"> </w:t>
      </w:r>
      <w:r>
        <w:t xml:space="preserve">or</w:t>
      </w:r>
      <w:r>
        <w:t xml:space="preserve"> </w:t>
      </w:r>
      <w:r>
        <w:t xml:space="preserve">“</w:t>
      </w:r>
      <w:r>
        <w:t xml:space="preserve">AOD-9604.</w:t>
      </w:r>
      <w:r>
        <w:t xml:space="preserve">”</w:t>
      </w:r>
    </w:p>
    <w:p>
      <w:pPr>
        <w:pStyle w:val="BodyText"/>
      </w:pPr>
      <w:r>
        <w:t xml:space="preserve">This does not mean that AOD-9604 was never tested in humans. Reviews from 2004 to 2006 report that AOD-9604 was in Phase 2 trials for the treatment of obesity</w:t>
      </w:r>
      <w:r>
        <w:rPr>
          <w:rStyle w:val="FootnoteReference"/>
        </w:rPr>
        <w:footnoteReference w:id="837"/>
      </w:r>
      <w:r>
        <w:t xml:space="preserve">. However, the results of these trials were not published in a peer-reviewed journal indexed in PubMed. According to publicly available information, the developer discontinued the weight-loss program in the second half of the 2000s because no sufficient effect was seen. Since this information does not come from a verifiable study publication, this book gives no figures on it.</w:t>
      </w:r>
    </w:p>
    <w:p>
      <w:pPr>
        <w:pStyle w:val="BodyText"/>
      </w:pPr>
      <w:r>
        <w:t xml:space="preserve">For readers, this means: if you are offered AOD-9604 today as a weight-loss or</w:t>
      </w:r>
      <w:r>
        <w:t xml:space="preserve"> </w:t>
      </w:r>
      <w:r>
        <w:t xml:space="preserve">“</w:t>
      </w:r>
      <w:r>
        <w:t xml:space="preserve">fat burner</w:t>
      </w:r>
      <w:r>
        <w:t xml:space="preserve">”</w:t>
      </w:r>
      <w:r>
        <w:t xml:space="preserve"> </w:t>
      </w:r>
      <w:r>
        <w:t xml:space="preserve">peptide, it cannot be backed by any published human study demonstrating an effect.</w:t>
      </w:r>
    </w:p>
    <w:bookmarkEnd w:id="838"/>
    <w:bookmarkStart w:id="843" w:name="animal-and-laboratory-studies-13"/>
    <w:p>
      <w:pPr>
        <w:pStyle w:val="Heading3"/>
      </w:pPr>
      <w:r>
        <w:t xml:space="preserve">Animal and laboratory studies</w:t>
      </w:r>
    </w:p>
    <w:p>
      <w:pPr>
        <w:pStyle w:val="FirstParagraph"/>
      </w:pPr>
      <w:r>
        <w:t xml:space="preserve">All of the following results come from animal experiments or laboratory studies:</w:t>
      </w:r>
    </w:p>
    <w:p>
      <w:pPr>
        <w:numPr>
          <w:ilvl w:val="0"/>
          <w:numId w:val="1105"/>
        </w:numPr>
        <w:pStyle w:val="Compact"/>
      </w:pPr>
      <w:r>
        <w:rPr>
          <w:bCs/>
          <w:b/>
        </w:rPr>
        <w:t xml:space="preserve">In obese rats</w:t>
      </w:r>
      <w:r>
        <w:t xml:space="preserve"> </w:t>
      </w:r>
      <w:r>
        <w:t xml:space="preserve">(Zucker rats), AOD-9604 given in the feed over 19 days reduced weight gain by more than half; adipose tissue showed higher fat-breakdown activity. Unlike with complete growth hormone, insulin sensitivity did not worsen</w:t>
      </w:r>
      <w:r>
        <w:rPr>
          <w:rStyle w:val="FootnoteReference"/>
        </w:rPr>
        <w:footnoteReference w:id="839"/>
      </w:r>
      <w:r>
        <w:t xml:space="preserve">.</w:t>
      </w:r>
    </w:p>
    <w:p>
      <w:pPr>
        <w:numPr>
          <w:ilvl w:val="0"/>
          <w:numId w:val="1105"/>
        </w:numPr>
        <w:pStyle w:val="Compact"/>
      </w:pPr>
      <w:r>
        <w:rPr>
          <w:bCs/>
          <w:b/>
        </w:rPr>
        <w:t xml:space="preserve">In obese mice</w:t>
      </w:r>
      <w:r>
        <w:t xml:space="preserve">, both growth hormone and AOD-9604 reduced weight gain over 14 days and increased fat burning. In contrast to growth hormone, AOD-9604 did not cause elevated blood glucose</w:t>
      </w:r>
      <w:r>
        <w:rPr>
          <w:rStyle w:val="FootnoteReference"/>
        </w:rPr>
        <w:footnoteReference w:id="840"/>
      </w:r>
      <w:r>
        <w:t xml:space="preserve">.</w:t>
      </w:r>
    </w:p>
    <w:p>
      <w:pPr>
        <w:numPr>
          <w:ilvl w:val="0"/>
          <w:numId w:val="1105"/>
        </w:numPr>
        <w:pStyle w:val="Compact"/>
      </w:pPr>
      <w:r>
        <w:rPr>
          <w:bCs/>
          <w:b/>
        </w:rPr>
        <w:t xml:space="preserve">Earlier preliminary work</w:t>
      </w:r>
      <w:r>
        <w:t xml:space="preserve"> </w:t>
      </w:r>
      <w:r>
        <w:t xml:space="preserve">in mice with the related peptide hGH 177–191 showed a smaller increase in body weight and adipose tissue</w:t>
      </w:r>
      <w:r>
        <w:rPr>
          <w:rStyle w:val="FootnoteReference"/>
        </w:rPr>
        <w:footnoteReference w:id="841"/>
      </w:r>
      <w:r>
        <w:t xml:space="preserve">.</w:t>
      </w:r>
    </w:p>
    <w:p>
      <w:pPr>
        <w:numPr>
          <w:ilvl w:val="0"/>
          <w:numId w:val="1105"/>
        </w:numPr>
        <w:pStyle w:val="Compact"/>
      </w:pPr>
      <w:r>
        <w:rPr>
          <w:bCs/>
          <w:b/>
        </w:rPr>
        <w:t xml:space="preserve">In rabbits</w:t>
      </w:r>
      <w:r>
        <w:t xml:space="preserve"> </w:t>
      </w:r>
      <w:r>
        <w:t xml:space="preserve">with artificially induced knee osteoarthritis, injections of AOD-9604 into the joint – alone or together with hyaluronic acid – improved the condition of the cartilage</w:t>
      </w:r>
      <w:r>
        <w:rPr>
          <w:rStyle w:val="FootnoteReference"/>
        </w:rPr>
        <w:footnoteReference w:id="842"/>
      </w:r>
      <w:r>
        <w:t xml:space="preserve">. This finding is frequently cited online as evidence of a</w:t>
      </w:r>
      <w:r>
        <w:t xml:space="preserve"> </w:t>
      </w:r>
      <w:r>
        <w:t xml:space="preserve">“</w:t>
      </w:r>
      <w:r>
        <w:t xml:space="preserve">joint-regenerating</w:t>
      </w:r>
      <w:r>
        <w:t xml:space="preserve">”</w:t>
      </w:r>
      <w:r>
        <w:t xml:space="preserve"> </w:t>
      </w:r>
      <w:r>
        <w:t xml:space="preserve">effect in humans; no such human study exists.</w:t>
      </w:r>
    </w:p>
    <w:p>
      <w:pPr>
        <w:pStyle w:val="FirstParagraph"/>
      </w:pPr>
      <w:r>
        <w:t xml:space="preserve">The animal studies are small, partly older and predominantly from the developers’ circle.</w:t>
      </w:r>
    </w:p>
    <w:bookmarkEnd w:id="843"/>
    <w:bookmarkStart w:id="849" w:name="risks-and-side-effects-13"/>
    <w:p>
      <w:pPr>
        <w:pStyle w:val="Heading3"/>
      </w:pPr>
      <w:r>
        <w:t xml:space="preserve">Risks and side effects</w:t>
      </w:r>
    </w:p>
    <w:p>
      <w:pPr>
        <w:pStyle w:val="FirstParagraph"/>
      </w:pPr>
      <w:r>
        <w:rPr>
          <w:bCs/>
          <w:b/>
        </w:rPr>
        <w:t xml:space="preserve">Documented:</w:t>
      </w:r>
      <w:r>
        <w:t xml:space="preserve"> </w:t>
      </w:r>
      <w:r>
        <w:t xml:space="preserve">In the absence of published human studies, there are no robust data on side effects in humans.</w:t>
      </w:r>
    </w:p>
    <w:p>
      <w:pPr>
        <w:pStyle w:val="BodyText"/>
      </w:pPr>
      <w:r>
        <w:rPr>
          <w:bCs/>
          <w:b/>
        </w:rPr>
        <w:t xml:space="preserve">From analyses of gray-market products and doping control:</w:t>
      </w:r>
    </w:p>
    <w:p>
      <w:pPr>
        <w:numPr>
          <w:ilvl w:val="0"/>
          <w:numId w:val="1106"/>
        </w:numPr>
        <w:pStyle w:val="Compact"/>
      </w:pPr>
      <w:r>
        <w:t xml:space="preserve">AOD-9604 has been offered via websites for years and has been found in seized vials, among others in the USA</w:t>
      </w:r>
      <w:r>
        <w:rPr>
          <w:rStyle w:val="FootnoteReference"/>
        </w:rPr>
        <w:footnoteReference w:id="844"/>
      </w:r>
      <w:r>
        <w:t xml:space="preserve"> </w:t>
      </w:r>
      <w:r>
        <w:t xml:space="preserve">and in Belgium, where authorities examined unknown peptide preparations</w:t>
      </w:r>
      <w:r>
        <w:rPr>
          <w:rStyle w:val="FootnoteReference"/>
        </w:rPr>
        <w:footnoteReference w:id="845"/>
      </w:r>
      <w:r>
        <w:t xml:space="preserve">.</w:t>
      </w:r>
    </w:p>
    <w:p>
      <w:pPr>
        <w:numPr>
          <w:ilvl w:val="0"/>
          <w:numId w:val="1106"/>
        </w:numPr>
        <w:pStyle w:val="Compact"/>
      </w:pPr>
      <w:r>
        <w:t xml:space="preserve">Reviews on peptides in sport and on the gray market emphasize that hardly any robust human safety data exist for AOD-9604 and similar substances and that the composition, dose and purity of the products are uncertain</w:t>
      </w:r>
      <w:r>
        <w:rPr>
          <w:rStyle w:val="FootnoteReference"/>
        </w:rPr>
        <w:footnoteReference w:id="846"/>
      </w:r>
      <w:r>
        <w:t xml:space="preserve">. Another review points to mislabeled or contaminated products in unregulated trade</w:t>
      </w:r>
      <w:r>
        <w:rPr>
          <w:rStyle w:val="FootnoteReference"/>
        </w:rPr>
        <w:footnoteReference w:id="847"/>
      </w:r>
      <w:r>
        <w:t xml:space="preserve">.</w:t>
      </w:r>
    </w:p>
    <w:p>
      <w:pPr>
        <w:pStyle w:val="FirstParagraph"/>
      </w:pPr>
      <w:r>
        <w:rPr>
          <w:bCs/>
          <w:b/>
        </w:rPr>
        <w:t xml:space="preserve">Theoretical:</w:t>
      </w:r>
      <w:r>
        <w:t xml:space="preserve"> </w:t>
      </w:r>
      <w:r>
        <w:t xml:space="preserve">With any injectable product from uncontrolled manufacturing, there are risks from contaminants, bacteria or incorrect ingredients (see Part I and Part IV). Whether AOD-9604 – like growth hormone – affects metabolism or cell growth in the long term has not been studied in humans. The laboratory data argue against a direct effect at the growth hormone receptor</w:t>
      </w:r>
      <w:r>
        <w:rPr>
          <w:rStyle w:val="FootnoteReference"/>
        </w:rPr>
        <w:footnoteReference w:id="848"/>
      </w:r>
      <w:r>
        <w:t xml:space="preserve">.</w:t>
      </w:r>
    </w:p>
    <w:bookmarkEnd w:id="849"/>
    <w:bookmarkStart w:id="852" w:name="legal-status-13"/>
    <w:p>
      <w:pPr>
        <w:pStyle w:val="Heading3"/>
      </w:pPr>
      <w:r>
        <w:t xml:space="preserve">Legal status</w:t>
      </w:r>
    </w:p>
    <w:p>
      <w:pPr>
        <w:numPr>
          <w:ilvl w:val="0"/>
          <w:numId w:val="1107"/>
        </w:numPr>
        <w:pStyle w:val="Compact"/>
      </w:pPr>
      <w:r>
        <w:rPr>
          <w:bCs/>
          <w:b/>
        </w:rPr>
        <w:t xml:space="preserve">EU / Austria / Germany:</w:t>
      </w:r>
      <w:r>
        <w:t xml:space="preserve"> </w:t>
      </w:r>
      <w:r>
        <w:t xml:space="preserve">not approved as a medicine. Products offered for use in humans may not be marketed under pharmaceutical law;</w:t>
      </w:r>
      <w:r>
        <w:t xml:space="preserve"> </w:t>
      </w:r>
      <w:r>
        <w:t xml:space="preserve">“</w:t>
      </w:r>
      <w:r>
        <w:t xml:space="preserve">for research use only</w:t>
      </w:r>
      <w:r>
        <w:t xml:space="preserve">”</w:t>
      </w:r>
      <w:r>
        <w:t xml:space="preserve"> </w:t>
      </w:r>
      <w:r>
        <w:t xml:space="preserve">notices do not change this.</w:t>
      </w:r>
    </w:p>
    <w:p>
      <w:pPr>
        <w:numPr>
          <w:ilvl w:val="0"/>
          <w:numId w:val="1107"/>
        </w:numPr>
        <w:pStyle w:val="Compact"/>
      </w:pPr>
      <w:r>
        <w:rPr>
          <w:bCs/>
          <w:b/>
        </w:rPr>
        <w:t xml:space="preserve">USA:</w:t>
      </w:r>
      <w:r>
        <w:t xml:space="preserve"> </w:t>
      </w:r>
      <w:r>
        <w:t xml:space="preserve">not approved as a medicine. The FDA has placed AOD-9604 on the list of substances that, because of safety concerns, may not readily be compounded into medicines by pharmacies.</w:t>
      </w:r>
    </w:p>
    <w:p>
      <w:pPr>
        <w:numPr>
          <w:ilvl w:val="0"/>
          <w:numId w:val="1107"/>
        </w:numPr>
        <w:pStyle w:val="Compact"/>
      </w:pPr>
      <w:r>
        <w:rPr>
          <w:bCs/>
          <w:b/>
        </w:rPr>
        <w:t xml:space="preserve">Sport:</w:t>
      </w:r>
      <w:r>
        <w:t xml:space="preserve"> </w:t>
      </w:r>
      <w:r>
        <w:t xml:space="preserve">explicitly prohibited (WADA Prohibited List, class S2 – peptide hormones, growth factors, related substances; growth hormone fragments). AOD-9604 became known to a wider public through the doping scandal surrounding the Australian football club Essendon in 2013. Specific detection methods in urine have been developed for doping control</w:t>
      </w:r>
      <w:r>
        <w:rPr>
          <w:rStyle w:val="FootnoteReference"/>
        </w:rPr>
        <w:footnoteReference w:id="850"/>
      </w:r>
      <w:r>
        <w:t xml:space="preserve">. The usual growth hormone test is not affected by AOD-9604</w:t>
      </w:r>
      <w:r>
        <w:rPr>
          <w:rStyle w:val="FootnoteReference"/>
        </w:rPr>
        <w:footnoteReference w:id="851"/>
      </w:r>
      <w:r>
        <w:t xml:space="preserve"> </w:t>
      </w:r>
      <w:r>
        <w:t xml:space="preserve">– the fragment therefore has to be specifically looked for. As of 2026, please check for updates.</w:t>
      </w:r>
    </w:p>
    <w:bookmarkEnd w:id="852"/>
    <w:bookmarkStart w:id="853" w:name="ongoing-studies-and-outlook-13"/>
    <w:p>
      <w:pPr>
        <w:pStyle w:val="Heading3"/>
      </w:pPr>
      <w:r>
        <w:t xml:space="preserve">Ongoing studies and outlook</w:t>
      </w:r>
    </w:p>
    <w:p>
      <w:pPr>
        <w:pStyle w:val="FirstParagraph"/>
      </w:pPr>
      <w:r>
        <w:rPr>
          <w:bCs/>
          <w:b/>
        </w:rPr>
        <w:t xml:space="preserve">Confirmed:</w:t>
      </w:r>
      <w:r>
        <w:t xml:space="preserve"> </w:t>
      </w:r>
      <w:r>
        <w:t xml:space="preserve">No ongoing trial on AOD-9604 is registered on ClinicalTrials.gov (search October 2026).</w:t>
      </w:r>
    </w:p>
    <w:p>
      <w:pPr>
        <w:pStyle w:val="BodyText"/>
      </w:pPr>
      <w:r>
        <w:rPr>
          <w:bCs/>
          <w:b/>
        </w:rPr>
        <w:t xml:space="preserve">Assessment:</w:t>
      </w:r>
      <w:r>
        <w:t xml:space="preserve"> </w:t>
      </w:r>
      <w:r>
        <w:t xml:space="preserve">There is no discernible path by which AOD-9604 could become an approved medicine in the foreseeable future. With the GLP-1-based agents, weight-loss drugs with large, well-documented efficacy exist today; a peptide whose own development as a weight-loss agent was not successful is unlikely to attract new investor interest. AOD-9604 will therefore probably remain a gray-market product.</w:t>
      </w:r>
    </w:p>
    <w:bookmarkEnd w:id="853"/>
    <w:bookmarkStart w:id="854" w:name="conclusion-13"/>
    <w:p>
      <w:pPr>
        <w:pStyle w:val="Heading3"/>
      </w:pPr>
      <w:r>
        <w:t xml:space="preserve">Conclusion</w:t>
      </w:r>
    </w:p>
    <w:p>
      <w:pPr>
        <w:pStyle w:val="FirstParagraph"/>
      </w:pPr>
      <w:r>
        <w:t xml:space="preserve">AOD-9604 is a short piece of growth hormone that stimulated fat breakdown in rats and mice without raising blood glucose. Although human studies were conducted in the 2000s, their results have not been published in peer-reviewed journals, and development as a weight-loss drug was discontinued. Robust data on efficacy and safety in humans are therefore completely lacking. AOD-9604 is not approved as a medicine anywhere and is explicitly prohibited in sport.</w:t>
      </w:r>
    </w:p>
    <w:bookmarkEnd w:id="854"/>
    <w:bookmarkEnd w:id="855"/>
    <w:bookmarkStart w:id="892" w:name="orforglipron-for-comparison"/>
    <w:p>
      <w:pPr>
        <w:pStyle w:val="Heading2"/>
      </w:pPr>
      <w:r>
        <w:t xml:space="preserve">Orforglipron (for comparison)</w:t>
      </w:r>
    </w:p>
    <w:bookmarkStart w:id="856" w:name="profile-14"/>
    <w:p>
      <w:pPr>
        <w:pStyle w:val="Heading3"/>
      </w:pPr>
      <w:r>
        <w:t xml:space="preserve">Profile</w:t>
      </w:r>
    </w:p>
    <w:p>
      <w:pPr>
        <w:numPr>
          <w:ilvl w:val="0"/>
          <w:numId w:val="1108"/>
        </w:numPr>
        <w:pStyle w:val="Compact"/>
      </w:pPr>
      <w:r>
        <w:rPr>
          <w:bCs/>
          <w:b/>
        </w:rPr>
        <w:t xml:space="preserve">Type/structure:</w:t>
      </w:r>
      <w:r>
        <w:t xml:space="preserve"> </w:t>
      </w:r>
      <w:r>
        <w:rPr>
          <w:bCs/>
          <w:b/>
        </w:rPr>
        <w:t xml:space="preserve">not a peptide</w:t>
      </w:r>
      <w:r>
        <w:t xml:space="preserve">, but a small, chemically manufactured molecule (</w:t>
      </w:r>
      <w:r>
        <w:t xml:space="preserve">“</w:t>
      </w:r>
      <w:r>
        <w:t xml:space="preserve">small molecule</w:t>
      </w:r>
      <w:r>
        <w:t xml:space="preserve">”</w:t>
      </w:r>
      <w:r>
        <w:t xml:space="preserve">) that acts like a peptide at the GLP-1 receptor. Development code LY3502970. Taken once daily as a tablet or capsule.</w:t>
      </w:r>
    </w:p>
    <w:p>
      <w:pPr>
        <w:numPr>
          <w:ilvl w:val="0"/>
          <w:numId w:val="1108"/>
        </w:numPr>
        <w:pStyle w:val="Compact"/>
      </w:pPr>
      <w:r>
        <w:rPr>
          <w:bCs/>
          <w:b/>
        </w:rPr>
        <w:t xml:space="preserve">Origin:</w:t>
      </w:r>
      <w:r>
        <w:t xml:space="preserve"> </w:t>
      </w:r>
      <w:r>
        <w:t xml:space="preserve">originally discovered by Chugai Pharmaceutical, licensed and developed by Eli Lilly.</w:t>
      </w:r>
    </w:p>
    <w:p>
      <w:pPr>
        <w:numPr>
          <w:ilvl w:val="0"/>
          <w:numId w:val="1108"/>
        </w:numPr>
        <w:pStyle w:val="Compact"/>
      </w:pPr>
      <w:r>
        <w:rPr>
          <w:bCs/>
          <w:b/>
        </w:rPr>
        <w:t xml:space="preserve">Mechanism of action:</w:t>
      </w:r>
      <w:r>
        <w:t xml:space="preserve"> </w:t>
      </w:r>
      <w:r>
        <w:t xml:space="preserve">agonist at the GLP-1 receptor – the same target as semaglutide or liraglutide, but with a completely different chemical structure.</w:t>
      </w:r>
    </w:p>
    <w:p>
      <w:pPr>
        <w:numPr>
          <w:ilvl w:val="0"/>
          <w:numId w:val="1108"/>
        </w:numPr>
        <w:pStyle w:val="Compact"/>
      </w:pPr>
      <w:r>
        <w:rPr>
          <w:bCs/>
          <w:b/>
        </w:rPr>
        <w:t xml:space="preserve">Approval EU / USA:</w:t>
      </w:r>
      <w:r>
        <w:t xml:space="preserve"> </w:t>
      </w:r>
      <w:r>
        <w:t xml:space="preserve">according to the research for this book (October 2026), not recorded as approved; applications for approval have been submitted or announced on the basis of the Phase 3 trials – please check for updates.</w:t>
      </w:r>
    </w:p>
    <w:p>
      <w:pPr>
        <w:numPr>
          <w:ilvl w:val="0"/>
          <w:numId w:val="1108"/>
        </w:numPr>
        <w:pStyle w:val="Compact"/>
      </w:pPr>
      <w:r>
        <w:rPr>
          <w:bCs/>
          <w:b/>
        </w:rPr>
        <w:t xml:space="preserve">WADA:</w:t>
      </w:r>
      <w:r>
        <w:t xml:space="preserve"> </w:t>
      </w:r>
      <w:r>
        <w:t xml:space="preserve">not listed by name; as long as it is not approved anywhere, prohibited under S0.</w:t>
      </w:r>
    </w:p>
    <w:p>
      <w:pPr>
        <w:numPr>
          <w:ilvl w:val="0"/>
          <w:numId w:val="1108"/>
        </w:numPr>
        <w:pStyle w:val="Compact"/>
      </w:pPr>
      <w:r>
        <w:rPr>
          <w:bCs/>
          <w:b/>
        </w:rPr>
        <w:t xml:space="preserve">Evidence level:</w:t>
      </w:r>
      <w:r>
        <w:t xml:space="preserve"> </w:t>
      </w:r>
      <w:r>
        <w:rPr>
          <w:bCs/>
          <w:b/>
        </w:rPr>
        <w:t xml:space="preserve">A</w:t>
      </w:r>
      <w:r>
        <w:t xml:space="preserve"> </w:t>
      </w:r>
      <w:r>
        <w:t xml:space="preserve">based on the data (several large Phase 3 trials including a cardiovascular safety trial); formal approval is still pending or should be checked.</w:t>
      </w:r>
    </w:p>
    <w:bookmarkEnd w:id="856"/>
    <w:bookmarkStart w:id="858" w:name="why-this-chapter-is-in-a-peptide-book"/>
    <w:p>
      <w:pPr>
        <w:pStyle w:val="Heading3"/>
      </w:pPr>
      <w:r>
        <w:t xml:space="preserve">Why this chapter is in a peptide book</w:t>
      </w:r>
    </w:p>
    <w:p>
      <w:pPr>
        <w:pStyle w:val="FirstParagraph"/>
      </w:pPr>
      <w:r>
        <w:t xml:space="preserve">All GLP-1 drugs up to 2025 were peptides. Peptides are largely digested in the gastrointestinal tract and hardly absorbed – which is why they have to be injected. The only exception, semaglutide as a tablet, requires an excipient that facilitates absorption through the gastric mucosa, and strict rules for taking it: on an empty stomach, with little water and at an interval before breakfast (see chapter Semaglutide and Part I on the question of how peptides get into the body).</w:t>
      </w:r>
    </w:p>
    <w:p>
      <w:pPr>
        <w:pStyle w:val="BodyText"/>
      </w:pPr>
      <w:r>
        <w:t xml:space="preserve">Orforglipron fundamentally circumvents this problem: as a small molecule, it is absorbed from the gut like a conventional tablet. According to the trials, it can be taken without regard to meals or amount of water</w:t>
      </w:r>
      <w:r>
        <w:rPr>
          <w:rStyle w:val="FootnoteReference"/>
        </w:rPr>
        <w:footnoteReference w:id="857"/>
      </w:r>
      <w:r>
        <w:t xml:space="preserve">. Orforglipron is thus the most important comparison case for the question of whether the future of weight-loss drugs lies with peptides at all (see Part V).</w:t>
      </w:r>
    </w:p>
    <w:bookmarkEnd w:id="858"/>
    <w:bookmarkStart w:id="860" w:name="how-it-is-supposed-to-work-14"/>
    <w:p>
      <w:pPr>
        <w:pStyle w:val="Heading3"/>
      </w:pPr>
      <w:r>
        <w:t xml:space="preserve">How it is supposed to work</w:t>
      </w:r>
    </w:p>
    <w:p>
      <w:pPr>
        <w:pStyle w:val="FirstParagraph"/>
      </w:pPr>
      <w:r>
        <w:t xml:space="preserve">Orforglipron binds to the GLP-1 receptor and triggers effects similar to those of the peptide agonists: less appetite, delayed gastric emptying, more insulin in a glucose-dependent manner. It activates only the GLP-1 receptor, not GIP or glucagon receptors. Studies in people with type 2 diabetes showed improvements in markers of beta-cell function and insulin sensitivity</w:t>
      </w:r>
      <w:r>
        <w:rPr>
          <w:rStyle w:val="FootnoteReference"/>
        </w:rPr>
        <w:footnoteReference w:id="859"/>
      </w:r>
      <w:r>
        <w:t xml:space="preserve">.</w:t>
      </w:r>
    </w:p>
    <w:bookmarkEnd w:id="860"/>
    <w:bookmarkStart w:id="871" w:name="human-studies-14"/>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20 human studies. On ClinicalTrials.gov, 53 trials were registered. The approval programs are called</w:t>
      </w:r>
      <w:r>
        <w:t xml:space="preserve"> </w:t>
      </w:r>
      <w:r>
        <w:rPr>
          <w:bCs/>
          <w:b/>
        </w:rPr>
        <w:t xml:space="preserve">ATTAIN</w:t>
      </w:r>
      <w:r>
        <w:t xml:space="preserve"> </w:t>
      </w:r>
      <w:r>
        <w:t xml:space="preserve">(obesity) and</w:t>
      </w:r>
      <w:r>
        <w:t xml:space="preserve"> </w:t>
      </w:r>
      <w:r>
        <w:rPr>
          <w:bCs/>
          <w:b/>
        </w:rPr>
        <w:t xml:space="preserve">ACHIEVE</w:t>
      </w:r>
      <w:r>
        <w:t xml:space="preserve"> </w:t>
      </w:r>
      <w:r>
        <w:t xml:space="preserve">(type 2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obesity (Wharton 2023), PMID 37351564</w:t>
            </w:r>
          </w:p>
        </w:tc>
        <w:tc>
          <w:tcPr/>
          <w:p>
            <w:pPr>
              <w:pStyle w:val="Compact"/>
              <w:jc w:val="left"/>
            </w:pPr>
            <w:r>
              <w:t xml:space="preserve">272 adults without diabetes, vs. placebo</w:t>
            </w:r>
          </w:p>
        </w:tc>
        <w:tc>
          <w:tcPr/>
          <w:p>
            <w:pPr>
              <w:pStyle w:val="Compact"/>
              <w:jc w:val="left"/>
            </w:pPr>
            <w:r>
              <w:t xml:space="preserve">36 weeks</w:t>
            </w:r>
          </w:p>
        </w:tc>
        <w:tc>
          <w:tcPr/>
          <w:p>
            <w:pPr>
              <w:pStyle w:val="Compact"/>
              <w:jc w:val="left"/>
            </w:pPr>
            <w:r>
              <w:t xml:space="preserve">−9.4 to −14.7% weight vs. −2.3%</w:t>
            </w:r>
          </w:p>
        </w:tc>
      </w:tr>
      <w:tr>
        <w:tc>
          <w:tcPr/>
          <w:p>
            <w:pPr>
              <w:pStyle w:val="Compact"/>
              <w:jc w:val="left"/>
            </w:pPr>
            <w:r>
              <w:t xml:space="preserve">ATTAIN-1 (Wharton 2025), PMID 40960239</w:t>
            </w:r>
          </w:p>
        </w:tc>
        <w:tc>
          <w:tcPr/>
          <w:p>
            <w:pPr>
              <w:pStyle w:val="Compact"/>
              <w:jc w:val="left"/>
            </w:pPr>
            <w:r>
              <w:t xml:space="preserve">3,127 adults with obesity without diabetes, vs. placebo</w:t>
            </w:r>
          </w:p>
        </w:tc>
        <w:tc>
          <w:tcPr/>
          <w:p>
            <w:pPr>
              <w:pStyle w:val="Compact"/>
              <w:jc w:val="left"/>
            </w:pPr>
            <w:r>
              <w:t xml:space="preserve">72 weeks</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adults with obesity and type 2 diabetes</w:t>
            </w:r>
          </w:p>
        </w:tc>
        <w:tc>
          <w:tcPr/>
          <w:p>
            <w:pPr>
              <w:pStyle w:val="Compact"/>
              <w:jc w:val="left"/>
            </w:pPr>
            <w:r>
              <w:t xml:space="preserve">72 weeks</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adults after tirzepatide or semaglutide, switch vs. placebo</w:t>
            </w:r>
          </w:p>
        </w:tc>
        <w:tc>
          <w:tcPr/>
          <w:p>
            <w:pPr>
              <w:pStyle w:val="Compact"/>
              <w:jc w:val="left"/>
            </w:pPr>
            <w:r>
              <w:t xml:space="preserve">52 weeks</w:t>
            </w:r>
          </w:p>
        </w:tc>
        <w:tc>
          <w:tcPr/>
          <w:p>
            <w:pPr>
              <w:pStyle w:val="Compact"/>
              <w:jc w:val="left"/>
            </w:pPr>
            <w:r>
              <w:t xml:space="preserve">74.7% and 79.3% of weight loss maintained (placebo 49.2% and 37.6%)</w:t>
            </w:r>
          </w:p>
        </w:tc>
      </w:tr>
      <w:tr>
        <w:tc>
          <w:tcPr/>
          <w:p>
            <w:pPr>
              <w:pStyle w:val="Compact"/>
              <w:jc w:val="left"/>
            </w:pPr>
            <w:r>
              <w:t xml:space="preserve">ACHIEVE-1 (Rosenstock 2025), PMID 40544435</w:t>
            </w:r>
          </w:p>
        </w:tc>
        <w:tc>
          <w:tcPr/>
          <w:p>
            <w:pPr>
              <w:pStyle w:val="Compact"/>
              <w:jc w:val="left"/>
            </w:pPr>
            <w:r>
              <w:t xml:space="preserve">559 adults with early type 2 diabetes</w:t>
            </w:r>
          </w:p>
        </w:tc>
        <w:tc>
          <w:tcPr/>
          <w:p>
            <w:pPr>
              <w:pStyle w:val="Compact"/>
              <w:jc w:val="left"/>
            </w:pPr>
            <w:r>
              <w:t xml:space="preserve">40 weeks</w:t>
            </w:r>
          </w:p>
        </w:tc>
        <w:tc>
          <w:tcPr/>
          <w:p>
            <w:pPr>
              <w:pStyle w:val="Compact"/>
              <w:jc w:val="left"/>
            </w:pPr>
            <w:r>
              <w:t xml:space="preserve">HbA1c −1.24 to −1.48 vs. −0.41</w:t>
            </w:r>
          </w:p>
        </w:tc>
      </w:tr>
      <w:tr>
        <w:tc>
          <w:tcPr/>
          <w:p>
            <w:pPr>
              <w:pStyle w:val="Compact"/>
              <w:jc w:val="left"/>
            </w:pPr>
            <w:r>
              <w:t xml:space="preserve">ACHIEVE-3 (Rosenstock 2026), PMID 41765029</w:t>
            </w:r>
          </w:p>
        </w:tc>
        <w:tc>
          <w:tcPr/>
          <w:p>
            <w:pPr>
              <w:pStyle w:val="Compact"/>
              <w:jc w:val="left"/>
            </w:pPr>
            <w:r>
              <w:t xml:space="preserve">1,698 adults with type 2 diabetes, open-label vs. semaglutide tablet</w:t>
            </w:r>
          </w:p>
        </w:tc>
        <w:tc>
          <w:tcPr/>
          <w:p>
            <w:pPr>
              <w:pStyle w:val="Compact"/>
              <w:jc w:val="left"/>
            </w:pPr>
            <w:r>
              <w:t xml:space="preserve">52 weeks</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adults with type 2 diabetes and high cardiovascular risk, vs. insulin glargine</w:t>
            </w:r>
          </w:p>
        </w:tc>
        <w:tc>
          <w:tcPr/>
          <w:p>
            <w:pPr>
              <w:pStyle w:val="Compact"/>
              <w:jc w:val="left"/>
            </w:pPr>
            <w:r>
              <w:t xml:space="preserve">median 2 years</w:t>
            </w:r>
          </w:p>
        </w:tc>
        <w:tc>
          <w:tcPr/>
          <w:p>
            <w:pPr>
              <w:pStyle w:val="Compact"/>
              <w:jc w:val="left"/>
            </w:pPr>
            <w:r>
              <w:t xml:space="preserve">MACE-4: 4.2% vs. 5.0% (non-inferior)</w:t>
            </w:r>
          </w:p>
        </w:tc>
      </w:tr>
    </w:tbl>
    <w:bookmarkStart w:id="865" w:name="obesity-attain"/>
    <w:p>
      <w:pPr>
        <w:pStyle w:val="Heading4"/>
      </w:pPr>
      <w:r>
        <w:t xml:space="preserve">Obesity: ATTAIN</w:t>
      </w:r>
    </w:p>
    <w:p>
      <w:pPr>
        <w:pStyle w:val="FirstParagraph"/>
      </w:pPr>
      <w:r>
        <w:rPr>
          <w:bCs/>
          <w:b/>
        </w:rPr>
        <w:t xml:space="preserve">ATTAIN-1</w:t>
      </w:r>
      <w:r>
        <w:rPr>
          <w:rStyle w:val="FootnoteReference"/>
        </w:rPr>
        <w:footnoteReference w:id="861"/>
      </w:r>
      <w:r>
        <w:t xml:space="preserve"> </w:t>
      </w:r>
      <w:r>
        <w:t xml:space="preserve">is the main trial. After 72 weeks, the 3,127 participants on the highest dose lost an average of 11.2% of their weight, and 2.1% on placebo. At the highest dose, 54.6% achieved at least 10% and 18.4% at least 20% weight loss. 5.3 to 10.3% discontinued due to side effects (placebo 2.7%).</w:t>
      </w:r>
    </w:p>
    <w:p>
      <w:pPr>
        <w:pStyle w:val="BodyText"/>
      </w:pPr>
      <w:r>
        <w:t xml:space="preserve">For context: this is considerably less than with injected semaglutide or tirzepatide in their approval trials and less than the Phase 2 trial, with up to 14.7% after 36 weeks, had led people to expect</w:t>
      </w:r>
      <w:r>
        <w:rPr>
          <w:rStyle w:val="FootnoteReference"/>
        </w:rPr>
        <w:footnoteReference w:id="862"/>
      </w:r>
      <w:r>
        <w:t xml:space="preserve">. Cross-trial comparisons are, however, only a rough guide.</w:t>
      </w:r>
    </w:p>
    <w:p>
      <w:pPr>
        <w:pStyle w:val="BodyText"/>
      </w:pPr>
      <w:r>
        <w:rPr>
          <w:bCs/>
          <w:b/>
        </w:rPr>
        <w:t xml:space="preserve">ATTAIN-2</w:t>
      </w:r>
      <w:r>
        <w:rPr>
          <w:rStyle w:val="FootnoteReference"/>
        </w:rPr>
        <w:footnoteReference w:id="863"/>
      </w:r>
      <w:r>
        <w:t xml:space="preserve"> </w:t>
      </w:r>
      <w:r>
        <w:t xml:space="preserve">showed a weight loss of up to 9.6% compared with 2.5% on placebo in people with type 2 diabetes.</w:t>
      </w:r>
    </w:p>
    <w:p>
      <w:pPr>
        <w:pStyle w:val="BodyText"/>
      </w:pPr>
      <w:r>
        <w:rPr>
          <w:bCs/>
          <w:b/>
        </w:rPr>
        <w:t xml:space="preserve">ATTAIN-MAINTAIN</w:t>
      </w:r>
      <w:r>
        <w:rPr>
          <w:rStyle w:val="FootnoteReference"/>
        </w:rPr>
        <w:footnoteReference w:id="864"/>
      </w:r>
      <w:r>
        <w:t xml:space="preserve"> </w:t>
      </w:r>
      <w:r>
        <w:t xml:space="preserve">is particularly interesting for practice. Participants who had previously lost weight with injected tirzepatide or semaglutide in the SURMOUNT-5 trial switched to orforglipron or placebo. After 52 weeks, those previously treated with tirzepatide maintained 74.7% of their weight loss with orforglipron (placebo 49.2%), and those previously treated with semaglutide 79.3% (placebo 37.6%). There was no comparison group that simply continued receiving the injection – the authors themselves cite this as a limitation. The concept</w:t>
      </w:r>
      <w:r>
        <w:t xml:space="preserve"> </w:t>
      </w:r>
      <w:r>
        <w:t xml:space="preserve">“</w:t>
      </w:r>
      <w:r>
        <w:t xml:space="preserve">lose weight with the injection, maintain with the tablet</w:t>
      </w:r>
      <w:r>
        <w:t xml:space="preserve">”</w:t>
      </w:r>
      <w:r>
        <w:t xml:space="preserve"> </w:t>
      </w:r>
      <w:r>
        <w:t xml:space="preserve">is thus supported for the first time, but not yet tested against the alternative</w:t>
      </w:r>
      <w:r>
        <w:t xml:space="preserve"> </w:t>
      </w:r>
      <w:r>
        <w:t xml:space="preserve">“</w:t>
      </w:r>
      <w:r>
        <w:t xml:space="preserve">continue the injection.</w:t>
      </w:r>
      <w:r>
        <w:t xml:space="preserve">”</w:t>
      </w:r>
    </w:p>
    <w:bookmarkEnd w:id="865"/>
    <w:bookmarkStart w:id="870" w:name="type-2-diabetes-achieve"/>
    <w:p>
      <w:pPr>
        <w:pStyle w:val="Heading4"/>
      </w:pPr>
      <w:r>
        <w:t xml:space="preserve">Type 2 diabetes: ACHIEVE</w:t>
      </w:r>
    </w:p>
    <w:p>
      <w:pPr>
        <w:numPr>
          <w:ilvl w:val="0"/>
          <w:numId w:val="1109"/>
        </w:numPr>
        <w:pStyle w:val="Compact"/>
      </w:pPr>
      <w:r>
        <w:rPr>
          <w:bCs/>
          <w:b/>
        </w:rPr>
        <w:t xml:space="preserve">ACHIEVE-1</w:t>
      </w:r>
      <w:r>
        <w:rPr>
          <w:rStyle w:val="FootnoteReference"/>
        </w:rPr>
        <w:footnoteReference w:id="866"/>
      </w:r>
      <w:r>
        <w:t xml:space="preserve">: In early type 2 diabetes without other medications, HbA1c fell by up to 1.48 percentage points after 40 weeks (placebo −0.41), and weight by up to 7.6%. No severe hypoglycemia occurred.</w:t>
      </w:r>
    </w:p>
    <w:p>
      <w:pPr>
        <w:numPr>
          <w:ilvl w:val="0"/>
          <w:numId w:val="1109"/>
        </w:numPr>
        <w:pStyle w:val="Compact"/>
      </w:pPr>
      <w:r>
        <w:rPr>
          <w:bCs/>
          <w:b/>
        </w:rPr>
        <w:t xml:space="preserve">ACHIEVE-2</w:t>
      </w:r>
      <w:r>
        <w:rPr>
          <w:rStyle w:val="FootnoteReference"/>
        </w:rPr>
        <w:footnoteReference w:id="867"/>
      </w:r>
      <w:r>
        <w:t xml:space="preserve">: Against the SGLT2 inhibitor dapagliflozin, orforglipron was non-inferior for HbA1c and stronger at all doses (up to −1.56 vs. −0.81 percentage points).</w:t>
      </w:r>
    </w:p>
    <w:p>
      <w:pPr>
        <w:numPr>
          <w:ilvl w:val="0"/>
          <w:numId w:val="1109"/>
        </w:numPr>
        <w:pStyle w:val="Compact"/>
      </w:pPr>
      <w:r>
        <w:rPr>
          <w:bCs/>
          <w:b/>
        </w:rPr>
        <w:t xml:space="preserve">ACHIEVE-3</w:t>
      </w:r>
      <w:r>
        <w:rPr>
          <w:rStyle w:val="FootnoteReference"/>
        </w:rPr>
        <w:footnoteReference w:id="868"/>
      </w:r>
      <w:r>
        <w:t xml:space="preserve">: In direct comparison with the semaglutide tablet, orforglipron lowered HbA1c more (−1.91 vs. −1.47 percentage points at the respective higher doses). The trial was open-label, i.e., not blinded. Gastrointestinal complaints were more frequent on orforglipron (58–59% vs. 37–45%), as were discontinuations due to side effects (9–10% vs. 4–5%).</w:t>
      </w:r>
    </w:p>
    <w:p>
      <w:pPr>
        <w:numPr>
          <w:ilvl w:val="0"/>
          <w:numId w:val="1109"/>
        </w:numPr>
        <w:pStyle w:val="Compact"/>
      </w:pPr>
      <w:r>
        <w:rPr>
          <w:bCs/>
          <w:b/>
        </w:rPr>
        <w:t xml:space="preserve">ACHIEVE-4</w:t>
      </w:r>
      <w:r>
        <w:rPr>
          <w:rStyle w:val="FootnoteReference"/>
        </w:rPr>
        <w:footnoteReference w:id="869"/>
      </w:r>
      <w:r>
        <w:t xml:space="preserve">: the cardiovascular safety trial (see below).</w:t>
      </w:r>
    </w:p>
    <w:bookmarkEnd w:id="870"/>
    <w:bookmarkEnd w:id="871"/>
    <w:bookmarkStart w:id="873" w:name="animal-and-laboratory-studies-14"/>
    <w:p>
      <w:pPr>
        <w:pStyle w:val="Heading3"/>
      </w:pPr>
      <w:r>
        <w:t xml:space="preserve">Animal and laboratory studies</w:t>
      </w:r>
    </w:p>
    <w:p>
      <w:pPr>
        <w:pStyle w:val="FirstParagraph"/>
      </w:pPr>
      <w:r>
        <w:t xml:space="preserve">For this comparison chapter, the preclinical data are not presented in detail. One pharmacological difference is important: as a small molecule, orforglipron is broken down by liver enzymes. Numerous studies on interactions with other drugs were therefore conducted, for example with clarithromycin, ciclosporin, carbamazepine or quinidine</w:t>
      </w:r>
      <w:r>
        <w:rPr>
          <w:rStyle w:val="FootnoteReference"/>
        </w:rPr>
        <w:footnoteReference w:id="872"/>
      </w:r>
      <w:r>
        <w:t xml:space="preserve">. Peptide agonists, by contrast, are broken down like proteins and have hardly any such interactions.</w:t>
      </w:r>
    </w:p>
    <w:bookmarkEnd w:id="873"/>
    <w:bookmarkStart w:id="881" w:name="risks-and-side-effects-14"/>
    <w:p>
      <w:pPr>
        <w:pStyle w:val="Heading3"/>
      </w:pPr>
      <w:r>
        <w:t xml:space="preserve">Risks and side effects</w:t>
      </w:r>
    </w:p>
    <w:p>
      <w:pPr>
        <w:pStyle w:val="FirstParagraph"/>
      </w:pPr>
      <w:r>
        <w:rPr>
          <w:bCs/>
          <w:b/>
        </w:rPr>
        <w:t xml:space="preserve">Documented in studies:</w:t>
      </w:r>
    </w:p>
    <w:p>
      <w:pPr>
        <w:numPr>
          <w:ilvl w:val="0"/>
          <w:numId w:val="1110"/>
        </w:numPr>
        <w:pStyle w:val="Compact"/>
      </w:pPr>
      <w:r>
        <w:rPr>
          <w:bCs/>
          <w:b/>
        </w:rPr>
        <w:t xml:space="preserve">Gastrointestinal complaints</w:t>
      </w:r>
      <w:r>
        <w:t xml:space="preserve"> </w:t>
      </w:r>
      <w:r>
        <w:t xml:space="preserve">as with all GLP-1 agonists, mostly mild to moderate and during dose escalation. In ACHIEVE-4, 62.1% on orforglipron compared with 14.2% on insulin glargine reported gastrointestinal complaints</w:t>
      </w:r>
      <w:r>
        <w:rPr>
          <w:rStyle w:val="FootnoteReference"/>
        </w:rPr>
        <w:footnoteReference w:id="874"/>
      </w:r>
      <w:r>
        <w:t xml:space="preserve">.</w:t>
      </w:r>
    </w:p>
    <w:p>
      <w:pPr>
        <w:numPr>
          <w:ilvl w:val="0"/>
          <w:numId w:val="1110"/>
        </w:numPr>
        <w:pStyle w:val="Compact"/>
      </w:pPr>
      <w:r>
        <w:rPr>
          <w:bCs/>
          <w:b/>
        </w:rPr>
        <w:t xml:space="preserve">Discontinuations due to side effects:</w:t>
      </w:r>
      <w:r>
        <w:t xml:space="preserve"> </w:t>
      </w:r>
      <w:r>
        <w:t xml:space="preserve">up to 10.3% in ATTAIN-1</w:t>
      </w:r>
      <w:r>
        <w:rPr>
          <w:rStyle w:val="FootnoteReference"/>
        </w:rPr>
        <w:footnoteReference w:id="875"/>
      </w:r>
      <w:r>
        <w:t xml:space="preserve">, about twice as frequent as with the semaglutide tablet</w:t>
      </w:r>
      <w:r>
        <w:rPr>
          <w:rStyle w:val="FootnoteReference"/>
        </w:rPr>
        <w:footnoteReference w:id="876"/>
      </w:r>
      <w:r>
        <w:t xml:space="preserve">.</w:t>
      </w:r>
    </w:p>
    <w:p>
      <w:pPr>
        <w:numPr>
          <w:ilvl w:val="0"/>
          <w:numId w:val="1110"/>
        </w:numPr>
        <w:pStyle w:val="Compact"/>
      </w:pPr>
      <w:r>
        <w:rPr>
          <w:bCs/>
          <w:b/>
        </w:rPr>
        <w:t xml:space="preserve">Pulse:</w:t>
      </w:r>
      <w:r>
        <w:t xml:space="preserve"> </w:t>
      </w:r>
      <w:r>
        <w:t xml:space="preserve">In ACHIEVE-3, heart rate rose by 3.7 to 4.7 beats per minute on orforglipron, and by 1.0 to 1.5 on the semaglutide tablet</w:t>
      </w:r>
      <w:r>
        <w:rPr>
          <w:rStyle w:val="FootnoteReference"/>
        </w:rPr>
        <w:footnoteReference w:id="877"/>
      </w:r>
      <w:r>
        <w:t xml:space="preserve">.</w:t>
      </w:r>
    </w:p>
    <w:p>
      <w:pPr>
        <w:numPr>
          <w:ilvl w:val="0"/>
          <w:numId w:val="1110"/>
        </w:numPr>
        <w:pStyle w:val="Compact"/>
      </w:pPr>
      <w:r>
        <w:rPr>
          <w:bCs/>
          <w:b/>
        </w:rPr>
        <w:t xml:space="preserve">Cardiovascular safety:</w:t>
      </w:r>
      <w:r>
        <w:t xml:space="preserve"> </w:t>
      </w:r>
      <w:r>
        <w:t xml:space="preserve">In ACHIEVE-4, major cardiovascular events occurred in 4.2% on orforglipron and 5.0% on insulin glargine (hazard ratio 0.84; 95% CI 0.59–1.20) – orforglipron was therefore non-inferior. Clinically significant or severe hypoglycemia was less frequent (6.8% vs. 19.2%)</w:t>
      </w:r>
      <w:r>
        <w:rPr>
          <w:rStyle w:val="FootnoteReference"/>
        </w:rPr>
        <w:footnoteReference w:id="878"/>
      </w:r>
      <w:r>
        <w:t xml:space="preserve">. Whether orforglipron, like some peptide agonists,</w:t>
      </w:r>
      <w:r>
        <w:t xml:space="preserve"> </w:t>
      </w:r>
      <w:r>
        <w:rPr>
          <w:iCs/>
          <w:i/>
        </w:rPr>
        <w:t xml:space="preserve">reduces</w:t>
      </w:r>
      <w:r>
        <w:t xml:space="preserve"> </w:t>
      </w:r>
      <w:r>
        <w:t xml:space="preserve">cardiovascular events is to be shown by a dedicated outcome trial</w:t>
      </w:r>
      <w:r>
        <w:rPr>
          <w:rStyle w:val="FootnoteReference"/>
        </w:rPr>
        <w:footnoteReference w:id="879"/>
      </w:r>
      <w:r>
        <w:t xml:space="preserve">.</w:t>
      </w:r>
    </w:p>
    <w:p>
      <w:pPr>
        <w:numPr>
          <w:ilvl w:val="0"/>
          <w:numId w:val="1110"/>
        </w:numPr>
        <w:pStyle w:val="Compact"/>
      </w:pPr>
      <w:r>
        <w:rPr>
          <w:bCs/>
          <w:b/>
        </w:rPr>
        <w:t xml:space="preserve">Liver:</w:t>
      </w:r>
      <w:r>
        <w:t xml:space="preserve"> </w:t>
      </w:r>
      <w:r>
        <w:t xml:space="preserve">With small GLP-1 molecules from other manufacturers, elevated liver values were a problem. A pooled analysis of seven Phase 3 trials with 11,220 participants found no case of drug-induced liver injury for orforglipron; liver values even decreased on average</w:t>
      </w:r>
      <w:r>
        <w:rPr>
          <w:rStyle w:val="FootnoteReference"/>
        </w:rPr>
        <w:footnoteReference w:id="880"/>
      </w:r>
      <w:r>
        <w:t xml:space="preserve">.</w:t>
      </w:r>
    </w:p>
    <w:bookmarkEnd w:id="881"/>
    <w:bookmarkStart w:id="882" w:name="legal-status-14"/>
    <w:p>
      <w:pPr>
        <w:pStyle w:val="Heading3"/>
      </w:pPr>
      <w:r>
        <w:t xml:space="preserve">Legal status</w:t>
      </w:r>
    </w:p>
    <w:p>
      <w:pPr>
        <w:numPr>
          <w:ilvl w:val="0"/>
          <w:numId w:val="1111"/>
        </w:numPr>
        <w:pStyle w:val="Compact"/>
      </w:pPr>
      <w:r>
        <w:rPr>
          <w:bCs/>
          <w:b/>
        </w:rPr>
        <w:t xml:space="preserve">EU / Austria / Germany:</w:t>
      </w:r>
      <w:r>
        <w:t xml:space="preserve"> </w:t>
      </w:r>
      <w:r>
        <w:t xml:space="preserve">recorded as not approved as of October 2026; an approval procedure is to be expected or may already be under way – please check for updates.</w:t>
      </w:r>
    </w:p>
    <w:p>
      <w:pPr>
        <w:numPr>
          <w:ilvl w:val="0"/>
          <w:numId w:val="1111"/>
        </w:numPr>
        <w:pStyle w:val="Compact"/>
      </w:pPr>
      <w:r>
        <w:rPr>
          <w:bCs/>
          <w:b/>
        </w:rPr>
        <w:t xml:space="preserve">USA:</w:t>
      </w:r>
      <w:r>
        <w:t xml:space="preserve"> </w:t>
      </w:r>
      <w:r>
        <w:t xml:space="preserve">applications for approval for obesity and type 2 diabetes have been submitted or announced on the basis of the ATTAIN and ACHIEVE data; please check for updates on the status of the decision.</w:t>
      </w:r>
    </w:p>
    <w:p>
      <w:pPr>
        <w:numPr>
          <w:ilvl w:val="0"/>
          <w:numId w:val="1111"/>
        </w:numPr>
        <w:pStyle w:val="Compact"/>
      </w:pPr>
      <w:r>
        <w:rPr>
          <w:bCs/>
          <w:b/>
        </w:rPr>
        <w:t xml:space="preserve">Sport:</w:t>
      </w:r>
      <w:r>
        <w:t xml:space="preserve"> </w:t>
      </w:r>
      <w:r>
        <w:t xml:space="preserve">as long as it is not approved anywhere, WADA class S0 (as of 2026, please check for updates).</w:t>
      </w:r>
    </w:p>
    <w:p>
      <w:pPr>
        <w:numPr>
          <w:ilvl w:val="0"/>
          <w:numId w:val="1111"/>
        </w:numPr>
        <w:pStyle w:val="Compact"/>
      </w:pPr>
      <w:r>
        <w:t xml:space="preserve">Non-approved</w:t>
      </w:r>
      <w:r>
        <w:t xml:space="preserve"> </w:t>
      </w:r>
      <w:r>
        <w:t xml:space="preserve">“</w:t>
      </w:r>
      <w:r>
        <w:t xml:space="preserve">orforglipron</w:t>
      </w:r>
      <w:r>
        <w:t xml:space="preserve">”</w:t>
      </w:r>
      <w:r>
        <w:t xml:space="preserve"> </w:t>
      </w:r>
      <w:r>
        <w:t xml:space="preserve">offerings online are not tested medicines.</w:t>
      </w:r>
    </w:p>
    <w:bookmarkEnd w:id="882"/>
    <w:bookmarkStart w:id="890" w:name="ongoing-studies-and-outlook-14"/>
    <w:p>
      <w:pPr>
        <w:pStyle w:val="Heading3"/>
      </w:pPr>
      <w:r>
        <w:t xml:space="preserve">Ongoing studies and outlook</w:t>
      </w:r>
    </w:p>
    <w:p>
      <w:pPr>
        <w:pStyle w:val="FirstParagraph"/>
      </w:pPr>
      <w:r>
        <w:rPr>
          <w:bCs/>
          <w:b/>
        </w:rPr>
        <w:t xml:space="preserve">Confirmed (registered trials, as of October 2026):</w:t>
      </w:r>
    </w:p>
    <w:p>
      <w:pPr>
        <w:numPr>
          <w:ilvl w:val="0"/>
          <w:numId w:val="1112"/>
        </w:numPr>
        <w:pStyle w:val="Compact"/>
      </w:pPr>
      <w:r>
        <w:rPr>
          <w:bCs/>
          <w:b/>
        </w:rPr>
        <w:t xml:space="preserve">Cardiovascular outcome trial</w:t>
      </w:r>
      <w:r>
        <w:t xml:space="preserve"> </w:t>
      </w:r>
      <w:r>
        <w:t xml:space="preserve">in atherosclerosis (NCT07241390, 7,140 participants, until 2031).</w:t>
      </w:r>
    </w:p>
    <w:p>
      <w:pPr>
        <w:numPr>
          <w:ilvl w:val="0"/>
          <w:numId w:val="1112"/>
        </w:numPr>
        <w:pStyle w:val="Compact"/>
      </w:pPr>
      <w:r>
        <w:rPr>
          <w:bCs/>
          <w:b/>
        </w:rPr>
        <w:t xml:space="preserve">Peripheral artery disease</w:t>
      </w:r>
      <w:r>
        <w:rPr>
          <w:rStyle w:val="FootnoteReference"/>
        </w:rPr>
        <w:footnoteReference w:id="883"/>
      </w:r>
      <w:r>
        <w:t xml:space="preserve">,</w:t>
      </w:r>
      <w:r>
        <w:t xml:space="preserve"> </w:t>
      </w:r>
      <w:r>
        <w:rPr>
          <w:bCs/>
          <w:b/>
        </w:rPr>
        <w:t xml:space="preserve">hypertension</w:t>
      </w:r>
      <w:r>
        <w:rPr>
          <w:rStyle w:val="FootnoteReference"/>
        </w:rPr>
        <w:footnoteReference w:id="884"/>
      </w:r>
      <w:r>
        <w:t xml:space="preserve">,</w:t>
      </w:r>
      <w:r>
        <w:t xml:space="preserve"> </w:t>
      </w:r>
      <w:r>
        <w:rPr>
          <w:bCs/>
          <w:b/>
        </w:rPr>
        <w:t xml:space="preserve">knee osteoarthritis</w:t>
      </w:r>
      <w:r>
        <w:rPr>
          <w:rStyle w:val="FootnoteReference"/>
        </w:rPr>
        <w:footnoteReference w:id="885"/>
      </w:r>
      <w:r>
        <w:t xml:space="preserve">,</w:t>
      </w:r>
      <w:r>
        <w:t xml:space="preserve"> </w:t>
      </w:r>
      <w:r>
        <w:rPr>
          <w:bCs/>
          <w:b/>
        </w:rPr>
        <w:t xml:space="preserve">stress urinary incontinence</w:t>
      </w:r>
      <w:r>
        <w:t xml:space="preserve"> </w:t>
      </w:r>
      <w:r>
        <w:t xml:space="preserve">in women with obesity</w:t>
      </w:r>
      <w:r>
        <w:rPr>
          <w:rStyle w:val="FootnoteReference"/>
        </w:rPr>
        <w:footnoteReference w:id="886"/>
      </w:r>
      <w:r>
        <w:t xml:space="preserve">.</w:t>
      </w:r>
    </w:p>
    <w:p>
      <w:pPr>
        <w:numPr>
          <w:ilvl w:val="0"/>
          <w:numId w:val="1112"/>
        </w:numPr>
        <w:pStyle w:val="Compact"/>
      </w:pPr>
      <w:r>
        <w:rPr>
          <w:bCs/>
          <w:b/>
        </w:rPr>
        <w:t xml:space="preserve">Adolescents</w:t>
      </w:r>
      <w:r>
        <w:rPr>
          <w:rStyle w:val="FootnoteReference"/>
        </w:rPr>
        <w:footnoteReference w:id="887"/>
      </w:r>
      <w:r>
        <w:t xml:space="preserve"> </w:t>
      </w:r>
      <w:r>
        <w:t xml:space="preserve">and</w:t>
      </w:r>
      <w:r>
        <w:t xml:space="preserve"> </w:t>
      </w:r>
      <w:r>
        <w:rPr>
          <w:bCs/>
          <w:b/>
        </w:rPr>
        <w:t xml:space="preserve">children with type 2 diabetes</w:t>
      </w:r>
      <w:r>
        <w:t xml:space="preserve"> </w:t>
      </w:r>
      <w:r>
        <w:t xml:space="preserve">compared with dulaglutide</w:t>
      </w:r>
      <w:r>
        <w:rPr>
          <w:rStyle w:val="FootnoteReference"/>
        </w:rPr>
        <w:footnoteReference w:id="888"/>
      </w:r>
      <w:r>
        <w:t xml:space="preserve">.</w:t>
      </w:r>
    </w:p>
    <w:p>
      <w:pPr>
        <w:numPr>
          <w:ilvl w:val="0"/>
          <w:numId w:val="1112"/>
        </w:numPr>
        <w:pStyle w:val="Compact"/>
      </w:pPr>
      <w:r>
        <w:t xml:space="preserve">Trial on</w:t>
      </w:r>
      <w:r>
        <w:t xml:space="preserve"> </w:t>
      </w:r>
      <w:r>
        <w:rPr>
          <w:bCs/>
          <w:b/>
        </w:rPr>
        <w:t xml:space="preserve">sleep apnea</w:t>
      </w:r>
      <w:r>
        <w:rPr>
          <w:rStyle w:val="FootnoteReference"/>
        </w:rPr>
        <w:footnoteReference w:id="889"/>
      </w:r>
      <w:r>
        <w:t xml:space="preserve"> </w:t>
      </w:r>
      <w:r>
        <w:t xml:space="preserve">completed, publication pending.</w:t>
      </w:r>
    </w:p>
    <w:p>
      <w:pPr>
        <w:pStyle w:val="FirstParagraph"/>
      </w:pPr>
      <w:r>
        <w:rPr>
          <w:bCs/>
          <w:b/>
        </w:rPr>
        <w:t xml:space="preserve">Assessment:</w:t>
      </w:r>
      <w:r>
        <w:t xml:space="preserve"> </w:t>
      </w:r>
      <w:r>
        <w:t xml:space="preserve">Orforglipron is expected to become the first widely available non-peptide GLP-1 drug. Its strength is not maximum weight loss – here the injected peptides are ahead – but the simple administration, presumably cheaper manufacturing and suitability for long-term treatment after a phase with injections. For the peptide market, this means serious competition, especially in long-term and maintenance therapy (see Part V).</w:t>
      </w:r>
    </w:p>
    <w:bookmarkEnd w:id="890"/>
    <w:bookmarkStart w:id="891" w:name="conclusion-14"/>
    <w:p>
      <w:pPr>
        <w:pStyle w:val="Heading3"/>
      </w:pPr>
      <w:r>
        <w:t xml:space="preserve">Conclusion</w:t>
      </w:r>
    </w:p>
    <w:p>
      <w:pPr>
        <w:pStyle w:val="FirstParagraph"/>
      </w:pPr>
      <w:r>
        <w:t xml:space="preserve">Orforglipron is not a peptide but a small molecule that activates the GLP-1 receptor as a tablet and can be swallowed without rules for taking it. In ATTAIN-1, weight fell by up to 11.2% after 72 weeks – less than with injected semaglutide or tirzepatide – and after switching from an injection, participants maintained around three quarters of their weight loss. In type 2 diabetes, it lowered HbA1c more than the semaglutide tablet and proved cardiovascularly safe compared with insulin. Gastrointestinal complaints and treatment discontinuations are somewhat more frequent than with the semaglutide tablet.</w:t>
      </w:r>
    </w:p>
    <w:bookmarkEnd w:id="891"/>
    <w:bookmarkEnd w:id="892"/>
    <w:bookmarkEnd w:id="893"/>
    <w:bookmarkStart w:id="1223" w:name="Xa5176d9aaf1ab036df1a6e974efbeadab4b4058"/>
    <w:p>
      <w:pPr>
        <w:pStyle w:val="Heading1"/>
      </w:pPr>
      <w:r>
        <w:t xml:space="preserve">Part II · B – Healing, Regeneration and the Immune System</w:t>
      </w:r>
    </w:p>
    <w:p>
      <w:pPr>
        <w:pStyle w:val="FirstParagraph"/>
      </w:pPr>
      <w:r>
        <w:t xml:space="preserve">The peptides in this group promise what many people wish for: faster healing of tendons and muscles, a tighter gut wall, a stronger immune system, less inflammation. In online shops, fitness forums and longevity clinics, BPC-157, TB-500 and thymosin alpha-1 are among the best-selling</w:t>
      </w:r>
      <w:r>
        <w:t xml:space="preserve"> </w:t>
      </w:r>
      <w:r>
        <w:t xml:space="preserve">“</w:t>
      </w:r>
      <w:r>
        <w:t xml:space="preserve">research peptides</w:t>
      </w:r>
      <w:r>
        <w:t xml:space="preserve">”</w:t>
      </w:r>
      <w:r>
        <w:t xml:space="preserve"> </w:t>
      </w:r>
      <w:r>
        <w:t xml:space="preserve">of all.</w:t>
      </w:r>
    </w:p>
    <w:bookmarkStart w:id="894" w:name="what-these-peptides-have-in-common"/>
    <w:p>
      <w:pPr>
        <w:pStyle w:val="Heading3"/>
      </w:pPr>
      <w:r>
        <w:t xml:space="preserve">What these peptides have in common</w:t>
      </w:r>
    </w:p>
    <w:p>
      <w:pPr>
        <w:pStyle w:val="FirstParagraph"/>
      </w:pPr>
      <w:r>
        <w:t xml:space="preserve">None of the eight substances is meant to change a single, clearly measurable target – such as blood glucose or body weight – but rather to</w:t>
      </w:r>
      <w:r>
        <w:t xml:space="preserve"> </w:t>
      </w:r>
      <w:r>
        <w:t xml:space="preserve">“</w:t>
      </w:r>
      <w:r>
        <w:t xml:space="preserve">trigger</w:t>
      </w:r>
      <w:r>
        <w:t xml:space="preserve">”</w:t>
      </w:r>
      <w:r>
        <w:t xml:space="preserve"> </w:t>
      </w:r>
      <w:r>
        <w:t xml:space="preserve">or</w:t>
      </w:r>
      <w:r>
        <w:t xml:space="preserve"> </w:t>
      </w:r>
      <w:r>
        <w:t xml:space="preserve">“</w:t>
      </w:r>
      <w:r>
        <w:t xml:space="preserve">normalize</w:t>
      </w:r>
      <w:r>
        <w:t xml:space="preserve">”</w:t>
      </w:r>
      <w:r>
        <w:t xml:space="preserve"> </w:t>
      </w:r>
      <w:r>
        <w:t xml:space="preserve">the body’s own repair and defense processes. This has two consequences that run through all the chapters:</w:t>
      </w:r>
    </w:p>
    <w:p>
      <w:pPr>
        <w:numPr>
          <w:ilvl w:val="0"/>
          <w:numId w:val="1113"/>
        </w:numPr>
        <w:pStyle w:val="Compact"/>
      </w:pPr>
      <w:r>
        <w:rPr>
          <w:bCs/>
          <w:b/>
        </w:rPr>
        <w:t xml:space="preserve">The effect is hard to measure.</w:t>
      </w:r>
      <w:r>
        <w:t xml:space="preserve"> </w:t>
      </w:r>
      <w:r>
        <w:t xml:space="preserve">Healing, pain and immune function fluctuate considerably, depend on many factors and are susceptible to placebo effects. Small studies without a control group are therefore particularly uninformative.</w:t>
      </w:r>
    </w:p>
    <w:p>
      <w:pPr>
        <w:numPr>
          <w:ilvl w:val="0"/>
          <w:numId w:val="1113"/>
        </w:numPr>
        <w:pStyle w:val="Compact"/>
      </w:pPr>
      <w:r>
        <w:rPr>
          <w:bCs/>
          <w:b/>
        </w:rPr>
        <w:t xml:space="preserve">Plausibility often replaces evidence.</w:t>
      </w:r>
      <w:r>
        <w:t xml:space="preserve"> </w:t>
      </w:r>
      <w:r>
        <w:t xml:space="preserve">Almost all peptides in this group are derived from substances the body produces itself: from gastric juice (BPC-157), the thymus (thymosin alpha-1, thymalin), skin defenses (LL-37), the hormone alpha-MSH (KPV) or erythropoietin (ARA-290).</w:t>
      </w:r>
      <w:r>
        <w:t xml:space="preserve"> </w:t>
      </w:r>
      <w:r>
        <w:t xml:space="preserve">“</w:t>
      </w:r>
      <w:r>
        <w:t xml:space="preserve">Endogenous</w:t>
      </w:r>
      <w:r>
        <w:t xml:space="preserve">”</w:t>
      </w:r>
      <w:r>
        <w:t xml:space="preserve"> </w:t>
      </w:r>
      <w:r>
        <w:t xml:space="preserve">sounds harmless, but says nothing about the benefit and safety of administering it from outside at a high dose.</w:t>
      </w:r>
    </w:p>
    <w:p>
      <w:pPr>
        <w:pStyle w:val="FirstParagraph"/>
      </w:pPr>
      <w:r>
        <w:t xml:space="preserve">A recurring pattern is also striking: small early studies look promising, while larger and more carefully blinded studies do not confirm them. This can be seen with thymosin alpha-1 in sepsis, with thymosin beta-4 as eye drops, with LL-37 for leg ulcers and with larazotide in celiac disease.</w:t>
      </w:r>
    </w:p>
    <w:bookmarkEnd w:id="894"/>
    <w:bookmarkStart w:id="895" w:name="the-group-at-a-glance"/>
    <w:p>
      <w:pPr>
        <w:pStyle w:val="Heading3"/>
      </w:pPr>
      <w:r>
        <w:t xml:space="preserve">The group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w:t>
            </w:r>
          </w:p>
        </w:tc>
        <w:tc>
          <w:tcPr/>
          <w:p>
            <w:pPr>
              <w:pStyle w:val="Compact"/>
              <w:jc w:val="left"/>
            </w:pPr>
            <w:r>
              <w:t xml:space="preserve">Hundreds of animal studies, almost all from one group; three mini pilot studies in humans</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no</w:t>
            </w:r>
          </w:p>
        </w:tc>
        <w:tc>
          <w:tcPr/>
          <w:p>
            <w:pPr>
              <w:pStyle w:val="Compact"/>
              <w:jc w:val="left"/>
            </w:pPr>
            <w:r>
              <w:t xml:space="preserve">Tβ4 tested in RCTs, large eye studies without clear benefit; TB-500 never in humans</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China and others, not EU/USA</w:t>
            </w:r>
          </w:p>
        </w:tc>
        <w:tc>
          <w:tcPr/>
          <w:p>
            <w:pPr>
              <w:pStyle w:val="Compact"/>
              <w:jc w:val="left"/>
            </w:pPr>
            <w:r>
              <w:t xml:space="preserve">many RCTs; large sepsis trial with no difference from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w:t>
            </w:r>
          </w:p>
        </w:tc>
        <w:tc>
          <w:tcPr/>
          <w:p>
            <w:pPr>
              <w:pStyle w:val="Compact"/>
              <w:jc w:val="left"/>
            </w:pPr>
            <w:r>
              <w:t xml:space="preserve">effective in mice with colitis; no human study</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w:t>
            </w:r>
          </w:p>
        </w:tc>
        <w:tc>
          <w:tcPr/>
          <w:p>
            <w:pPr>
              <w:pStyle w:val="Compact"/>
              <w:jc w:val="left"/>
            </w:pPr>
            <w:r>
              <w:t xml:space="preserve">endogenous defense peptide; wound study with 148 people without benefit</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w:t>
            </w:r>
          </w:p>
        </w:tc>
        <w:tc>
          <w:tcPr/>
          <w:p>
            <w:pPr>
              <w:pStyle w:val="Compact"/>
              <w:jc w:val="left"/>
            </w:pPr>
            <w:r>
              <w:t xml:space="preserve">small RCTs in nerve damage due to sarcoidosis; no new studies since 2015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celiac disease candidate; Phase 3 stopped</w:t>
            </w:r>
          </w:p>
        </w:tc>
      </w:tr>
      <w:tr>
        <w:tc>
          <w:tcPr/>
          <w:p>
            <w:pPr>
              <w:pStyle w:val="Compact"/>
              <w:jc w:val="left"/>
            </w:pPr>
            <w:r>
              <w:t xml:space="preserve">Thymalin / Thymogen</w:t>
            </w:r>
          </w:p>
        </w:tc>
        <w:tc>
          <w:tcPr/>
          <w:p>
            <w:pPr>
              <w:pStyle w:val="Compact"/>
              <w:jc w:val="left"/>
            </w:pPr>
            <w:r>
              <w:t xml:space="preserve">C</w:t>
            </w:r>
          </w:p>
        </w:tc>
        <w:tc>
          <w:tcPr/>
          <w:p>
            <w:pPr>
              <w:pStyle w:val="Compact"/>
              <w:jc w:val="left"/>
            </w:pPr>
            <w:r>
              <w:t xml:space="preserve">Russia</w:t>
            </w:r>
          </w:p>
        </w:tc>
        <w:tc>
          <w:tcPr/>
          <w:p>
            <w:pPr>
              <w:pStyle w:val="Compact"/>
              <w:jc w:val="left"/>
            </w:pPr>
            <w:r>
              <w:t xml:space="preserve">almost only Russian studies from one school, hardly randomized</w:t>
            </w:r>
          </w:p>
        </w:tc>
      </w:tr>
    </w:tbl>
    <w:p>
      <w:pPr>
        <w:pStyle w:val="BodyText"/>
      </w:pPr>
      <w:r>
        <w:t xml:space="preserve">Evidence levels:</w:t>
      </w:r>
      <w:r>
        <w:t xml:space="preserve"> </w:t>
      </w:r>
      <w:r>
        <w:rPr>
          <w:bCs/>
          <w:b/>
        </w:rPr>
        <w:t xml:space="preserve">A</w:t>
      </w:r>
      <w:r>
        <w:t xml:space="preserve"> </w:t>
      </w:r>
      <w:r>
        <w:t xml:space="preserve">several large RCTs or approval ·</w:t>
      </w:r>
      <w:r>
        <w:t xml:space="preserve"> </w:t>
      </w:r>
      <w:r>
        <w:rPr>
          <w:bCs/>
          <w:b/>
        </w:rPr>
        <w:t xml:space="preserve">B</w:t>
      </w:r>
      <w:r>
        <w:t xml:space="preserve"> </w:t>
      </w:r>
      <w:r>
        <w:t xml:space="preserve">individual RCTs ·</w:t>
      </w:r>
      <w:r>
        <w:t xml:space="preserve"> </w:t>
      </w:r>
      <w:r>
        <w:rPr>
          <w:bCs/>
          <w:b/>
        </w:rPr>
        <w:t xml:space="preserve">C</w:t>
      </w:r>
      <w:r>
        <w:t xml:space="preserve"> </w:t>
      </w:r>
      <w:r>
        <w:t xml:space="preserve">only small or uncontrolled human studies ·</w:t>
      </w:r>
      <w:r>
        <w:t xml:space="preserve"> </w:t>
      </w:r>
      <w:r>
        <w:rPr>
          <w:bCs/>
          <w:b/>
        </w:rPr>
        <w:t xml:space="preserve">D</w:t>
      </w:r>
      <w:r>
        <w:t xml:space="preserve"> </w:t>
      </w:r>
      <w:r>
        <w:t xml:space="preserve">only animal and laboratory studies. Approval refers to approval as a medicine, as of 2026.</w:t>
      </w:r>
    </w:p>
    <w:p>
      <w:pPr>
        <w:pStyle w:val="BodyText"/>
      </w:pPr>
      <w:r>
        <w:t xml:space="preserve">Not a single peptide in this group is approved as a medicine in the EU or the USA. The two substances with approvals outside the West – thymosin alpha-1 and thymalin – were approved on the basis of studies that only partly meet today’s standards.</w:t>
      </w:r>
    </w:p>
    <w:bookmarkEnd w:id="895"/>
    <w:bookmarkStart w:id="896" w:name="reading-guide-1"/>
    <w:p>
      <w:pPr>
        <w:pStyle w:val="Heading3"/>
      </w:pPr>
      <w:r>
        <w:t xml:space="preserve">Reading guide</w:t>
      </w:r>
    </w:p>
    <w:p>
      <w:pPr>
        <w:pStyle w:val="FirstParagraph"/>
      </w:pPr>
      <w:r>
        <w:t xml:space="preserve">The chapters follow the uniform structure of this book. In this group, pay particular attention to three distinctions:</w:t>
      </w:r>
    </w:p>
    <w:p>
      <w:pPr>
        <w:numPr>
          <w:ilvl w:val="0"/>
          <w:numId w:val="1114"/>
        </w:numPr>
        <w:pStyle w:val="Compact"/>
      </w:pPr>
      <w:r>
        <w:rPr>
          <w:bCs/>
          <w:b/>
        </w:rPr>
        <w:t xml:space="preserve">Human or animal?</w:t>
      </w:r>
      <w:r>
        <w:t xml:space="preserve"> </w:t>
      </w:r>
      <w:r>
        <w:t xml:space="preserve">For BPC-157, KPV and TB-500, almost everything claimed online is based on experiments in rats, mice or cell cultures. The chapters explicitly label this in each case.</w:t>
      </w:r>
    </w:p>
    <w:p>
      <w:pPr>
        <w:numPr>
          <w:ilvl w:val="0"/>
          <w:numId w:val="1114"/>
        </w:numPr>
        <w:pStyle w:val="Compact"/>
      </w:pPr>
      <w:r>
        <w:rPr>
          <w:bCs/>
          <w:b/>
        </w:rPr>
        <w:t xml:space="preserve">Active substance or measured value?</w:t>
      </w:r>
      <w:r>
        <w:t xml:space="preserve"> </w:t>
      </w:r>
      <w:r>
        <w:t xml:space="preserve">For LL-37, there are many studies that</w:t>
      </w:r>
      <w:r>
        <w:t xml:space="preserve"> </w:t>
      </w:r>
      <w:r>
        <w:rPr>
          <w:iCs/>
          <w:i/>
        </w:rPr>
        <w:t xml:space="preserve">measure</w:t>
      </w:r>
      <w:r>
        <w:t xml:space="preserve"> </w:t>
      </w:r>
      <w:r>
        <w:t xml:space="preserve">the substance in the blood, but only a few that</w:t>
      </w:r>
      <w:r>
        <w:t xml:space="preserve"> </w:t>
      </w:r>
      <w:r>
        <w:rPr>
          <w:iCs/>
          <w:i/>
        </w:rPr>
        <w:t xml:space="preserve">administer</w:t>
      </w:r>
      <w:r>
        <w:t xml:space="preserve"> </w:t>
      </w:r>
      <w:r>
        <w:t xml:space="preserve">it as a medicine. Only the latter say anything about a treatment.</w:t>
      </w:r>
    </w:p>
    <w:p>
      <w:pPr>
        <w:numPr>
          <w:ilvl w:val="0"/>
          <w:numId w:val="1114"/>
        </w:numPr>
        <w:pStyle w:val="Compact"/>
      </w:pPr>
      <w:r>
        <w:rPr>
          <w:bCs/>
          <w:b/>
        </w:rPr>
        <w:t xml:space="preserve">Original or derivative?</w:t>
      </w:r>
      <w:r>
        <w:t xml:space="preserve"> </w:t>
      </w:r>
      <w:r>
        <w:t xml:space="preserve">TB-500 is not thymosin beta-4, Thymogen is not thymalin, and the product sold online is not the pharmaceutical form used in studies.</w:t>
      </w:r>
    </w:p>
    <w:p>
      <w:pPr>
        <w:pStyle w:val="FirstParagraph"/>
      </w:pPr>
      <w:r>
        <w:t xml:space="preserve">Two chapters contain notes on registry entries whose authenticity is questionable: one sponsor has entered both a Phase 2 trial on BPC-157 and a trial on TB-500 on ClinicalTrials.gov, one of which describes itself as a</w:t>
      </w:r>
      <w:r>
        <w:t xml:space="preserve"> </w:t>
      </w:r>
      <w:r>
        <w:t xml:space="preserve">“</w:t>
      </w:r>
      <w:r>
        <w:t xml:space="preserve">fictitious example.</w:t>
      </w:r>
      <w:r>
        <w:t xml:space="preserve">”</w:t>
      </w:r>
      <w:r>
        <w:t xml:space="preserve"> </w:t>
      </w:r>
      <w:r>
        <w:t xml:space="preserve">So even a registry entry is no proof that a trial is actually taking place.</w:t>
      </w:r>
    </w:p>
    <w:p>
      <w:pPr>
        <w:pStyle w:val="BodyText"/>
      </w:pPr>
      <w:r>
        <w:t xml:space="preserve">Questions about gray-market products, contaminants and the theoretical cancer risk from growth and vascular signals are dealt with in more detail and across peptides in Chapter I.5 and in Part IV. For athletes: BPC-157, TB-500 and ARA-290 are explicitly prohibited by WADA; for the others, you should ask your national anti-doping agency before any use.</w:t>
      </w:r>
    </w:p>
    <w:bookmarkEnd w:id="896"/>
    <w:bookmarkStart w:id="954" w:name="bpc-157"/>
    <w:p>
      <w:pPr>
        <w:pStyle w:val="Heading2"/>
      </w:pPr>
      <w:r>
        <w:t xml:space="preserve">BPC-157</w:t>
      </w:r>
    </w:p>
    <w:p>
      <w:pPr>
        <w:pStyle w:val="FirstParagraph"/>
      </w:pPr>
      <w:r>
        <w:t xml:space="preserve">Hardly any peptide is searched for, recommended and sold online as often as BPC-157. In forums and videos, it is considered a miracle cure for tendons, ligaments, muscles, the gut and even the brain. Anyone who reads the scientific literature will indeed find well over two hundred publications. The picture changes, however, as soon as you ask how many of them studied humans: there are only a handful – small, uncontrolled and from a single private practice. This chapter puts into perspective what is proven, what has only been shown in rats and where the risks lie.</w:t>
      </w:r>
    </w:p>
    <w:bookmarkStart w:id="898" w:name="profile-15"/>
    <w:p>
      <w:pPr>
        <w:pStyle w:val="Heading3"/>
      </w:pPr>
      <w:r>
        <w:t xml:space="preserve">Profile</w:t>
      </w:r>
    </w:p>
    <w:p>
      <w:pPr>
        <w:numPr>
          <w:ilvl w:val="0"/>
          <w:numId w:val="1115"/>
        </w:numPr>
        <w:pStyle w:val="Compact"/>
      </w:pPr>
      <w:r>
        <w:rPr>
          <w:bCs/>
          <w:b/>
        </w:rPr>
        <w:t xml:space="preserve">Type and structure:</w:t>
      </w:r>
      <w:r>
        <w:t xml:space="preserve"> </w:t>
      </w:r>
      <w:r>
        <w:t xml:space="preserve">synthetic peptide of 15 amino acids (pentadecapeptide) with the sequence GEPPPGKPADDAGLV</w:t>
      </w:r>
      <w:r>
        <w:rPr>
          <w:rStyle w:val="FootnoteReference"/>
        </w:rPr>
        <w:footnoteReference w:id="897"/>
      </w:r>
      <w:r>
        <w:t xml:space="preserve">.</w:t>
      </w:r>
    </w:p>
    <w:p>
      <w:pPr>
        <w:numPr>
          <w:ilvl w:val="0"/>
          <w:numId w:val="1115"/>
        </w:numPr>
        <w:pStyle w:val="Compact"/>
      </w:pPr>
      <w:r>
        <w:rPr>
          <w:bCs/>
          <w:b/>
        </w:rPr>
        <w:t xml:space="preserve">Origin:</w:t>
      </w:r>
      <w:r>
        <w:t xml:space="preserve"> </w:t>
      </w:r>
      <w:r>
        <w:t xml:space="preserve">derived from a larger protein described in human gastric juice in the 1990s (</w:t>
      </w:r>
      <w:r>
        <w:t xml:space="preserve">“</w:t>
      </w:r>
      <w:r>
        <w:t xml:space="preserve">Body Protection Compound,</w:t>
      </w:r>
      <w:r>
        <w:t xml:space="preserve">”</w:t>
      </w:r>
      <w:r>
        <w:t xml:space="preserve"> </w:t>
      </w:r>
      <w:r>
        <w:t xml:space="preserve">hence BPC). The BPC-157 sold is a laboratory product; whether the sequence occurs in this form in the body has not been independently confirmed.</w:t>
      </w:r>
    </w:p>
    <w:p>
      <w:pPr>
        <w:numPr>
          <w:ilvl w:val="0"/>
          <w:numId w:val="1115"/>
        </w:numPr>
        <w:pStyle w:val="Compact"/>
      </w:pPr>
      <w:r>
        <w:rPr>
          <w:bCs/>
          <w:b/>
        </w:rPr>
        <w:t xml:space="preserve">Former development names:</w:t>
      </w:r>
      <w:r>
        <w:t xml:space="preserve"> </w:t>
      </w:r>
      <w:r>
        <w:t xml:space="preserve">PL 14736, PL-10, PLD-116 (Pliva company, Croatia), later</w:t>
      </w:r>
      <w:r>
        <w:t xml:space="preserve"> </w:t>
      </w:r>
      <w:r>
        <w:t xml:space="preserve">“</w:t>
      </w:r>
      <w:r>
        <w:t xml:space="preserve">Bepecin</w:t>
      </w:r>
      <w:r>
        <w:t xml:space="preserve">”</w:t>
      </w:r>
      <w:r>
        <w:t xml:space="preserve"> </w:t>
      </w:r>
      <w:r>
        <w:t xml:space="preserve">or PCO-02.</w:t>
      </w:r>
    </w:p>
    <w:p>
      <w:pPr>
        <w:numPr>
          <w:ilvl w:val="0"/>
          <w:numId w:val="1115"/>
        </w:numPr>
        <w:pStyle w:val="Compact"/>
      </w:pPr>
      <w:r>
        <w:rPr>
          <w:bCs/>
          <w:b/>
        </w:rPr>
        <w:t xml:space="preserve">Mechanism of action (presumed, from animal studies):</w:t>
      </w:r>
      <w:r>
        <w:t xml:space="preserve"> </w:t>
      </w:r>
      <w:r>
        <w:t xml:space="preserve">promotion of new blood vessel formation (angiogenesis) via VEGF receptor 2 and the nitric oxide system, effect on the migration of connective tissue cells.</w:t>
      </w:r>
    </w:p>
    <w:p>
      <w:pPr>
        <w:numPr>
          <w:ilvl w:val="0"/>
          <w:numId w:val="1115"/>
        </w:numPr>
        <w:pStyle w:val="Compact"/>
      </w:pPr>
      <w:r>
        <w:rPr>
          <w:bCs/>
          <w:b/>
        </w:rPr>
        <w:t xml:space="preserve">Approval EU:</w:t>
      </w:r>
      <w:r>
        <w:t xml:space="preserve"> </w:t>
      </w:r>
      <w:r>
        <w:t xml:space="preserve">no.</w:t>
      </w:r>
      <w:r>
        <w:t xml:space="preserve"> </w:t>
      </w:r>
      <w:r>
        <w:rPr>
          <w:bCs/>
          <w:b/>
        </w:rPr>
        <w:t xml:space="preserve">Approval USA:</w:t>
      </w:r>
      <w:r>
        <w:t xml:space="preserve"> </w:t>
      </w:r>
      <w:r>
        <w:t xml:space="preserve">no; classified by the FDA in 2023 as a substance with safety concerns for compounding (Category 2).</w:t>
      </w:r>
    </w:p>
    <w:p>
      <w:pPr>
        <w:numPr>
          <w:ilvl w:val="0"/>
          <w:numId w:val="1115"/>
        </w:numPr>
        <w:pStyle w:val="Compact"/>
      </w:pPr>
      <w:r>
        <w:rPr>
          <w:bCs/>
          <w:b/>
        </w:rPr>
        <w:t xml:space="preserve">WADA:</w:t>
      </w:r>
      <w:r>
        <w:t xml:space="preserve"> </w:t>
      </w:r>
      <w:r>
        <w:t xml:space="preserve">prohibited, group S0</w:t>
      </w:r>
      <w:r>
        <w:t xml:space="preserve"> </w:t>
      </w:r>
      <w:r>
        <w:t xml:space="preserve">“</w:t>
      </w:r>
      <w:r>
        <w:t xml:space="preserve">non-approved substances</w:t>
      </w:r>
      <w:r>
        <w:t xml:space="preserve">”</w:t>
      </w:r>
      <w:r>
        <w:t xml:space="preserve"> </w:t>
      </w:r>
      <w:r>
        <w:t xml:space="preserve">(named explicitly).</w:t>
      </w:r>
    </w:p>
    <w:p>
      <w:pPr>
        <w:numPr>
          <w:ilvl w:val="0"/>
          <w:numId w:val="1115"/>
        </w:numPr>
        <w:pStyle w:val="Compact"/>
      </w:pPr>
      <w:r>
        <w:rPr>
          <w:bCs/>
          <w:b/>
        </w:rPr>
        <w:t xml:space="preserve">Evidence level: C</w:t>
      </w:r>
      <w:r>
        <w:t xml:space="preserve"> </w:t>
      </w:r>
      <w:r>
        <w:t xml:space="preserve">– only three very small, uncontrolled investigations in humans with a combined total of around 30 people; no completed randomized trial.</w:t>
      </w:r>
    </w:p>
    <w:bookmarkEnd w:id="898"/>
    <w:bookmarkStart w:id="905" w:name="how-it-is-supposed-to-work-15"/>
    <w:p>
      <w:pPr>
        <w:pStyle w:val="Heading3"/>
      </w:pPr>
      <w:r>
        <w:t xml:space="preserve">How it is supposed to work</w:t>
      </w:r>
    </w:p>
    <w:p>
      <w:pPr>
        <w:pStyle w:val="FirstParagraph"/>
      </w:pPr>
      <w:r>
        <w:t xml:space="preserve">The basic idea comes from gastric research. The gastric mucosa is exposed daily to acid, enzymes and medicines such as painkillers, yet repairs itself astonishingly quickly. In the 1990s, researchers in Zagreb suspected that protective substances in gastric juice mediate this ability and isolated a peptide they called</w:t>
      </w:r>
      <w:r>
        <w:t xml:space="preserve"> </w:t>
      </w:r>
      <w:r>
        <w:t xml:space="preserve">“</w:t>
      </w:r>
      <w:r>
        <w:t xml:space="preserve">Body Protection Compound.</w:t>
      </w:r>
      <w:r>
        <w:t xml:space="preserve">”</w:t>
      </w:r>
      <w:r>
        <w:t xml:space="preserve"> </w:t>
      </w:r>
      <w:r>
        <w:t xml:space="preserve">BPC-157 is a short segment of it.</w:t>
      </w:r>
    </w:p>
    <w:p>
      <w:pPr>
        <w:pStyle w:val="BodyText"/>
      </w:pPr>
      <w:r>
        <w:t xml:space="preserve">What is unusual is that BPC-157 remains stable in gastric juice. Most peptides are rapidly broken down there. From this, proponents infer that it could also work as a tablet – this has not been proven in humans.</w:t>
      </w:r>
    </w:p>
    <w:p>
      <w:pPr>
        <w:pStyle w:val="BodyText"/>
      </w:pPr>
      <w:r>
        <w:t xml:space="preserve">Three mechanisms in particular are discussed for the claimed effect, all of which come from animal and cell experiments:</w:t>
      </w:r>
    </w:p>
    <w:p>
      <w:pPr>
        <w:numPr>
          <w:ilvl w:val="0"/>
          <w:numId w:val="1116"/>
        </w:numPr>
        <w:pStyle w:val="Compact"/>
      </w:pPr>
      <w:r>
        <w:rPr>
          <w:bCs/>
          <w:b/>
        </w:rPr>
        <w:t xml:space="preserve">New blood vessel formation:</w:t>
      </w:r>
      <w:r>
        <w:t xml:space="preserve"> </w:t>
      </w:r>
      <w:r>
        <w:t xml:space="preserve">In cultures of human vascular endothelial cells, BPC-157 increased the amount of VEGF receptor 2 (a central switch for the growth of new blood vessels) and activated the downstream Akt-eNOS signaling pathway; in rats with a ligated leg artery, blood flow returned more quickly</w:t>
      </w:r>
      <w:r>
        <w:rPr>
          <w:rStyle w:val="FootnoteReference"/>
        </w:rPr>
        <w:footnoteReference w:id="899"/>
      </w:r>
      <w:r>
        <w:t xml:space="preserve">. A study from China described a further pathway via the proteins FBXO22 and BACH1 in cell experiments in 2026</w:t>
      </w:r>
      <w:r>
        <w:rPr>
          <w:rStyle w:val="FootnoteReference"/>
        </w:rPr>
        <w:footnoteReference w:id="900"/>
      </w:r>
      <w:r>
        <w:t xml:space="preserve">.</w:t>
      </w:r>
    </w:p>
    <w:p>
      <w:pPr>
        <w:numPr>
          <w:ilvl w:val="0"/>
          <w:numId w:val="1116"/>
        </w:numPr>
        <w:pStyle w:val="Compact"/>
      </w:pPr>
      <w:r>
        <w:rPr>
          <w:bCs/>
          <w:b/>
        </w:rPr>
        <w:t xml:space="preserve">Cell migration and survival:</w:t>
      </w:r>
      <w:r>
        <w:t xml:space="preserve"> </w:t>
      </w:r>
      <w:r>
        <w:t xml:space="preserve">In cultures of rat tendon cells, BPC-157 accelerated the outgrowth of cells from tendon fragments, improved their survival under oxidative stress and promoted their migration; cell division itself was not directly increased</w:t>
      </w:r>
      <w:r>
        <w:rPr>
          <w:rStyle w:val="FootnoteReference"/>
        </w:rPr>
        <w:footnoteReference w:id="901"/>
      </w:r>
      <w:r>
        <w:t xml:space="preserve">.</w:t>
      </w:r>
    </w:p>
    <w:p>
      <w:pPr>
        <w:numPr>
          <w:ilvl w:val="0"/>
          <w:numId w:val="1116"/>
        </w:numPr>
        <w:pStyle w:val="Compact"/>
      </w:pPr>
      <w:r>
        <w:rPr>
          <w:bCs/>
          <w:b/>
        </w:rPr>
        <w:t xml:space="preserve">Sensitivity to growth hormone:</w:t>
      </w:r>
      <w:r>
        <w:t xml:space="preserve"> </w:t>
      </w:r>
      <w:r>
        <w:t xml:space="preserve">In the same rat tendon cells, BPC-157 increased the number of growth hormone receptors</w:t>
      </w:r>
      <w:r>
        <w:rPr>
          <w:rStyle w:val="FootnoteReference"/>
        </w:rPr>
        <w:footnoteReference w:id="902"/>
      </w:r>
      <w:r>
        <w:t xml:space="preserve">.</w:t>
      </w:r>
    </w:p>
    <w:p>
      <w:pPr>
        <w:pStyle w:val="FirstParagraph"/>
      </w:pPr>
      <w:r>
        <w:t xml:space="preserve">In addition, there are numerous other effects on nitric oxide, blood clotting and nerve messengers, described mainly in reviews by the Zagreb group</w:t>
      </w:r>
      <w:r>
        <w:rPr>
          <w:rStyle w:val="FootnoteReference"/>
        </w:rPr>
        <w:footnoteReference w:id="903"/>
      </w:r>
      <w:r>
        <w:t xml:space="preserve">. To this day, no clear receptor to which BPC-157 binds is known.</w:t>
      </w:r>
    </w:p>
    <w:p>
      <w:pPr>
        <w:pStyle w:val="BodyText"/>
      </w:pPr>
      <w:r>
        <w:t xml:space="preserve">A contradiction pointed out by a pharmaceutical review is striking: in animals, BPC-157 has a half-life of under 30 minutes, yet the described effects are said to last hours to days</w:t>
      </w:r>
      <w:r>
        <w:rPr>
          <w:rStyle w:val="FootnoteReference"/>
        </w:rPr>
        <w:footnoteReference w:id="904"/>
      </w:r>
      <w:r>
        <w:t xml:space="preserve">. How this fits together is unclear.</w:t>
      </w:r>
    </w:p>
    <w:bookmarkEnd w:id="905"/>
    <w:bookmarkStart w:id="918" w:name="human-studies-15"/>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for this book found</w:t>
      </w:r>
      <w:r>
        <w:t xml:space="preserve"> </w:t>
      </w:r>
      <w:r>
        <w:rPr>
          <w:bCs/>
          <w:b/>
        </w:rPr>
        <w:t xml:space="preserve">no</w:t>
      </w:r>
      <w:r>
        <w:t xml:space="preserve"> </w:t>
      </w:r>
      <w:r>
        <w:t xml:space="preserve">study in PubMed meeting the filter criteria for a human study (</w:t>
      </w:r>
      <w:r>
        <w:rPr>
          <w:rStyle w:val="VerbatimChar"/>
        </w:rPr>
        <w:t xml:space="preserve">humanstudien_alle</w:t>
      </w:r>
      <w:r>
        <w:t xml:space="preserve">: 0), and</w:t>
      </w:r>
      <w:r>
        <w:t xml:space="preserve"> </w:t>
      </w:r>
      <w:r>
        <w:rPr>
          <w:bCs/>
          <w:b/>
        </w:rPr>
        <w:t xml:space="preserve">4</w:t>
      </w:r>
      <w:r>
        <w:t xml:space="preserve"> </w:t>
      </w:r>
      <w:r>
        <w:t xml:space="preserve">entries in the ClinicalTrials.gov study registry. In total, PubMed lists around 230 publications on BPC-157 – almost exclusively animal experiments, laboratory work and review articles.</w:t>
      </w:r>
    </w:p>
    <w:p>
      <w:pPr>
        <w:pStyle w:val="BodyText"/>
      </w:pPr>
      <w:r>
        <w:t xml:space="preserve">A targeted follow-up search found three small investigations in humans. All three come from the same first author from a private practice in Florida and appeared in a journal of alternative medicine. A systematic review published in 2026 found exactly these three papers with a combined total of 30 people</w:t>
      </w:r>
      <w:r>
        <w:rPr>
          <w:rStyle w:val="FootnoteReference"/>
        </w:rPr>
        <w:footnoteReference w:id="90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Knee joint (Lee 2021), PMID 34324435</w:t>
            </w:r>
          </w:p>
        </w:tc>
        <w:tc>
          <w:tcPr/>
          <w:p>
            <w:pPr>
              <w:pStyle w:val="Compact"/>
              <w:jc w:val="left"/>
            </w:pPr>
            <w:r>
              <w:t xml:space="preserve">16 people with knee pain of various causes, retrospective chart review with telephone survey, no control group</w:t>
            </w:r>
          </w:p>
        </w:tc>
        <w:tc>
          <w:tcPr/>
          <w:p>
            <w:pPr>
              <w:pStyle w:val="Compact"/>
              <w:jc w:val="left"/>
            </w:pPr>
            <w:r>
              <w:t xml:space="preserve">Look-back 6–12 months</w:t>
            </w:r>
          </w:p>
        </w:tc>
        <w:tc>
          <w:tcPr/>
          <w:p>
            <w:pPr>
              <w:pStyle w:val="Compact"/>
              <w:jc w:val="left"/>
            </w:pPr>
            <w:r>
              <w:t xml:space="preserve">14 of 16 reported pain relief; 12 received only BPC-157, 4 additionally thymosin beta-4</w:t>
            </w:r>
          </w:p>
        </w:tc>
      </w:tr>
      <w:tr>
        <w:tc>
          <w:tcPr/>
          <w:p>
            <w:pPr>
              <w:pStyle w:val="Compact"/>
              <w:jc w:val="left"/>
            </w:pPr>
            <w:r>
              <w:t xml:space="preserve">Interstitial cystitis (Lee 2024), PMID 39325560</w:t>
            </w:r>
          </w:p>
        </w:tc>
        <w:tc>
          <w:tcPr/>
          <w:p>
            <w:pPr>
              <w:pStyle w:val="Compact"/>
              <w:jc w:val="left"/>
            </w:pPr>
            <w:r>
              <w:t xml:space="preserve">12 women with chronic bladder pain disorder, injections into the bladder wall during cystoscopy, no control group</w:t>
            </w:r>
          </w:p>
        </w:tc>
        <w:tc>
          <w:tcPr/>
          <w:p>
            <w:pPr>
              <w:pStyle w:val="Compact"/>
              <w:jc w:val="left"/>
            </w:pPr>
            <w:r>
              <w:t xml:space="preserve">one treatment</w:t>
            </w:r>
          </w:p>
        </w:tc>
        <w:tc>
          <w:tcPr/>
          <w:p>
            <w:pPr>
              <w:pStyle w:val="Compact"/>
              <w:jc w:val="left"/>
            </w:pPr>
            <w:r>
              <w:t xml:space="preserve">10 of 12 reported complete, 2 predominant improvement; no side effects reported</w:t>
            </w:r>
          </w:p>
        </w:tc>
      </w:tr>
      <w:tr>
        <w:tc>
          <w:tcPr/>
          <w:p>
            <w:pPr>
              <w:pStyle w:val="Compact"/>
              <w:jc w:val="left"/>
            </w:pPr>
            <w:r>
              <w:t xml:space="preserve">Intravenous infusion (Lee 2025), PMID 40131143</w:t>
            </w:r>
          </w:p>
        </w:tc>
        <w:tc>
          <w:tcPr/>
          <w:p>
            <w:pPr>
              <w:pStyle w:val="Compact"/>
              <w:jc w:val="left"/>
            </w:pPr>
            <w:r>
              <w:t xml:space="preserve">2 people, safety test on two days</w:t>
            </w:r>
          </w:p>
        </w:tc>
        <w:tc>
          <w:tcPr/>
          <w:p>
            <w:pPr>
              <w:pStyle w:val="Compact"/>
              <w:jc w:val="left"/>
            </w:pPr>
            <w:r>
              <w:t xml:space="preserve">3 days</w:t>
            </w:r>
          </w:p>
        </w:tc>
        <w:tc>
          <w:tcPr/>
          <w:p>
            <w:pPr>
              <w:pStyle w:val="Compact"/>
              <w:jc w:val="left"/>
            </w:pPr>
            <w:r>
              <w:t xml:space="preserve">no measurable changes in the blood values examined, no complaints</w:t>
            </w:r>
          </w:p>
        </w:tc>
      </w:tr>
    </w:tbl>
    <w:bookmarkStart w:id="913" w:name="how-meaningful-are-these-data"/>
    <w:p>
      <w:pPr>
        <w:pStyle w:val="Heading4"/>
      </w:pPr>
      <w:r>
        <w:t xml:space="preserve">How meaningful are these data?</w:t>
      </w:r>
    </w:p>
    <w:p>
      <w:pPr>
        <w:pStyle w:val="FirstParagraph"/>
      </w:pPr>
      <w:r>
        <w:t xml:space="preserve">Hardly at all. The knee investigation was not a planned study but a retrospective telephone survey of patients who had already paid for the treatment. There was no comparison group, no blinding, no measurement instruments for function or quality of life and no imaging. The causes of knee pain ranged from osteoarthritis to meniscus tears. According to the abstract, no standardized questionnaires on function were used</w:t>
      </w:r>
      <w:r>
        <w:rPr>
          <w:rStyle w:val="FootnoteReference"/>
        </w:rPr>
        <w:footnoteReference w:id="907"/>
      </w:r>
      <w:r>
        <w:t xml:space="preserve">.</w:t>
      </w:r>
    </w:p>
    <w:p>
      <w:pPr>
        <w:pStyle w:val="BodyText"/>
      </w:pPr>
      <w:r>
        <w:t xml:space="preserve">The cystitis paper recorded the outcome with a single global questionnaire. That all twelve women gave the best possible rating is unusual for a chronic, often difficult-to-treat condition and, without a control group, cannot be distinguished from a placebo effect or the natural fluctuation of symptoms. It is also noteworthy that the BPC-157 used came from a US compounding pharmacy</w:t>
      </w:r>
      <w:r>
        <w:rPr>
          <w:rStyle w:val="FootnoteReference"/>
        </w:rPr>
        <w:footnoteReference w:id="908"/>
      </w:r>
      <w:r>
        <w:t xml:space="preserve">.</w:t>
      </w:r>
    </w:p>
    <w:p>
      <w:pPr>
        <w:pStyle w:val="BodyText"/>
      </w:pPr>
      <w:r>
        <w:t xml:space="preserve">The infusion study included two people who had already received BPC-157 before. No conclusion about safety can be drawn from two people – rare or delayed side effects remain invisible this way</w:t>
      </w:r>
      <w:r>
        <w:rPr>
          <w:rStyle w:val="FootnoteReference"/>
        </w:rPr>
        <w:footnoteReference w:id="909"/>
      </w:r>
      <w:r>
        <w:t xml:space="preserve">.</w:t>
      </w:r>
    </w:p>
    <w:p>
      <w:pPr>
        <w:pStyle w:val="BodyText"/>
      </w:pPr>
      <w:r>
        <w:t xml:space="preserve">The systematic review rated the methodological quality of all three papers as poor and the certainty of the evidence according to the GRADE system as</w:t>
      </w:r>
      <w:r>
        <w:t xml:space="preserve"> </w:t>
      </w:r>
      <w:r>
        <w:t xml:space="preserve">“</w:t>
      </w:r>
      <w:r>
        <w:t xml:space="preserve">very low.</w:t>
      </w:r>
      <w:r>
        <w:t xml:space="preserve">”</w:t>
      </w:r>
      <w:r>
        <w:t xml:space="preserve"> </w:t>
      </w:r>
      <w:r>
        <w:t xml:space="preserve">Its conclusion: BPC-157 should not be used in humans outside ethically approved, high-quality clinical trials</w:t>
      </w:r>
      <w:r>
        <w:rPr>
          <w:rStyle w:val="FootnoteReference"/>
        </w:rPr>
        <w:footnoteReference w:id="910"/>
      </w:r>
      <w:r>
        <w:t xml:space="preserve">. Another systematic review from sports orthopedics, which searched up to June 2024, found only a single clinical study among 36 included papers</w:t>
      </w:r>
      <w:r>
        <w:rPr>
          <w:rStyle w:val="FootnoteReference"/>
        </w:rPr>
        <w:footnoteReference w:id="911"/>
      </w:r>
      <w:r>
        <w:t xml:space="preserve">. Several current reviews from orthopedics and sports medicine reach the same conclusion: routine use cannot currently be recommended</w:t>
      </w:r>
      <w:r>
        <w:rPr>
          <w:rStyle w:val="FootnoteReference"/>
        </w:rPr>
        <w:footnoteReference w:id="912"/>
      </w:r>
      <w:r>
        <w:t xml:space="preserve">.</w:t>
      </w:r>
    </w:p>
    <w:bookmarkEnd w:id="913"/>
    <w:bookmarkStart w:id="917" w:name="what-became-of-earlier-company-studies"/>
    <w:p>
      <w:pPr>
        <w:pStyle w:val="Heading4"/>
      </w:pPr>
      <w:r>
        <w:t xml:space="preserve">What became of earlier company studies</w:t>
      </w:r>
    </w:p>
    <w:p>
      <w:pPr>
        <w:pStyle w:val="FirstParagraph"/>
      </w:pPr>
      <w:r>
        <w:t xml:space="preserve">In the 2000s, the Croatian pharmaceutical company Pliva developed BPC-157 under the code PL 14736 for chronic inflammatory bowel diseases. Animal studies from that time note that the substance was</w:t>
      </w:r>
      <w:r>
        <w:t xml:space="preserve"> </w:t>
      </w:r>
      <w:r>
        <w:t xml:space="preserve">“</w:t>
      </w:r>
      <w:r>
        <w:t xml:space="preserve">currently being tested in clinical trials</w:t>
      </w:r>
      <w:r>
        <w:t xml:space="preserve">”</w:t>
      </w:r>
      <w:r>
        <w:rPr>
          <w:rStyle w:val="FootnoteReference"/>
        </w:rPr>
        <w:footnoteReference w:id="914"/>
      </w:r>
      <w:r>
        <w:t xml:space="preserve">. A review by the Zagreb group mentions studies in ulcerative colitis and multiple sclerosis</w:t>
      </w:r>
      <w:r>
        <w:rPr>
          <w:rStyle w:val="FootnoteReference"/>
        </w:rPr>
        <w:footnoteReference w:id="915"/>
      </w:r>
      <w:r>
        <w:t xml:space="preserve">. Complete results of these studies cannot be found in PubMed as an original paper. In 2015, a Phase 1 trial with tablets (</w:t>
      </w:r>
      <w:r>
        <w:t xml:space="preserve">“</w:t>
      </w:r>
      <w:r>
        <w:t xml:space="preserve">Bepecin,</w:t>
      </w:r>
      <w:r>
        <w:t xml:space="preserve">”</w:t>
      </w:r>
      <w:r>
        <w:t xml:space="preserve"> </w:t>
      </w:r>
      <w:r>
        <w:t xml:space="preserve">PCO-02) in 42 healthy volunteers was also registered</w:t>
      </w:r>
      <w:r>
        <w:rPr>
          <w:rStyle w:val="FootnoteReference"/>
        </w:rPr>
        <w:footnoteReference w:id="916"/>
      </w:r>
      <w:r>
        <w:t xml:space="preserve">; its status has been</w:t>
      </w:r>
      <w:r>
        <w:t xml:space="preserve"> </w:t>
      </w:r>
      <w:r>
        <w:t xml:space="preserve">“</w:t>
      </w:r>
      <w:r>
        <w:t xml:space="preserve">unknown</w:t>
      </w:r>
      <w:r>
        <w:t xml:space="preserve">”</w:t>
      </w:r>
      <w:r>
        <w:t xml:space="preserve"> </w:t>
      </w:r>
      <w:r>
        <w:t xml:space="preserve">for years, and results have not been published.</w:t>
      </w:r>
    </w:p>
    <w:p>
      <w:pPr>
        <w:pStyle w:val="BodyText"/>
      </w:pPr>
      <w:r>
        <w:t xml:space="preserve">For readers, this means: when websites claim that BPC-157 was</w:t>
      </w:r>
      <w:r>
        <w:t xml:space="preserve"> </w:t>
      </w:r>
      <w:r>
        <w:t xml:space="preserve">“</w:t>
      </w:r>
      <w:r>
        <w:t xml:space="preserve">safe in clinical trials,</w:t>
      </w:r>
      <w:r>
        <w:t xml:space="preserve">”</w:t>
      </w:r>
      <w:r>
        <w:t xml:space="preserve"> </w:t>
      </w:r>
      <w:r>
        <w:t xml:space="preserve">they are referring to studies whose data no one can independently verify.</w:t>
      </w:r>
    </w:p>
    <w:bookmarkEnd w:id="917"/>
    <w:bookmarkEnd w:id="918"/>
    <w:bookmarkStart w:id="927" w:name="animal-and-laboratory-studies-15"/>
    <w:p>
      <w:pPr>
        <w:pStyle w:val="Heading3"/>
      </w:pPr>
      <w:r>
        <w:t xml:space="preserve">Animal and laboratory studies</w:t>
      </w:r>
    </w:p>
    <w:p>
      <w:pPr>
        <w:pStyle w:val="FirstParagraph"/>
      </w:pPr>
      <w:r>
        <w:t xml:space="preserve">The preclinical work is the reason BPC-157 became so well known. It is extensive, but unusually one-sided in its origin.</w:t>
      </w:r>
    </w:p>
    <w:bookmarkStart w:id="922" w:name="one-research-group-dominates"/>
    <w:p>
      <w:pPr>
        <w:pStyle w:val="Heading4"/>
      </w:pPr>
      <w:r>
        <w:t xml:space="preserve">One research group dominates</w:t>
      </w:r>
    </w:p>
    <w:p>
      <w:pPr>
        <w:pStyle w:val="FirstParagraph"/>
      </w:pPr>
      <w:r>
        <w:t xml:space="preserve">Of the around 230 hits in PubMed (search October 2026), about 175 name the Zagreb pharmacologist Predrag Sikirić as an author – that is, around three quarters. A review on tendon and muscle healing noted that in two decades only a handful of research groups have studied BPC-157 in depth</w:t>
      </w:r>
      <w:r>
        <w:rPr>
          <w:rStyle w:val="FootnoteReference"/>
        </w:rPr>
        <w:footnoteReference w:id="919"/>
      </w:r>
      <w:r>
        <w:t xml:space="preserve">. This is important for the assessment: scientific results are only considered robust once independent groups replicate them. A critical 2026 review on circulatory disorders in rodents criticizes short observation periods, single-dose experiments and incompletely described risks of bias, and calls for independent, blinded replications</w:t>
      </w:r>
      <w:r>
        <w:rPr>
          <w:rStyle w:val="FootnoteReference"/>
        </w:rPr>
        <w:footnoteReference w:id="920"/>
      </w:r>
      <w:r>
        <w:t xml:space="preserve">. A short commentary in the journal Inflammopharmacology in 2025 specifically addressed a long review by this group</w:t>
      </w:r>
      <w:r>
        <w:rPr>
          <w:rStyle w:val="FootnoteReference"/>
        </w:rPr>
        <w:footnoteReference w:id="921"/>
      </w:r>
      <w:r>
        <w:t xml:space="preserve">.</w:t>
      </w:r>
    </w:p>
    <w:p>
      <w:pPr>
        <w:pStyle w:val="BodyText"/>
      </w:pPr>
      <w:r>
        <w:t xml:space="preserve">Independent work does exist – especially from Taiwan (tendon cells, blood vessels), South Korea and China – but it is considerably rarer and predominantly laboratory or cell experiments.</w:t>
      </w:r>
    </w:p>
    <w:bookmarkEnd w:id="922"/>
    <w:bookmarkStart w:id="923" w:name="overview-by-organ-system"/>
    <w:p>
      <w:pPr>
        <w:pStyle w:val="Heading4"/>
      </w:pPr>
      <w:r>
        <w:t xml:space="preserve">Overview by organ 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Typical model</w:t>
            </w:r>
          </w:p>
        </w:tc>
        <w:tc>
          <w:tcPr/>
          <w:p>
            <w:pPr>
              <w:pStyle w:val="Compact"/>
              <w:jc w:val="left"/>
            </w:pPr>
            <w:r>
              <w:t xml:space="preserve">Reported result</w:t>
            </w:r>
          </w:p>
        </w:tc>
        <w:tc>
          <w:tcPr/>
          <w:p>
            <w:pPr>
              <w:pStyle w:val="Compact"/>
              <w:jc w:val="left"/>
            </w:pPr>
            <w:r>
              <w:t xml:space="preserve">Example</w:t>
            </w:r>
          </w:p>
        </w:tc>
      </w:tr>
      <w:tr>
        <w:tc>
          <w:tcPr/>
          <w:p>
            <w:pPr>
              <w:pStyle w:val="Compact"/>
              <w:jc w:val="left"/>
            </w:pPr>
            <w:r>
              <w:t xml:space="preserve">Tendon</w:t>
            </w:r>
          </w:p>
        </w:tc>
        <w:tc>
          <w:tcPr/>
          <w:p>
            <w:pPr>
              <w:pStyle w:val="Compact"/>
              <w:jc w:val="left"/>
            </w:pPr>
            <w:r>
              <w:t xml:space="preserve">severed Achilles tendon in rats</w:t>
            </w:r>
          </w:p>
        </w:tc>
        <w:tc>
          <w:tcPr/>
          <w:p>
            <w:pPr>
              <w:pStyle w:val="Compact"/>
              <w:jc w:val="left"/>
            </w:pPr>
            <w:r>
              <w:t xml:space="preserve">better load-bearing capacity, function and tissue structure</w:t>
            </w:r>
          </w:p>
        </w:tc>
        <w:tc>
          <w:tcPr/>
          <w:p>
            <w:pPr>
              <w:pStyle w:val="Compact"/>
              <w:jc w:val="left"/>
            </w:pPr>
            <w:r>
              <w:t xml:space="preserve">Staresinic 2003, PMID 14554208</w:t>
            </w:r>
          </w:p>
        </w:tc>
      </w:tr>
      <w:tr>
        <w:tc>
          <w:tcPr/>
          <w:p>
            <w:pPr>
              <w:pStyle w:val="Compact"/>
              <w:jc w:val="left"/>
            </w:pPr>
            <w:r>
              <w:t xml:space="preserve">Ligament</w:t>
            </w:r>
          </w:p>
        </w:tc>
        <w:tc>
          <w:tcPr/>
          <w:p>
            <w:pPr>
              <w:pStyle w:val="Compact"/>
              <w:jc w:val="left"/>
            </w:pPr>
            <w:r>
              <w:t xml:space="preserve">injured medial collateral ligament of the knee in rats</w:t>
            </w:r>
          </w:p>
        </w:tc>
        <w:tc>
          <w:tcPr/>
          <w:p>
            <w:pPr>
              <w:pStyle w:val="Compact"/>
              <w:jc w:val="left"/>
            </w:pPr>
            <w:r>
              <w:t xml:space="preserve">better healing</w:t>
            </w:r>
          </w:p>
        </w:tc>
        <w:tc>
          <w:tcPr/>
          <w:p>
            <w:pPr>
              <w:pStyle w:val="Compact"/>
              <w:jc w:val="left"/>
            </w:pPr>
            <w:r>
              <w:t xml:space="preserve">Cerovecki 2010, PMID 20225319</w:t>
            </w:r>
          </w:p>
        </w:tc>
      </w:tr>
      <w:tr>
        <w:tc>
          <w:tcPr/>
          <w:p>
            <w:pPr>
              <w:pStyle w:val="Compact"/>
              <w:jc w:val="left"/>
            </w:pPr>
            <w:r>
              <w:t xml:space="preserve">Muscle</w:t>
            </w:r>
          </w:p>
        </w:tc>
        <w:tc>
          <w:tcPr/>
          <w:p>
            <w:pPr>
              <w:pStyle w:val="Compact"/>
              <w:jc w:val="left"/>
            </w:pPr>
            <w:r>
              <w:t xml:space="preserve">severed thigh muscle in rats</w:t>
            </w:r>
          </w:p>
        </w:tc>
        <w:tc>
          <w:tcPr/>
          <w:p>
            <w:pPr>
              <w:pStyle w:val="Compact"/>
              <w:jc w:val="left"/>
            </w:pPr>
            <w:r>
              <w:t xml:space="preserve">better function</w:t>
            </w:r>
          </w:p>
        </w:tc>
        <w:tc>
          <w:tcPr/>
          <w:p>
            <w:pPr>
              <w:pStyle w:val="Compact"/>
              <w:jc w:val="left"/>
            </w:pPr>
            <w:r>
              <w:t xml:space="preserve">Staresinic 2006, PMID 16609979</w:t>
            </w:r>
          </w:p>
        </w:tc>
      </w:tr>
      <w:tr>
        <w:tc>
          <w:tcPr/>
          <w:p>
            <w:pPr>
              <w:pStyle w:val="Compact"/>
              <w:jc w:val="left"/>
            </w:pPr>
            <w:r>
              <w:t xml:space="preserve">Bone</w:t>
            </w:r>
          </w:p>
        </w:tc>
        <w:tc>
          <w:tcPr/>
          <w:p>
            <w:pPr>
              <w:pStyle w:val="Compact"/>
              <w:jc w:val="left"/>
            </w:pPr>
            <w:r>
              <w:t xml:space="preserve">bone defect in rabbits</w:t>
            </w:r>
          </w:p>
        </w:tc>
        <w:tc>
          <w:tcPr/>
          <w:p>
            <w:pPr>
              <w:pStyle w:val="Compact"/>
              <w:jc w:val="left"/>
            </w:pPr>
            <w:r>
              <w:t xml:space="preserve">markedly better defect healing on X-ray and in tissue</w:t>
            </w:r>
          </w:p>
        </w:tc>
        <w:tc>
          <w:tcPr/>
          <w:p>
            <w:pPr>
              <w:pStyle w:val="Compact"/>
              <w:jc w:val="left"/>
            </w:pPr>
            <w:r>
              <w:t xml:space="preserve">Sebecić 1999, PMID 10071911</w:t>
            </w:r>
          </w:p>
        </w:tc>
      </w:tr>
      <w:tr>
        <w:tc>
          <w:tcPr/>
          <w:p>
            <w:pPr>
              <w:pStyle w:val="Compact"/>
              <w:jc w:val="left"/>
            </w:pPr>
            <w:r>
              <w:t xml:space="preserve">Skin</w:t>
            </w:r>
          </w:p>
        </w:tc>
        <w:tc>
          <w:tcPr/>
          <w:p>
            <w:pPr>
              <w:pStyle w:val="Compact"/>
              <w:jc w:val="left"/>
            </w:pPr>
            <w:r>
              <w:t xml:space="preserve">incisional, burn and diabetic wounds in rats</w:t>
            </w:r>
          </w:p>
        </w:tc>
        <w:tc>
          <w:tcPr/>
          <w:p>
            <w:pPr>
              <w:pStyle w:val="Compact"/>
              <w:jc w:val="left"/>
            </w:pPr>
            <w:r>
              <w:t xml:space="preserve">faster wound healing</w:t>
            </w:r>
          </w:p>
        </w:tc>
        <w:tc>
          <w:tcPr/>
          <w:p>
            <w:pPr>
              <w:pStyle w:val="Compact"/>
              <w:jc w:val="left"/>
            </w:pPr>
            <w:r>
              <w:t xml:space="preserve">Seiwerth 2021, PMID 34267654</w:t>
            </w:r>
          </w:p>
        </w:tc>
      </w:tr>
      <w:tr>
        <w:tc>
          <w:tcPr/>
          <w:p>
            <w:pPr>
              <w:pStyle w:val="Compact"/>
              <w:jc w:val="left"/>
            </w:pPr>
            <w:r>
              <w:t xml:space="preserve">Gut</w:t>
            </w:r>
          </w:p>
        </w:tc>
        <w:tc>
          <w:tcPr/>
          <w:p>
            <w:pPr>
              <w:pStyle w:val="Compact"/>
              <w:jc w:val="left"/>
            </w:pPr>
            <w:r>
              <w:t xml:space="preserve">fistulas, colitis, anastomoses in rats</w:t>
            </w:r>
          </w:p>
        </w:tc>
        <w:tc>
          <w:tcPr/>
          <w:p>
            <w:pPr>
              <w:pStyle w:val="Compact"/>
              <w:jc w:val="left"/>
            </w:pPr>
            <w:r>
              <w:t xml:space="preserve">healing of fistulas and sutures</w:t>
            </w:r>
          </w:p>
        </w:tc>
        <w:tc>
          <w:tcPr/>
          <w:p>
            <w:pPr>
              <w:pStyle w:val="Compact"/>
              <w:jc w:val="left"/>
            </w:pPr>
            <w:r>
              <w:t xml:space="preserve">Sikiric 2020, PMID 32329684</w:t>
            </w:r>
          </w:p>
        </w:tc>
      </w:tr>
      <w:tr>
        <w:tc>
          <w:tcPr/>
          <w:p>
            <w:pPr>
              <w:pStyle w:val="Compact"/>
              <w:jc w:val="left"/>
            </w:pPr>
            <w:r>
              <w:t xml:space="preserve">Stomach</w:t>
            </w:r>
          </w:p>
        </w:tc>
        <w:tc>
          <w:tcPr/>
          <w:p>
            <w:pPr>
              <w:pStyle w:val="Compact"/>
              <w:jc w:val="left"/>
            </w:pPr>
            <w:r>
              <w:t xml:space="preserve">damage from painkillers and alcohol</w:t>
            </w:r>
          </w:p>
        </w:tc>
        <w:tc>
          <w:tcPr/>
          <w:p>
            <w:pPr>
              <w:pStyle w:val="Compact"/>
              <w:jc w:val="left"/>
            </w:pPr>
            <w:r>
              <w:t xml:space="preserve">protection of the mucosa</w:t>
            </w:r>
          </w:p>
        </w:tc>
        <w:tc>
          <w:tcPr/>
          <w:p>
            <w:pPr>
              <w:pStyle w:val="Compact"/>
              <w:jc w:val="left"/>
            </w:pPr>
            <w:r>
              <w:t xml:space="preserve">Ilic 2011, PMID 21295044</w:t>
            </w:r>
          </w:p>
        </w:tc>
      </w:tr>
      <w:tr>
        <w:tc>
          <w:tcPr/>
          <w:p>
            <w:pPr>
              <w:pStyle w:val="Compact"/>
              <w:jc w:val="left"/>
            </w:pPr>
            <w:r>
              <w:t xml:space="preserve">Blood vessels</w:t>
            </w:r>
          </w:p>
        </w:tc>
        <w:tc>
          <w:tcPr/>
          <w:p>
            <w:pPr>
              <w:pStyle w:val="Compact"/>
              <w:jc w:val="left"/>
            </w:pPr>
            <w:r>
              <w:t xml:space="preserve">ligated arteries and veins</w:t>
            </w:r>
          </w:p>
        </w:tc>
        <w:tc>
          <w:tcPr/>
          <w:p>
            <w:pPr>
              <w:pStyle w:val="Compact"/>
              <w:jc w:val="left"/>
            </w:pPr>
            <w:r>
              <w:t xml:space="preserve">bypass circulation, better blood flow</w:t>
            </w:r>
          </w:p>
        </w:tc>
        <w:tc>
          <w:tcPr/>
          <w:p>
            <w:pPr>
              <w:pStyle w:val="Compact"/>
              <w:jc w:val="left"/>
            </w:pPr>
            <w:r>
              <w:t xml:space="preserve">Sikiric 2022, PMID 35125818</w:t>
            </w:r>
          </w:p>
        </w:tc>
      </w:tr>
    </w:tbl>
    <w:p>
      <w:pPr>
        <w:pStyle w:val="BodyText"/>
      </w:pPr>
      <w:r>
        <w:t xml:space="preserve">In addition, there are papers on the brain, eye, heart, bladder, poisonings and metabolic derangements – in rats and mice. Proponents read this enormous range as a strength. From a methodological point of view, it is more of a warning sign: a substance that improves almost every disorder in almost every model tested requires particularly careful, independent verification.</w:t>
      </w:r>
    </w:p>
    <w:bookmarkEnd w:id="923"/>
    <w:bookmarkStart w:id="926" w:name="pharmacokinetics-and-toxicology"/>
    <w:p>
      <w:pPr>
        <w:pStyle w:val="Heading4"/>
      </w:pPr>
      <w:r>
        <w:t xml:space="preserve">Pharmacokinetics and toxicology</w:t>
      </w:r>
    </w:p>
    <w:p>
      <w:pPr>
        <w:pStyle w:val="FirstParagraph"/>
      </w:pPr>
      <w:r>
        <w:t xml:space="preserve">A Chinese research group studied BPC-157 according to the usual rules of drug development. In rats and beagle dogs, the half-life of the unchanged peptide was under 30 minutes; after injection into the muscle, about 14 to 19 percent reached the bloodstream in rats and 45 to 51 percent in dogs. BPC-157 was rapidly broken down into small fragments and amino acids and excreted via urine and bile</w:t>
      </w:r>
      <w:r>
        <w:rPr>
          <w:rStyle w:val="FootnoteReference"/>
        </w:rPr>
        <w:footnoteReference w:id="924"/>
      </w:r>
      <w:r>
        <w:t xml:space="preserve">. In toxicity tests in mice, rats, rabbits and dogs, the same researchers found no serious damage, no genetic damage and no harm to embryos; in dogs, the creatinine level fell temporarily at the highest dose</w:t>
      </w:r>
      <w:r>
        <w:rPr>
          <w:rStyle w:val="FootnoteReference"/>
        </w:rPr>
        <w:footnoteReference w:id="925"/>
      </w:r>
      <w:r>
        <w:t xml:space="preserve">. Such animal data are a prerequisite for human studies but do not replace them.</w:t>
      </w:r>
    </w:p>
    <w:bookmarkEnd w:id="926"/>
    <w:bookmarkEnd w:id="927"/>
    <w:bookmarkStart w:id="940" w:name="risks-and-side-effects-15"/>
    <w:p>
      <w:pPr>
        <w:pStyle w:val="Heading3"/>
      </w:pPr>
      <w:r>
        <w:t xml:space="preserve">Risks and side effects</w:t>
      </w:r>
    </w:p>
    <w:bookmarkStart w:id="929" w:name="documented"/>
    <w:p>
      <w:pPr>
        <w:pStyle w:val="Heading4"/>
      </w:pPr>
      <w:r>
        <w:t xml:space="preserve">Documented</w:t>
      </w:r>
    </w:p>
    <w:p>
      <w:pPr>
        <w:pStyle w:val="FirstParagraph"/>
      </w:pPr>
      <w:r>
        <w:t xml:space="preserve">There are practically no documented side effects in humans – but not because BPC-157 has been shown to be safe, but because hardly anyone has systematically looked for them. The three pilot investigations with a combined total of around 30 people reported no side effects</w:t>
      </w:r>
      <w:r>
        <w:rPr>
          <w:rStyle w:val="FootnoteReference"/>
        </w:rPr>
        <w:footnoteReference w:id="928"/>
      </w:r>
      <w:r>
        <w:t xml:space="preserve">. With 30 people, only common, immediately occurring problems can be detected. A side effect affecting one in a thousand people would remain invisible.</w:t>
      </w:r>
    </w:p>
    <w:bookmarkEnd w:id="929"/>
    <w:bookmarkStart w:id="933" w:name="Xb36a78276606f98c1afd46f6884a2e43514c1af"/>
    <w:p>
      <w:pPr>
        <w:pStyle w:val="Heading4"/>
      </w:pPr>
      <w:r>
        <w:t xml:space="preserve">Theoretical: new blood vessel formation and tumor growth</w:t>
      </w:r>
    </w:p>
    <w:p>
      <w:pPr>
        <w:pStyle w:val="FirstParagraph"/>
      </w:pPr>
      <w:r>
        <w:t xml:space="preserve">The most frequently discussed theoretical risk follows directly from the presumed mechanism of action. If BPC-157 promotes the formation of new blood vessels, it could – so the concern goes – also improve the blood supply of existing, perhaps still undetected tumors. Tumors of a few millimeters or more need their own blood vessels to keep growing. This is why inhibitors of the VEGF pathway are established cancer drugs. A substance that upregulates VEGF receptor 2 in cell cultures</w:t>
      </w:r>
      <w:r>
        <w:rPr>
          <w:rStyle w:val="FootnoteReference"/>
        </w:rPr>
        <w:footnoteReference w:id="930"/>
      </w:r>
      <w:r>
        <w:t xml:space="preserve"> </w:t>
      </w:r>
      <w:r>
        <w:t xml:space="preserve">warrants caution here. Several reviews explicitly name pathological new blood vessel formation and possible cancer promotion as an unresolved risk</w:t>
      </w:r>
      <w:r>
        <w:rPr>
          <w:rStyle w:val="FootnoteReference"/>
        </w:rPr>
        <w:footnoteReference w:id="931"/>
      </w:r>
      <w:r>
        <w:t xml:space="preserve">.</w:t>
      </w:r>
    </w:p>
    <w:p>
      <w:pPr>
        <w:pStyle w:val="BodyText"/>
      </w:pPr>
      <w:r>
        <w:t xml:space="preserve">The Zagreb group disagrees: BPC-157 regulates blood vessel formation rather than blindly boosting it, prevents, for example, pathological vessel ingrowth in the cornea of the eye and even shows anti-tumor effects in animal and cell experiments</w:t>
      </w:r>
      <w:r>
        <w:rPr>
          <w:rStyle w:val="FootnoteReference"/>
        </w:rPr>
        <w:footnoteReference w:id="932"/>
      </w:r>
      <w:r>
        <w:t xml:space="preserve">. These data, again, come predominantly from the same group. Long-term studies on cancer development (carcinogenicity studies), as are customary for approved medicines, have not been published for BPC-157. The question is therefore open – neither confirmed nor refuted. Part IV of this book deals with the topic of growth signals and cancer risk in detail.</w:t>
      </w:r>
    </w:p>
    <w:bookmarkEnd w:id="933"/>
    <w:bookmarkStart w:id="936" w:name="gray-market-risks"/>
    <w:p>
      <w:pPr>
        <w:pStyle w:val="Heading4"/>
      </w:pPr>
      <w:r>
        <w:t xml:space="preserve">Gray-market risks</w:t>
      </w:r>
    </w:p>
    <w:p>
      <w:pPr>
        <w:pStyle w:val="FirstParagraph"/>
      </w:pPr>
      <w:r>
        <w:t xml:space="preserve">The greatest practical risk probably lies not in the substance itself but in the products. BPC-157 is mostly sold as a</w:t>
      </w:r>
      <w:r>
        <w:t xml:space="preserve"> </w:t>
      </w:r>
      <w:r>
        <w:t xml:space="preserve">“</w:t>
      </w:r>
      <w:r>
        <w:t xml:space="preserve">research chemical</w:t>
      </w:r>
      <w:r>
        <w:t xml:space="preserve">”</w:t>
      </w:r>
      <w:r>
        <w:t xml:space="preserve"> </w:t>
      </w:r>
      <w:r>
        <w:t xml:space="preserve">without pharmaceutical quality. Reviews name contaminants, incorrect concentrations, lack of sterility and fluctuating manufacturing quality as concrete dangers</w:t>
      </w:r>
      <w:r>
        <w:rPr>
          <w:rStyle w:val="FootnoteReference"/>
        </w:rPr>
        <w:footnoteReference w:id="934"/>
      </w:r>
      <w:r>
        <w:t xml:space="preserve">. As early as 2017, an anti-doping laboratory described BPC-157 from seized vials</w:t>
      </w:r>
      <w:r>
        <w:rPr>
          <w:rStyle w:val="FootnoteReference"/>
        </w:rPr>
        <w:footnoteReference w:id="935"/>
      </w:r>
      <w:r>
        <w:t xml:space="preserve">. With injections, there are additional infection risks from non-sterile solutions. Chapter I.5 and Part IV deal with laboratory analyses of gray-market peptides in detail.</w:t>
      </w:r>
    </w:p>
    <w:bookmarkEnd w:id="936"/>
    <w:bookmarkStart w:id="939" w:name="further-open-questions"/>
    <w:p>
      <w:pPr>
        <w:pStyle w:val="Heading4"/>
      </w:pPr>
      <w:r>
        <w:t xml:space="preserve">Further open questions</w:t>
      </w:r>
    </w:p>
    <w:p>
      <w:pPr>
        <w:numPr>
          <w:ilvl w:val="0"/>
          <w:numId w:val="1117"/>
        </w:numPr>
        <w:pStyle w:val="Compact"/>
      </w:pPr>
      <w:r>
        <w:rPr>
          <w:bCs/>
          <w:b/>
        </w:rPr>
        <w:t xml:space="preserve">Interactions:</w:t>
      </w:r>
      <w:r>
        <w:t xml:space="preserve"> </w:t>
      </w:r>
      <w:r>
        <w:t xml:space="preserve">In animal experiments, BPC-157 influenced blood clotting, blood pressure and nervous system messengers</w:t>
      </w:r>
      <w:r>
        <w:rPr>
          <w:rStyle w:val="FootnoteReference"/>
        </w:rPr>
        <w:footnoteReference w:id="937"/>
      </w:r>
      <w:r>
        <w:t xml:space="preserve">. Whether this is relevant in humans for people on anticoagulants, with cardiovascular disease or on psychiatric medication, no one knows.</w:t>
      </w:r>
    </w:p>
    <w:p>
      <w:pPr>
        <w:numPr>
          <w:ilvl w:val="0"/>
          <w:numId w:val="1117"/>
        </w:numPr>
        <w:pStyle w:val="Compact"/>
      </w:pPr>
      <w:r>
        <w:rPr>
          <w:bCs/>
          <w:b/>
        </w:rPr>
        <w:t xml:space="preserve">Pregnancy and breastfeeding, children and adolescents:</w:t>
      </w:r>
      <w:r>
        <w:t xml:space="preserve"> </w:t>
      </w:r>
      <w:r>
        <w:t xml:space="preserve">no human data.</w:t>
      </w:r>
    </w:p>
    <w:p>
      <w:pPr>
        <w:numPr>
          <w:ilvl w:val="0"/>
          <w:numId w:val="1117"/>
        </w:numPr>
        <w:pStyle w:val="Compact"/>
      </w:pPr>
      <w:r>
        <w:rPr>
          <w:bCs/>
          <w:b/>
        </w:rPr>
        <w:t xml:space="preserve">Placebo effect:</w:t>
      </w:r>
      <w:r>
        <w:t xml:space="preserve"> </w:t>
      </w:r>
      <w:r>
        <w:t xml:space="preserve">A sports medicine review points out that social media can amplify the placebo effect with such peptides</w:t>
      </w:r>
      <w:r>
        <w:rPr>
          <w:rStyle w:val="FootnoteReference"/>
        </w:rPr>
        <w:footnoteReference w:id="938"/>
      </w:r>
      <w:r>
        <w:t xml:space="preserve">. Personal success stories are therefore no proof of efficacy.</w:t>
      </w:r>
    </w:p>
    <w:bookmarkEnd w:id="939"/>
    <w:bookmarkEnd w:id="940"/>
    <w:bookmarkStart w:id="944" w:name="legal-status-15"/>
    <w:p>
      <w:pPr>
        <w:pStyle w:val="Heading3"/>
      </w:pPr>
      <w:r>
        <w:t xml:space="preserve">Legal status</w:t>
      </w:r>
    </w:p>
    <w:p>
      <w:pPr>
        <w:pStyle w:val="FirstParagraph"/>
      </w:pPr>
      <w:r>
        <w:rPr>
          <w:iCs/>
          <w:i/>
        </w:rPr>
        <w:t xml:space="preserve">As of 2026, please check for updates.</w:t>
      </w:r>
    </w:p>
    <w:p>
      <w:pPr>
        <w:numPr>
          <w:ilvl w:val="0"/>
          <w:numId w:val="1118"/>
        </w:numPr>
        <w:pStyle w:val="Compact"/>
      </w:pPr>
      <w:r>
        <w:rPr>
          <w:bCs/>
          <w:b/>
        </w:rPr>
        <w:t xml:space="preserve">EU:</w:t>
      </w:r>
      <w:r>
        <w:t xml:space="preserve"> </w:t>
      </w:r>
      <w:r>
        <w:t xml:space="preserve">BPC-157 is not approved as a medicine in any member state. A substance offered for the treatment of diseases in humans is legally considered a medicine; without approval it may not be placed on the market. The notice</w:t>
      </w:r>
      <w:r>
        <w:t xml:space="preserve"> </w:t>
      </w:r>
      <w:r>
        <w:t xml:space="preserve">“</w:t>
      </w:r>
      <w:r>
        <w:t xml:space="preserve">for research purposes only</w:t>
      </w:r>
      <w:r>
        <w:t xml:space="preserve">”</w:t>
      </w:r>
      <w:r>
        <w:t xml:space="preserve"> </w:t>
      </w:r>
      <w:r>
        <w:t xml:space="preserve">does not change this if the product is evidently intended for use in humans.</w:t>
      </w:r>
    </w:p>
    <w:p>
      <w:pPr>
        <w:numPr>
          <w:ilvl w:val="0"/>
          <w:numId w:val="1118"/>
        </w:numPr>
        <w:pStyle w:val="Compact"/>
      </w:pPr>
      <w:r>
        <w:rPr>
          <w:bCs/>
          <w:b/>
        </w:rPr>
        <w:t xml:space="preserve">Germany and Austria:</w:t>
      </w:r>
      <w:r>
        <w:t xml:space="preserve"> </w:t>
      </w:r>
      <w:r>
        <w:t xml:space="preserve">no approval, and no basis for pharmacy compounding either. Supplying it for use in humans is impermissible under the respective medicines act. In sport, anti-doping rules additionally apply.</w:t>
      </w:r>
    </w:p>
    <w:p>
      <w:pPr>
        <w:numPr>
          <w:ilvl w:val="0"/>
          <w:numId w:val="1118"/>
        </w:numPr>
        <w:pStyle w:val="Compact"/>
      </w:pPr>
      <w:r>
        <w:rPr>
          <w:bCs/>
          <w:b/>
        </w:rPr>
        <w:t xml:space="preserve">USA:</w:t>
      </w:r>
      <w:r>
        <w:t xml:space="preserve"> </w:t>
      </w:r>
      <w:r>
        <w:t xml:space="preserve">no FDA approval. In 2023, the FDA assigned BPC-157 to Category 2 among the bulk substances for compounding – substances for which there are significant safety concerns. In the agency’s view, compounding pharmacies may therefore not process it. The classification of peptides has since been debated controversially in the FDA’s Pharmacy Compounding Advisory Committee (PCAC) and in professional circles</w:t>
      </w:r>
      <w:r>
        <w:rPr>
          <w:rStyle w:val="FootnoteReference"/>
        </w:rPr>
        <w:footnoteReference w:id="941"/>
      </w:r>
      <w:r>
        <w:t xml:space="preserve">; changes are possible.</w:t>
      </w:r>
    </w:p>
    <w:p>
      <w:pPr>
        <w:numPr>
          <w:ilvl w:val="0"/>
          <w:numId w:val="1118"/>
        </w:numPr>
        <w:pStyle w:val="Compact"/>
      </w:pPr>
      <w:r>
        <w:rPr>
          <w:bCs/>
          <w:b/>
        </w:rPr>
        <w:t xml:space="preserve">WADA:</w:t>
      </w:r>
      <w:r>
        <w:t xml:space="preserve"> </w:t>
      </w:r>
      <w:r>
        <w:t xml:space="preserve">BPC-157 has been listed by name in group S0 (non-approved substances) of the Prohibited List since 2022 and is thus prohibited in and out of competition. A 2025 review states, to the contrary, that BPC-157 is currently not listed</w:t>
      </w:r>
      <w:r>
        <w:rPr>
          <w:rStyle w:val="FootnoteReference"/>
        </w:rPr>
        <w:footnoteReference w:id="942"/>
      </w:r>
      <w:r>
        <w:t xml:space="preserve"> </w:t>
      </w:r>
      <w:r>
        <w:t xml:space="preserve">– to the author’s knowledge, this is not correct for the current list. Anti-doping laboratories have developed detection methods in urine</w:t>
      </w:r>
      <w:r>
        <w:rPr>
          <w:rStyle w:val="FootnoteReference"/>
        </w:rPr>
        <w:footnoteReference w:id="943"/>
      </w:r>
      <w:r>
        <w:t xml:space="preserve">.</w:t>
      </w:r>
    </w:p>
    <w:bookmarkEnd w:id="944"/>
    <w:bookmarkStart w:id="950" w:name="ongoing-studies-and-outlook-15"/>
    <w:p>
      <w:pPr>
        <w:pStyle w:val="Heading3"/>
      </w:pPr>
      <w:r>
        <w:t xml:space="preserve">Ongoing studies and outlook</w:t>
      </w:r>
    </w:p>
    <w:p>
      <w:pPr>
        <w:pStyle w:val="FirstParagraph"/>
      </w:pPr>
      <w:r>
        <w:t xml:space="preserve">As of October 2026, four trials with BPC-157 are entered on ClinicalTrials.gov: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Topic</w:t>
            </w:r>
          </w:p>
        </w:tc>
      </w:tr>
      <w:tr>
        <w:tc>
          <w:tcPr/>
          <w:p>
            <w:pPr>
              <w:pStyle w:val="Compact"/>
              <w:jc w:val="left"/>
            </w:pPr>
            <w:r>
              <w:t xml:space="preserve">NCT07437547</w:t>
            </w:r>
          </w:p>
        </w:tc>
        <w:tc>
          <w:tcPr/>
          <w:p>
            <w:pPr>
              <w:pStyle w:val="Compact"/>
              <w:jc w:val="left"/>
            </w:pPr>
            <w:r>
              <w:t xml:space="preserve">Phase 2, randomized, double-blind, placebo, 120 people planned</w:t>
            </w:r>
          </w:p>
        </w:tc>
        <w:tc>
          <w:tcPr/>
          <w:p>
            <w:pPr>
              <w:pStyle w:val="Compact"/>
              <w:jc w:val="left"/>
            </w:pPr>
            <w:r>
              <w:t xml:space="preserve">according to registry recruiting since February 2026; authenticity questionable (see text)</w:t>
            </w:r>
          </w:p>
        </w:tc>
        <w:tc>
          <w:tcPr/>
          <w:p>
            <w:pPr>
              <w:pStyle w:val="Compact"/>
              <w:jc w:val="left"/>
            </w:pPr>
            <w:r>
              <w:t xml:space="preserve">acute hamstring strain; time to return to sport, MRI findings</w:t>
            </w:r>
          </w:p>
        </w:tc>
      </w:tr>
      <w:tr>
        <w:tc>
          <w:tcPr/>
          <w:p>
            <w:pPr>
              <w:pStyle w:val="Compact"/>
              <w:jc w:val="left"/>
            </w:pPr>
            <w:r>
              <w:t xml:space="preserve">NCT07803250</w:t>
            </w:r>
          </w:p>
        </w:tc>
        <w:tc>
          <w:tcPr/>
          <w:p>
            <w:pPr>
              <w:pStyle w:val="Compact"/>
              <w:jc w:val="left"/>
            </w:pPr>
            <w:r>
              <w:t xml:space="preserve">Phase 1, randomized, 30 people planned</w:t>
            </w:r>
          </w:p>
        </w:tc>
        <w:tc>
          <w:tcPr/>
          <w:p>
            <w:pPr>
              <w:pStyle w:val="Compact"/>
              <w:jc w:val="left"/>
            </w:pPr>
            <w:r>
              <w:t xml:space="preserve">not yet recruiting, start planned 2027</w:t>
            </w:r>
          </w:p>
        </w:tc>
        <w:tc>
          <w:tcPr/>
          <w:p>
            <w:pPr>
              <w:pStyle w:val="Compact"/>
              <w:jc w:val="left"/>
            </w:pPr>
            <w:r>
              <w:t xml:space="preserve">healing after rotator cuff surgery (shoulder)</w:t>
            </w:r>
          </w:p>
        </w:tc>
      </w:tr>
      <w:tr>
        <w:tc>
          <w:tcPr/>
          <w:p>
            <w:pPr>
              <w:pStyle w:val="Compact"/>
              <w:jc w:val="left"/>
            </w:pPr>
            <w:r>
              <w:t xml:space="preserve">NCT07752381</w:t>
            </w:r>
          </w:p>
        </w:tc>
        <w:tc>
          <w:tcPr/>
          <w:p>
            <w:pPr>
              <w:pStyle w:val="Compact"/>
              <w:jc w:val="left"/>
            </w:pPr>
            <w:r>
              <w:t xml:space="preserve">single group without control, 40 people</w:t>
            </w:r>
          </w:p>
        </w:tc>
        <w:tc>
          <w:tcPr/>
          <w:p>
            <w:pPr>
              <w:pStyle w:val="Compact"/>
              <w:jc w:val="left"/>
            </w:pPr>
            <w:r>
              <w:t xml:space="preserve">completed 2025, no results in registry</w:t>
            </w:r>
          </w:p>
        </w:tc>
        <w:tc>
          <w:tcPr/>
          <w:p>
            <w:pPr>
              <w:pStyle w:val="Compact"/>
              <w:jc w:val="left"/>
            </w:pPr>
            <w:r>
              <w:t xml:space="preserve">a manufacturer’s gummies; inflammatory markers and self-assessment</w:t>
            </w:r>
          </w:p>
        </w:tc>
      </w:tr>
      <w:tr>
        <w:tc>
          <w:tcPr/>
          <w:p>
            <w:pPr>
              <w:pStyle w:val="Compact"/>
              <w:jc w:val="left"/>
            </w:pPr>
            <w:r>
              <w:t xml:space="preserve">NCT02637284</w:t>
            </w:r>
          </w:p>
        </w:tc>
        <w:tc>
          <w:tcPr/>
          <w:p>
            <w:pPr>
              <w:pStyle w:val="Compact"/>
              <w:jc w:val="left"/>
            </w:pPr>
            <w:r>
              <w:t xml:space="preserve">Phase 1, tablets, 42 healthy people planned</w:t>
            </w:r>
          </w:p>
        </w:tc>
        <w:tc>
          <w:tcPr/>
          <w:p>
            <w:pPr>
              <w:pStyle w:val="Compact"/>
              <w:jc w:val="left"/>
            </w:pPr>
            <w:r>
              <w:t xml:space="preserve">status unknown since 2016</w:t>
            </w:r>
          </w:p>
        </w:tc>
        <w:tc>
          <w:tcPr/>
          <w:p>
            <w:pPr>
              <w:pStyle w:val="Compact"/>
              <w:jc w:val="left"/>
            </w:pPr>
            <w:r>
              <w:t xml:space="preserve">safety and pharmacokinetics</w:t>
            </w:r>
          </w:p>
        </w:tc>
      </w:tr>
    </w:tbl>
    <w:p>
      <w:pPr>
        <w:pStyle w:val="BodyText"/>
      </w:pPr>
      <w:r>
        <w:t xml:space="preserve">Little is</w:t>
      </w:r>
      <w:r>
        <w:t xml:space="preserve"> </w:t>
      </w:r>
      <w:r>
        <w:rPr>
          <w:bCs/>
          <w:b/>
        </w:rPr>
        <w:t xml:space="preserve">confirmed</w:t>
      </w:r>
      <w:r>
        <w:t xml:space="preserve">. On paper, the Phase 2 trial on hamstring strains</w:t>
      </w:r>
      <w:r>
        <w:rPr>
          <w:rStyle w:val="FootnoteReference"/>
        </w:rPr>
        <w:footnoteReference w:id="945"/>
      </w:r>
      <w:r>
        <w:t xml:space="preserve"> </w:t>
      </w:r>
      <w:r>
        <w:t xml:space="preserve">would be the first randomized, placebo-controlled trial with an objective endpoint (MRI) and adequate size. When checked for this book, however, it was noticed that the same sponsor (</w:t>
      </w:r>
      <w:r>
        <w:t xml:space="preserve">“</w:t>
      </w:r>
      <w:r>
        <w:t xml:space="preserve">Hudson Biotech</w:t>
      </w:r>
      <w:r>
        <w:t xml:space="preserve">”</w:t>
      </w:r>
      <w:r>
        <w:t xml:space="preserve">), with an identical study site and identical contact person, has created a second entry on TB-500</w:t>
      </w:r>
      <w:r>
        <w:rPr>
          <w:rStyle w:val="FootnoteReference"/>
        </w:rPr>
        <w:footnoteReference w:id="946"/>
      </w:r>
      <w:r>
        <w:t xml:space="preserve"> </w:t>
      </w:r>
      <w:r>
        <w:t xml:space="preserve">which, in its own description, explicitly calls itself a</w:t>
      </w:r>
      <w:r>
        <w:t xml:space="preserve"> </w:t>
      </w:r>
      <w:r>
        <w:t xml:space="preserve">“</w:t>
      </w:r>
      <w:r>
        <w:t xml:space="preserve">fictitious</w:t>
      </w:r>
      <w:r>
        <w:t xml:space="preserve">”</w:t>
      </w:r>
      <w:r>
        <w:t xml:space="preserve"> </w:t>
      </w:r>
      <w:r>
        <w:t xml:space="preserve">example of a registry entry. Whether the BPC-157 trial is actually being conducted therefore cannot be stated reliably. ClinicalTrials.gov checks entries only formally, not for content – registration alone does not prove that a trial is taking place.</w:t>
      </w:r>
    </w:p>
    <w:p>
      <w:pPr>
        <w:pStyle w:val="BodyText"/>
      </w:pPr>
      <w:r>
        <w:t xml:space="preserve">The shoulder trial at the University of Arkansas</w:t>
      </w:r>
      <w:r>
        <w:rPr>
          <w:rStyle w:val="FootnoteReference"/>
        </w:rPr>
        <w:footnoteReference w:id="947"/>
      </w:r>
      <w:r>
        <w:t xml:space="preserve"> </w:t>
      </w:r>
      <w:r>
        <w:t xml:space="preserve">is randomized and blinded, but small and has not yet begun. A manufacturer’s gummy trial</w:t>
      </w:r>
      <w:r>
        <w:rPr>
          <w:rStyle w:val="FootnoteReference"/>
        </w:rPr>
        <w:footnoteReference w:id="948"/>
      </w:r>
      <w:r>
        <w:t xml:space="preserve"> </w:t>
      </w:r>
      <w:r>
        <w:t xml:space="preserve">has no control group and mainly measures self-reports; it will not answer the open questions.</w:t>
      </w:r>
    </w:p>
    <w:p>
      <w:pPr>
        <w:pStyle w:val="BodyText"/>
      </w:pPr>
      <w:r>
        <w:rPr>
          <w:bCs/>
          <w:b/>
        </w:rPr>
        <w:t xml:space="preserve">Author’s assessment:</w:t>
      </w:r>
      <w:r>
        <w:t xml:space="preserve"> </w:t>
      </w:r>
      <w:r>
        <w:t xml:space="preserve">No robust efficacy data in humans are to be expected before 2028. Even a positive result from a small pilot study would only be a first indication – not yet a basis for approval, which requires several larger trials and long-term safety data. A negative result would probably do little to change the peptide’s online reputation. A pharmaceutical review emphasizes that to this day there is no standardized, validated pharmaceutical form</w:t>
      </w:r>
      <w:r>
        <w:rPr>
          <w:rStyle w:val="FootnoteReference"/>
        </w:rPr>
        <w:footnoteReference w:id="949"/>
      </w:r>
      <w:r>
        <w:t xml:space="preserve"> </w:t>
      </w:r>
      <w:r>
        <w:t xml:space="preserve">– this, too, must be resolved before approval.</w:t>
      </w:r>
    </w:p>
    <w:bookmarkEnd w:id="950"/>
    <w:bookmarkStart w:id="953" w:name="conclusion-15"/>
    <w:p>
      <w:pPr>
        <w:pStyle w:val="Heading3"/>
      </w:pPr>
      <w:r>
        <w:t xml:space="preserve">Conclusion</w:t>
      </w:r>
    </w:p>
    <w:p>
      <w:pPr>
        <w:pStyle w:val="FirstParagraph"/>
      </w:pPr>
      <w:r>
        <w:t xml:space="preserve">BPC-157 is a peptide with an unusually large number of animal studies, almost all of which report positive results – predominantly from a single Zagreb research group and without sufficient independent replication. In humans, there are only three small, uncontrolled investigations with a combined total of around 30 people, whose quality is rated as very low</w:t>
      </w:r>
      <w:r>
        <w:rPr>
          <w:rStyle w:val="FootnoteReference"/>
        </w:rPr>
        <w:footnoteReference w:id="951"/>
      </w:r>
      <w:r>
        <w:t xml:space="preserve">. Long-term safety, in particular the theoretical question of promotion of tumor growth via new blood vessel formation, has not been studied, and gray-market products bring their own risks. Randomized trials are only registered or planned so far</w:t>
      </w:r>
      <w:r>
        <w:rPr>
          <w:rStyle w:val="FootnoteReference"/>
        </w:rPr>
        <w:footnoteReference w:id="952"/>
      </w:r>
      <w:r>
        <w:t xml:space="preserve">; until robust results are available, BPC-157 remains an experimental substance whose benefit in humans has not been proven. For athletes, it is prohibited under WADA rules.</w:t>
      </w:r>
    </w:p>
    <w:bookmarkEnd w:id="953"/>
    <w:bookmarkEnd w:id="954"/>
    <w:bookmarkStart w:id="1004" w:name="tb-500-and-thymosin-beta-4"/>
    <w:p>
      <w:pPr>
        <w:pStyle w:val="Heading2"/>
      </w:pPr>
      <w:r>
        <w:t xml:space="preserve">TB-500 and Thymosin Beta-4</w:t>
      </w:r>
    </w:p>
    <w:p>
      <w:pPr>
        <w:pStyle w:val="FirstParagraph"/>
      </w:pPr>
      <w:r>
        <w:t xml:space="preserve">Online,</w:t>
      </w:r>
      <w:r>
        <w:t xml:space="preserve"> </w:t>
      </w:r>
      <w:r>
        <w:t xml:space="preserve">“</w:t>
      </w:r>
      <w:r>
        <w:t xml:space="preserve">TB-500</w:t>
      </w:r>
      <w:r>
        <w:t xml:space="preserve">”</w:t>
      </w:r>
      <w:r>
        <w:t xml:space="preserve"> </w:t>
      </w:r>
      <w:r>
        <w:t xml:space="preserve">and</w:t>
      </w:r>
      <w:r>
        <w:t xml:space="preserve"> </w:t>
      </w:r>
      <w:r>
        <w:t xml:space="preserve">“</w:t>
      </w:r>
      <w:r>
        <w:t xml:space="preserve">thymosin beta-4</w:t>
      </w:r>
      <w:r>
        <w:t xml:space="preserve">”</w:t>
      </w:r>
      <w:r>
        <w:t xml:space="preserve"> </w:t>
      </w:r>
      <w:r>
        <w:t xml:space="preserve">are usually sold as the same thing. That is wrong, and the difference is decisive for the assessment. Thymosin beta-4 is an endogenous protein of 43 amino acids that has been studied in several clinical trials – mainly as eye drops and as an infusion after a heart attack. TB-500, by contrast, is a short, artificially modified fragment of it that has never been tested in a published human study. This chapter keeps the two cleanly separate.</w:t>
      </w:r>
    </w:p>
    <w:bookmarkStart w:id="956" w:name="profile-16"/>
    <w:p>
      <w:pPr>
        <w:pStyle w:val="Heading3"/>
      </w:pPr>
      <w:r>
        <w:t xml:space="preserve">Profile</w:t>
      </w:r>
    </w:p>
    <w:p>
      <w:pPr>
        <w:numPr>
          <w:ilvl w:val="0"/>
          <w:numId w:val="1119"/>
        </w:numPr>
        <w:pStyle w:val="Compact"/>
      </w:pPr>
      <w:r>
        <w:rPr>
          <w:bCs/>
          <w:b/>
        </w:rPr>
        <w:t xml:space="preserve">Thymosin beta-4 (Tβ4):</w:t>
      </w:r>
      <w:r>
        <w:t xml:space="preserve"> </w:t>
      </w:r>
      <w:r>
        <w:t xml:space="preserve">endogenous peptide of 43 amino acids, present in almost all cells; main function: binds the structural protein actin and thereby regulates cell shape and cell movement. Produced synthetically or by genetic engineering (recombinant) for studies; development names RGN-259 (eye drops), RGN-352 (injection), NL005 (recombinant, China).</w:t>
      </w:r>
    </w:p>
    <w:p>
      <w:pPr>
        <w:numPr>
          <w:ilvl w:val="0"/>
          <w:numId w:val="1119"/>
        </w:numPr>
        <w:pStyle w:val="Compact"/>
      </w:pPr>
      <w:r>
        <w:rPr>
          <w:bCs/>
          <w:b/>
        </w:rPr>
        <w:t xml:space="preserve">TB-500:</w:t>
      </w:r>
      <w:r>
        <w:t xml:space="preserve"> </w:t>
      </w:r>
      <w:r>
        <w:t xml:space="preserve">the fragment of amino acids 17 to 23 of Tβ4, chemically modified (acetylated) at the beginning, sequence Ac-LKKTETQ</w:t>
      </w:r>
      <w:r>
        <w:rPr>
          <w:rStyle w:val="FootnoteReference"/>
        </w:rPr>
        <w:footnoteReference w:id="955"/>
      </w:r>
      <w:r>
        <w:t xml:space="preserve">. Originally appeared as a veterinary drug in horse racing.</w:t>
      </w:r>
    </w:p>
    <w:p>
      <w:pPr>
        <w:numPr>
          <w:ilvl w:val="0"/>
          <w:numId w:val="1119"/>
        </w:numPr>
        <w:pStyle w:val="Compact"/>
      </w:pPr>
      <w:r>
        <w:rPr>
          <w:bCs/>
          <w:b/>
        </w:rPr>
        <w:t xml:space="preserve">Mechanism of action (presumed):</w:t>
      </w:r>
      <w:r>
        <w:t xml:space="preserve"> </w:t>
      </w:r>
      <w:r>
        <w:t xml:space="preserve">promotion of cell migration, new blood vessel formation and wound healing, dampening of inflammation.</w:t>
      </w:r>
    </w:p>
    <w:p>
      <w:pPr>
        <w:numPr>
          <w:ilvl w:val="0"/>
          <w:numId w:val="1119"/>
        </w:numPr>
        <w:pStyle w:val="Compact"/>
      </w:pPr>
      <w:r>
        <w:rPr>
          <w:bCs/>
          <w:b/>
        </w:rPr>
        <w:t xml:space="preserve">Approval EU/USA:</w:t>
      </w:r>
      <w:r>
        <w:t xml:space="preserve"> </w:t>
      </w:r>
      <w:r>
        <w:t xml:space="preserve">neither Tβ4 nor TB-500 is approved.</w:t>
      </w:r>
    </w:p>
    <w:p>
      <w:pPr>
        <w:numPr>
          <w:ilvl w:val="0"/>
          <w:numId w:val="1119"/>
        </w:numPr>
        <w:pStyle w:val="Compact"/>
      </w:pPr>
      <w:r>
        <w:rPr>
          <w:bCs/>
          <w:b/>
        </w:rPr>
        <w:t xml:space="preserve">WADA:</w:t>
      </w:r>
      <w:r>
        <w:t xml:space="preserve"> </w:t>
      </w:r>
      <w:r>
        <w:t xml:space="preserve">prohibited (S2, growth factors;</w:t>
      </w:r>
      <w:r>
        <w:t xml:space="preserve"> </w:t>
      </w:r>
      <w:r>
        <w:t xml:space="preserve">“</w:t>
      </w:r>
      <w:r>
        <w:t xml:space="preserve">thymosin-β4 and its derivatives, e.g., TB-500</w:t>
      </w:r>
      <w:r>
        <w:t xml:space="preserve">”</w:t>
      </w:r>
      <w:r>
        <w:t xml:space="preserve"> </w:t>
      </w:r>
      <w:r>
        <w:t xml:space="preserve">are explicitly named).</w:t>
      </w:r>
    </w:p>
    <w:p>
      <w:pPr>
        <w:numPr>
          <w:ilvl w:val="0"/>
          <w:numId w:val="1119"/>
        </w:numPr>
        <w:pStyle w:val="Compact"/>
      </w:pPr>
      <w:r>
        <w:rPr>
          <w:bCs/>
          <w:b/>
        </w:rPr>
        <w:t xml:space="preserve">Evidence level:</w:t>
      </w:r>
      <w:r>
        <w:t xml:space="preserve"> </w:t>
      </w:r>
      <w:r>
        <w:rPr>
          <w:bCs/>
          <w:b/>
        </w:rPr>
        <w:t xml:space="preserve">B</w:t>
      </w:r>
      <w:r>
        <w:t xml:space="preserve"> </w:t>
      </w:r>
      <w:r>
        <w:t xml:space="preserve">for thymosin beta-4 (randomized trials, mostly small; large Phase 3 trials in dry eye without clear benefit) ·</w:t>
      </w:r>
      <w:r>
        <w:t xml:space="preserve"> </w:t>
      </w:r>
      <w:r>
        <w:rPr>
          <w:bCs/>
          <w:b/>
        </w:rPr>
        <w:t xml:space="preserve">D</w:t>
      </w:r>
      <w:r>
        <w:t xml:space="preserve"> </w:t>
      </w:r>
      <w:r>
        <w:t xml:space="preserve">for TB-500 (no published human study).</w:t>
      </w:r>
    </w:p>
    <w:bookmarkEnd w:id="956"/>
    <w:bookmarkStart w:id="961" w:name="how-it-is-supposed-to-work-16"/>
    <w:p>
      <w:pPr>
        <w:pStyle w:val="Heading3"/>
      </w:pPr>
      <w:r>
        <w:t xml:space="preserve">How it is supposed to work</w:t>
      </w:r>
    </w:p>
    <w:p>
      <w:pPr>
        <w:pStyle w:val="FirstParagraph"/>
      </w:pPr>
      <w:r>
        <w:t xml:space="preserve">In cells, Tβ4 is the most important protein that binds and</w:t>
      </w:r>
      <w:r>
        <w:t xml:space="preserve"> </w:t>
      </w:r>
      <w:r>
        <w:t xml:space="preserve">“</w:t>
      </w:r>
      <w:r>
        <w:t xml:space="preserve">parks</w:t>
      </w:r>
      <w:r>
        <w:t xml:space="preserve">”</w:t>
      </w:r>
      <w:r>
        <w:t xml:space="preserve"> </w:t>
      </w:r>
      <w:r>
        <w:t xml:space="preserve">individual actin building blocks. Actin forms the internal scaffold of the cell; when a cell needs to move – for example to close a wound – this scaffold has to be rebuilt quickly. Tβ4 provides the building blocks for this.</w:t>
      </w:r>
    </w:p>
    <w:p>
      <w:pPr>
        <w:pStyle w:val="BodyText"/>
      </w:pPr>
      <w:r>
        <w:t xml:space="preserve">In addition, Tβ4 apparently has its own signaling effects outside the cell. A review describes several active segments in the molecule: the short piece at the beginning (Ac-SDKP) has anti-inflammatory and anti-scarring effects in laboratory experiments, while segment 17 to 23 (LKKTETQ) promotes new blood vessel formation, wound healing and cell migration</w:t>
      </w:r>
      <w:r>
        <w:rPr>
          <w:rStyle w:val="FootnoteReference"/>
        </w:rPr>
        <w:footnoteReference w:id="957"/>
      </w:r>
      <w:r>
        <w:t xml:space="preserve">. In cell experiments, the seven-amino-acid actin-binding motif showed the same effect on the migration of vascular cells as the whole molecule</w:t>
      </w:r>
      <w:r>
        <w:rPr>
          <w:rStyle w:val="FootnoteReference"/>
        </w:rPr>
        <w:footnoteReference w:id="958"/>
      </w:r>
      <w:r>
        <w:t xml:space="preserve">.</w:t>
      </w:r>
    </w:p>
    <w:p>
      <w:pPr>
        <w:pStyle w:val="BodyText"/>
      </w:pPr>
      <w:r>
        <w:t xml:space="preserve">The idea of TB-500 is based on this laboratory finding: if the short piece carries the effect, it is enough to produce only that – cheaper and simpler than the whole protein. However, it was not exactly the natural sequence that was used, but a form acetylated at the beginning. A study on its breakdown found that TB-500 is rapidly degraded and that in cell experiments it was not the original peptide but a breakdown product (Ac-LKKTE) that promoted wound healing</w:t>
      </w:r>
      <w:r>
        <w:rPr>
          <w:rStyle w:val="FootnoteReference"/>
        </w:rPr>
        <w:footnoteReference w:id="959"/>
      </w:r>
      <w:r>
        <w:t xml:space="preserve">. It has therefore not been shown that TB-500 does the same in the body as Tβ4. A 2026 orthopedic review emphasizes that TB-500 is frequently equated with Tβ4, although no biological or clinical equivalence has been demonstrated</w:t>
      </w:r>
      <w:r>
        <w:rPr>
          <w:rStyle w:val="FootnoteReference"/>
        </w:rPr>
        <w:footnoteReference w:id="960"/>
      </w:r>
      <w:r>
        <w:t xml:space="preserve">.</w:t>
      </w:r>
    </w:p>
    <w:bookmarkEnd w:id="961"/>
    <w:bookmarkStart w:id="976" w:name="human-studies-16"/>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9</w:t>
      </w:r>
      <w:r>
        <w:t xml:space="preserve"> </w:t>
      </w:r>
      <w:r>
        <w:t xml:space="preserve">publications classified as human studies and</w:t>
      </w:r>
      <w:r>
        <w:t xml:space="preserve"> </w:t>
      </w:r>
      <w:r>
        <w:rPr>
          <w:bCs/>
          <w:b/>
        </w:rPr>
        <w:t xml:space="preserve">18</w:t>
      </w:r>
      <w:r>
        <w:t xml:space="preserve"> </w:t>
      </w:r>
      <w:r>
        <w:t xml:space="preserve">entries on ClinicalTrials.gov. Of the nine publications, only six actually study Tβ4 as an active substance; the others measure Tβ4 in the blood or concern other questions.</w:t>
      </w:r>
      <w:r>
        <w:t xml:space="preserve"> </w:t>
      </w:r>
      <w:r>
        <w:rPr>
          <w:bCs/>
          <w:b/>
        </w:rPr>
        <w:t xml:space="preserve">Not a single</w:t>
      </w:r>
      <w:r>
        <w:t xml:space="preserve"> </w:t>
      </w:r>
      <w:r>
        <w:t xml:space="preserve">published study has investigated TB-500 in humans.</w:t>
      </w:r>
    </w:p>
    <w:bookmarkStart w:id="967" w:name="eye-drops-rgn-259"/>
    <w:p>
      <w:pPr>
        <w:pStyle w:val="Heading4"/>
      </w:pPr>
      <w:r>
        <w:t xml:space="preserve">Eye drops (RGN-259)</w:t>
      </w:r>
    </w:p>
    <w:p>
      <w:pPr>
        <w:pStyle w:val="FirstParagraph"/>
      </w:pPr>
      <w:r>
        <w:t xml:space="preserve">Tβ4 is furthest along as eye drops. The company RegeneRx and its partner ReGenTree have tested it in dry eye and in neurotrophic keratopathy – a rare condition in which the cornea heals poorly because of damaged nerves.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Severe dry eye (Sosne 2015, PMID 25826322; NCT01393132)</w:t>
            </w:r>
          </w:p>
        </w:tc>
        <w:tc>
          <w:tcPr/>
          <w:p>
            <w:pPr>
              <w:pStyle w:val="Compact"/>
              <w:jc w:val="left"/>
            </w:pPr>
            <w:r>
              <w:t xml:space="preserve">9 people, randomized vs. vehicle</w:t>
            </w:r>
          </w:p>
        </w:tc>
        <w:tc>
          <w:tcPr/>
          <w:p>
            <w:pPr>
              <w:pStyle w:val="Compact"/>
              <w:jc w:val="left"/>
            </w:pPr>
            <w:r>
              <w:t xml:space="preserve">28 days plus 28 days follow-up</w:t>
            </w:r>
          </w:p>
        </w:tc>
        <w:tc>
          <w:tcPr/>
          <w:p>
            <w:pPr>
              <w:pStyle w:val="Compact"/>
              <w:jc w:val="left"/>
            </w:pPr>
            <w:r>
              <w:t xml:space="preserve">on day 56, symptoms 35.1% and corneal staining 59.1% lower than with vehicle</w:t>
            </w:r>
          </w:p>
        </w:tc>
      </w:tr>
      <w:tr>
        <w:tc>
          <w:tcPr/>
          <w:p>
            <w:pPr>
              <w:pStyle w:val="Compact"/>
              <w:jc w:val="left"/>
            </w:pPr>
            <w:r>
              <w:t xml:space="preserve">Dry eye, challenge model (Sosne 2015, PMID 26056426)</w:t>
            </w:r>
          </w:p>
        </w:tc>
        <w:tc>
          <w:tcPr/>
          <w:p>
            <w:pPr>
              <w:pStyle w:val="Compact"/>
              <w:jc w:val="left"/>
            </w:pPr>
            <w:r>
              <w:t xml:space="preserve">72 people, RCT</w:t>
            </w:r>
          </w:p>
        </w:tc>
        <w:tc>
          <w:tcPr/>
          <w:p>
            <w:pPr>
              <w:pStyle w:val="Compact"/>
              <w:jc w:val="left"/>
            </w:pPr>
            <w:r>
              <w:t xml:space="preserve">28 days</w:t>
            </w:r>
          </w:p>
        </w:tc>
        <w:tc>
          <w:tcPr/>
          <w:p>
            <w:pPr>
              <w:pStyle w:val="Compact"/>
              <w:jc w:val="left"/>
            </w:pPr>
            <w:r>
              <w:t xml:space="preserve">both primary endpoints not significant; individual secondary endpoints better</w:t>
            </w:r>
          </w:p>
        </w:tc>
      </w:tr>
      <w:tr>
        <w:tc>
          <w:tcPr/>
          <w:p>
            <w:pPr>
              <w:pStyle w:val="Compact"/>
              <w:jc w:val="left"/>
            </w:pPr>
            <w:r>
              <w:t xml:space="preserve">ARISE-2 (NCT02974907)</w:t>
            </w:r>
          </w:p>
        </w:tc>
        <w:tc>
          <w:tcPr/>
          <w:p>
            <w:pPr>
              <w:pStyle w:val="Compact"/>
              <w:jc w:val="left"/>
            </w:pPr>
            <w:r>
              <w:t xml:space="preserve">601 people, Phase 3, RCT</w:t>
            </w:r>
          </w:p>
        </w:tc>
        <w:tc>
          <w:tcPr/>
          <w:p>
            <w:pPr>
              <w:pStyle w:val="Compact"/>
              <w:jc w:val="left"/>
            </w:pPr>
            <w:r>
              <w:t xml:space="preserve">28 days</w:t>
            </w:r>
          </w:p>
        </w:tc>
        <w:tc>
          <w:tcPr/>
          <w:p>
            <w:pPr>
              <w:pStyle w:val="Compact"/>
              <w:jc w:val="left"/>
            </w:pPr>
            <w:r>
              <w:t xml:space="preserve">primary endpoints practically the same in both groups according to registry results</w:t>
            </w:r>
          </w:p>
        </w:tc>
      </w:tr>
      <w:tr>
        <w:tc>
          <w:tcPr/>
          <w:p>
            <w:pPr>
              <w:pStyle w:val="Compact"/>
              <w:jc w:val="left"/>
            </w:pPr>
            <w:r>
              <w:t xml:space="preserve">ARISE-3 (NCT03937882)</w:t>
            </w:r>
          </w:p>
        </w:tc>
        <w:tc>
          <w:tcPr/>
          <w:p>
            <w:pPr>
              <w:pStyle w:val="Compact"/>
              <w:jc w:val="left"/>
            </w:pPr>
            <w:r>
              <w:t xml:space="preserve">700 people, Phase 3, RCT</w:t>
            </w:r>
          </w:p>
        </w:tc>
        <w:tc>
          <w:tcPr/>
          <w:p>
            <w:pPr>
              <w:pStyle w:val="Compact"/>
              <w:jc w:val="left"/>
            </w:pPr>
            <w:r>
              <w:t xml:space="preserve">14 days</w:t>
            </w:r>
          </w:p>
        </w:tc>
        <w:tc>
          <w:tcPr/>
          <w:p>
            <w:pPr>
              <w:pStyle w:val="Compact"/>
              <w:jc w:val="left"/>
            </w:pPr>
            <w:r>
              <w:t xml:space="preserve">corneal staining −0.41 vs. −0.46 points, symptoms −0.4 vs. −0.4 points (Tβ4 vs. placebo)</w:t>
            </w:r>
          </w:p>
        </w:tc>
      </w:tr>
      <w:tr>
        <w:tc>
          <w:tcPr/>
          <w:p>
            <w:pPr>
              <w:pStyle w:val="Compact"/>
              <w:jc w:val="left"/>
            </w:pPr>
            <w:r>
              <w:t xml:space="preserve">SEER-1, neurotrophic keratopathy (Sosne 2022, PMID 36613994)</w:t>
            </w:r>
          </w:p>
        </w:tc>
        <w:tc>
          <w:tcPr/>
          <w:p>
            <w:pPr>
              <w:pStyle w:val="Compact"/>
              <w:jc w:val="left"/>
            </w:pPr>
            <w:r>
              <w:t xml:space="preserve">18 people, Phase 3, RCT</w:t>
            </w:r>
          </w:p>
        </w:tc>
        <w:tc>
          <w:tcPr/>
          <w:p>
            <w:pPr>
              <w:pStyle w:val="Compact"/>
              <w:jc w:val="left"/>
            </w:pPr>
            <w:r>
              <w:t xml:space="preserve">4 weeks plus 2 weeks</w:t>
            </w:r>
          </w:p>
        </w:tc>
        <w:tc>
          <w:tcPr/>
          <w:p>
            <w:pPr>
              <w:pStyle w:val="Compact"/>
              <w:jc w:val="left"/>
            </w:pPr>
            <w:r>
              <w:t xml:space="preserve">complete healing in 6 of 10 vs. 1 of 8 (p = 0.0656, not significant)</w:t>
            </w:r>
          </w:p>
        </w:tc>
      </w:tr>
    </w:tbl>
    <w:p>
      <w:pPr>
        <w:pStyle w:val="BodyText"/>
      </w:pPr>
      <w:r>
        <w:t xml:space="preserve">The pattern is typical of a medicine with uncertain benefit: small studies show favorable signals, large studies do not confirm them. The small study with nine people found clear improvements</w:t>
      </w:r>
      <w:r>
        <w:rPr>
          <w:rStyle w:val="FootnoteReference"/>
        </w:rPr>
        <w:footnoteReference w:id="962"/>
      </w:r>
      <w:r>
        <w:t xml:space="preserve">. But the study with 72 people already missed both prespecified primary endpoints; the authors instead emphasized improvements in secondary endpoints</w:t>
      </w:r>
      <w:r>
        <w:rPr>
          <w:rStyle w:val="FootnoteReference"/>
        </w:rPr>
        <w:footnoteReference w:id="963"/>
      </w:r>
      <w:r>
        <w:t xml:space="preserve">. In the two large Phase 3 trials ARISE-2 and ARISE-3, with a combined total of around 1,300 participants, the values of the primary endpoints were almost identical in the Tβ4 and placebo groups according to the results published in the registry</w:t>
      </w:r>
      <w:r>
        <w:rPr>
          <w:rStyle w:val="FootnoteReference"/>
        </w:rPr>
        <w:footnoteReference w:id="964"/>
      </w:r>
      <w:r>
        <w:t xml:space="preserve">. No journal publication of these results was found in PubMed.</w:t>
      </w:r>
    </w:p>
    <w:p>
      <w:pPr>
        <w:pStyle w:val="BodyText"/>
      </w:pPr>
      <w:r>
        <w:t xml:space="preserve">In neurotrophic keratopathy, more eyes healed on Tβ4 than on placebo in the small Phase 3 trial SEER-1; however, the difference narrowly missed statistical significance, and the trial included only 18 people</w:t>
      </w:r>
      <w:r>
        <w:rPr>
          <w:rStyle w:val="FootnoteReference"/>
        </w:rPr>
        <w:footnoteReference w:id="965"/>
      </w:r>
      <w:r>
        <w:t xml:space="preserve">. A 2025 Cochrane review rated the trial as</w:t>
      </w:r>
      <w:r>
        <w:t xml:space="preserve"> </w:t>
      </w:r>
      <w:r>
        <w:t xml:space="preserve">“</w:t>
      </w:r>
      <w:r>
        <w:t xml:space="preserve">low certainty</w:t>
      </w:r>
      <w:r>
        <w:t xml:space="preserve">”</w:t>
      </w:r>
      <w:r>
        <w:t xml:space="preserve"> </w:t>
      </w:r>
      <w:r>
        <w:t xml:space="preserve">and found no established difference</w:t>
      </w:r>
      <w:r>
        <w:rPr>
          <w:rStyle w:val="FootnoteReference"/>
        </w:rPr>
        <w:footnoteReference w:id="966"/>
      </w:r>
      <w:r>
        <w:t xml:space="preserve">. A larger follow-up trial (SEER-2) is ongoing.</w:t>
      </w:r>
    </w:p>
    <w:bookmarkEnd w:id="967"/>
    <w:bookmarkStart w:id="969" w:name="heart"/>
    <w:p>
      <w:pPr>
        <w:pStyle w:val="Heading4"/>
      </w:pPr>
      <w:r>
        <w:t xml:space="preserve">Heart</w:t>
      </w:r>
    </w:p>
    <w:p>
      <w:pPr>
        <w:pStyle w:val="FirstParagraph"/>
      </w:pPr>
      <w:r>
        <w:t xml:space="preserve">Tβ4 was developed as a cardiac drug because of spectacular mouse experiments (see Animal and laboratory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Safety, infusion (Ruff 2010, PMID 20536472)</w:t>
            </w:r>
          </w:p>
        </w:tc>
        <w:tc>
          <w:tcPr/>
          <w:p>
            <w:pPr>
              <w:pStyle w:val="Compact"/>
              <w:jc w:val="left"/>
            </w:pPr>
            <w:r>
              <w:t xml:space="preserve">40 healthy people in 4 dose groups, RCT</w:t>
            </w:r>
          </w:p>
        </w:tc>
        <w:tc>
          <w:tcPr/>
          <w:p>
            <w:pPr>
              <w:pStyle w:val="Compact"/>
              <w:jc w:val="left"/>
            </w:pPr>
            <w:r>
              <w:t xml:space="preserve">single dose, then daily for 14 days</w:t>
            </w:r>
          </w:p>
        </w:tc>
        <w:tc>
          <w:tcPr/>
          <w:p>
            <w:pPr>
              <w:pStyle w:val="Compact"/>
              <w:jc w:val="left"/>
            </w:pPr>
            <w:r>
              <w:t xml:space="preserve">no dose-limiting toxicity, no serious side effects</w:t>
            </w:r>
          </w:p>
        </w:tc>
      </w:tr>
      <w:tr>
        <w:tc>
          <w:tcPr/>
          <w:p>
            <w:pPr>
              <w:pStyle w:val="Compact"/>
              <w:jc w:val="left"/>
            </w:pPr>
            <w:r>
              <w:t xml:space="preserve">Recombinant Tβ4 NL005, Phase 1 (Wang 2021, PMID 34346165)</w:t>
            </w:r>
          </w:p>
        </w:tc>
        <w:tc>
          <w:tcPr/>
          <w:p>
            <w:pPr>
              <w:pStyle w:val="Compact"/>
              <w:jc w:val="left"/>
            </w:pPr>
            <w:r>
              <w:t xml:space="preserve">54 healthy people (single dose) and 30 healthy people (multiple dose), RCT</w:t>
            </w:r>
          </w:p>
        </w:tc>
        <w:tc>
          <w:tcPr/>
          <w:p>
            <w:pPr>
              <w:pStyle w:val="Compact"/>
              <w:jc w:val="left"/>
            </w:pPr>
            <w:r>
              <w:t xml:space="preserve">up to 10 days plus 28 days</w:t>
            </w:r>
          </w:p>
        </w:tc>
        <w:tc>
          <w:tcPr/>
          <w:p>
            <w:pPr>
              <w:pStyle w:val="Compact"/>
              <w:jc w:val="left"/>
            </w:pPr>
            <w:r>
              <w:t xml:space="preserve">side effects mild to moderate, none serious</w:t>
            </w:r>
          </w:p>
        </w:tc>
      </w:tr>
      <w:tr>
        <w:tc>
          <w:tcPr/>
          <w:p>
            <w:pPr>
              <w:pStyle w:val="Compact"/>
              <w:jc w:val="left"/>
            </w:pPr>
            <w:r>
              <w:t xml:space="preserve">NL005 in heart attack (Zhang 2025, PMID 41229390)</w:t>
            </w:r>
          </w:p>
        </w:tc>
        <w:tc>
          <w:tcPr/>
          <w:p>
            <w:pPr>
              <w:pStyle w:val="Compact"/>
              <w:jc w:val="left"/>
            </w:pPr>
            <w:r>
              <w:t xml:space="preserve">96 people with STEMI after catheter treatment, RCT vs. placebo</w:t>
            </w:r>
          </w:p>
        </w:tc>
        <w:tc>
          <w:tcPr/>
          <w:p>
            <w:pPr>
              <w:pStyle w:val="Compact"/>
              <w:jc w:val="left"/>
            </w:pPr>
            <w:r>
              <w:t xml:space="preserve">90 days</w:t>
            </w:r>
          </w:p>
        </w:tc>
        <w:tc>
          <w:tcPr/>
          <w:p>
            <w:pPr>
              <w:pStyle w:val="Compact"/>
              <w:jc w:val="left"/>
            </w:pPr>
            <w:r>
              <w:t xml:space="preserve">overall no significant difference in infarct size; benefit only in the subgroup dosed within 8 hours (n = 43)</w:t>
            </w:r>
          </w:p>
        </w:tc>
      </w:tr>
      <w:tr>
        <w:tc>
          <w:tcPr/>
          <w:p>
            <w:pPr>
              <w:pStyle w:val="Compact"/>
              <w:jc w:val="left"/>
            </w:pPr>
            <w:r>
              <w:t xml:space="preserve">Tβ4-pretreated stem cells (Zhu 2016, PMID 27288307)</w:t>
            </w:r>
          </w:p>
        </w:tc>
        <w:tc>
          <w:tcPr/>
          <w:p>
            <w:pPr>
              <w:pStyle w:val="Compact"/>
              <w:jc w:val="left"/>
            </w:pPr>
            <w:r>
              <w:t xml:space="preserve">10 people with heart attack, randomized pilot study</w:t>
            </w:r>
          </w:p>
        </w:tc>
        <w:tc>
          <w:tcPr/>
          <w:p>
            <w:pPr>
              <w:pStyle w:val="Compact"/>
              <w:jc w:val="left"/>
            </w:pPr>
            <w:r>
              <w:t xml:space="preserve">6 months</w:t>
            </w:r>
          </w:p>
        </w:tc>
        <w:tc>
          <w:tcPr/>
          <w:p>
            <w:pPr>
              <w:pStyle w:val="Compact"/>
              <w:jc w:val="left"/>
            </w:pPr>
            <w:r>
              <w:t xml:space="preserve">walking distance improved more; Tβ4 was only added to the cells in the laboratory, not given to the patients</w:t>
            </w:r>
          </w:p>
        </w:tc>
      </w:tr>
    </w:tbl>
    <w:p>
      <w:pPr>
        <w:pStyle w:val="BodyText"/>
      </w:pPr>
      <w:r>
        <w:t xml:space="preserve">The most important cardiac trial is the Chinese trial with 96 heart attack patients. Across all participants, recombinant Tβ4 did not significantly reduce infarct size after 90 days; a benefit was seen only in the subgroup that received the first dose within eight hours</w:t>
      </w:r>
      <w:r>
        <w:rPr>
          <w:rStyle w:val="FootnoteReference"/>
        </w:rPr>
        <w:footnoteReference w:id="968"/>
      </w:r>
      <w:r>
        <w:t xml:space="preserve">. Subgroup results are considered an indication, not proof. The authors themselves call for further randomized trials.</w:t>
      </w:r>
    </w:p>
    <w:bookmarkEnd w:id="969"/>
    <w:bookmarkStart w:id="972" w:name="skin-and-wounds"/>
    <w:p>
      <w:pPr>
        <w:pStyle w:val="Heading4"/>
      </w:pPr>
      <w:r>
        <w:t xml:space="preserve">Skin and wounds</w:t>
      </w:r>
    </w:p>
    <w:p>
      <w:pPr>
        <w:pStyle w:val="FirstParagraph"/>
      </w:pPr>
      <w:r>
        <w:t xml:space="preserve">In the 2000s, RegeneRx tested a Tβ4 gel in venous leg ulcers, pressure ulcers and the hereditary blistering disease epidermolysis bullosa. The trial in venous ulcers randomized 73 people; safety was comparable with placebo, and an effect could only be described as a trend for the 0.03% concentration</w:t>
      </w:r>
      <w:r>
        <w:rPr>
          <w:rStyle w:val="FootnoteReference"/>
        </w:rPr>
        <w:footnoteReference w:id="970"/>
      </w:r>
      <w:r>
        <w:t xml:space="preserve">. The trial in epidermolysis bullosa was terminated early</w:t>
      </w:r>
      <w:r>
        <w:rPr>
          <w:rStyle w:val="FootnoteReference"/>
        </w:rPr>
        <w:footnoteReference w:id="971"/>
      </w:r>
      <w:r>
        <w:t xml:space="preserve">. None of these trials led to approval.</w:t>
      </w:r>
    </w:p>
    <w:bookmarkEnd w:id="972"/>
    <w:bookmarkStart w:id="975" w:name="tb-500-in-humans"/>
    <w:p>
      <w:pPr>
        <w:pStyle w:val="Heading4"/>
      </w:pPr>
      <w:r>
        <w:t xml:space="preserve">TB-500 in humans</w:t>
      </w:r>
    </w:p>
    <w:p>
      <w:pPr>
        <w:pStyle w:val="FirstParagraph"/>
      </w:pPr>
      <w:r>
        <w:t xml:space="preserve">There is no published human study for the fragment TB-500. A registry entry on TB-500 in cardiovascular disease entered in 2026</w:t>
      </w:r>
      <w:r>
        <w:rPr>
          <w:rStyle w:val="FootnoteReference"/>
        </w:rPr>
        <w:footnoteReference w:id="973"/>
      </w:r>
      <w:r>
        <w:t xml:space="preserve"> </w:t>
      </w:r>
      <w:r>
        <w:t xml:space="preserve">describes itself in its own description as a</w:t>
      </w:r>
      <w:r>
        <w:t xml:space="preserve"> </w:t>
      </w:r>
      <w:r>
        <w:t xml:space="preserve">“</w:t>
      </w:r>
      <w:r>
        <w:t xml:space="preserve">fictitious</w:t>
      </w:r>
      <w:r>
        <w:t xml:space="preserve">”</w:t>
      </w:r>
      <w:r>
        <w:t xml:space="preserve"> </w:t>
      </w:r>
      <w:r>
        <w:t xml:space="preserve">example of a registry entry; it should therefore not be regarded as a real trial. The only human publication mentioning Tβ4 for joint complaints is a retrospective telephone survey in which four people had BPC-157 injected into the knee together with Tβ4</w:t>
      </w:r>
      <w:r>
        <w:rPr>
          <w:rStyle w:val="FootnoteReference"/>
        </w:rPr>
        <w:footnoteReference w:id="974"/>
      </w:r>
      <w:r>
        <w:t xml:space="preserve"> </w:t>
      </w:r>
      <w:r>
        <w:t xml:space="preserve">– too little for any conclusion.</w:t>
      </w:r>
    </w:p>
    <w:bookmarkEnd w:id="975"/>
    <w:bookmarkEnd w:id="976"/>
    <w:bookmarkStart w:id="984" w:name="animal-and-laboratory-studies-16"/>
    <w:p>
      <w:pPr>
        <w:pStyle w:val="Heading3"/>
      </w:pPr>
      <w:r>
        <w:t xml:space="preserve">Animal and laboratory studies</w:t>
      </w:r>
    </w:p>
    <w:p>
      <w:pPr>
        <w:pStyle w:val="FirstParagraph"/>
      </w:pPr>
      <w:r>
        <w:t xml:space="preserve">Tβ4’s reputation as a</w:t>
      </w:r>
      <w:r>
        <w:t xml:space="preserve"> </w:t>
      </w:r>
      <w:r>
        <w:t xml:space="preserve">“</w:t>
      </w:r>
      <w:r>
        <w:t xml:space="preserve">repair peptide</w:t>
      </w:r>
      <w:r>
        <w:t xml:space="preserve">”</w:t>
      </w:r>
      <w:r>
        <w:t xml:space="preserve"> </w:t>
      </w:r>
      <w:r>
        <w:t xml:space="preserve">stems mainly from two papers in the journal Nature. In mice with artificially induced heart attacks, Tβ4 improved the survival of heart muscle cells and cardiac function</w:t>
      </w:r>
      <w:r>
        <w:rPr>
          <w:rStyle w:val="FootnoteReference"/>
        </w:rPr>
        <w:footnoteReference w:id="977"/>
      </w:r>
      <w:r>
        <w:t xml:space="preserve">. A follow-up study in mice showed that Tβ4 activates progenitor cells of the outer layer of the heart (epicardium) and stimulates the formation of new vessels</w:t>
      </w:r>
      <w:r>
        <w:rPr>
          <w:rStyle w:val="FootnoteReference"/>
        </w:rPr>
        <w:footnoteReference w:id="978"/>
      </w:r>
      <w:r>
        <w:t xml:space="preserve">. An independent group, however, could not confirm that Tβ4 causes new heart muscle cells to arise from these cells after a heart attack</w:t>
      </w:r>
      <w:r>
        <w:rPr>
          <w:rStyle w:val="FootnoteReference"/>
        </w:rPr>
        <w:footnoteReference w:id="979"/>
      </w:r>
      <w:r>
        <w:t xml:space="preserve"> </w:t>
      </w:r>
      <w:r>
        <w:t xml:space="preserve">– an example of how important independent replications are.</w:t>
      </w:r>
    </w:p>
    <w:p>
      <w:pPr>
        <w:pStyle w:val="BodyText"/>
      </w:pPr>
      <w:r>
        <w:t xml:space="preserve">Further animal and laboratory findings concern skin, cornea, brain, kidney and liver. In rats, Tβ4 improved the survival of skin flaps</w:t>
      </w:r>
      <w:r>
        <w:rPr>
          <w:rStyle w:val="FootnoteReference"/>
        </w:rPr>
        <w:footnoteReference w:id="980"/>
      </w:r>
      <w:r>
        <w:t xml:space="preserve">, and in mice, fracture healing</w:t>
      </w:r>
      <w:r>
        <w:rPr>
          <w:rStyle w:val="FootnoteReference"/>
        </w:rPr>
        <w:footnoteReference w:id="981"/>
      </w:r>
      <w:r>
        <w:t xml:space="preserve">. For tendons, ligaments and muscles – exactly the areas of use for which TB-500 is advertised online – there are only cell and rodent data</w:t>
      </w:r>
      <w:r>
        <w:rPr>
          <w:rStyle w:val="FootnoteReference"/>
        </w:rPr>
        <w:footnoteReference w:id="982"/>
      </w:r>
      <w:r>
        <w:t xml:space="preserve">. A 2026 rat study found, after transection of the Achilles tendon in 32 animals, higher tensile strength and better tissue structure in the TB-500 group than in the control group</w:t>
      </w:r>
      <w:r>
        <w:rPr>
          <w:rStyle w:val="FootnoteReference"/>
        </w:rPr>
        <w:footnoteReference w:id="983"/>
      </w:r>
      <w:r>
        <w:t xml:space="preserve">. This is one of the few animal studies with the fragment actually sold.</w:t>
      </w:r>
    </w:p>
    <w:bookmarkEnd w:id="984"/>
    <w:bookmarkStart w:id="994" w:name="risks-and-side-effects-16"/>
    <w:p>
      <w:pPr>
        <w:pStyle w:val="Heading3"/>
      </w:pPr>
      <w:r>
        <w:t xml:space="preserve">Risks and side effects</w:t>
      </w:r>
    </w:p>
    <w:bookmarkStart w:id="987" w:name="documented-thymosin-beta-4"/>
    <w:p>
      <w:pPr>
        <w:pStyle w:val="Heading4"/>
      </w:pPr>
      <w:r>
        <w:t xml:space="preserve">Documented (thymosin beta-4)</w:t>
      </w:r>
    </w:p>
    <w:p>
      <w:pPr>
        <w:pStyle w:val="FirstParagraph"/>
      </w:pPr>
      <w:r>
        <w:t xml:space="preserve">In the randomized trials with eye drops, gel and infusion, Tβ4 was well tolerated. In 40 healthy people, no dose-limiting side effects occurred with infusions of up to 1,260 mg daily over 14 days</w:t>
      </w:r>
      <w:r>
        <w:rPr>
          <w:rStyle w:val="FootnoteReference"/>
        </w:rPr>
        <w:footnoteReference w:id="985"/>
      </w:r>
      <w:r>
        <w:t xml:space="preserve">. In the Chinese Phase 1 trial, side effects were mild to moderate</w:t>
      </w:r>
      <w:r>
        <w:rPr>
          <w:rStyle w:val="FootnoteReference"/>
        </w:rPr>
        <w:footnoteReference w:id="986"/>
      </w:r>
      <w:r>
        <w:t xml:space="preserve">. However, these trials are short, and they concern the whole protein in pharmaceutical quality – not gray-market products.</w:t>
      </w:r>
    </w:p>
    <w:bookmarkEnd w:id="987"/>
    <w:bookmarkStart w:id="990" w:name="theoretical-cancer"/>
    <w:p>
      <w:pPr>
        <w:pStyle w:val="Heading4"/>
      </w:pPr>
      <w:r>
        <w:t xml:space="preserve">Theoretical: cancer</w:t>
      </w:r>
    </w:p>
    <w:p>
      <w:pPr>
        <w:pStyle w:val="FirstParagraph"/>
      </w:pPr>
      <w:r>
        <w:t xml:space="preserve">Tβ4 promotes cell migration and new blood vessel formation – two properties that tumors also use for growth and spread. In tissue samples from 138 bladder cancer patients, strong Tβ4 production was associated with advanced stage, lymph node involvement and shorter survival</w:t>
      </w:r>
      <w:r>
        <w:rPr>
          <w:rStyle w:val="FootnoteReference"/>
        </w:rPr>
        <w:footnoteReference w:id="988"/>
      </w:r>
      <w:r>
        <w:t xml:space="preserve">. In cultures of breast cancer cells, added Tβ4 increased the cell count</w:t>
      </w:r>
      <w:r>
        <w:rPr>
          <w:rStyle w:val="FootnoteReference"/>
        </w:rPr>
        <w:footnoteReference w:id="989"/>
      </w:r>
      <w:r>
        <w:t xml:space="preserve">. Such associations do not prove that Tβ4 administered from outside causes cancer. They are, however, one reason why experts advise caution in people with cancer or an increased cancer risk. Long-term data are lacking. Part IV deals with the topic in detail.</w:t>
      </w:r>
    </w:p>
    <w:bookmarkEnd w:id="990"/>
    <w:bookmarkStart w:id="993" w:name="gray-market"/>
    <w:p>
      <w:pPr>
        <w:pStyle w:val="Heading4"/>
      </w:pPr>
      <w:r>
        <w:t xml:space="preserve">Gray market</w:t>
      </w:r>
    </w:p>
    <w:p>
      <w:pPr>
        <w:pStyle w:val="FirstParagraph"/>
      </w:pPr>
      <w:r>
        <w:t xml:space="preserve">What is sold as</w:t>
      </w:r>
      <w:r>
        <w:t xml:space="preserve"> </w:t>
      </w:r>
      <w:r>
        <w:t xml:space="preserve">“</w:t>
      </w:r>
      <w:r>
        <w:t xml:space="preserve">TB-500</w:t>
      </w:r>
      <w:r>
        <w:t xml:space="preserve">”</w:t>
      </w:r>
      <w:r>
        <w:t xml:space="preserve"> </w:t>
      </w:r>
      <w:r>
        <w:t xml:space="preserve">does not reliably contain what is on the label. A horse doping laboratory analyzed products offered online and found that the content of</w:t>
      </w:r>
      <w:r>
        <w:t xml:space="preserve"> </w:t>
      </w:r>
      <w:r>
        <w:t xml:space="preserve">“</w:t>
      </w:r>
      <w:r>
        <w:t xml:space="preserve">TB500</w:t>
      </w:r>
      <w:r>
        <w:t xml:space="preserve">”</w:t>
      </w:r>
      <w:r>
        <w:t xml:space="preserve"> </w:t>
      </w:r>
      <w:r>
        <w:t xml:space="preserve">and</w:t>
      </w:r>
      <w:r>
        <w:t xml:space="preserve"> </w:t>
      </w:r>
      <w:r>
        <w:t xml:space="preserve">“</w:t>
      </w:r>
      <w:r>
        <w:t xml:space="preserve">TB1000</w:t>
      </w:r>
      <w:r>
        <w:t xml:space="preserve">”</w:t>
      </w:r>
      <w:r>
        <w:t xml:space="preserve"> </w:t>
      </w:r>
      <w:r>
        <w:t xml:space="preserve">did not consistently match the declared composition</w:t>
      </w:r>
      <w:r>
        <w:rPr>
          <w:rStyle w:val="FootnoteReference"/>
        </w:rPr>
        <w:footnoteReference w:id="991"/>
      </w:r>
      <w:r>
        <w:t xml:space="preserve">. Some products contain the fragment, others possibly the whole Tβ4, still others contaminants. In addition, there are the known risks of non-sterile injections. That horse doping laboratories developed detection methods for TB-500 as early as 2012</w:t>
      </w:r>
      <w:r>
        <w:rPr>
          <w:rStyle w:val="FootnoteReference"/>
        </w:rPr>
        <w:footnoteReference w:id="992"/>
      </w:r>
      <w:r>
        <w:t xml:space="preserve"> </w:t>
      </w:r>
      <w:r>
        <w:t xml:space="preserve">shows where the product comes from: the veterinary field, not human medicine.</w:t>
      </w:r>
    </w:p>
    <w:bookmarkEnd w:id="993"/>
    <w:bookmarkEnd w:id="994"/>
    <w:bookmarkStart w:id="997" w:name="legal-status-16"/>
    <w:p>
      <w:pPr>
        <w:pStyle w:val="Heading3"/>
      </w:pPr>
      <w:r>
        <w:t xml:space="preserve">Legal status</w:t>
      </w:r>
    </w:p>
    <w:p>
      <w:pPr>
        <w:pStyle w:val="FirstParagraph"/>
      </w:pPr>
      <w:r>
        <w:rPr>
          <w:iCs/>
          <w:i/>
        </w:rPr>
        <w:t xml:space="preserve">As of 2026, please check for updates.</w:t>
      </w:r>
    </w:p>
    <w:p>
      <w:pPr>
        <w:numPr>
          <w:ilvl w:val="0"/>
          <w:numId w:val="1120"/>
        </w:numPr>
        <w:pStyle w:val="Compact"/>
      </w:pPr>
      <w:r>
        <w:rPr>
          <w:bCs/>
          <w:b/>
        </w:rPr>
        <w:t xml:space="preserve">EU, Germany, Austria:</w:t>
      </w:r>
      <w:r>
        <w:t xml:space="preserve"> </w:t>
      </w:r>
      <w:r>
        <w:t xml:space="preserve">neither Tβ4 nor TB-500 is approved as a medicine. Supplying them for use in humans is not permitted; products labeled</w:t>
      </w:r>
      <w:r>
        <w:t xml:space="preserve"> </w:t>
      </w:r>
      <w:r>
        <w:t xml:space="preserve">“</w:t>
      </w:r>
      <w:r>
        <w:t xml:space="preserve">for research purposes only</w:t>
      </w:r>
      <w:r>
        <w:t xml:space="preserve">”</w:t>
      </w:r>
      <w:r>
        <w:t xml:space="preserve"> </w:t>
      </w:r>
      <w:r>
        <w:t xml:space="preserve">do not change this.</w:t>
      </w:r>
    </w:p>
    <w:p>
      <w:pPr>
        <w:numPr>
          <w:ilvl w:val="0"/>
          <w:numId w:val="1120"/>
        </w:numPr>
        <w:pStyle w:val="Compact"/>
      </w:pPr>
      <w:r>
        <w:rPr>
          <w:bCs/>
          <w:b/>
        </w:rPr>
        <w:t xml:space="preserve">USA:</w:t>
      </w:r>
      <w:r>
        <w:t xml:space="preserve"> </w:t>
      </w:r>
      <w:r>
        <w:t xml:space="preserve">no FDA approval. To the author’s knowledge, in 2023 the FDA assigned the Tβ4 fragment (TB-500), like BPC-157, to Category 2 of the bulk substances for compounding, i.e., the substances with significant safety concerns; the evaluation of peptides for compounding is currently being debated controversially</w:t>
      </w:r>
      <w:r>
        <w:rPr>
          <w:rStyle w:val="FootnoteReference"/>
        </w:rPr>
        <w:footnoteReference w:id="995"/>
      </w:r>
      <w:r>
        <w:t xml:space="preserve">.</w:t>
      </w:r>
    </w:p>
    <w:p>
      <w:pPr>
        <w:numPr>
          <w:ilvl w:val="0"/>
          <w:numId w:val="1120"/>
        </w:numPr>
        <w:pStyle w:val="Compact"/>
      </w:pPr>
      <w:r>
        <w:rPr>
          <w:bCs/>
          <w:b/>
        </w:rPr>
        <w:t xml:space="preserve">WADA:</w:t>
      </w:r>
      <w:r>
        <w:t xml:space="preserve"> </w:t>
      </w:r>
      <w:r>
        <w:t xml:space="preserve">Tβ4 and its derivatives such as TB-500 are explicitly prohibited in class S2 (peptide hormones, growth factors), in and out of competition. It is also prohibited in equestrian sport</w:t>
      </w:r>
      <w:r>
        <w:rPr>
          <w:rStyle w:val="FootnoteReference"/>
        </w:rPr>
        <w:footnoteReference w:id="996"/>
      </w:r>
      <w:r>
        <w:t xml:space="preserve">.</w:t>
      </w:r>
    </w:p>
    <w:bookmarkEnd w:id="997"/>
    <w:bookmarkStart w:id="1001" w:name="ongoing-studies-and-outlook-16"/>
    <w:p>
      <w:pPr>
        <w:pStyle w:val="Heading3"/>
      </w:pPr>
      <w:r>
        <w:t xml:space="preserve">Ongoing studies and outlook</w:t>
      </w:r>
    </w:p>
    <w:p>
      <w:pPr>
        <w:pStyle w:val="FirstParagraph"/>
      </w:pPr>
      <w:r>
        <w:rPr>
          <w:bCs/>
          <w:b/>
        </w:rPr>
        <w:t xml:space="preserve">Confirmed (according to the registry):</w:t>
      </w:r>
    </w:p>
    <w:p>
      <w:pPr>
        <w:numPr>
          <w:ilvl w:val="0"/>
          <w:numId w:val="1121"/>
        </w:numPr>
        <w:pStyle w:val="Compact"/>
      </w:pPr>
      <w:r>
        <w:rPr>
          <w:bCs/>
          <w:b/>
        </w:rPr>
        <w:t xml:space="preserve">SEER-2</w:t>
      </w:r>
      <w:r>
        <w:rPr>
          <w:rStyle w:val="FootnoteReference"/>
        </w:rPr>
        <w:footnoteReference w:id="998"/>
      </w:r>
      <w:r>
        <w:rPr>
          <w:bCs/>
          <w:b/>
        </w:rPr>
        <w:t xml:space="preserve">:</w:t>
      </w:r>
      <w:r>
        <w:t xml:space="preserve"> </w:t>
      </w:r>
      <w:r>
        <w:t xml:space="preserve">Phase 3 trial with RGN-259 eye drops in neurotrophic keratopathy, 70 people planned, recruiting, estimated study completion May 2026 according to the registry. Results had not been published as of October 2026.</w:t>
      </w:r>
    </w:p>
    <w:p>
      <w:pPr>
        <w:numPr>
          <w:ilvl w:val="0"/>
          <w:numId w:val="1121"/>
        </w:numPr>
        <w:pStyle w:val="Compact"/>
      </w:pPr>
      <w:r>
        <w:rPr>
          <w:bCs/>
          <w:b/>
        </w:rPr>
        <w:t xml:space="preserve">NL005 in heart attack</w:t>
      </w:r>
      <w:r>
        <w:rPr>
          <w:rStyle w:val="FootnoteReference"/>
        </w:rPr>
        <w:footnoteReference w:id="999"/>
      </w:r>
      <w:r>
        <w:rPr>
          <w:bCs/>
          <w:b/>
        </w:rPr>
        <w:t xml:space="preserve">:</w:t>
      </w:r>
      <w:r>
        <w:t xml:space="preserve"> </w:t>
      </w:r>
      <w:r>
        <w:t xml:space="preserve">Chinese Phase 2c trial with recombinant Tβ4, 189 people planned, primary endpoint infarct size on cardiac MRI after 90 days; not yet recruiting, estimated completion 2028. Two previous Phase 2 trials by the same manufacturer with 62 and 90 people have been completed according to the registry</w:t>
      </w:r>
      <w:r>
        <w:rPr>
          <w:rStyle w:val="FootnoteReference"/>
        </w:rPr>
        <w:footnoteReference w:id="1000"/>
      </w:r>
      <w:r>
        <w:t xml:space="preserve">.</w:t>
      </w:r>
    </w:p>
    <w:p>
      <w:pPr>
        <w:numPr>
          <w:ilvl w:val="0"/>
          <w:numId w:val="1121"/>
        </w:numPr>
        <w:pStyle w:val="Compact"/>
      </w:pPr>
      <w:r>
        <w:rPr>
          <w:bCs/>
          <w:b/>
        </w:rPr>
        <w:t xml:space="preserve">TB-500:</w:t>
      </w:r>
      <w:r>
        <w:t xml:space="preserve"> </w:t>
      </w:r>
      <w:r>
        <w:t xml:space="preserve">no credible registered human trial.</w:t>
      </w:r>
    </w:p>
    <w:p>
      <w:pPr>
        <w:pStyle w:val="FirstParagraph"/>
      </w:pPr>
      <w:r>
        <w:rPr>
          <w:bCs/>
          <w:b/>
        </w:rPr>
        <w:t xml:space="preserve">Author’s assessment:</w:t>
      </w:r>
      <w:r>
        <w:t xml:space="preserve"> </w:t>
      </w:r>
      <w:r>
        <w:t xml:space="preserve">Tβ4 has the most realistic chance of approval as eye drops in the rare neurotrophic keratopathy, where even small trials can suffice for approval as an orphan drug – if SEER-2 is positive. In dry eye, the large Phase 3 data argue against a clinically relevant benefit. In heart attack, everything depends on the ongoing Chinese trial. For TB-500 as an agent for tendon and muscle healing, no serious human research is in sight for the foreseeable future.</w:t>
      </w:r>
    </w:p>
    <w:bookmarkEnd w:id="1001"/>
    <w:bookmarkStart w:id="1003" w:name="conclusion-16"/>
    <w:p>
      <w:pPr>
        <w:pStyle w:val="Heading3"/>
      </w:pPr>
      <w:r>
        <w:t xml:space="preserve">Conclusion</w:t>
      </w:r>
    </w:p>
    <w:p>
      <w:pPr>
        <w:pStyle w:val="FirstParagraph"/>
      </w:pPr>
      <w:r>
        <w:t xml:space="preserve">Thymosin beta-4 is an endogenous peptide that was well tolerated as eye drops and infusion in randomized trials, but whose benefit was not confirmed in the large dry eye trials and has so far only been hinted at in a subgroup in heart attack</w:t>
      </w:r>
      <w:r>
        <w:rPr>
          <w:rStyle w:val="FootnoteReference"/>
        </w:rPr>
        <w:footnoteReference w:id="1002"/>
      </w:r>
      <w:r>
        <w:t xml:space="preserve">. TB-500 is something else: a modified fragment that has never been tested in a published human study and whose gray-market products demonstrably do not always contain what is declared. Advertising for TB-500 relies on studies with the whole protein – and even these hardly concern tendons, ligaments or muscles. For athletes, both substances are prohibited.</w:t>
      </w:r>
    </w:p>
    <w:bookmarkEnd w:id="1003"/>
    <w:bookmarkEnd w:id="1004"/>
    <w:bookmarkStart w:id="1064" w:name="thymosin-alpha-1-thymalfasin"/>
    <w:p>
      <w:pPr>
        <w:pStyle w:val="Heading2"/>
      </w:pPr>
      <w:r>
        <w:t xml:space="preserve">Thymosin Alpha-1 (Thymalfasin)</w:t>
      </w:r>
    </w:p>
    <w:p>
      <w:pPr>
        <w:pStyle w:val="FirstParagraph"/>
      </w:pPr>
      <w:r>
        <w:t xml:space="preserve">Thymosin alpha-1 is a special case in this group. Unlike BPC-157 or TB-500, it is an approved medicine in a number of countries (brand name Zadaxin), it has been tested in dozens of randomized trials in thousands of people, and in China it is part of everyday practice in some hospitals. At the same time, this very peptide shows how a picture changes when small, older studies are superseded by large, carefully conducted ones. In Europe and the USA it is not approved, but it is marketed as an immune booster in the</w:t>
      </w:r>
      <w:r>
        <w:t xml:space="preserve"> </w:t>
      </w:r>
      <w:r>
        <w:t xml:space="preserve">“</w:t>
      </w:r>
      <w:r>
        <w:t xml:space="preserve">longevity</w:t>
      </w:r>
      <w:r>
        <w:t xml:space="preserve">”</w:t>
      </w:r>
      <w:r>
        <w:t xml:space="preserve"> </w:t>
      </w:r>
      <w:r>
        <w:t xml:space="preserve">and biohacking scene.</w:t>
      </w:r>
    </w:p>
    <w:bookmarkStart w:id="1007" w:name="profile-17"/>
    <w:p>
      <w:pPr>
        <w:pStyle w:val="Heading3"/>
      </w:pPr>
      <w:r>
        <w:t xml:space="preserve">Profile</w:t>
      </w:r>
    </w:p>
    <w:p>
      <w:pPr>
        <w:numPr>
          <w:ilvl w:val="0"/>
          <w:numId w:val="1122"/>
        </w:numPr>
        <w:pStyle w:val="Compact"/>
      </w:pPr>
      <w:r>
        <w:rPr>
          <w:bCs/>
          <w:b/>
        </w:rPr>
        <w:t xml:space="preserve">Type and structure:</w:t>
      </w:r>
      <w:r>
        <w:t xml:space="preserve"> </w:t>
      </w:r>
      <w:r>
        <w:t xml:space="preserve">peptide of 28 amino acids, acetylated at the beginning</w:t>
      </w:r>
      <w:r>
        <w:rPr>
          <w:rStyle w:val="FootnoteReference"/>
        </w:rPr>
        <w:footnoteReference w:id="1005"/>
      </w:r>
      <w:r>
        <w:t xml:space="preserve">; fragment of the larger protein prothymosin alpha.</w:t>
      </w:r>
    </w:p>
    <w:p>
      <w:pPr>
        <w:numPr>
          <w:ilvl w:val="0"/>
          <w:numId w:val="1122"/>
        </w:numPr>
        <w:pStyle w:val="Compact"/>
      </w:pPr>
      <w:r>
        <w:rPr>
          <w:bCs/>
          <w:b/>
        </w:rPr>
        <w:t xml:space="preserve">Origin:</w:t>
      </w:r>
      <w:r>
        <w:t xml:space="preserve"> </w:t>
      </w:r>
      <w:r>
        <w:t xml:space="preserve">isolated in the 1970s from an extract of the thymus gland (</w:t>
      </w:r>
      <w:r>
        <w:t xml:space="preserve">“</w:t>
      </w:r>
      <w:r>
        <w:t xml:space="preserve">thymosin fraction 5</w:t>
      </w:r>
      <w:r>
        <w:t xml:space="preserve">”</w:t>
      </w:r>
      <w:r>
        <w:t xml:space="preserve">); today chemically synthesized. Active substance name thymalfasin.</w:t>
      </w:r>
    </w:p>
    <w:p>
      <w:pPr>
        <w:numPr>
          <w:ilvl w:val="0"/>
          <w:numId w:val="1122"/>
        </w:numPr>
        <w:pStyle w:val="Compact"/>
      </w:pPr>
      <w:r>
        <w:rPr>
          <w:bCs/>
          <w:b/>
        </w:rPr>
        <w:t xml:space="preserve">Mechanism of action:</w:t>
      </w:r>
      <w:r>
        <w:t xml:space="preserve"> </w:t>
      </w:r>
      <w:r>
        <w:t xml:space="preserve">immunomodulator – intended to promote the maturation and activity of T cells and dendritic cells.</w:t>
      </w:r>
    </w:p>
    <w:p>
      <w:pPr>
        <w:numPr>
          <w:ilvl w:val="0"/>
          <w:numId w:val="1122"/>
        </w:numPr>
        <w:pStyle w:val="Compact"/>
      </w:pPr>
      <w:r>
        <w:rPr>
          <w:bCs/>
          <w:b/>
        </w:rPr>
        <w:t xml:space="preserve">Approval EU:</w:t>
      </w:r>
      <w:r>
        <w:t xml:space="preserve"> </w:t>
      </w:r>
      <w:r>
        <w:t xml:space="preserve">no centralized approval.</w:t>
      </w:r>
      <w:r>
        <w:t xml:space="preserve"> </w:t>
      </w:r>
      <w:r>
        <w:rPr>
          <w:bCs/>
          <w:b/>
        </w:rPr>
        <w:t xml:space="preserve">USA:</w:t>
      </w:r>
      <w:r>
        <w:t xml:space="preserve"> </w:t>
      </w:r>
      <w:r>
        <w:t xml:space="preserve">not approved; the FDA restricted its use in compounding pharmacies in 2023</w:t>
      </w:r>
      <w:r>
        <w:rPr>
          <w:rStyle w:val="FootnoteReference"/>
        </w:rPr>
        <w:footnoteReference w:id="1006"/>
      </w:r>
      <w:r>
        <w:t xml:space="preserve">.</w:t>
      </w:r>
      <w:r>
        <w:t xml:space="preserve"> </w:t>
      </w:r>
      <w:r>
        <w:rPr>
          <w:bCs/>
          <w:b/>
        </w:rPr>
        <w:t xml:space="preserve">Other countries:</w:t>
      </w:r>
      <w:r>
        <w:t xml:space="preserve"> </w:t>
      </w:r>
      <w:r>
        <w:t xml:space="preserve">approved as Zadaxin, mainly in China and other Asian countries, usually for chronic hepatitis B and as adjunctive therapy to strengthen the immune system.</w:t>
      </w:r>
    </w:p>
    <w:p>
      <w:pPr>
        <w:numPr>
          <w:ilvl w:val="0"/>
          <w:numId w:val="1122"/>
        </w:numPr>
        <w:pStyle w:val="Compact"/>
      </w:pPr>
      <w:r>
        <w:rPr>
          <w:bCs/>
          <w:b/>
        </w:rPr>
        <w:t xml:space="preserve">WADA:</w:t>
      </w:r>
      <w:r>
        <w:t xml:space="preserve"> </w:t>
      </w:r>
      <w:r>
        <w:t xml:space="preserve">not explicitly listed.</w:t>
      </w:r>
    </w:p>
    <w:p>
      <w:pPr>
        <w:numPr>
          <w:ilvl w:val="0"/>
          <w:numId w:val="1122"/>
        </w:numPr>
        <w:pStyle w:val="Compact"/>
      </w:pPr>
      <w:r>
        <w:rPr>
          <w:bCs/>
          <w:b/>
        </w:rPr>
        <w:t xml:space="preserve">Evidence level: B</w:t>
      </w:r>
      <w:r>
        <w:t xml:space="preserve"> </w:t>
      </w:r>
      <w:r>
        <w:t xml:space="preserve">– formally, many randomized trials are available; however, the large, methodologically best trials missed their primary endpoints, and the positive results come mainly from small studies with a high risk of bias.</w:t>
      </w:r>
    </w:p>
    <w:bookmarkEnd w:id="1007"/>
    <w:bookmarkStart w:id="1010" w:name="how-it-is-supposed-to-work-17"/>
    <w:p>
      <w:pPr>
        <w:pStyle w:val="Heading3"/>
      </w:pPr>
      <w:r>
        <w:t xml:space="preserve">How it is supposed to work</w:t>
      </w:r>
    </w:p>
    <w:p>
      <w:pPr>
        <w:pStyle w:val="FirstParagraph"/>
      </w:pPr>
      <w:r>
        <w:t xml:space="preserve">The thymus gland behind the breastbone is the</w:t>
      </w:r>
      <w:r>
        <w:t xml:space="preserve"> </w:t>
      </w:r>
      <w:r>
        <w:t xml:space="preserve">“</w:t>
      </w:r>
      <w:r>
        <w:t xml:space="preserve">school</w:t>
      </w:r>
      <w:r>
        <w:t xml:space="preserve">”</w:t>
      </w:r>
      <w:r>
        <w:t xml:space="preserve"> </w:t>
      </w:r>
      <w:r>
        <w:t xml:space="preserve">of T cells: here these white blood cells learn to distinguish foreign from self. The thymus shrinks with age. Early on, it was suspected that messengers from the thymus control the body’s defenses, and they were sought in thymus extracts. Thymosin alpha-1 was one of the first substances identified in this way.</w:t>
      </w:r>
    </w:p>
    <w:p>
      <w:pPr>
        <w:pStyle w:val="BodyText"/>
      </w:pPr>
      <w:r>
        <w:t xml:space="preserve">In laboratory and animal experiments, thymosin alpha-1 activates dendritic cells – the</w:t>
      </w:r>
      <w:r>
        <w:t xml:space="preserve"> </w:t>
      </w:r>
      <w:r>
        <w:t xml:space="preserve">“</w:t>
      </w:r>
      <w:r>
        <w:t xml:space="preserve">scouts</w:t>
      </w:r>
      <w:r>
        <w:t xml:space="preserve">”</w:t>
      </w:r>
      <w:r>
        <w:t xml:space="preserve"> </w:t>
      </w:r>
      <w:r>
        <w:t xml:space="preserve">of the immune system – via so-called Toll-like receptors, increases the expression of recognition molecules on cells and enhances the effect of interferon</w:t>
      </w:r>
      <w:r>
        <w:rPr>
          <w:rStyle w:val="FootnoteReference"/>
        </w:rPr>
        <w:footnoteReference w:id="1008"/>
      </w:r>
      <w:r>
        <w:t xml:space="preserve">. From this, the three major application ideas were derived:</w:t>
      </w:r>
    </w:p>
    <w:p>
      <w:pPr>
        <w:numPr>
          <w:ilvl w:val="0"/>
          <w:numId w:val="1123"/>
        </w:numPr>
        <w:pStyle w:val="Compact"/>
      </w:pPr>
      <w:r>
        <w:rPr>
          <w:bCs/>
          <w:b/>
        </w:rPr>
        <w:t xml:space="preserve">Chronic viral infections</w:t>
      </w:r>
      <w:r>
        <w:t xml:space="preserve"> </w:t>
      </w:r>
      <w:r>
        <w:t xml:space="preserve">(hepatitis B and C), in which the immune system does not eliminate the virus on its own.</w:t>
      </w:r>
    </w:p>
    <w:p>
      <w:pPr>
        <w:numPr>
          <w:ilvl w:val="0"/>
          <w:numId w:val="1123"/>
        </w:numPr>
        <w:pStyle w:val="Compact"/>
      </w:pPr>
      <w:r>
        <w:rPr>
          <w:bCs/>
          <w:b/>
        </w:rPr>
        <w:t xml:space="preserve">Sepsis and severe infections</w:t>
      </w:r>
      <w:r>
        <w:t xml:space="preserve">, in which an initial overreaction is often followed by a phase of immune weakness.</w:t>
      </w:r>
    </w:p>
    <w:p>
      <w:pPr>
        <w:numPr>
          <w:ilvl w:val="0"/>
          <w:numId w:val="1123"/>
        </w:numPr>
        <w:pStyle w:val="Compact"/>
      </w:pPr>
      <w:r>
        <w:rPr>
          <w:bCs/>
          <w:b/>
        </w:rPr>
        <w:t xml:space="preserve">Cancer</w:t>
      </w:r>
      <w:r>
        <w:t xml:space="preserve">, as a supplement to chemotherapy, radiotherapy and immunotherapy.</w:t>
      </w:r>
    </w:p>
    <w:p>
      <w:pPr>
        <w:pStyle w:val="FirstParagraph"/>
      </w:pPr>
      <w:r>
        <w:t xml:space="preserve">The half-life in the blood is about two hours; after 24 hours the level is back at baseline</w:t>
      </w:r>
      <w:r>
        <w:rPr>
          <w:rStyle w:val="FootnoteReference"/>
        </w:rPr>
        <w:footnoteReference w:id="1009"/>
      </w:r>
      <w:r>
        <w:t xml:space="preserve">.</w:t>
      </w:r>
    </w:p>
    <w:bookmarkEnd w:id="1010"/>
    <w:bookmarkStart w:id="1040" w:name="human-studies-17"/>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90</w:t>
      </w:r>
      <w:r>
        <w:t xml:space="preserve"> </w:t>
      </w:r>
      <w:r>
        <w:t xml:space="preserve">human studies in PubMed and</w:t>
      </w:r>
      <w:r>
        <w:t xml:space="preserve"> </w:t>
      </w:r>
      <w:r>
        <w:rPr>
          <w:bCs/>
          <w:b/>
        </w:rPr>
        <w:t xml:space="preserve">66</w:t>
      </w:r>
      <w:r>
        <w:t xml:space="preserve"> </w:t>
      </w:r>
      <w:r>
        <w:t xml:space="preserve">entries on ClinicalTrials.gov, plus 15 meta-analyses and systematic reviews. A large proportion of the studies come from China and are small. A 2024 review summarizing over 30 studies with more than 11,000 people was explicitly written to argue against the FDA restriction</w:t>
      </w:r>
      <w:r>
        <w:rPr>
          <w:rStyle w:val="FootnoteReference"/>
        </w:rPr>
        <w:footnoteReference w:id="1011"/>
      </w:r>
      <w:r>
        <w:t xml:space="preserve"> </w:t>
      </w:r>
      <w:r>
        <w:t xml:space="preserve">– it should therefore not be read as a neutral assessment.</w:t>
      </w:r>
    </w:p>
    <w:bookmarkStart w:id="1012" w:name="the-most-important-large-trials"/>
    <w:p>
      <w:pPr>
        <w:pStyle w:val="Heading4"/>
      </w:pPr>
      <w:r>
        <w:t xml:space="preserve">The most important large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TESTS, sepsis (Wu 2025, PMID 39814420)</w:t>
            </w:r>
          </w:p>
        </w:tc>
        <w:tc>
          <w:tcPr/>
          <w:p>
            <w:pPr>
              <w:pStyle w:val="Compact"/>
              <w:jc w:val="left"/>
            </w:pPr>
            <w:r>
              <w:t xml:space="preserve">1,106 adults with sepsis, 22 centers in China, double-blind RCT vs. placebo</w:t>
            </w:r>
          </w:p>
        </w:tc>
        <w:tc>
          <w:tcPr/>
          <w:p>
            <w:pPr>
              <w:pStyle w:val="Compact"/>
              <w:jc w:val="left"/>
            </w:pPr>
            <w:r>
              <w:t xml:space="preserve">7 days of treatment, 28 days of observation</w:t>
            </w:r>
          </w:p>
        </w:tc>
        <w:tc>
          <w:tcPr/>
          <w:p>
            <w:pPr>
              <w:pStyle w:val="Compact"/>
              <w:jc w:val="left"/>
            </w:pPr>
            <w:r>
              <w:t xml:space="preserve">mortality 23.4% vs. 24.1%; no difference</w:t>
            </w:r>
          </w:p>
        </w:tc>
      </w:tr>
      <w:tr>
        <w:tc>
          <w:tcPr/>
          <w:p>
            <w:pPr>
              <w:pStyle w:val="Compact"/>
              <w:jc w:val="left"/>
            </w:pPr>
            <w:r>
              <w:t xml:space="preserve">Necrotizing pancreatitis (Ke 2022, PMID 35713670)</w:t>
            </w:r>
          </w:p>
        </w:tc>
        <w:tc>
          <w:tcPr/>
          <w:p>
            <w:pPr>
              <w:pStyle w:val="Compact"/>
              <w:jc w:val="left"/>
            </w:pPr>
            <w:r>
              <w:t xml:space="preserve">508 people, double-blind RCT vs. placebo</w:t>
            </w:r>
          </w:p>
        </w:tc>
        <w:tc>
          <w:tcPr/>
          <w:p>
            <w:pPr>
              <w:pStyle w:val="Compact"/>
              <w:jc w:val="left"/>
            </w:pPr>
            <w:r>
              <w:t xml:space="preserve">14 days of treatment</w:t>
            </w:r>
          </w:p>
        </w:tc>
        <w:tc>
          <w:tcPr/>
          <w:p>
            <w:pPr>
              <w:pStyle w:val="Compact"/>
              <w:jc w:val="left"/>
            </w:pPr>
            <w:r>
              <w:t xml:space="preserve">infected necrosis 15.7% vs. 18.1%; no significant difference</w:t>
            </w:r>
          </w:p>
        </w:tc>
      </w:tr>
      <w:tr>
        <w:tc>
          <w:tcPr/>
          <w:p>
            <w:pPr>
              <w:pStyle w:val="Compact"/>
              <w:jc w:val="left"/>
            </w:pPr>
            <w:r>
              <w:t xml:space="preserve">Melanoma (Maio 2010, PMID 20194853)</w:t>
            </w:r>
          </w:p>
        </w:tc>
        <w:tc>
          <w:tcPr/>
          <w:p>
            <w:pPr>
              <w:pStyle w:val="Compact"/>
              <w:jc w:val="left"/>
            </w:pPr>
            <w:r>
              <w:t xml:space="preserve">488 people with metastatic melanoma, RCT with 5 groups</w:t>
            </w:r>
          </w:p>
        </w:tc>
        <w:tc>
          <w:tcPr/>
          <w:p>
            <w:pPr>
              <w:pStyle w:val="Compact"/>
              <w:jc w:val="left"/>
            </w:pPr>
            <w:r>
              <w:t xml:space="preserve">up to 24 months</w:t>
            </w:r>
          </w:p>
        </w:tc>
        <w:tc>
          <w:tcPr/>
          <w:p>
            <w:pPr>
              <w:pStyle w:val="Compact"/>
              <w:jc w:val="left"/>
            </w:pPr>
            <w:r>
              <w:t xml:space="preserve">more tumor response in two Tα1 groups; overall survival 9.4 vs. 6.6 months, not significant (p = 0.08)</w:t>
            </w:r>
          </w:p>
        </w:tc>
      </w:tr>
      <w:tr>
        <w:tc>
          <w:tcPr/>
          <w:p>
            <w:pPr>
              <w:pStyle w:val="Compact"/>
              <w:jc w:val="left"/>
            </w:pPr>
            <w:r>
              <w:t xml:space="preserve">Hepatitis B cirrhosis (Wu 2018, PMID 30063860)</w:t>
            </w:r>
          </w:p>
        </w:tc>
        <w:tc>
          <w:tcPr/>
          <w:p>
            <w:pPr>
              <w:pStyle w:val="Compact"/>
              <w:jc w:val="left"/>
            </w:pPr>
            <w:r>
              <w:t xml:space="preserve">690 people, open-label RCT, Tα1 plus entecavir vs. entecavir alone</w:t>
            </w:r>
          </w:p>
        </w:tc>
        <w:tc>
          <w:tcPr/>
          <w:p>
            <w:pPr>
              <w:pStyle w:val="Compact"/>
              <w:jc w:val="left"/>
            </w:pPr>
            <w:r>
              <w:t xml:space="preserve">median 38.2 months</w:t>
            </w:r>
          </w:p>
        </w:tc>
        <w:tc>
          <w:tcPr/>
          <w:p>
            <w:pPr>
              <w:pStyle w:val="Compact"/>
              <w:jc w:val="left"/>
            </w:pPr>
            <w:r>
              <w:t xml:space="preserve">no difference in liver failure, liver cancer or death</w:t>
            </w:r>
          </w:p>
        </w:tc>
      </w:tr>
      <w:tr>
        <w:tc>
          <w:tcPr/>
          <w:p>
            <w:pPr>
              <w:pStyle w:val="Compact"/>
              <w:jc w:val="left"/>
            </w:pPr>
            <w:r>
              <w:t xml:space="preserve">Hepatitis B, Japan (Iino 2005, PMID 15850471)</w:t>
            </w:r>
          </w:p>
        </w:tc>
        <w:tc>
          <w:tcPr/>
          <w:p>
            <w:pPr>
              <w:pStyle w:val="Compact"/>
              <w:jc w:val="left"/>
            </w:pPr>
            <w:r>
              <w:t xml:space="preserve">316 people, comparison of two doses, no placebo group</w:t>
            </w:r>
          </w:p>
        </w:tc>
        <w:tc>
          <w:tcPr/>
          <w:p>
            <w:pPr>
              <w:pStyle w:val="Compact"/>
              <w:jc w:val="left"/>
            </w:pPr>
            <w:r>
              <w:t xml:space="preserve">24 weeks plus 48 weeks</w:t>
            </w:r>
          </w:p>
        </w:tc>
        <w:tc>
          <w:tcPr/>
          <w:p>
            <w:pPr>
              <w:pStyle w:val="Compact"/>
              <w:jc w:val="left"/>
            </w:pPr>
            <w:r>
              <w:t xml:space="preserve">HBe antigen loss in 22.8% at the higher dose</w:t>
            </w:r>
          </w:p>
        </w:tc>
      </w:tr>
      <w:tr>
        <w:tc>
          <w:tcPr/>
          <w:p>
            <w:pPr>
              <w:pStyle w:val="Compact"/>
              <w:jc w:val="left"/>
            </w:pPr>
            <w:r>
              <w:t xml:space="preserve">Hepatitis B, Phase 3 (Mutchnick 1999, PMID 10607256)</w:t>
            </w:r>
          </w:p>
        </w:tc>
        <w:tc>
          <w:tcPr/>
          <w:p>
            <w:pPr>
              <w:pStyle w:val="Compact"/>
              <w:jc w:val="left"/>
            </w:pPr>
            <w:r>
              <w:t xml:space="preserve">97 people, double-blind RCT vs. placebo</w:t>
            </w:r>
          </w:p>
        </w:tc>
        <w:tc>
          <w:tcPr/>
          <w:p>
            <w:pPr>
              <w:pStyle w:val="Compact"/>
              <w:jc w:val="left"/>
            </w:pPr>
            <w:r>
              <w:t xml:space="preserve">12 months</w:t>
            </w:r>
          </w:p>
        </w:tc>
        <w:tc>
          <w:tcPr/>
          <w:p>
            <w:pPr>
              <w:pStyle w:val="Compact"/>
              <w:jc w:val="left"/>
            </w:pPr>
            <w:r>
              <w:t xml:space="preserve">complete response 14% vs. 4%, not significant</w:t>
            </w:r>
          </w:p>
        </w:tc>
      </w:tr>
    </w:tbl>
    <w:bookmarkEnd w:id="1012"/>
    <w:bookmarkStart w:id="1020" w:name="hepatitis-b-and-c"/>
    <w:p>
      <w:pPr>
        <w:pStyle w:val="Heading4"/>
      </w:pPr>
      <w:r>
        <w:t xml:space="preserve">Hepatitis B and C</w:t>
      </w:r>
    </w:p>
    <w:p>
      <w:pPr>
        <w:pStyle w:val="FirstParagraph"/>
      </w:pPr>
      <w:r>
        <w:t xml:space="preserve">The approvals in Asia are based mainly on studies of chronic hepatitis B from the 1990s. A randomized trial with 98 people found a complete virological response 18 months after the start in 40.6 percent after six months of treatment compared with 9.4 percent in the untreated control group</w:t>
      </w:r>
      <w:r>
        <w:rPr>
          <w:rStyle w:val="FootnoteReference"/>
        </w:rPr>
        <w:footnoteReference w:id="1013"/>
      </w:r>
      <w:r>
        <w:t xml:space="preserve">. The double-blind, placebo-controlled Phase 3 trial could not confirm this: 14 percent vs. 4 percent, not statistically significant; the authors themselves write that the results did not confirm earlier observations</w:t>
      </w:r>
      <w:r>
        <w:rPr>
          <w:rStyle w:val="FootnoteReference"/>
        </w:rPr>
        <w:footnoteReference w:id="1014"/>
      </w:r>
      <w:r>
        <w:t xml:space="preserve">.</w:t>
      </w:r>
    </w:p>
    <w:p>
      <w:pPr>
        <w:pStyle w:val="BodyText"/>
      </w:pPr>
      <w:r>
        <w:t xml:space="preserve">A meta-analysis of four small trials with 199 people found that thymosin alpha-1 performed worse than interferon alpha at the end of treatment but better six months afterward</w:t>
      </w:r>
      <w:r>
        <w:rPr>
          <w:rStyle w:val="FootnoteReference"/>
        </w:rPr>
        <w:footnoteReference w:id="1015"/>
      </w:r>
      <w:r>
        <w:t xml:space="preserve">. Today the question is largely obsolete: modern tablets against hepatitis B (such as entecavir) reliably suppress the virus. In the large trial with 690 people with liver cirrhosis, adding thymosin alpha-1 to entecavir brought no advantage in the primary endpoint of liver decompensation, liver cancer or death</w:t>
      </w:r>
      <w:r>
        <w:rPr>
          <w:rStyle w:val="FootnoteReference"/>
        </w:rPr>
        <w:footnoteReference w:id="1016"/>
      </w:r>
      <w:r>
        <w:t xml:space="preserve">. A meta-analysis of Chinese studies on the same combination did find better response rates after 24 weeks, but no difference anymore after 48 to 52 weeks</w:t>
      </w:r>
      <w:r>
        <w:rPr>
          <w:rStyle w:val="FootnoteReference"/>
        </w:rPr>
        <w:footnoteReference w:id="1017"/>
      </w:r>
      <w:r>
        <w:t xml:space="preserve">.</w:t>
      </w:r>
    </w:p>
    <w:p>
      <w:pPr>
        <w:pStyle w:val="BodyText"/>
      </w:pPr>
      <w:r>
        <w:t xml:space="preserve">In a particularly severe form – acute-on-chronic liver failure in hepatitis B – transplant-free 90-day survival in an open-label trial with 120 people was 75.0 percent on thymosin alpha-1 compared with 53.4 percent; new infections were less frequent</w:t>
      </w:r>
      <w:r>
        <w:rPr>
          <w:rStyle w:val="FootnoteReference"/>
        </w:rPr>
        <w:footnoteReference w:id="1018"/>
      </w:r>
      <w:r>
        <w:t xml:space="preserve">. The trial was not blinded, and in an analysis that took competing risks into account, the survival difference was not significant.</w:t>
      </w:r>
    </w:p>
    <w:p>
      <w:pPr>
        <w:pStyle w:val="BodyText"/>
      </w:pPr>
      <w:r>
        <w:t xml:space="preserve">In hepatitis C, combination with interferon improved values at the end of treatment in smaller trials</w:t>
      </w:r>
      <w:r>
        <w:rPr>
          <w:rStyle w:val="FootnoteReference"/>
        </w:rPr>
        <w:footnoteReference w:id="1019"/>
      </w:r>
      <w:r>
        <w:t xml:space="preserve">, but sustained response did not differ substantially. Since direct-acting tablets became available that eliminate hepatitis C in the vast majority of cases, thymosin alpha-1 no longer plays a role here.</w:t>
      </w:r>
    </w:p>
    <w:bookmarkEnd w:id="1020"/>
    <w:bookmarkStart w:id="1025" w:name="sepsis"/>
    <w:p>
      <w:pPr>
        <w:pStyle w:val="Heading4"/>
      </w:pPr>
      <w:r>
        <w:t xml:space="preserve">Sepsis</w:t>
      </w:r>
    </w:p>
    <w:p>
      <w:pPr>
        <w:pStyle w:val="FirstParagraph"/>
      </w:pPr>
      <w:r>
        <w:t xml:space="preserve">Sepsis illustrates the development of the evidence particularly well. Early meta-analyses of predominantly small Chinese studies found markedly lower mortality (Li 2015, PMID 25532482: relative risk 0.68 in 12 trials with 1,480 people), but themselves pointed to the poor quality of the studies. The first larger randomized trial (ETASS) with 361 people found a 28-day mortality of 26.0 vs. 35.0 percent – just at the threshold of statistical significance, single-blind</w:t>
      </w:r>
      <w:r>
        <w:rPr>
          <w:rStyle w:val="FootnoteReference"/>
        </w:rPr>
        <w:footnoteReference w:id="1021"/>
      </w:r>
      <w:r>
        <w:t xml:space="preserve">.</w:t>
      </w:r>
    </w:p>
    <w:p>
      <w:pPr>
        <w:pStyle w:val="BodyText"/>
      </w:pPr>
      <w:r>
        <w:t xml:space="preserve">The same research group then planned the largest and best trial to date: TESTS, double-blind, placebo-controlled, 1,106 adults in 22 centers. Result: 28-day mortality was 23.4 percent on thymosin alpha-1 and 24.1 percent on placebo – no difference. No secondary endpoint differed either</w:t>
      </w:r>
      <w:r>
        <w:rPr>
          <w:rStyle w:val="FootnoteReference"/>
        </w:rPr>
        <w:footnoteReference w:id="1022"/>
      </w:r>
      <w:r>
        <w:t xml:space="preserve">. In subgroups, there were hints of benefits in people over 60 and in people with diabetes, but even disadvantages in those under 60 – such subgroup findings are uncertain.</w:t>
      </w:r>
    </w:p>
    <w:p>
      <w:pPr>
        <w:pStyle w:val="BodyText"/>
      </w:pPr>
      <w:r>
        <w:t xml:space="preserve">A 2025 meta-analysis with 11 randomized trials found lower mortality overall, but not when only the high-quality or only the multicenter trials were considered; the available data were too limited for a definitive conclusion</w:t>
      </w:r>
      <w:r>
        <w:rPr>
          <w:rStyle w:val="FootnoteReference"/>
        </w:rPr>
        <w:footnoteReference w:id="1023"/>
      </w:r>
      <w:r>
        <w:t xml:space="preserve">. Many Chinese studies also combine thymosin alpha-1 with ulinastatin, another agent used in China; network meta-analyses rate the certainty of these results as predominantly low</w:t>
      </w:r>
      <w:r>
        <w:rPr>
          <w:rStyle w:val="FootnoteReference"/>
        </w:rPr>
        <w:footnoteReference w:id="1024"/>
      </w:r>
      <w:r>
        <w:t xml:space="preserve">.</w:t>
      </w:r>
    </w:p>
    <w:bookmarkEnd w:id="1025"/>
    <w:bookmarkStart w:id="1031" w:name="covid-19"/>
    <w:p>
      <w:pPr>
        <w:pStyle w:val="Heading4"/>
      </w:pPr>
      <w:r>
        <w:t xml:space="preserve">COVID-19</w:t>
      </w:r>
    </w:p>
    <w:p>
      <w:pPr>
        <w:pStyle w:val="FirstParagraph"/>
      </w:pPr>
      <w:r>
        <w:t xml:space="preserve">During the pandemic, thymosin alpha-1 was widely used in China. An early retrospective analysis of 76 severely ill patients in Wuhan reported a mortality of 11.1 vs. 30.0 percent</w:t>
      </w:r>
      <w:r>
        <w:rPr>
          <w:rStyle w:val="FootnoteReference"/>
        </w:rPr>
        <w:footnoteReference w:id="1026"/>
      </w:r>
      <w:r>
        <w:t xml:space="preserve">. A larger retrospective study in five hospitals with over 2,200 people found the opposite: after adjustment for confounders, treatment was associated with a higher rate of non-recovery</w:t>
      </w:r>
      <w:r>
        <w:rPr>
          <w:rStyle w:val="FootnoteReference"/>
        </w:rPr>
        <w:footnoteReference w:id="1027"/>
      </w:r>
      <w:r>
        <w:t xml:space="preserve">. A small randomized pilot study with 49 people found faster increases in T helper cells, but no significant difference in recovery</w:t>
      </w:r>
      <w:r>
        <w:rPr>
          <w:rStyle w:val="FootnoteReference"/>
        </w:rPr>
        <w:footnoteReference w:id="1028"/>
      </w:r>
      <w:r>
        <w:t xml:space="preserve">.</w:t>
      </w:r>
    </w:p>
    <w:p>
      <w:pPr>
        <w:pStyle w:val="BodyText"/>
      </w:pPr>
      <w:r>
        <w:t xml:space="preserve">Two meta-analyses reached opposite conclusions: one with 9 studies and 5,352 people found no effect on mortality and advises against use in hospitalized adults</w:t>
      </w:r>
      <w:r>
        <w:rPr>
          <w:rStyle w:val="FootnoteReference"/>
        </w:rPr>
        <w:footnoteReference w:id="1029"/>
      </w:r>
      <w:r>
        <w:t xml:space="preserve">; another with 8 studies found lower mortality, but with very high heterogeneity among the studies</w:t>
      </w:r>
      <w:r>
        <w:rPr>
          <w:rStyle w:val="FootnoteReference"/>
        </w:rPr>
        <w:footnoteReference w:id="1030"/>
      </w:r>
      <w:r>
        <w:t xml:space="preserve">. Almost all data come from non-randomized observational studies. A benefit in COVID-19 is therefore not established.</w:t>
      </w:r>
    </w:p>
    <w:bookmarkEnd w:id="1031"/>
    <w:bookmarkStart w:id="1035" w:name="cancer"/>
    <w:p>
      <w:pPr>
        <w:pStyle w:val="Heading4"/>
      </w:pPr>
      <w:r>
        <w:t xml:space="preserve">Cancer</w:t>
      </w:r>
    </w:p>
    <w:p>
      <w:pPr>
        <w:pStyle w:val="FirstParagraph"/>
      </w:pPr>
      <w:r>
        <w:t xml:space="preserve">The largest randomized cancer trial tested thymosin alpha-1 in metastatic melanoma in addition to chemotherapy with dacarbazine. In two Tα1 groups, more tumors responded than in the control group (10 and 12 vs. 4 responses); median overall survival was 9.4 versus 6.6 months, but the difference was not significant</w:t>
      </w:r>
      <w:r>
        <w:rPr>
          <w:rStyle w:val="FootnoteReference"/>
        </w:rPr>
        <w:footnoteReference w:id="1032"/>
      </w:r>
      <w:r>
        <w:t xml:space="preserve">. No approval followed, and melanoma therapy has since changed fundamentally through immune checkpoint inhibitors.</w:t>
      </w:r>
    </w:p>
    <w:p>
      <w:pPr>
        <w:pStyle w:val="BodyText"/>
      </w:pPr>
      <w:r>
        <w:t xml:space="preserve">Meta-analyses of Chinese studies on lung and gastric cancer report better response rates, better quality of life and fewer chemotherapy side effects when thymic peptides were added (Zeng 2019, PMID 31326719: 27 studies, 1,925 people; Wang 2026, PMID 42827862: 20 studies, 1,704 people). However, both papers rate the quality of the evidence as moderate to very low, and data on long-term survival are largely lacking. A review of cancer studies from 2016 to 2026 found predominantly retrospective observational studies and case reports from China and inconsistent recording of side effects</w:t>
      </w:r>
      <w:r>
        <w:rPr>
          <w:rStyle w:val="FootnoteReference"/>
        </w:rPr>
        <w:footnoteReference w:id="1033"/>
      </w:r>
      <w:r>
        <w:t xml:space="preserve">. Newer Phase 2 trials combine thymosin alpha-1 with immune checkpoint inhibitors, for example before surgery for gastric cancer with 30 people</w:t>
      </w:r>
      <w:r>
        <w:rPr>
          <w:rStyle w:val="FootnoteReference"/>
        </w:rPr>
        <w:footnoteReference w:id="1034"/>
      </w:r>
      <w:r>
        <w:t xml:space="preserve">; without a control group, the contribution of thymosin alpha-1 cannot be read from this.</w:t>
      </w:r>
    </w:p>
    <w:bookmarkEnd w:id="1035"/>
    <w:bookmarkStart w:id="1039" w:name="vaccine-enhancement"/>
    <w:p>
      <w:pPr>
        <w:pStyle w:val="Heading4"/>
      </w:pPr>
      <w:r>
        <w:t xml:space="preserve">Vaccine enhancement</w:t>
      </w:r>
    </w:p>
    <w:p>
      <w:pPr>
        <w:pStyle w:val="FirstParagraph"/>
      </w:pPr>
      <w:r>
        <w:t xml:space="preserve">As early as 1989, 90 men between 65 and 99 years of age received thymosin alpha-1 or placebo in addition to influenza vaccination; no side effects were observed</w:t>
      </w:r>
      <w:r>
        <w:rPr>
          <w:rStyle w:val="FootnoteReference"/>
        </w:rPr>
        <w:footnoteReference w:id="1036"/>
      </w:r>
      <w:r>
        <w:t xml:space="preserve">. This idea is being taken up again today, for example in dialysis patients in connection with COVID-19</w:t>
      </w:r>
      <w:r>
        <w:rPr>
          <w:rStyle w:val="FootnoteReference"/>
        </w:rPr>
        <w:footnoteReference w:id="1037"/>
      </w:r>
      <w:r>
        <w:t xml:space="preserve"> </w:t>
      </w:r>
      <w:r>
        <w:t xml:space="preserve">and in an ongoing trial on booster vaccination in older people</w:t>
      </w:r>
      <w:r>
        <w:rPr>
          <w:rStyle w:val="FootnoteReference"/>
        </w:rPr>
        <w:footnoteReference w:id="1038"/>
      </w:r>
      <w:r>
        <w:t xml:space="preserve">. Robust outcome data – i.e., fewer illnesses or deaths – are lacking.</w:t>
      </w:r>
    </w:p>
    <w:bookmarkEnd w:id="1039"/>
    <w:bookmarkEnd w:id="1040"/>
    <w:bookmarkStart w:id="1042" w:name="animal-and-laboratory-studies-17"/>
    <w:p>
      <w:pPr>
        <w:pStyle w:val="Heading3"/>
      </w:pPr>
      <w:r>
        <w:t xml:space="preserve">Animal and laboratory studies</w:t>
      </w:r>
    </w:p>
    <w:p>
      <w:pPr>
        <w:pStyle w:val="FirstParagraph"/>
      </w:pPr>
      <w:r>
        <w:t xml:space="preserve">Since thymosin alpha-1 has been studied in humans for decades, animal studies play a lesser role in the assessment. They were important for the cancer idea: in mouse models of lung cancer, leukemia and melanoma and in a rat model of liver metastases, the combination of thymosin alpha-1 with interferon or interleukin-2 and chemotherapy worked better than the individual treatments</w:t>
      </w:r>
      <w:r>
        <w:rPr>
          <w:rStyle w:val="FootnoteReference"/>
        </w:rPr>
        <w:footnoteReference w:id="1041"/>
      </w:r>
      <w:r>
        <w:t xml:space="preserve">. These findings have so far not been convincingly replicated in humans.</w:t>
      </w:r>
    </w:p>
    <w:bookmarkEnd w:id="1042"/>
    <w:bookmarkStart w:id="1051" w:name="risks-and-side-effects-17"/>
    <w:p>
      <w:pPr>
        <w:pStyle w:val="Heading3"/>
      </w:pPr>
      <w:r>
        <w:t xml:space="preserve">Risks and side effects</w:t>
      </w:r>
    </w:p>
    <w:bookmarkStart w:id="1046" w:name="documented-1"/>
    <w:p>
      <w:pPr>
        <w:pStyle w:val="Heading4"/>
      </w:pPr>
      <w:r>
        <w:t xml:space="preserve">Documented</w:t>
      </w:r>
    </w:p>
    <w:p>
      <w:pPr>
        <w:pStyle w:val="FirstParagraph"/>
      </w:pPr>
      <w:r>
        <w:t xml:space="preserve">Thymosin alpha-1 is considered well tolerated in the studies. In the older studies, usually only local irritation at the injection site was observed</w:t>
      </w:r>
      <w:r>
        <w:rPr>
          <w:rStyle w:val="FootnoteReference"/>
        </w:rPr>
        <w:footnoteReference w:id="1043"/>
      </w:r>
      <w:r>
        <w:t xml:space="preserve">. In the large sepsis trial TESTS, the safety endpoints did not differ from placebo</w:t>
      </w:r>
      <w:r>
        <w:rPr>
          <w:rStyle w:val="FootnoteReference"/>
        </w:rPr>
        <w:footnoteReference w:id="1044"/>
      </w:r>
      <w:r>
        <w:t xml:space="preserve">. In hepatitis B, there were sometimes fluctuations in liver values, which were interpreted as an expression of the immune response</w:t>
      </w:r>
      <w:r>
        <w:rPr>
          <w:rStyle w:val="FootnoteReference"/>
        </w:rPr>
        <w:footnoteReference w:id="1045"/>
      </w:r>
      <w:r>
        <w:t xml:space="preserve">.</w:t>
      </w:r>
    </w:p>
    <w:bookmarkEnd w:id="1046"/>
    <w:bookmarkStart w:id="1050" w:name="points-to-note"/>
    <w:p>
      <w:pPr>
        <w:pStyle w:val="Heading4"/>
      </w:pPr>
      <w:r>
        <w:t xml:space="preserve">Points to note</w:t>
      </w:r>
    </w:p>
    <w:p>
      <w:pPr>
        <w:numPr>
          <w:ilvl w:val="0"/>
          <w:numId w:val="1124"/>
        </w:numPr>
        <w:pStyle w:val="Compact"/>
      </w:pPr>
      <w:r>
        <w:rPr>
          <w:bCs/>
          <w:b/>
        </w:rPr>
        <w:t xml:space="preserve">Subgroups with possible harm:</w:t>
      </w:r>
      <w:r>
        <w:t xml:space="preserve"> </w:t>
      </w:r>
      <w:r>
        <w:t xml:space="preserve">In TESTS, mortality in people under 60 was higher on thymosin alpha-1 than on placebo (hazard ratio 1.67)</w:t>
      </w:r>
      <w:r>
        <w:rPr>
          <w:rStyle w:val="FootnoteReference"/>
        </w:rPr>
        <w:footnoteReference w:id="1047"/>
      </w:r>
      <w:r>
        <w:t xml:space="preserve">; in COVID-19, treatment was associated with a worse course in a large observational study</w:t>
      </w:r>
      <w:r>
        <w:rPr>
          <w:rStyle w:val="FootnoteReference"/>
        </w:rPr>
        <w:footnoteReference w:id="1048"/>
      </w:r>
      <w:r>
        <w:t xml:space="preserve">. Both may be chance or bias, but they show that</w:t>
      </w:r>
      <w:r>
        <w:t xml:space="preserve"> </w:t>
      </w:r>
      <w:r>
        <w:t xml:space="preserve">“</w:t>
      </w:r>
      <w:r>
        <w:t xml:space="preserve">harmless immune booster</w:t>
      </w:r>
      <w:r>
        <w:t xml:space="preserve">”</w:t>
      </w:r>
      <w:r>
        <w:t xml:space="preserve"> </w:t>
      </w:r>
      <w:r>
        <w:t xml:space="preserve">is not an established description.</w:t>
      </w:r>
    </w:p>
    <w:p>
      <w:pPr>
        <w:numPr>
          <w:ilvl w:val="0"/>
          <w:numId w:val="1124"/>
        </w:numPr>
        <w:pStyle w:val="Compact"/>
      </w:pPr>
      <w:r>
        <w:rPr>
          <w:bCs/>
          <w:b/>
        </w:rPr>
        <w:t xml:space="preserve">Autoimmune diseases and transplantation:</w:t>
      </w:r>
      <w:r>
        <w:t xml:space="preserve"> </w:t>
      </w:r>
      <w:r>
        <w:t xml:space="preserve">A substance intended to stimulate the immune system could theoretically aggravate autoimmune diseases or favor the rejection of transplanted organs. Systematic data on this are lacking.</w:t>
      </w:r>
    </w:p>
    <w:p>
      <w:pPr>
        <w:numPr>
          <w:ilvl w:val="0"/>
          <w:numId w:val="1124"/>
        </w:numPr>
        <w:pStyle w:val="Compact"/>
      </w:pPr>
      <w:r>
        <w:rPr>
          <w:bCs/>
          <w:b/>
        </w:rPr>
        <w:t xml:space="preserve">Combination with immunotherapy:</w:t>
      </w:r>
      <w:r>
        <w:t xml:space="preserve"> </w:t>
      </w:r>
      <w:r>
        <w:t xml:space="preserve">One review refers to a case report in which a severe immune reaction in several organs occurred under combination treatment, without thymosin alpha-1 being established with certainty as the cause</w:t>
      </w:r>
      <w:r>
        <w:rPr>
          <w:rStyle w:val="FootnoteReference"/>
        </w:rPr>
        <w:footnoteReference w:id="1049"/>
      </w:r>
      <w:r>
        <w:t xml:space="preserve">.</w:t>
      </w:r>
    </w:p>
    <w:p>
      <w:pPr>
        <w:numPr>
          <w:ilvl w:val="0"/>
          <w:numId w:val="1124"/>
        </w:numPr>
        <w:pStyle w:val="Compact"/>
      </w:pPr>
      <w:r>
        <w:rPr>
          <w:bCs/>
          <w:b/>
        </w:rPr>
        <w:t xml:space="preserve">Gray market:</w:t>
      </w:r>
      <w:r>
        <w:t xml:space="preserve"> </w:t>
      </w:r>
      <w:r>
        <w:t xml:space="preserve">Outside the countries with approval, thymosin alpha-1 is sold as a</w:t>
      </w:r>
      <w:r>
        <w:t xml:space="preserve"> </w:t>
      </w:r>
      <w:r>
        <w:t xml:space="preserve">“</w:t>
      </w:r>
      <w:r>
        <w:t xml:space="preserve">research peptide.</w:t>
      </w:r>
      <w:r>
        <w:t xml:space="preserve">”</w:t>
      </w:r>
      <w:r>
        <w:t xml:space="preserve"> </w:t>
      </w:r>
      <w:r>
        <w:t xml:space="preserve">The studies on Zadaxin do not apply to these products – purity, content and sterility are unknown.</w:t>
      </w:r>
    </w:p>
    <w:bookmarkEnd w:id="1050"/>
    <w:bookmarkEnd w:id="1051"/>
    <w:bookmarkStart w:id="1054" w:name="legal-status-17"/>
    <w:p>
      <w:pPr>
        <w:pStyle w:val="Heading3"/>
      </w:pPr>
      <w:r>
        <w:t xml:space="preserve">Legal status</w:t>
      </w:r>
    </w:p>
    <w:p>
      <w:pPr>
        <w:pStyle w:val="FirstParagraph"/>
      </w:pPr>
      <w:r>
        <w:rPr>
          <w:iCs/>
          <w:i/>
        </w:rPr>
        <w:t xml:space="preserve">As of 2026, please check for updates.</w:t>
      </w:r>
    </w:p>
    <w:p>
      <w:pPr>
        <w:numPr>
          <w:ilvl w:val="0"/>
          <w:numId w:val="1125"/>
        </w:numPr>
        <w:pStyle w:val="Compact"/>
      </w:pPr>
      <w:r>
        <w:rPr>
          <w:bCs/>
          <w:b/>
        </w:rPr>
        <w:t xml:space="preserve">EU, Germany, Austria:</w:t>
      </w:r>
      <w:r>
        <w:t xml:space="preserve"> </w:t>
      </w:r>
      <w:r>
        <w:t xml:space="preserve">no approval as a medicine. A prescription in an individual case via individual import from a country with approval may be possible under national law under narrow conditions; sale as a</w:t>
      </w:r>
      <w:r>
        <w:t xml:space="preserve"> </w:t>
      </w:r>
      <w:r>
        <w:t xml:space="preserve">“</w:t>
      </w:r>
      <w:r>
        <w:t xml:space="preserve">research peptide</w:t>
      </w:r>
      <w:r>
        <w:t xml:space="preserve">”</w:t>
      </w:r>
      <w:r>
        <w:t xml:space="preserve"> </w:t>
      </w:r>
      <w:r>
        <w:t xml:space="preserve">for use in humans is not permitted.</w:t>
      </w:r>
    </w:p>
    <w:p>
      <w:pPr>
        <w:numPr>
          <w:ilvl w:val="0"/>
          <w:numId w:val="1125"/>
        </w:numPr>
        <w:pStyle w:val="Compact"/>
      </w:pPr>
      <w:r>
        <w:rPr>
          <w:bCs/>
          <w:b/>
        </w:rPr>
        <w:t xml:space="preserve">USA:</w:t>
      </w:r>
      <w:r>
        <w:t xml:space="preserve"> </w:t>
      </w:r>
      <w:r>
        <w:t xml:space="preserve">no FDA approval. In 2023, the FDA placed thymosin alpha-1, together with other peptides, on the list of substances with safety concerns for compounding; proponents criticize this</w:t>
      </w:r>
      <w:r>
        <w:rPr>
          <w:rStyle w:val="FootnoteReference"/>
        </w:rPr>
        <w:footnoteReference w:id="1052"/>
      </w:r>
      <w:r>
        <w:t xml:space="preserve">. The classification of peptides continues to be discussed in the FDA advisory committee</w:t>
      </w:r>
      <w:r>
        <w:rPr>
          <w:rStyle w:val="FootnoteReference"/>
        </w:rPr>
        <w:footnoteReference w:id="1053"/>
      </w:r>
      <w:r>
        <w:t xml:space="preserve">.</w:t>
      </w:r>
    </w:p>
    <w:p>
      <w:pPr>
        <w:numPr>
          <w:ilvl w:val="0"/>
          <w:numId w:val="1125"/>
        </w:numPr>
        <w:pStyle w:val="Compact"/>
      </w:pPr>
      <w:r>
        <w:rPr>
          <w:bCs/>
          <w:b/>
        </w:rPr>
        <w:t xml:space="preserve">China and other countries:</w:t>
      </w:r>
      <w:r>
        <w:t xml:space="preserve"> </w:t>
      </w:r>
      <w:r>
        <w:t xml:space="preserve">approved as Zadaxin or thymalfasin; in China there are also a number of generic preparations.</w:t>
      </w:r>
    </w:p>
    <w:p>
      <w:pPr>
        <w:numPr>
          <w:ilvl w:val="0"/>
          <w:numId w:val="1125"/>
        </w:numPr>
        <w:pStyle w:val="Compact"/>
      </w:pPr>
      <w:r>
        <w:rPr>
          <w:bCs/>
          <w:b/>
        </w:rPr>
        <w:t xml:space="preserve">WADA:</w:t>
      </w:r>
      <w:r>
        <w:t xml:space="preserve"> </w:t>
      </w:r>
      <w:r>
        <w:t xml:space="preserve">not explicitly on the Prohibited List. Athletes should nevertheless check with their national anti-doping agency before use.</w:t>
      </w:r>
    </w:p>
    <w:bookmarkEnd w:id="1054"/>
    <w:bookmarkStart w:id="1059" w:name="ongoing-studies-and-outlook-17"/>
    <w:p>
      <w:pPr>
        <w:pStyle w:val="Heading3"/>
      </w:pPr>
      <w:r>
        <w:t xml:space="preserve">Ongoing studies and outlook</w:t>
      </w:r>
    </w:p>
    <w:p>
      <w:pPr>
        <w:pStyle w:val="FirstParagraph"/>
      </w:pPr>
      <w:r>
        <w:rPr>
          <w:bCs/>
          <w:b/>
        </w:rPr>
        <w:t xml:space="preserve">Confirmed (according to the registry):</w:t>
      </w:r>
    </w:p>
    <w:p>
      <w:pPr>
        <w:numPr>
          <w:ilvl w:val="0"/>
          <w:numId w:val="1126"/>
        </w:numPr>
        <w:pStyle w:val="Compact"/>
      </w:pPr>
      <w:r>
        <w:rPr>
          <w:bCs/>
          <w:b/>
        </w:rPr>
        <w:t xml:space="preserve">Colorectal cancer after surgery</w:t>
      </w:r>
      <w:r>
        <w:rPr>
          <w:rStyle w:val="FootnoteReference"/>
        </w:rPr>
        <w:footnoteReference w:id="1055"/>
      </w:r>
      <w:r>
        <w:rPr>
          <w:bCs/>
          <w:b/>
        </w:rPr>
        <w:t xml:space="preserve">:</w:t>
      </w:r>
      <w:r>
        <w:t xml:space="preserve"> </w:t>
      </w:r>
      <w:r>
        <w:t xml:space="preserve">Phase 3 trial by Fudan University in Shanghai, 2,500 people with stage II or III colorectal cancer planned, primary endpoint disease-free survival after three years; estimated completion March 2027. The trial is only single-blind.</w:t>
      </w:r>
    </w:p>
    <w:p>
      <w:pPr>
        <w:numPr>
          <w:ilvl w:val="0"/>
          <w:numId w:val="1126"/>
        </w:numPr>
        <w:pStyle w:val="Compact"/>
      </w:pPr>
      <w:r>
        <w:rPr>
          <w:bCs/>
          <w:b/>
        </w:rPr>
        <w:t xml:space="preserve">Cancer and immunotherapy:</w:t>
      </w:r>
      <w:r>
        <w:t xml:space="preserve"> </w:t>
      </w:r>
      <w:r>
        <w:t xml:space="preserve">numerous smaller Chinese Phase 2 trials combining thymosin alpha-1 with immune checkpoint inhibitors and chemotherapy or radiotherapy, for example in triple-negative breast cancer with 572 people planned</w:t>
      </w:r>
      <w:r>
        <w:rPr>
          <w:rStyle w:val="FootnoteReference"/>
        </w:rPr>
        <w:footnoteReference w:id="1056"/>
      </w:r>
      <w:r>
        <w:t xml:space="preserve">.</w:t>
      </w:r>
    </w:p>
    <w:p>
      <w:pPr>
        <w:numPr>
          <w:ilvl w:val="0"/>
          <w:numId w:val="1126"/>
        </w:numPr>
        <w:pStyle w:val="Compact"/>
      </w:pPr>
      <w:r>
        <w:rPr>
          <w:bCs/>
          <w:b/>
        </w:rPr>
        <w:t xml:space="preserve">Sepsis:</w:t>
      </w:r>
      <w:r>
        <w:t xml:space="preserve"> </w:t>
      </w:r>
      <w:r>
        <w:t xml:space="preserve">a smaller trial on recovery of immune function in 60 people</w:t>
      </w:r>
      <w:r>
        <w:rPr>
          <w:rStyle w:val="FootnoteReference"/>
        </w:rPr>
        <w:footnoteReference w:id="1057"/>
      </w:r>
      <w:r>
        <w:t xml:space="preserve">.</w:t>
      </w:r>
    </w:p>
    <w:p>
      <w:pPr>
        <w:numPr>
          <w:ilvl w:val="0"/>
          <w:numId w:val="1126"/>
        </w:numPr>
        <w:pStyle w:val="Compact"/>
      </w:pPr>
      <w:r>
        <w:rPr>
          <w:bCs/>
          <w:b/>
        </w:rPr>
        <w:t xml:space="preserve">Vaccine response in older people</w:t>
      </w:r>
      <w:r>
        <w:rPr>
          <w:rStyle w:val="FootnoteReference"/>
        </w:rPr>
        <w:footnoteReference w:id="1058"/>
      </w:r>
      <w:r>
        <w:rPr>
          <w:bCs/>
          <w:b/>
        </w:rPr>
        <w:t xml:space="preserve">:</w:t>
      </w:r>
      <w:r>
        <w:t xml:space="preserve"> </w:t>
      </w:r>
      <w:r>
        <w:t xml:space="preserve">Phase 1, 75 people planned.</w:t>
      </w:r>
    </w:p>
    <w:p>
      <w:pPr>
        <w:pStyle w:val="FirstParagraph"/>
      </w:pPr>
      <w:r>
        <w:rPr>
          <w:bCs/>
          <w:b/>
        </w:rPr>
        <w:t xml:space="preserve">Author’s assessment:</w:t>
      </w:r>
      <w:r>
        <w:t xml:space="preserve"> </w:t>
      </w:r>
      <w:r>
        <w:t xml:space="preserve">The large colorectal cancer trial is the most important open question. If it is positive, it would be the first major evidence of a benefit in a cancer – though with reservations because of the lack of double-blinding. In sepsis, TESTS is likely to have answered the question for broad use for the time being; future studies will focus on subgroups with demonstrated immune weakness. Approval in the EU or the USA is not to be expected in the next few years.</w:t>
      </w:r>
    </w:p>
    <w:bookmarkEnd w:id="1059"/>
    <w:bookmarkStart w:id="1063" w:name="conclusion-17"/>
    <w:p>
      <w:pPr>
        <w:pStyle w:val="Heading3"/>
      </w:pPr>
      <w:r>
        <w:t xml:space="preserve">Conclusion</w:t>
      </w:r>
    </w:p>
    <w:p>
      <w:pPr>
        <w:pStyle w:val="FirstParagraph"/>
      </w:pPr>
      <w:r>
        <w:t xml:space="preserve">Thymosin alpha-1 is the best-studied peptide in this group and an approved medicine in some countries. The early, small studies looked promising, but the large, carefully blinded trials showed no benefit in their primary endpoints in sepsis</w:t>
      </w:r>
      <w:r>
        <w:rPr>
          <w:rStyle w:val="FootnoteReference"/>
        </w:rPr>
        <w:footnoteReference w:id="1060"/>
      </w:r>
      <w:r>
        <w:t xml:space="preserve">, severe pancreatitis</w:t>
      </w:r>
      <w:r>
        <w:rPr>
          <w:rStyle w:val="FootnoteReference"/>
        </w:rPr>
        <w:footnoteReference w:id="1061"/>
      </w:r>
      <w:r>
        <w:t xml:space="preserve"> </w:t>
      </w:r>
      <w:r>
        <w:t xml:space="preserve">and hepatitis B cirrhosis</w:t>
      </w:r>
      <w:r>
        <w:rPr>
          <w:rStyle w:val="FootnoteReference"/>
        </w:rPr>
        <w:footnoteReference w:id="1062"/>
      </w:r>
      <w:r>
        <w:t xml:space="preserve">. In COVID-19 and cancer, positive claims are based predominantly on observational studies and low-quality studies. The peptide is well tolerated in studies – but a proven benefit as a general</w:t>
      </w:r>
      <w:r>
        <w:t xml:space="preserve"> </w:t>
      </w:r>
      <w:r>
        <w:t xml:space="preserve">“</w:t>
      </w:r>
      <w:r>
        <w:t xml:space="preserve">immune booster</w:t>
      </w:r>
      <w:r>
        <w:t xml:space="preserve">”</w:t>
      </w:r>
      <w:r>
        <w:t xml:space="preserve"> </w:t>
      </w:r>
      <w:r>
        <w:t xml:space="preserve">for healthy people does not exist.</w:t>
      </w:r>
    </w:p>
    <w:bookmarkEnd w:id="1063"/>
    <w:bookmarkEnd w:id="1064"/>
    <w:bookmarkStart w:id="1087" w:name="kpv"/>
    <w:p>
      <w:pPr>
        <w:pStyle w:val="Heading2"/>
      </w:pPr>
      <w:r>
        <w:t xml:space="preserve">KPV</w:t>
      </w:r>
    </w:p>
    <w:p>
      <w:pPr>
        <w:pStyle w:val="FirstParagraph"/>
      </w:pPr>
      <w:r>
        <w:t xml:space="preserve">KPV is the smallest peptide in this book: only three amino acids long. Online it is offered as an anti-inflammatory agent for the gut and skin, often as a capsule or cream, sometimes for injection. The scientific basis for this consists of cell experiments and mouse models – there are no human studies.</w:t>
      </w:r>
    </w:p>
    <w:bookmarkStart w:id="1066" w:name="profile-18"/>
    <w:p>
      <w:pPr>
        <w:pStyle w:val="Heading3"/>
      </w:pPr>
      <w:r>
        <w:t xml:space="preserve">Profile</w:t>
      </w:r>
    </w:p>
    <w:p>
      <w:pPr>
        <w:numPr>
          <w:ilvl w:val="0"/>
          <w:numId w:val="1127"/>
        </w:numPr>
        <w:pStyle w:val="Compact"/>
      </w:pPr>
      <w:r>
        <w:rPr>
          <w:bCs/>
          <w:b/>
        </w:rPr>
        <w:t xml:space="preserve">Type and structure:</w:t>
      </w:r>
      <w:r>
        <w:t xml:space="preserve"> </w:t>
      </w:r>
      <w:r>
        <w:t xml:space="preserve">tripeptide of the amino acids lysine, proline and valine (Lys-Pro-Val, hence KPV).</w:t>
      </w:r>
    </w:p>
    <w:p>
      <w:pPr>
        <w:numPr>
          <w:ilvl w:val="0"/>
          <w:numId w:val="1127"/>
        </w:numPr>
        <w:pStyle w:val="Compact"/>
      </w:pPr>
      <w:r>
        <w:rPr>
          <w:bCs/>
          <w:b/>
        </w:rPr>
        <w:t xml:space="preserve">Origin:</w:t>
      </w:r>
      <w:r>
        <w:t xml:space="preserve"> </w:t>
      </w:r>
      <w:r>
        <w:t xml:space="preserve">corresponds to the last three amino acids (positions 11 to 13) of the endogenous hormone alpha-MSH (alpha-melanocyte-stimulating hormone), which is involved in skin tanning and the regulation of inflammation, among other things</w:t>
      </w:r>
      <w:r>
        <w:rPr>
          <w:rStyle w:val="FootnoteReference"/>
        </w:rPr>
        <w:footnoteReference w:id="1065"/>
      </w:r>
      <w:r>
        <w:t xml:space="preserve">.</w:t>
      </w:r>
    </w:p>
    <w:p>
      <w:pPr>
        <w:numPr>
          <w:ilvl w:val="0"/>
          <w:numId w:val="1127"/>
        </w:numPr>
        <w:pStyle w:val="Compact"/>
      </w:pPr>
      <w:r>
        <w:rPr>
          <w:bCs/>
          <w:b/>
        </w:rPr>
        <w:t xml:space="preserve">Mechanism of action (presumed, from laboratory and animal studies):</w:t>
      </w:r>
      <w:r>
        <w:t xml:space="preserve"> </w:t>
      </w:r>
      <w:r>
        <w:t xml:space="preserve">inhibition of pro-inflammatory signaling pathways in gut and immune cells after uptake via the peptide transporter PepT1.</w:t>
      </w:r>
    </w:p>
    <w:p>
      <w:pPr>
        <w:numPr>
          <w:ilvl w:val="0"/>
          <w:numId w:val="1127"/>
        </w:numPr>
        <w:pStyle w:val="Compact"/>
      </w:pPr>
      <w:r>
        <w:rPr>
          <w:bCs/>
          <w:b/>
        </w:rPr>
        <w:t xml:space="preserve">Approval EU/USA:</w:t>
      </w:r>
      <w:r>
        <w:t xml:space="preserve"> </w:t>
      </w:r>
      <w:r>
        <w:t xml:space="preserve">no.</w:t>
      </w:r>
    </w:p>
    <w:p>
      <w:pPr>
        <w:numPr>
          <w:ilvl w:val="0"/>
          <w:numId w:val="1127"/>
        </w:numPr>
        <w:pStyle w:val="Compact"/>
      </w:pPr>
      <w:r>
        <w:rPr>
          <w:bCs/>
          <w:b/>
        </w:rPr>
        <w:t xml:space="preserve">WADA:</w:t>
      </w:r>
      <w:r>
        <w:t xml:space="preserve"> </w:t>
      </w:r>
      <w:r>
        <w:t xml:space="preserve">not explicitly listed; as a non-approved substance, in the author’s view it falls under group S0.</w:t>
      </w:r>
    </w:p>
    <w:p>
      <w:pPr>
        <w:numPr>
          <w:ilvl w:val="0"/>
          <w:numId w:val="1127"/>
        </w:numPr>
        <w:pStyle w:val="Compact"/>
      </w:pPr>
      <w:r>
        <w:rPr>
          <w:bCs/>
          <w:b/>
        </w:rPr>
        <w:t xml:space="preserve">Evidence level: D</w:t>
      </w:r>
      <w:r>
        <w:t xml:space="preserve"> </w:t>
      </w:r>
      <w:r>
        <w:t xml:space="preserve">– no published human study.</w:t>
      </w:r>
    </w:p>
    <w:bookmarkEnd w:id="1066"/>
    <w:bookmarkStart w:id="1071" w:name="how-it-is-supposed-to-work-18"/>
    <w:p>
      <w:pPr>
        <w:pStyle w:val="Heading3"/>
      </w:pPr>
      <w:r>
        <w:t xml:space="preserve">How it is supposed to work</w:t>
      </w:r>
    </w:p>
    <w:p>
      <w:pPr>
        <w:pStyle w:val="FirstParagraph"/>
      </w:pPr>
      <w:r>
        <w:t xml:space="preserve">Alpha-MSH is best known as a tanning hormone, but it also has anti-inflammatory effects. As early as the 1990s, researchers noticed that part of this effect depends on the last three amino acids. In the blood of people with HIV, alpha-MSH and its end piece KPV reduced the production of the inflammatory messengers interleukin-1 and TNF-alpha in the test tube</w:t>
      </w:r>
      <w:r>
        <w:rPr>
          <w:rStyle w:val="FootnoteReference"/>
        </w:rPr>
        <w:footnoteReference w:id="1067"/>
      </w:r>
      <w:r>
        <w:t xml:space="preserve">.</w:t>
      </w:r>
    </w:p>
    <w:p>
      <w:pPr>
        <w:pStyle w:val="BodyText"/>
      </w:pPr>
      <w:r>
        <w:t xml:space="preserve">Unlike the complete hormone, KPV apparently does not act via the classic melanocortin receptors. In mice with peritonitis, KPV inhibited the influx of inflammatory cells without increasing the typical messenger cAMP; the authors suspect an inhibition of the interleukin-1 effect</w:t>
      </w:r>
      <w:r>
        <w:rPr>
          <w:rStyle w:val="FootnoteReference"/>
        </w:rPr>
        <w:footnoteReference w:id="1068"/>
      </w:r>
      <w:r>
        <w:t xml:space="preserve">. This has a practical advantage: unlike melanotan or alpha-MSH derivatives, KPV should not tan the skin.</w:t>
      </w:r>
    </w:p>
    <w:p>
      <w:pPr>
        <w:pStyle w:val="BodyText"/>
      </w:pPr>
      <w:r>
        <w:t xml:space="preserve">A second mechanism concerns the gut. There sits the transporter PepT1, which normally takes up small protein fragments from food. In chronic inflammatory bowel diseases, PepT1 is also increasingly produced in the colon. In cultures of human gut and immune cells, KPV was taken up via PepT1 and, at very low concentrations, inhibited the inflammatory switches NF-kappaB and MAP kinases</w:t>
      </w:r>
      <w:r>
        <w:rPr>
          <w:rStyle w:val="FootnoteReference"/>
        </w:rPr>
        <w:footnoteReference w:id="1069"/>
      </w:r>
      <w:r>
        <w:t xml:space="preserve">. From this arose the idea of using KPV as a tablet against intestinal inflammation.</w:t>
      </w:r>
    </w:p>
    <w:p>
      <w:pPr>
        <w:pStyle w:val="BodyText"/>
      </w:pPr>
      <w:r>
        <w:t xml:space="preserve">In addition, alpha-MSH and KPV inhibited the growth of the bacterium Staphylococcus aureus and the yeast Candida albicans in the laboratory</w:t>
      </w:r>
      <w:r>
        <w:rPr>
          <w:rStyle w:val="FootnoteReference"/>
        </w:rPr>
        <w:footnoteReference w:id="1070"/>
      </w:r>
      <w:r>
        <w:t xml:space="preserve">.</w:t>
      </w:r>
    </w:p>
    <w:bookmarkEnd w:id="1071"/>
    <w:bookmarkStart w:id="1076" w:name="human-studies-18"/>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0</w:t>
      </w:r>
      <w:r>
        <w:t xml:space="preserve"> </w:t>
      </w:r>
      <w:r>
        <w:t xml:space="preserve">human studies in PubMed and</w:t>
      </w:r>
      <w:r>
        <w:t xml:space="preserve"> </w:t>
      </w:r>
      <w:r>
        <w:rPr>
          <w:bCs/>
          <w:b/>
        </w:rPr>
        <w:t xml:space="preserve">0</w:t>
      </w:r>
      <w:r>
        <w:t xml:space="preserve"> </w:t>
      </w:r>
      <w:r>
        <w:t xml:space="preserve">entries on ClinicalTrials.gov. A targeted follow-up search for pilot studies, case reports or adverse event reports also found no publication in which people received KPV.</w:t>
      </w:r>
    </w:p>
    <w:p>
      <w:pPr>
        <w:pStyle w:val="BodyText"/>
      </w:pPr>
      <w:r>
        <w:t xml:space="preserve">What does exist are laboratory experiments with human cells or tissues, for example:</w:t>
      </w:r>
    </w:p>
    <w:p>
      <w:pPr>
        <w:numPr>
          <w:ilvl w:val="0"/>
          <w:numId w:val="1128"/>
        </w:numPr>
        <w:pStyle w:val="Compact"/>
      </w:pPr>
      <w:r>
        <w:t xml:space="preserve">blood samples from people with HIV, in which KPV reduced the production of inflammatory messengers</w:t>
      </w:r>
      <w:r>
        <w:rPr>
          <w:rStyle w:val="FootnoteReference"/>
        </w:rPr>
        <w:footnoteReference w:id="1072"/>
      </w:r>
      <w:r>
        <w:t xml:space="preserve">,</w:t>
      </w:r>
    </w:p>
    <w:p>
      <w:pPr>
        <w:numPr>
          <w:ilvl w:val="0"/>
          <w:numId w:val="1128"/>
        </w:numPr>
        <w:pStyle w:val="Compact"/>
      </w:pPr>
      <w:r>
        <w:t xml:space="preserve">human skin cell lines</w:t>
      </w:r>
      <w:r>
        <w:rPr>
          <w:rStyle w:val="FootnoteReference"/>
        </w:rPr>
        <w:footnoteReference w:id="1073"/>
      </w:r>
      <w:r>
        <w:t xml:space="preserve">,</w:t>
      </w:r>
    </w:p>
    <w:p>
      <w:pPr>
        <w:numPr>
          <w:ilvl w:val="0"/>
          <w:numId w:val="1128"/>
        </w:numPr>
        <w:pStyle w:val="Compact"/>
      </w:pPr>
      <w:r>
        <w:t xml:space="preserve">donated human skin, on which it was tested whether KPV passes through the skin with microneedles and weak electric current – without such aids, it did not penetrate measurably</w:t>
      </w:r>
      <w:r>
        <w:rPr>
          <w:rStyle w:val="FootnoteReference"/>
        </w:rPr>
        <w:footnoteReference w:id="1074"/>
      </w:r>
      <w:r>
        <w:t xml:space="preserve">.</w:t>
      </w:r>
    </w:p>
    <w:p>
      <w:pPr>
        <w:pStyle w:val="FirstParagraph"/>
      </w:pPr>
      <w:r>
        <w:t xml:space="preserve">These studies say something about mechanisms and dosage forms, but nothing about efficacy or safety in humans.</w:t>
      </w:r>
    </w:p>
    <w:p>
      <w:pPr>
        <w:pStyle w:val="BodyText"/>
      </w:pPr>
      <w:r>
        <w:t xml:space="preserve">A close relative, the artificial double molecule (CKPV)2, was studied clinically in the mid-2000s as an agent against fungal infections; a 2006 paper mentions that it was</w:t>
      </w:r>
      <w:r>
        <w:t xml:space="preserve"> </w:t>
      </w:r>
      <w:r>
        <w:t xml:space="preserve">“</w:t>
      </w:r>
      <w:r>
        <w:t xml:space="preserve">currently in clinical testing</w:t>
      </w:r>
      <w:r>
        <w:t xml:space="preserve">”</w:t>
      </w:r>
      <w:r>
        <w:rPr>
          <w:rStyle w:val="FootnoteReference"/>
        </w:rPr>
        <w:footnoteReference w:id="1075"/>
      </w:r>
      <w:r>
        <w:t xml:space="preserve">. Results of these studies have not been published in PubMed. Moreover, (CKPV)2 is a different substance from the KPV sold online.</w:t>
      </w:r>
    </w:p>
    <w:bookmarkEnd w:id="1076"/>
    <w:bookmarkStart w:id="1077" w:name="animal-and-laboratory-studies-18"/>
    <w:p>
      <w:pPr>
        <w:pStyle w:val="Heading3"/>
      </w:pPr>
      <w:r>
        <w:t xml:space="preserve">Animal and laboratory studies</w:t>
      </w:r>
    </w:p>
    <w:p>
      <w:pPr>
        <w:pStyle w:val="FirstParagraph"/>
      </w:pPr>
      <w:r>
        <w:t xml:space="preserve">The focus of research is on chronic inflammatory bowel diseases. All of the following results come from mouse experiments: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Model</w:t>
            </w:r>
          </w:p>
        </w:tc>
        <w:tc>
          <w:tcPr/>
          <w:p>
            <w:pPr>
              <w:pStyle w:val="Compact"/>
              <w:jc w:val="left"/>
            </w:pPr>
            <w:r>
              <w:t xml:space="preserve">Result</w:t>
            </w:r>
          </w:p>
        </w:tc>
      </w:tr>
      <w:tr>
        <w:tc>
          <w:tcPr/>
          <w:p>
            <w:pPr>
              <w:pStyle w:val="Compact"/>
              <w:jc w:val="left"/>
            </w:pPr>
            <w:r>
              <w:t xml:space="preserve">Dalmasso 2008, PMID 18061177</w:t>
            </w:r>
          </w:p>
        </w:tc>
        <w:tc>
          <w:tcPr/>
          <w:p>
            <w:pPr>
              <w:pStyle w:val="Compact"/>
              <w:jc w:val="left"/>
            </w:pPr>
            <w:r>
              <w:t xml:space="preserve">chemically induced colitis in mice, KPV in drinking water</w:t>
            </w:r>
          </w:p>
        </w:tc>
        <w:tc>
          <w:tcPr/>
          <w:p>
            <w:pPr>
              <w:pStyle w:val="Compact"/>
              <w:jc w:val="left"/>
            </w:pPr>
            <w:r>
              <w:t xml:space="preserve">less inflammation, fewer inflammatory messengers</w:t>
            </w:r>
          </w:p>
        </w:tc>
      </w:tr>
      <w:tr>
        <w:tc>
          <w:tcPr/>
          <w:p>
            <w:pPr>
              <w:pStyle w:val="Compact"/>
              <w:jc w:val="left"/>
            </w:pPr>
            <w:r>
              <w:t xml:space="preserve">Kannengiesser 2008, PMID 18092346</w:t>
            </w:r>
          </w:p>
        </w:tc>
        <w:tc>
          <w:tcPr/>
          <w:p>
            <w:pPr>
              <w:pStyle w:val="Compact"/>
              <w:jc w:val="left"/>
            </w:pPr>
            <w:r>
              <w:t xml:space="preserve">two colitis models in mice</w:t>
            </w:r>
          </w:p>
        </w:tc>
        <w:tc>
          <w:tcPr/>
          <w:p>
            <w:pPr>
              <w:pStyle w:val="Compact"/>
              <w:jc w:val="left"/>
            </w:pPr>
            <w:r>
              <w:t xml:space="preserve">faster recovery, fewer inflammatory cells; in one model all treated animals survived</w:t>
            </w:r>
          </w:p>
        </w:tc>
      </w:tr>
      <w:tr>
        <w:tc>
          <w:tcPr/>
          <w:p>
            <w:pPr>
              <w:pStyle w:val="Compact"/>
              <w:jc w:val="left"/>
            </w:pPr>
            <w:r>
              <w:t xml:space="preserve">Viennois 2016, PMID 27458604</w:t>
            </w:r>
          </w:p>
        </w:tc>
        <w:tc>
          <w:tcPr/>
          <w:p>
            <w:pPr>
              <w:pStyle w:val="Compact"/>
              <w:jc w:val="left"/>
            </w:pPr>
            <w:r>
              <w:t xml:space="preserve">inflammation-associated colorectal cancer in mice</w:t>
            </w:r>
          </w:p>
        </w:tc>
        <w:tc>
          <w:tcPr/>
          <w:p>
            <w:pPr>
              <w:pStyle w:val="Compact"/>
              <w:jc w:val="left"/>
            </w:pPr>
            <w:r>
              <w:t xml:space="preserve">KPV prevented tumor development, but only in mice with functioning PepT1</w:t>
            </w:r>
          </w:p>
        </w:tc>
      </w:tr>
      <w:tr>
        <w:tc>
          <w:tcPr/>
          <w:p>
            <w:pPr>
              <w:pStyle w:val="Compact"/>
              <w:jc w:val="left"/>
            </w:pPr>
            <w:r>
              <w:t xml:space="preserve">Xiao 2017, PMID 28143741</w:t>
            </w:r>
          </w:p>
        </w:tc>
        <w:tc>
          <w:tcPr/>
          <w:p>
            <w:pPr>
              <w:pStyle w:val="Compact"/>
              <w:jc w:val="left"/>
            </w:pPr>
            <w:r>
              <w:t xml:space="preserve">colitis in mice, KPV in nanoparticles</w:t>
            </w:r>
          </w:p>
        </w:tc>
        <w:tc>
          <w:tcPr/>
          <w:p>
            <w:pPr>
              <w:pStyle w:val="Compact"/>
              <w:jc w:val="left"/>
            </w:pPr>
            <w:r>
              <w:t xml:space="preserve">stronger effect than unbound KPV</w:t>
            </w:r>
          </w:p>
        </w:tc>
      </w:tr>
    </w:tbl>
    <w:p>
      <w:pPr>
        <w:pStyle w:val="BodyText"/>
      </w:pPr>
      <w:r>
        <w:t xml:space="preserve">Further studies investigate KPV in hydrogels for wounds and mucous membranes, in nanoparticles against vascular calcification or in the metabolism of fat cells – almost exclusively in cell culture or in rodents. It is striking that a large part of the more recent literature develops dosage forms (nanoparticles, gels, patches). This shows that KPV alone, as a tablet or cream, apparently does not reach the site of action well enough – a point that is relevant for the freely sold products.</w:t>
      </w:r>
    </w:p>
    <w:bookmarkEnd w:id="1077"/>
    <w:bookmarkStart w:id="1082" w:name="risks-and-side-effects-18"/>
    <w:p>
      <w:pPr>
        <w:pStyle w:val="Heading3"/>
      </w:pPr>
      <w:r>
        <w:t xml:space="preserve">Risks and side effects</w:t>
      </w:r>
    </w:p>
    <w:bookmarkStart w:id="1078" w:name="documented-2"/>
    <w:p>
      <w:pPr>
        <w:pStyle w:val="Heading4"/>
      </w:pPr>
      <w:r>
        <w:t xml:space="preserve">Documented</w:t>
      </w:r>
    </w:p>
    <w:p>
      <w:pPr>
        <w:pStyle w:val="FirstParagraph"/>
      </w:pPr>
      <w:r>
        <w:t xml:space="preserve">None – because there are no human studies. The absence of reported side effects is no indication of safety here.</w:t>
      </w:r>
    </w:p>
    <w:bookmarkEnd w:id="1078"/>
    <w:bookmarkStart w:id="1081" w:name="theoretical"/>
    <w:p>
      <w:pPr>
        <w:pStyle w:val="Heading4"/>
      </w:pPr>
      <w:r>
        <w:t xml:space="preserve">Theoretical</w:t>
      </w:r>
    </w:p>
    <w:p>
      <w:pPr>
        <w:numPr>
          <w:ilvl w:val="0"/>
          <w:numId w:val="1129"/>
        </w:numPr>
        <w:pStyle w:val="Compact"/>
      </w:pPr>
      <w:r>
        <w:rPr>
          <w:bCs/>
          <w:b/>
        </w:rPr>
        <w:t xml:space="preserve">Dampening of defenses:</w:t>
      </w:r>
      <w:r>
        <w:t xml:space="preserve"> </w:t>
      </w:r>
      <w:r>
        <w:t xml:space="preserve">A substance that inhibits inflammatory signals could in principle also impair defense against infection. The laboratory findings point rather to its own antimicrobial effect</w:t>
      </w:r>
      <w:r>
        <w:rPr>
          <w:rStyle w:val="FootnoteReference"/>
        </w:rPr>
        <w:footnoteReference w:id="1079"/>
      </w:r>
      <w:r>
        <w:t xml:space="preserve">, but human data are lacking.</w:t>
      </w:r>
    </w:p>
    <w:p>
      <w:pPr>
        <w:numPr>
          <w:ilvl w:val="0"/>
          <w:numId w:val="1129"/>
        </w:numPr>
        <w:pStyle w:val="Compact"/>
      </w:pPr>
      <w:r>
        <w:rPr>
          <w:bCs/>
          <w:b/>
        </w:rPr>
        <w:t xml:space="preserve">Unclear uptake and dose:</w:t>
      </w:r>
      <w:r>
        <w:t xml:space="preserve"> </w:t>
      </w:r>
      <w:r>
        <w:t xml:space="preserve">How much KPV from a capsule or cream actually becomes effective has not been studied in humans.</w:t>
      </w:r>
    </w:p>
    <w:p>
      <w:pPr>
        <w:numPr>
          <w:ilvl w:val="0"/>
          <w:numId w:val="1129"/>
        </w:numPr>
        <w:pStyle w:val="Compact"/>
      </w:pPr>
      <w:r>
        <w:rPr>
          <w:bCs/>
          <w:b/>
        </w:rPr>
        <w:t xml:space="preserve">Gray-market quality:</w:t>
      </w:r>
      <w:r>
        <w:t xml:space="preserve"> </w:t>
      </w:r>
      <w:r>
        <w:t xml:space="preserve">KPV is sold as a</w:t>
      </w:r>
      <w:r>
        <w:t xml:space="preserve"> </w:t>
      </w:r>
      <w:r>
        <w:t xml:space="preserve">“</w:t>
      </w:r>
      <w:r>
        <w:t xml:space="preserve">research peptide</w:t>
      </w:r>
      <w:r>
        <w:t xml:space="preserve">”</w:t>
      </w:r>
      <w:r>
        <w:t xml:space="preserve"> </w:t>
      </w:r>
      <w:r>
        <w:t xml:space="preserve">without pharmaceutical control. A sports medicine review explicitly names KPV among the peptide fragments circulating in bodybuilding circles and warns of mislabeled or contaminated products</w:t>
      </w:r>
      <w:r>
        <w:rPr>
          <w:rStyle w:val="FootnoteReference"/>
        </w:rPr>
        <w:footnoteReference w:id="1080"/>
      </w:r>
      <w:r>
        <w:t xml:space="preserve">.</w:t>
      </w:r>
    </w:p>
    <w:bookmarkEnd w:id="1081"/>
    <w:bookmarkEnd w:id="1082"/>
    <w:bookmarkStart w:id="1083" w:name="legal-status-18"/>
    <w:p>
      <w:pPr>
        <w:pStyle w:val="Heading3"/>
      </w:pPr>
      <w:r>
        <w:t xml:space="preserve">Legal status</w:t>
      </w:r>
    </w:p>
    <w:p>
      <w:pPr>
        <w:pStyle w:val="FirstParagraph"/>
      </w:pPr>
      <w:r>
        <w:rPr>
          <w:iCs/>
          <w:i/>
        </w:rPr>
        <w:t xml:space="preserve">As of 2026, please check for updates.</w:t>
      </w:r>
    </w:p>
    <w:p>
      <w:pPr>
        <w:numPr>
          <w:ilvl w:val="0"/>
          <w:numId w:val="1130"/>
        </w:numPr>
        <w:pStyle w:val="Compact"/>
      </w:pPr>
      <w:r>
        <w:rPr>
          <w:bCs/>
          <w:b/>
        </w:rPr>
        <w:t xml:space="preserve">EU, Germany, Austria:</w:t>
      </w:r>
      <w:r>
        <w:t xml:space="preserve"> </w:t>
      </w:r>
      <w:r>
        <w:t xml:space="preserve">not approved as a medicine. If KPV is offered with claims about alleviating diseases, it is considered a non-approved medicine. As an ingredient of cosmetics, the rules of the EU Cosmetics Regulation apply; health claims are impermissible there.</w:t>
      </w:r>
    </w:p>
    <w:p>
      <w:pPr>
        <w:numPr>
          <w:ilvl w:val="0"/>
          <w:numId w:val="1130"/>
        </w:numPr>
        <w:pStyle w:val="Compact"/>
      </w:pPr>
      <w:r>
        <w:rPr>
          <w:bCs/>
          <w:b/>
        </w:rPr>
        <w:t xml:space="preserve">USA:</w:t>
      </w:r>
      <w:r>
        <w:t xml:space="preserve"> </w:t>
      </w:r>
      <w:r>
        <w:t xml:space="preserve">no FDA approval.</w:t>
      </w:r>
    </w:p>
    <w:p>
      <w:pPr>
        <w:numPr>
          <w:ilvl w:val="0"/>
          <w:numId w:val="1130"/>
        </w:numPr>
        <w:pStyle w:val="Compact"/>
      </w:pPr>
      <w:r>
        <w:rPr>
          <w:bCs/>
          <w:b/>
        </w:rPr>
        <w:t xml:space="preserve">WADA:</w:t>
      </w:r>
      <w:r>
        <w:t xml:space="preserve"> </w:t>
      </w:r>
      <w:r>
        <w:t xml:space="preserve">not listed by name. As a pharmacologically active substance without approval, in the author’s view KPV falls under S0 (non-approved substances).</w:t>
      </w:r>
    </w:p>
    <w:bookmarkEnd w:id="1083"/>
    <w:bookmarkStart w:id="1084" w:name="ongoing-studies-and-outlook-18"/>
    <w:p>
      <w:pPr>
        <w:pStyle w:val="Heading3"/>
      </w:pPr>
      <w:r>
        <w:t xml:space="preserve">Ongoing studies and outlook</w:t>
      </w:r>
    </w:p>
    <w:p>
      <w:pPr>
        <w:pStyle w:val="FirstParagraph"/>
      </w:pPr>
      <w:r>
        <w:rPr>
          <w:bCs/>
          <w:b/>
        </w:rPr>
        <w:t xml:space="preserve">Confirmed:</w:t>
      </w:r>
      <w:r>
        <w:t xml:space="preserve"> </w:t>
      </w:r>
      <w:r>
        <w:t xml:space="preserve">As of October 2026, no trial with KPV is registered on ClinicalTrials.gov.</w:t>
      </w:r>
    </w:p>
    <w:p>
      <w:pPr>
        <w:pStyle w:val="BodyText"/>
      </w:pPr>
      <w:r>
        <w:rPr>
          <w:bCs/>
          <w:b/>
        </w:rPr>
        <w:t xml:space="preserve">Author’s assessment:</w:t>
      </w:r>
      <w:r>
        <w:t xml:space="preserve"> </w:t>
      </w:r>
      <w:r>
        <w:t xml:space="preserve">The mouse data on intestinal inflammation are consistent and come from several independent groups – that is more than many other</w:t>
      </w:r>
      <w:r>
        <w:t xml:space="preserve"> </w:t>
      </w:r>
      <w:r>
        <w:t xml:space="preserve">“</w:t>
      </w:r>
      <w:r>
        <w:t xml:space="preserve">research peptides</w:t>
      </w:r>
      <w:r>
        <w:t xml:space="preserve">”</w:t>
      </w:r>
      <w:r>
        <w:t xml:space="preserve"> </w:t>
      </w:r>
      <w:r>
        <w:t xml:space="preserve">can show. Without a company developing KPV as a medicine, however, a human study is not in sight. It is more likely that KPV will continue to be researched in the laboratory as a building block in new dosage forms (nanoparticles, gels).</w:t>
      </w:r>
    </w:p>
    <w:bookmarkEnd w:id="1084"/>
    <w:bookmarkStart w:id="1086" w:name="conclusion-18"/>
    <w:p>
      <w:pPr>
        <w:pStyle w:val="Heading3"/>
      </w:pPr>
      <w:r>
        <w:t xml:space="preserve">Conclusion</w:t>
      </w:r>
    </w:p>
    <w:p>
      <w:pPr>
        <w:pStyle w:val="FirstParagraph"/>
      </w:pPr>
      <w:r>
        <w:t xml:space="preserve">KPV is a three-amino-acid fragment of the endogenous hormone alpha-MSH that markedly reduced intestinal inflammation in cell cultures and in mice</w:t>
      </w:r>
      <w:r>
        <w:rPr>
          <w:rStyle w:val="FootnoteReference"/>
        </w:rPr>
        <w:footnoteReference w:id="1085"/>
      </w:r>
      <w:r>
        <w:t xml:space="preserve">. KPV has never been studied in humans – neither for efficacy nor for safety. All claims about effects on the gut or skin in humans are therefore assumptions based on animal experiments. Anyone using KPV products from the internet is part of an uncontrolled self-experiment with products of unknown quality.</w:t>
      </w:r>
    </w:p>
    <w:bookmarkEnd w:id="1086"/>
    <w:bookmarkEnd w:id="1087"/>
    <w:bookmarkStart w:id="1122" w:name="ll-37"/>
    <w:p>
      <w:pPr>
        <w:pStyle w:val="Heading2"/>
      </w:pPr>
      <w:r>
        <w:t xml:space="preserve">LL-37</w:t>
      </w:r>
    </w:p>
    <w:p>
      <w:pPr>
        <w:pStyle w:val="FirstParagraph"/>
      </w:pPr>
      <w:r>
        <w:t xml:space="preserve">LL-37 is an endogenous defense peptide. Skin, mucous membranes and white blood cells produce it to kill bacteria, fungi and viruses. In the peptide scene, it is offered as a</w:t>
      </w:r>
      <w:r>
        <w:t xml:space="preserve"> </w:t>
      </w:r>
      <w:r>
        <w:t xml:space="preserve">“</w:t>
      </w:r>
      <w:r>
        <w:t xml:space="preserve">natural antibiotic</w:t>
      </w:r>
      <w:r>
        <w:t xml:space="preserve">”</w:t>
      </w:r>
      <w:r>
        <w:t xml:space="preserve"> </w:t>
      </w:r>
      <w:r>
        <w:t xml:space="preserve">and as an agent against chronic infections, Lyme disease or</w:t>
      </w:r>
      <w:r>
        <w:t xml:space="preserve"> </w:t>
      </w:r>
      <w:r>
        <w:t xml:space="preserve">“</w:t>
      </w:r>
      <w:r>
        <w:t xml:space="preserve">immune deficiency.</w:t>
      </w:r>
      <w:r>
        <w:t xml:space="preserve">”</w:t>
      </w:r>
      <w:r>
        <w:t xml:space="preserve"> </w:t>
      </w:r>
      <w:r>
        <w:t xml:space="preserve">When it comes to the evidence, a careful distinction must be made: there are very many studies in which LL-37 was</w:t>
      </w:r>
      <w:r>
        <w:t xml:space="preserve"> </w:t>
      </w:r>
      <w:r>
        <w:rPr>
          <w:iCs/>
          <w:i/>
        </w:rPr>
        <w:t xml:space="preserve">measured</w:t>
      </w:r>
      <w:r>
        <w:t xml:space="preserve"> </w:t>
      </w:r>
      <w:r>
        <w:t xml:space="preserve">in the blood or tissue – but only a handful in which people</w:t>
      </w:r>
      <w:r>
        <w:t xml:space="preserve"> </w:t>
      </w:r>
      <w:r>
        <w:rPr>
          <w:iCs/>
          <w:i/>
        </w:rPr>
        <w:t xml:space="preserve">received</w:t>
      </w:r>
      <w:r>
        <w:t xml:space="preserve"> </w:t>
      </w:r>
      <w:r>
        <w:t xml:space="preserve">LL-37 as an active substance.</w:t>
      </w:r>
    </w:p>
    <w:bookmarkStart w:id="1089" w:name="profile-19"/>
    <w:p>
      <w:pPr>
        <w:pStyle w:val="Heading3"/>
      </w:pPr>
      <w:r>
        <w:t xml:space="preserve">Profile</w:t>
      </w:r>
    </w:p>
    <w:p>
      <w:pPr>
        <w:numPr>
          <w:ilvl w:val="0"/>
          <w:numId w:val="1131"/>
        </w:numPr>
        <w:pStyle w:val="Compact"/>
      </w:pPr>
      <w:r>
        <w:rPr>
          <w:bCs/>
          <w:b/>
        </w:rPr>
        <w:t xml:space="preserve">Type and structure:</w:t>
      </w:r>
      <w:r>
        <w:t xml:space="preserve"> </w:t>
      </w:r>
      <w:r>
        <w:t xml:space="preserve">peptide of 37 amino acids, the first two of which are leucines (hence</w:t>
      </w:r>
      <w:r>
        <w:t xml:space="preserve"> </w:t>
      </w:r>
      <w:r>
        <w:t xml:space="preserve">“</w:t>
      </w:r>
      <w:r>
        <w:t xml:space="preserve">LL</w:t>
      </w:r>
      <w:r>
        <w:t xml:space="preserve">”</w:t>
      </w:r>
      <w:r>
        <w:t xml:space="preserve">). The only human cathelicidin – the name of a family of defense peptides.</w:t>
      </w:r>
    </w:p>
    <w:p>
      <w:pPr>
        <w:numPr>
          <w:ilvl w:val="0"/>
          <w:numId w:val="1131"/>
        </w:numPr>
        <w:pStyle w:val="Compact"/>
      </w:pPr>
      <w:r>
        <w:rPr>
          <w:bCs/>
          <w:b/>
        </w:rPr>
        <w:t xml:space="preserve">Origin:</w:t>
      </w:r>
      <w:r>
        <w:t xml:space="preserve"> </w:t>
      </w:r>
      <w:r>
        <w:t xml:space="preserve">cleaved from the precursor protein hCAP18; the corresponding gene (CAMP) is switched on by vitamin D, among other things</w:t>
      </w:r>
      <w:r>
        <w:rPr>
          <w:rStyle w:val="FootnoteReference"/>
        </w:rPr>
        <w:footnoteReference w:id="1088"/>
      </w:r>
      <w:r>
        <w:t xml:space="preserve">.</w:t>
      </w:r>
    </w:p>
    <w:p>
      <w:pPr>
        <w:numPr>
          <w:ilvl w:val="0"/>
          <w:numId w:val="1131"/>
        </w:numPr>
        <w:pStyle w:val="Compact"/>
      </w:pPr>
      <w:r>
        <w:rPr>
          <w:bCs/>
          <w:b/>
        </w:rPr>
        <w:t xml:space="preserve">Mechanism of action:</w:t>
      </w:r>
      <w:r>
        <w:t xml:space="preserve"> </w:t>
      </w:r>
      <w:r>
        <w:t xml:space="preserve">destroys the envelope of microbes; at the same time attracts immune cells, promotes new blood vessel formation and wound healing, and influences inflammatory responses.</w:t>
      </w:r>
    </w:p>
    <w:p>
      <w:pPr>
        <w:numPr>
          <w:ilvl w:val="0"/>
          <w:numId w:val="1131"/>
        </w:numPr>
        <w:pStyle w:val="Compact"/>
      </w:pPr>
      <w:r>
        <w:rPr>
          <w:bCs/>
          <w:b/>
        </w:rPr>
        <w:t xml:space="preserve">Approval EU/USA:</w:t>
      </w:r>
      <w:r>
        <w:t xml:space="preserve"> </w:t>
      </w:r>
      <w:r>
        <w:t xml:space="preserve">no.</w:t>
      </w:r>
    </w:p>
    <w:p>
      <w:pPr>
        <w:numPr>
          <w:ilvl w:val="0"/>
          <w:numId w:val="1131"/>
        </w:numPr>
        <w:pStyle w:val="Compact"/>
      </w:pPr>
      <w:r>
        <w:rPr>
          <w:bCs/>
          <w:b/>
        </w:rPr>
        <w:t xml:space="preserve">WADA:</w:t>
      </w:r>
      <w:r>
        <w:t xml:space="preserve"> </w:t>
      </w:r>
      <w:r>
        <w:t xml:space="preserve">not explicitly listed; in the author’s view, falls under S0 as a non-approved substance.</w:t>
      </w:r>
    </w:p>
    <w:p>
      <w:pPr>
        <w:numPr>
          <w:ilvl w:val="0"/>
          <w:numId w:val="1131"/>
        </w:numPr>
        <w:pStyle w:val="Compact"/>
      </w:pPr>
      <w:r>
        <w:rPr>
          <w:bCs/>
          <w:b/>
        </w:rPr>
        <w:t xml:space="preserve">Evidence level: B</w:t>
      </w:r>
      <w:r>
        <w:t xml:space="preserve"> </w:t>
      </w:r>
      <w:r>
        <w:t xml:space="preserve">– individual small to medium-sized randomized trials with local application to wounds; the largest of these missed its primary goal.</w:t>
      </w:r>
    </w:p>
    <w:bookmarkEnd w:id="1089"/>
    <w:bookmarkStart w:id="1094" w:name="how-it-is-supposed-to-work-19"/>
    <w:p>
      <w:pPr>
        <w:pStyle w:val="Heading3"/>
      </w:pPr>
      <w:r>
        <w:t xml:space="preserve">How it is supposed to work</w:t>
      </w:r>
    </w:p>
    <w:p>
      <w:pPr>
        <w:pStyle w:val="FirstParagraph"/>
      </w:pPr>
      <w:r>
        <w:t xml:space="preserve">LL-37 belongs to the innate immune system, the first, nonspecific line of defense. The peptide is positively charged and attaches to the negatively charged envelopes of bacteria, which thereby become permeable. In addition, it acts as a signaling substance: it attracts white blood cells and stimulates skin cells to migrate – which is why it became interesting for wound healing.</w:t>
      </w:r>
    </w:p>
    <w:p>
      <w:pPr>
        <w:pStyle w:val="BodyText"/>
      </w:pPr>
      <w:r>
        <w:t xml:space="preserve">In humans, LL-37 production is closely linked to vitamin D. The gene for the precursor protein carries a switch to which the vitamin D receptor binds; this switch is found in primates, but not in mice, rats or dogs</w:t>
      </w:r>
      <w:r>
        <w:rPr>
          <w:rStyle w:val="FootnoteReference"/>
        </w:rPr>
        <w:footnoteReference w:id="1090"/>
      </w:r>
      <w:r>
        <w:t xml:space="preserve">. This explains why many studies give vitamin D and measure LL-37 – and why animal experiments with LL-37 are only of limited transferability to humans.</w:t>
      </w:r>
    </w:p>
    <w:p>
      <w:pPr>
        <w:pStyle w:val="BodyText"/>
      </w:pPr>
      <w:r>
        <w:t xml:space="preserve">The flip side: LL-37 can also fuel inflammation. In psoriasis, LL-37 binds the body’s own genetic material from disintegrated cells and makes it</w:t>
      </w:r>
      <w:r>
        <w:t xml:space="preserve"> </w:t>
      </w:r>
      <w:r>
        <w:t xml:space="preserve">“</w:t>
      </w:r>
      <w:r>
        <w:t xml:space="preserve">visible</w:t>
      </w:r>
      <w:r>
        <w:t xml:space="preserve">”</w:t>
      </w:r>
      <w:r>
        <w:t xml:space="preserve"> </w:t>
      </w:r>
      <w:r>
        <w:t xml:space="preserve">to certain immune cells, which then release interferon</w:t>
      </w:r>
      <w:r>
        <w:rPr>
          <w:rStyle w:val="FootnoteReference"/>
        </w:rPr>
        <w:footnoteReference w:id="1091"/>
      </w:r>
      <w:r>
        <w:t xml:space="preserve">. In two thirds of the people with moderate to severe psoriasis studied, T cells directed against LL-37 itself were found</w:t>
      </w:r>
      <w:r>
        <w:rPr>
          <w:rStyle w:val="FootnoteReference"/>
        </w:rPr>
        <w:footnoteReference w:id="1092"/>
      </w:r>
      <w:r>
        <w:t xml:space="preserve">. In rosacea, affected individuals produce unusually large amounts of LL-37 in the facial skin, and in mice, injecting these peptides triggered skin inflammation</w:t>
      </w:r>
      <w:r>
        <w:rPr>
          <w:rStyle w:val="FootnoteReference"/>
        </w:rPr>
        <w:footnoteReference w:id="1093"/>
      </w:r>
      <w:r>
        <w:t xml:space="preserve">.</w:t>
      </w:r>
    </w:p>
    <w:bookmarkEnd w:id="1094"/>
    <w:bookmarkStart w:id="1106" w:name="human-studies-19"/>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91</w:t>
      </w:r>
      <w:r>
        <w:t xml:space="preserve"> </w:t>
      </w:r>
      <w:r>
        <w:t xml:space="preserve">publications classified as human studies and</w:t>
      </w:r>
      <w:r>
        <w:t xml:space="preserve"> </w:t>
      </w:r>
      <w:r>
        <w:rPr>
          <w:bCs/>
          <w:b/>
        </w:rPr>
        <w:t xml:space="preserve">20</w:t>
      </w:r>
      <w:r>
        <w:t xml:space="preserve"> </w:t>
      </w:r>
      <w:r>
        <w:t xml:space="preserve">entries on ClinicalTrials.gov. By far the largest part of these does</w:t>
      </w:r>
      <w:r>
        <w:t xml:space="preserve"> </w:t>
      </w:r>
      <w:r>
        <w:rPr>
          <w:iCs/>
          <w:i/>
        </w:rPr>
        <w:t xml:space="preserve">not</w:t>
      </w:r>
      <w:r>
        <w:t xml:space="preserve"> </w:t>
      </w:r>
      <w:r>
        <w:t xml:space="preserve">administer LL-37 as an active substance: they are vitamin D or probiotic studies that record LL-37 as a measured value, or observational studies on LL-37 levels in diseases. Only five studies in which LL-37 itself was administered can be found in PubMed; in the registry, there are two.</w:t>
      </w:r>
    </w:p>
    <w:bookmarkStart w:id="1099" w:name="Xa86db4c07ad1b25260b45eead6182459ffa5a68"/>
    <w:p>
      <w:pPr>
        <w:pStyle w:val="Heading4"/>
      </w:pPr>
      <w:r>
        <w:t xml:space="preserve">Interventional studies: LL-37 as an active substance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Venous leg ulcers (Grönberg 2014, PMID 25041740)</w:t>
            </w:r>
          </w:p>
        </w:tc>
        <w:tc>
          <w:tcPr/>
          <w:p>
            <w:pPr>
              <w:pStyle w:val="Compact"/>
              <w:jc w:val="left"/>
            </w:pPr>
            <w:r>
              <w:t xml:space="preserve">34 people, first-in-human, double-blind RCT with three concentrations and placebo</w:t>
            </w:r>
          </w:p>
        </w:tc>
        <w:tc>
          <w:tcPr/>
          <w:p>
            <w:pPr>
              <w:pStyle w:val="Compact"/>
              <w:jc w:val="left"/>
            </w:pPr>
            <w:r>
              <w:t xml:space="preserve">4 weeks of treatment</w:t>
            </w:r>
          </w:p>
        </w:tc>
        <w:tc>
          <w:tcPr/>
          <w:p>
            <w:pPr>
              <w:pStyle w:val="Compact"/>
              <w:jc w:val="left"/>
            </w:pPr>
            <w:r>
              <w:t xml:space="preserve">wound area reduced by 68% with the lowest concentration and by 50% with the middle one; highest concentration no better than placebo</w:t>
            </w:r>
          </w:p>
        </w:tc>
      </w:tr>
      <w:tr>
        <w:tc>
          <w:tcPr/>
          <w:p>
            <w:pPr>
              <w:pStyle w:val="Compact"/>
              <w:jc w:val="left"/>
            </w:pPr>
            <w:r>
              <w:t xml:space="preserve">HEAL LL-37, venous leg ulcers (Mahlapuu 2021, PMID 34687253)</w:t>
            </w:r>
          </w:p>
        </w:tc>
        <w:tc>
          <w:tcPr/>
          <w:p>
            <w:pPr>
              <w:pStyle w:val="Compact"/>
              <w:jc w:val="left"/>
            </w:pPr>
            <w:r>
              <w:t xml:space="preserve">148 people, Phase 2b, double-blind RCT</w:t>
            </w:r>
          </w:p>
        </w:tc>
        <w:tc>
          <w:tcPr/>
          <w:p>
            <w:pPr>
              <w:pStyle w:val="Compact"/>
              <w:jc w:val="left"/>
            </w:pPr>
            <w:r>
              <w:t xml:space="preserve">3 arms, in addition to compression</w:t>
            </w:r>
          </w:p>
        </w:tc>
        <w:tc>
          <w:tcPr/>
          <w:p>
            <w:pPr>
              <w:pStyle w:val="Compact"/>
              <w:jc w:val="left"/>
            </w:pPr>
            <w:r>
              <w:t xml:space="preserve">no significant difference from placebo; benefit only in post hoc subgroup analysis of large wounds</w:t>
            </w:r>
          </w:p>
        </w:tc>
      </w:tr>
      <w:tr>
        <w:tc>
          <w:tcPr/>
          <w:p>
            <w:pPr>
              <w:pStyle w:val="Compact"/>
              <w:jc w:val="left"/>
            </w:pPr>
            <w:r>
              <w:t xml:space="preserve">Diabetic foot ulcer (Miranda 2023, PMID 37480520; NCT04098562)</w:t>
            </w:r>
          </w:p>
        </w:tc>
        <w:tc>
          <w:tcPr/>
          <w:p>
            <w:pPr>
              <w:pStyle w:val="Compact"/>
              <w:jc w:val="left"/>
            </w:pPr>
            <w:r>
              <w:t xml:space="preserve">People with mildly infected foot ulcer in Jakarta, double-blind RCT vs. placebo cream</w:t>
            </w:r>
          </w:p>
        </w:tc>
        <w:tc>
          <w:tcPr/>
          <w:p>
            <w:pPr>
              <w:pStyle w:val="Compact"/>
              <w:jc w:val="left"/>
            </w:pPr>
            <w:r>
              <w:t xml:space="preserve">4 weeks</w:t>
            </w:r>
          </w:p>
        </w:tc>
        <w:tc>
          <w:tcPr/>
          <w:p>
            <w:pPr>
              <w:pStyle w:val="Compact"/>
              <w:jc w:val="left"/>
            </w:pPr>
            <w:r>
              <w:t xml:space="preserve">greater increase in granulation tissue; no reduction in inflammatory markers or bacterial count</w:t>
            </w:r>
          </w:p>
        </w:tc>
      </w:tr>
      <w:tr>
        <w:tc>
          <w:tcPr/>
          <w:p>
            <w:pPr>
              <w:pStyle w:val="Compact"/>
              <w:jc w:val="left"/>
            </w:pPr>
            <w:r>
              <w:t xml:space="preserve">COVID-19, oral LL-37 from lactic acid bacteria (Zhao 2023, PMID 37605995)</w:t>
            </w:r>
          </w:p>
        </w:tc>
        <w:tc>
          <w:tcPr/>
          <w:p>
            <w:pPr>
              <w:pStyle w:val="Compact"/>
              <w:jc w:val="left"/>
            </w:pPr>
            <w:r>
              <w:t xml:space="preserve">238 hospital patients, open-label RCT, single center</w:t>
            </w:r>
          </w:p>
        </w:tc>
        <w:tc>
          <w:tcPr/>
          <w:p>
            <w:pPr>
              <w:pStyle w:val="Compact"/>
              <w:jc w:val="left"/>
            </w:pPr>
            <w:r>
              <w:t xml:space="preserve">hospital stay</w:t>
            </w:r>
          </w:p>
        </w:tc>
        <w:tc>
          <w:tcPr/>
          <w:p>
            <w:pPr>
              <w:pStyle w:val="Compact"/>
              <w:jc w:val="left"/>
            </w:pPr>
            <w:r>
              <w:t xml:space="preserve">virus PCR negative after 9.8 instead of 14.0 days on average; no serious side effects</w:t>
            </w:r>
          </w:p>
        </w:tc>
      </w:tr>
      <w:tr>
        <w:tc>
          <w:tcPr/>
          <w:p>
            <w:pPr>
              <w:pStyle w:val="Compact"/>
              <w:jc w:val="left"/>
            </w:pPr>
            <w:r>
              <w:t xml:space="preserve">Melanoma, injection into tumors (NCT02225366)</w:t>
            </w:r>
          </w:p>
        </w:tc>
        <w:tc>
          <w:tcPr/>
          <w:p>
            <w:pPr>
              <w:pStyle w:val="Compact"/>
              <w:jc w:val="left"/>
            </w:pPr>
            <w:r>
              <w:t xml:space="preserve">4 people, Phase 1/2 without control group</w:t>
            </w:r>
          </w:p>
        </w:tc>
        <w:tc>
          <w:tcPr/>
          <w:p>
            <w:pPr>
              <w:pStyle w:val="Compact"/>
              <w:jc w:val="left"/>
            </w:pPr>
            <w:r>
              <w:t xml:space="preserve">up to 8 weeks</w:t>
            </w:r>
          </w:p>
        </w:tc>
        <w:tc>
          <w:tcPr/>
          <w:p>
            <w:pPr>
              <w:pStyle w:val="Compact"/>
              <w:jc w:val="left"/>
            </w:pPr>
            <w:r>
              <w:t xml:space="preserve">dose finding; small number of cases, see risks</w:t>
            </w:r>
          </w:p>
        </w:tc>
      </w:tr>
    </w:tbl>
    <w:p>
      <w:pPr>
        <w:pStyle w:val="BodyText"/>
      </w:pPr>
      <w:r>
        <w:t xml:space="preserve">The wound studies show the familiar pattern: the first small study was encouraging – strikingly, the lower concentrations worked, but not the highest</w:t>
      </w:r>
      <w:r>
        <w:rPr>
          <w:rStyle w:val="FootnoteReference"/>
        </w:rPr>
        <w:footnoteReference w:id="1095"/>
      </w:r>
      <w:r>
        <w:t xml:space="preserve">. The larger Phase 2b trial HEAL LL-37 with 148 people found no advantage over placebo in the overall group. A benefit in large wounds appeared only in a post hoc subgroup analysis, which the authors themselves regard as a reason for a further trial, not as proof</w:t>
      </w:r>
      <w:r>
        <w:rPr>
          <w:rStyle w:val="FootnoteReference"/>
        </w:rPr>
        <w:footnoteReference w:id="1096"/>
      </w:r>
      <w:r>
        <w:t xml:space="preserve">.</w:t>
      </w:r>
    </w:p>
    <w:p>
      <w:pPr>
        <w:pStyle w:val="BodyText"/>
      </w:pPr>
      <w:r>
        <w:t xml:space="preserve">The Indonesian study on diabetic foot ulcers measured as its main variable the proportion of granulation tissue, i.e., fresh healing tissue – an intermediate marker, not complete wound healing. Inflammatory markers and bacterial colonization did not decrease more on LL-37 than on placebo</w:t>
      </w:r>
      <w:r>
        <w:rPr>
          <w:rStyle w:val="FootnoteReference"/>
        </w:rPr>
        <w:footnoteReference w:id="1097"/>
      </w:r>
      <w:r>
        <w:t xml:space="preserve">.</w:t>
      </w:r>
    </w:p>
    <w:p>
      <w:pPr>
        <w:pStyle w:val="BodyText"/>
      </w:pPr>
      <w:r>
        <w:t xml:space="preserve">The COVID-19 study did not use LL-37 peptide but genetically modified lactic acid bacteria intended to produce LL-37 in the gut. It was not blinded and ran at a single center; what was measured was the time to a negative PCR test, not disease course or mortality</w:t>
      </w:r>
      <w:r>
        <w:rPr>
          <w:rStyle w:val="FootnoteReference"/>
        </w:rPr>
        <w:footnoteReference w:id="1098"/>
      </w:r>
      <w:r>
        <w:t xml:space="preserve">.</w:t>
      </w:r>
    </w:p>
    <w:bookmarkEnd w:id="1099"/>
    <w:bookmarkStart w:id="1103" w:name="Xf24deabd70e0952ed46520ef1755ed6c105ad9f"/>
    <w:p>
      <w:pPr>
        <w:pStyle w:val="Heading4"/>
      </w:pPr>
      <w:r>
        <w:t xml:space="preserve">Observational studies: LL-37 as a measured value</w:t>
      </w:r>
    </w:p>
    <w:p>
      <w:pPr>
        <w:pStyle w:val="FirstParagraph"/>
      </w:pPr>
      <w:r>
        <w:t xml:space="preserve">These studies say nothing about whether administered LL-37 helps. They only show how the body produces LL-37 in diseases. Some examples:</w:t>
      </w:r>
    </w:p>
    <w:p>
      <w:pPr>
        <w:numPr>
          <w:ilvl w:val="0"/>
          <w:numId w:val="1132"/>
        </w:numPr>
        <w:pStyle w:val="Compact"/>
      </w:pPr>
      <w:r>
        <w:t xml:space="preserve">In 50 people with pulmonary tuberculosis, LL-37 levels in the blood were higher than in pneumonia due to other bacteria and in healthy people</w:t>
      </w:r>
      <w:r>
        <w:rPr>
          <w:rStyle w:val="FootnoteReference"/>
        </w:rPr>
        <w:footnoteReference w:id="1100"/>
      </w:r>
      <w:r>
        <w:t xml:space="preserve">.</w:t>
      </w:r>
    </w:p>
    <w:p>
      <w:pPr>
        <w:numPr>
          <w:ilvl w:val="0"/>
          <w:numId w:val="1132"/>
        </w:numPr>
        <w:pStyle w:val="Compact"/>
      </w:pPr>
      <w:r>
        <w:t xml:space="preserve">In 76 children with bacterial meningitis, LL-37 in the cerebrospinal fluid rose with the bacterial load; a high ratio of LL-37 to bacteria was associated with less hearing damage</w:t>
      </w:r>
      <w:r>
        <w:rPr>
          <w:rStyle w:val="FootnoteReference"/>
        </w:rPr>
        <w:footnoteReference w:id="1101"/>
      </w:r>
      <w:r>
        <w:t xml:space="preserve">.</w:t>
      </w:r>
    </w:p>
    <w:p>
      <w:pPr>
        <w:numPr>
          <w:ilvl w:val="0"/>
          <w:numId w:val="1132"/>
        </w:numPr>
        <w:pStyle w:val="Compact"/>
      </w:pPr>
      <w:r>
        <w:t xml:space="preserve">In 30 intensive care patients with sepsis, LL-37 levels rose after high-dose vitamin D</w:t>
      </w:r>
      <w:r>
        <w:rPr>
          <w:rStyle w:val="FootnoteReference"/>
        </w:rPr>
        <w:footnoteReference w:id="1102"/>
      </w:r>
      <w:r>
        <w:t xml:space="preserve">.</w:t>
      </w:r>
    </w:p>
    <w:bookmarkEnd w:id="1103"/>
    <w:bookmarkStart w:id="1105" w:name="X0a70e713802146db727c71fdc3b52c91339994d"/>
    <w:p>
      <w:pPr>
        <w:pStyle w:val="Heading4"/>
      </w:pPr>
      <w:r>
        <w:t xml:space="preserve">Indirectly: stimulating LL-37 via vitamin D</w:t>
      </w:r>
    </w:p>
    <w:p>
      <w:pPr>
        <w:pStyle w:val="FirstParagraph"/>
      </w:pPr>
      <w:r>
        <w:t xml:space="preserve">In a double-blind study from Bangladesh with 288 people with pulmonary tuberculosis, more participants were culture-negative after four weeks if they additionally received vitamin D3 and phenylbutyrate – two substances that stimulate the body’s own LL-37 production (71% vs. 42.2% on placebo)</w:t>
      </w:r>
      <w:r>
        <w:rPr>
          <w:rStyle w:val="FootnoteReference"/>
        </w:rPr>
        <w:footnoteReference w:id="1104"/>
      </w:r>
      <w:r>
        <w:t xml:space="preserve">. This is a statement about this combination, not about LL-37 as a peptide. Vitamin D itself is not a peptide and is not dealt with separately in this book.</w:t>
      </w:r>
    </w:p>
    <w:bookmarkEnd w:id="1105"/>
    <w:bookmarkEnd w:id="1106"/>
    <w:bookmarkStart w:id="1109" w:name="animal-and-laboratory-studies-19"/>
    <w:p>
      <w:pPr>
        <w:pStyle w:val="Heading3"/>
      </w:pPr>
      <w:r>
        <w:t xml:space="preserve">Animal and laboratory studies</w:t>
      </w:r>
    </w:p>
    <w:p>
      <w:pPr>
        <w:pStyle w:val="FirstParagraph"/>
      </w:pPr>
      <w:r>
        <w:t xml:space="preserve">In the laboratory, LL-37 kills a broad range of bacteria, fungi and some viruses and promotes the migration of skin cells. A review on its role in cancer summarizes that in cell and animal experiments, LL-37</w:t>
      </w:r>
      <w:r>
        <w:t xml:space="preserve"> </w:t>
      </w:r>
      <w:r>
        <w:rPr>
          <w:iCs/>
          <w:i/>
        </w:rPr>
        <w:t xml:space="preserve">promotes</w:t>
      </w:r>
      <w:r>
        <w:t xml:space="preserve"> </w:t>
      </w:r>
      <w:r>
        <w:t xml:space="preserve">tumor growth in ovarian, lung, breast, prostate and pancreatic cancer as well as melanoma, but</w:t>
      </w:r>
      <w:r>
        <w:t xml:space="preserve"> </w:t>
      </w:r>
      <w:r>
        <w:rPr>
          <w:iCs/>
          <w:i/>
        </w:rPr>
        <w:t xml:space="preserve">inhibits</w:t>
      </w:r>
      <w:r>
        <w:t xml:space="preserve"> </w:t>
      </w:r>
      <w:r>
        <w:t xml:space="preserve">it in colon, gastric and some blood cancers</w:t>
      </w:r>
      <w:r>
        <w:rPr>
          <w:rStyle w:val="FootnoteReference"/>
        </w:rPr>
        <w:footnoteReference w:id="1107"/>
      </w:r>
      <w:r>
        <w:t xml:space="preserve">. The same substance can therefore have opposite effects depending on the tissue.</w:t>
      </w:r>
    </w:p>
    <w:p>
      <w:pPr>
        <w:pStyle w:val="BodyText"/>
      </w:pPr>
      <w:r>
        <w:t xml:space="preserve">For transferability, it is important to note that mice have their own cathelicidin, which only resembles human LL-37, and regulate it differently</w:t>
      </w:r>
      <w:r>
        <w:rPr>
          <w:rStyle w:val="FootnoteReference"/>
        </w:rPr>
        <w:footnoteReference w:id="1108"/>
      </w:r>
      <w:r>
        <w:t xml:space="preserve">. Mouse findings on LL-37 must therefore be assessed even more cautiously than for other peptides.</w:t>
      </w:r>
    </w:p>
    <w:bookmarkEnd w:id="1109"/>
    <w:bookmarkStart w:id="1117" w:name="risks-and-side-effects-19"/>
    <w:p>
      <w:pPr>
        <w:pStyle w:val="Heading3"/>
      </w:pPr>
      <w:r>
        <w:t xml:space="preserve">Risks and side effects</w:t>
      </w:r>
    </w:p>
    <w:bookmarkStart w:id="1112" w:name="documented-3"/>
    <w:p>
      <w:pPr>
        <w:pStyle w:val="Heading4"/>
      </w:pPr>
      <w:r>
        <w:t xml:space="preserve">Documented</w:t>
      </w:r>
    </w:p>
    <w:p>
      <w:pPr>
        <w:pStyle w:val="FirstParagraph"/>
      </w:pPr>
      <w:r>
        <w:t xml:space="preserve">In the wound studies, topically applied LL-37 was well tolerated; there were no safety concerns regarding local or systemic side effects</w:t>
      </w:r>
      <w:r>
        <w:rPr>
          <w:rStyle w:val="FootnoteReference"/>
        </w:rPr>
        <w:footnoteReference w:id="1110"/>
      </w:r>
      <w:r>
        <w:t xml:space="preserve">.</w:t>
      </w:r>
    </w:p>
    <w:p>
      <w:pPr>
        <w:pStyle w:val="BodyText"/>
      </w:pPr>
      <w:r>
        <w:t xml:space="preserve">A case report from the melanoma study shows, however, that LL-37 in injectable form is not harmless: in a 63-year-old woman who received eight weekly injections into skin metastases, numerous wart-like skin changes and blisters on the trunk and limbs appeared around 45 days after the start, initially thought to be skin cancer. Histologically, inflammatory changes with atypical skin cells were seen; all changes regressed within two months after discontinuation</w:t>
      </w:r>
      <w:r>
        <w:rPr>
          <w:rStyle w:val="FootnoteReference"/>
        </w:rPr>
        <w:footnoteReference w:id="1111"/>
      </w:r>
      <w:r>
        <w:t xml:space="preserve">.</w:t>
      </w:r>
    </w:p>
    <w:bookmarkEnd w:id="1112"/>
    <w:bookmarkStart w:id="1116" w:name="X1550e3fda6ba20a06f8f0f08ed3cb8f5ecb415e"/>
    <w:p>
      <w:pPr>
        <w:pStyle w:val="Heading4"/>
      </w:pPr>
      <w:r>
        <w:t xml:space="preserve">Theoretical and derived from disease research</w:t>
      </w:r>
    </w:p>
    <w:p>
      <w:pPr>
        <w:numPr>
          <w:ilvl w:val="0"/>
          <w:numId w:val="1133"/>
        </w:numPr>
        <w:pStyle w:val="Compact"/>
      </w:pPr>
      <w:r>
        <w:rPr>
          <w:bCs/>
          <w:b/>
        </w:rPr>
        <w:t xml:space="preserve">Autoimmunity and skin diseases:</w:t>
      </w:r>
      <w:r>
        <w:t xml:space="preserve"> </w:t>
      </w:r>
      <w:r>
        <w:t xml:space="preserve">LL-37 is a trigger of inflammation in psoriasis and a target of misdirected T cells</w:t>
      </w:r>
      <w:r>
        <w:rPr>
          <w:rStyle w:val="FootnoteReference"/>
        </w:rPr>
        <w:footnoteReference w:id="1113"/>
      </w:r>
      <w:r>
        <w:t xml:space="preserve">, and is involved in skin inflammation in rosacea</w:t>
      </w:r>
      <w:r>
        <w:rPr>
          <w:rStyle w:val="FootnoteReference"/>
        </w:rPr>
        <w:footnoteReference w:id="1114"/>
      </w:r>
      <w:r>
        <w:t xml:space="preserve">. People with these or other autoimmune diseases (such as lupus) should be especially cautious – there are no studies on this.</w:t>
      </w:r>
    </w:p>
    <w:p>
      <w:pPr>
        <w:numPr>
          <w:ilvl w:val="0"/>
          <w:numId w:val="1133"/>
        </w:numPr>
        <w:pStyle w:val="Compact"/>
      </w:pPr>
      <w:r>
        <w:rPr>
          <w:bCs/>
          <w:b/>
        </w:rPr>
        <w:t xml:space="preserve">Cancer:</w:t>
      </w:r>
      <w:r>
        <w:t xml:space="preserve"> </w:t>
      </w:r>
      <w:r>
        <w:t xml:space="preserve">Because LL-37 promotes the growth of some tumor types in laboratory experiments</w:t>
      </w:r>
      <w:r>
        <w:rPr>
          <w:rStyle w:val="FootnoteReference"/>
        </w:rPr>
        <w:footnoteReference w:id="1115"/>
      </w:r>
      <w:r>
        <w:t xml:space="preserve">, its use in people with cancer or a history of cancer cannot be assessed without studies.</w:t>
      </w:r>
    </w:p>
    <w:p>
      <w:pPr>
        <w:numPr>
          <w:ilvl w:val="0"/>
          <w:numId w:val="1133"/>
        </w:numPr>
        <w:pStyle w:val="Compact"/>
      </w:pPr>
      <w:r>
        <w:rPr>
          <w:bCs/>
          <w:b/>
        </w:rPr>
        <w:t xml:space="preserve">Cell damage at high concentrations:</w:t>
      </w:r>
      <w:r>
        <w:t xml:space="preserve"> </w:t>
      </w:r>
      <w:r>
        <w:t xml:space="preserve">The peptide attacks cell envelopes; at higher concentrations it can also damage human cells. This could explain why the highest concentration did not work in the first wound study.</w:t>
      </w:r>
    </w:p>
    <w:p>
      <w:pPr>
        <w:numPr>
          <w:ilvl w:val="0"/>
          <w:numId w:val="1133"/>
        </w:numPr>
        <w:pStyle w:val="Compact"/>
      </w:pPr>
      <w:r>
        <w:rPr>
          <w:bCs/>
          <w:b/>
        </w:rPr>
        <w:t xml:space="preserve">Gray market:</w:t>
      </w:r>
      <w:r>
        <w:t xml:space="preserve"> </w:t>
      </w:r>
      <w:r>
        <w:t xml:space="preserve">As with all</w:t>
      </w:r>
      <w:r>
        <w:t xml:space="preserve"> </w:t>
      </w:r>
      <w:r>
        <w:t xml:space="preserve">“</w:t>
      </w:r>
      <w:r>
        <w:t xml:space="preserve">research peptides,</w:t>
      </w:r>
      <w:r>
        <w:t xml:space="preserve">”</w:t>
      </w:r>
      <w:r>
        <w:t xml:space="preserve"> </w:t>
      </w:r>
      <w:r>
        <w:t xml:space="preserve">purity, content and sterility are unknown. This applies particularly to injections.</w:t>
      </w:r>
    </w:p>
    <w:bookmarkEnd w:id="1116"/>
    <w:bookmarkEnd w:id="1117"/>
    <w:bookmarkStart w:id="1118" w:name="legal-status-19"/>
    <w:p>
      <w:pPr>
        <w:pStyle w:val="Heading3"/>
      </w:pPr>
      <w:r>
        <w:t xml:space="preserve">Legal status</w:t>
      </w:r>
    </w:p>
    <w:p>
      <w:pPr>
        <w:pStyle w:val="FirstParagraph"/>
      </w:pPr>
      <w:r>
        <w:rPr>
          <w:iCs/>
          <w:i/>
        </w:rPr>
        <w:t xml:space="preserve">As of 2026, please check for updates.</w:t>
      </w:r>
    </w:p>
    <w:p>
      <w:pPr>
        <w:numPr>
          <w:ilvl w:val="0"/>
          <w:numId w:val="1134"/>
        </w:numPr>
        <w:pStyle w:val="Compact"/>
      </w:pPr>
      <w:r>
        <w:rPr>
          <w:bCs/>
          <w:b/>
        </w:rPr>
        <w:t xml:space="preserve">EU, Germany, Austria:</w:t>
      </w:r>
      <w:r>
        <w:t xml:space="preserve"> </w:t>
      </w:r>
      <w:r>
        <w:t xml:space="preserve">LL-37 is not approved as a medicine. Development as a wound agent by a Swedish company (under the name ropocamptide) has, to the author’s knowledge, not progressed beyond Phase 2. Sale for use in humans is not permitted.</w:t>
      </w:r>
    </w:p>
    <w:p>
      <w:pPr>
        <w:numPr>
          <w:ilvl w:val="0"/>
          <w:numId w:val="1134"/>
        </w:numPr>
        <w:pStyle w:val="Compact"/>
      </w:pPr>
      <w:r>
        <w:rPr>
          <w:bCs/>
          <w:b/>
        </w:rPr>
        <w:t xml:space="preserve">USA:</w:t>
      </w:r>
      <w:r>
        <w:t xml:space="preserve"> </w:t>
      </w:r>
      <w:r>
        <w:t xml:space="preserve">no FDA approval.</w:t>
      </w:r>
    </w:p>
    <w:p>
      <w:pPr>
        <w:numPr>
          <w:ilvl w:val="0"/>
          <w:numId w:val="1134"/>
        </w:numPr>
        <w:pStyle w:val="Compact"/>
      </w:pPr>
      <w:r>
        <w:rPr>
          <w:bCs/>
          <w:b/>
        </w:rPr>
        <w:t xml:space="preserve">WADA:</w:t>
      </w:r>
      <w:r>
        <w:t xml:space="preserve"> </w:t>
      </w:r>
      <w:r>
        <w:t xml:space="preserve">not listed by name; in the author’s view, to be classified under S0 as a non-approved substance.</w:t>
      </w:r>
    </w:p>
    <w:bookmarkEnd w:id="1118"/>
    <w:bookmarkStart w:id="1119" w:name="ongoing-studies-and-outlook-19"/>
    <w:p>
      <w:pPr>
        <w:pStyle w:val="Heading3"/>
      </w:pPr>
      <w:r>
        <w:t xml:space="preserve">Ongoing studies and outlook</w:t>
      </w:r>
    </w:p>
    <w:p>
      <w:pPr>
        <w:pStyle w:val="FirstParagraph"/>
      </w:pPr>
      <w:r>
        <w:rPr>
          <w:bCs/>
          <w:b/>
        </w:rPr>
        <w:t xml:space="preserve">Confirmed:</w:t>
      </w:r>
      <w:r>
        <w:t xml:space="preserve"> </w:t>
      </w:r>
      <w:r>
        <w:t xml:space="preserve">As of October 2026, no ongoing trial in which LL-37 is administered as an active substance is registered on ClinicalTrials.gov. The two entries with LL-37 as an active substance (melanoma, NCT02225366; diabetic foot ulcer, NCT04098562) are completed or have an unknown status. The remaining registry entries measure LL-37 only as a biomarker, for example in the gums or with vitamin D administration.</w:t>
      </w:r>
    </w:p>
    <w:p>
      <w:pPr>
        <w:pStyle w:val="BodyText"/>
      </w:pPr>
      <w:r>
        <w:rPr>
          <w:bCs/>
          <w:b/>
        </w:rPr>
        <w:t xml:space="preserve">Author’s assessment:</w:t>
      </w:r>
      <w:r>
        <w:t xml:space="preserve"> </w:t>
      </w:r>
      <w:r>
        <w:t xml:space="preserve">LL-37 itself is unlikely to have a future as a medicine – too unstable, damaging to cells at high concentrations and associated with autoimmune risks. Research is shifting to shortened or modified derivatives and to ways of increasing the body’s own production. A wound trial in the subgroup of large leg ulcers, as called for by the HEAL authors, would be the next logical step; it has not been registered.</w:t>
      </w:r>
    </w:p>
    <w:bookmarkEnd w:id="1119"/>
    <w:bookmarkStart w:id="1121" w:name="conclusion-19"/>
    <w:p>
      <w:pPr>
        <w:pStyle w:val="Heading3"/>
      </w:pPr>
      <w:r>
        <w:t xml:space="preserve">Conclusion</w:t>
      </w:r>
    </w:p>
    <w:p>
      <w:pPr>
        <w:pStyle w:val="FirstParagraph"/>
      </w:pPr>
      <w:r>
        <w:t xml:space="preserve">LL-37 is an important endogenous defense peptide whose levels have been measured in many studies – but as an active substance it has been given to humans only in a few small studies. Applied to wounds it was well tolerated, but the largest randomized trial with 148 people found no advantage over placebo</w:t>
      </w:r>
      <w:r>
        <w:rPr>
          <w:rStyle w:val="FootnoteReference"/>
        </w:rPr>
        <w:footnoteReference w:id="1120"/>
      </w:r>
      <w:r>
        <w:t xml:space="preserve">. At the same time, LL-37 plays a role as a driver of inflammation in psoriasis and rosacea, and an injection treatment triggered pronounced skin changes in one documented case. For the applications advertised online – for example against chronic infections or as an injectable immune booster – there are no human studies.</w:t>
      </w:r>
    </w:p>
    <w:bookmarkEnd w:id="1121"/>
    <w:bookmarkEnd w:id="1122"/>
    <w:bookmarkStart w:id="1155" w:name="ara-290-cibinetide"/>
    <w:p>
      <w:pPr>
        <w:pStyle w:val="Heading2"/>
      </w:pPr>
      <w:r>
        <w:t xml:space="preserve">ARA-290 (Cibinetide)</w:t>
      </w:r>
    </w:p>
    <w:p>
      <w:pPr>
        <w:pStyle w:val="FirstParagraph"/>
      </w:pPr>
      <w:r>
        <w:t xml:space="preserve">ARA-290 is an artificial peptide derived from the blood-forming hormone erythropoietin (EPO) – the hormone that became famous as a doping agent in cycling. ARA-290, however, is intended precisely not to stimulate blood formation, but only to make use of EPO’s tissue-protective properties. In small studies of nerve pain in sarcoidosis, it showed encouraging signals. In the biohacking scene, it is now offered as a</w:t>
      </w:r>
      <w:r>
        <w:t xml:space="preserve"> </w:t>
      </w:r>
      <w:r>
        <w:t xml:space="preserve">“</w:t>
      </w:r>
      <w:r>
        <w:t xml:space="preserve">nerve regeneration</w:t>
      </w:r>
      <w:r>
        <w:t xml:space="preserve">”</w:t>
      </w:r>
      <w:r>
        <w:t xml:space="preserve"> </w:t>
      </w:r>
      <w:r>
        <w:t xml:space="preserve">and</w:t>
      </w:r>
      <w:r>
        <w:t xml:space="preserve"> </w:t>
      </w:r>
      <w:r>
        <w:t xml:space="preserve">“</w:t>
      </w:r>
      <w:r>
        <w:t xml:space="preserve">anti-aging</w:t>
      </w:r>
      <w:r>
        <w:t xml:space="preserve">”</w:t>
      </w:r>
      <w:r>
        <w:t xml:space="preserve"> </w:t>
      </w:r>
      <w:r>
        <w:t xml:space="preserve">peptide.</w:t>
      </w:r>
    </w:p>
    <w:bookmarkStart w:id="1125" w:name="profile-20"/>
    <w:p>
      <w:pPr>
        <w:pStyle w:val="Heading3"/>
      </w:pPr>
      <w:r>
        <w:t xml:space="preserve">Profile</w:t>
      </w:r>
    </w:p>
    <w:p>
      <w:pPr>
        <w:numPr>
          <w:ilvl w:val="0"/>
          <w:numId w:val="1135"/>
        </w:numPr>
        <w:pStyle w:val="Compact"/>
      </w:pPr>
      <w:r>
        <w:rPr>
          <w:bCs/>
          <w:b/>
        </w:rPr>
        <w:t xml:space="preserve">Type and structure:</w:t>
      </w:r>
      <w:r>
        <w:t xml:space="preserve"> </w:t>
      </w:r>
      <w:r>
        <w:t xml:space="preserve">synthetic peptide of 11 amino acids</w:t>
      </w:r>
      <w:r>
        <w:rPr>
          <w:rStyle w:val="FootnoteReference"/>
        </w:rPr>
        <w:footnoteReference w:id="1123"/>
      </w:r>
      <w:r>
        <w:t xml:space="preserve">; active substance name cibinetide.</w:t>
      </w:r>
    </w:p>
    <w:p>
      <w:pPr>
        <w:numPr>
          <w:ilvl w:val="0"/>
          <w:numId w:val="1135"/>
        </w:numPr>
        <w:pStyle w:val="Compact"/>
      </w:pPr>
      <w:r>
        <w:rPr>
          <w:bCs/>
          <w:b/>
        </w:rPr>
        <w:t xml:space="preserve">Origin:</w:t>
      </w:r>
      <w:r>
        <w:t xml:space="preserve"> </w:t>
      </w:r>
      <w:r>
        <w:t xml:space="preserve">modeled on a segment of the three-dimensional structure of erythropoietin that is thought to be responsible for its tissue protection; developed by the US company Araim Pharmaceuticals.</w:t>
      </w:r>
    </w:p>
    <w:p>
      <w:pPr>
        <w:numPr>
          <w:ilvl w:val="0"/>
          <w:numId w:val="1135"/>
        </w:numPr>
        <w:pStyle w:val="Compact"/>
      </w:pPr>
      <w:r>
        <w:rPr>
          <w:bCs/>
          <w:b/>
        </w:rPr>
        <w:t xml:space="preserve">Mechanism of action:</w:t>
      </w:r>
      <w:r>
        <w:t xml:space="preserve"> </w:t>
      </w:r>
      <w:r>
        <w:t xml:space="preserve">binds to a so-called</w:t>
      </w:r>
      <w:r>
        <w:t xml:space="preserve"> </w:t>
      </w:r>
      <w:r>
        <w:t xml:space="preserve">“</w:t>
      </w:r>
      <w:r>
        <w:t xml:space="preserve">innate repair receptor</w:t>
      </w:r>
      <w:r>
        <w:t xml:space="preserve">”</w:t>
      </w:r>
      <w:r>
        <w:t xml:space="preserve"> </w:t>
      </w:r>
      <w:r>
        <w:t xml:space="preserve">(a combination of the EPO receptor and the receptor component CD131), not to the classic EPO receptor of blood formation; intended to dampen inflammation and trigger tissue repair.</w:t>
      </w:r>
    </w:p>
    <w:p>
      <w:pPr>
        <w:numPr>
          <w:ilvl w:val="0"/>
          <w:numId w:val="1135"/>
        </w:numPr>
        <w:pStyle w:val="Compact"/>
      </w:pPr>
      <w:r>
        <w:rPr>
          <w:bCs/>
          <w:b/>
        </w:rPr>
        <w:t xml:space="preserve">Approval EU/USA:</w:t>
      </w:r>
      <w:r>
        <w:t xml:space="preserve"> </w:t>
      </w:r>
      <w:r>
        <w:t xml:space="preserve">no.</w:t>
      </w:r>
    </w:p>
    <w:p>
      <w:pPr>
        <w:numPr>
          <w:ilvl w:val="0"/>
          <w:numId w:val="1135"/>
        </w:numPr>
        <w:pStyle w:val="Compact"/>
      </w:pPr>
      <w:r>
        <w:rPr>
          <w:bCs/>
          <w:b/>
        </w:rPr>
        <w:t xml:space="preserve">WADA:</w:t>
      </w:r>
      <w:r>
        <w:t xml:space="preserve"> </w:t>
      </w:r>
      <w:r>
        <w:t xml:space="preserve">prohibited – non-erythropoietic EPO receptor agonists such as ARA-290 are explicitly named in class S2; anti-doping laboratories have developed detection methods</w:t>
      </w:r>
      <w:r>
        <w:rPr>
          <w:rStyle w:val="FootnoteReference"/>
        </w:rPr>
        <w:footnoteReference w:id="1124"/>
      </w:r>
      <w:r>
        <w:t xml:space="preserve">.</w:t>
      </w:r>
    </w:p>
    <w:p>
      <w:pPr>
        <w:numPr>
          <w:ilvl w:val="0"/>
          <w:numId w:val="1135"/>
        </w:numPr>
        <w:pStyle w:val="Compact"/>
      </w:pPr>
      <w:r>
        <w:rPr>
          <w:bCs/>
          <w:b/>
        </w:rPr>
        <w:t xml:space="preserve">Evidence level: B</w:t>
      </w:r>
      <w:r>
        <w:t xml:space="preserve"> </w:t>
      </w:r>
      <w:r>
        <w:t xml:space="preserve">– several small randomized, placebo-controlled Phase 2 trials; no Phase 3 trial.</w:t>
      </w:r>
    </w:p>
    <w:bookmarkEnd w:id="1125"/>
    <w:bookmarkStart w:id="1128" w:name="how-it-is-supposed-to-work-20"/>
    <w:p>
      <w:pPr>
        <w:pStyle w:val="Heading3"/>
      </w:pPr>
      <w:r>
        <w:t xml:space="preserve">How it is supposed to work</w:t>
      </w:r>
    </w:p>
    <w:p>
      <w:pPr>
        <w:pStyle w:val="FirstParagraph"/>
      </w:pPr>
      <w:r>
        <w:t xml:space="preserve">Erythropoietin is produced in the kidney and stimulates the formation of red blood cells in the bone marrow. In the 2000s, animal experiments showed that EPO can also protect nerves, heart and kidneys from damage. As a medicine, however, EPO is unsuitable for this: it increases the number of red blood cells, thickens the blood and raises the risk of thrombosis.</w:t>
      </w:r>
    </w:p>
    <w:p>
      <w:pPr>
        <w:pStyle w:val="BodyText"/>
      </w:pPr>
      <w:r>
        <w:t xml:space="preserve">The developers of ARA-290 suspected that the protective effect runs via a different receptor than blood formation. This</w:t>
      </w:r>
      <w:r>
        <w:t xml:space="preserve"> </w:t>
      </w:r>
      <w:r>
        <w:t xml:space="preserve">“</w:t>
      </w:r>
      <w:r>
        <w:t xml:space="preserve">repair receptor</w:t>
      </w:r>
      <w:r>
        <w:t xml:space="preserve">”</w:t>
      </w:r>
      <w:r>
        <w:t xml:space="preserve"> </w:t>
      </w:r>
      <w:r>
        <w:t xml:space="preserve">is only produced in greater amounts when there is tissue damage or inflammation. ARA-290 is intended to activate only this receptor in a targeted way. In rats with nerve injury, it dose-dependently reduced hypersensitivity to touch and cold for up to 20 weeks and dampened the activation of immune cells in the spinal cord</w:t>
      </w:r>
      <w:r>
        <w:rPr>
          <w:rStyle w:val="FootnoteReference"/>
        </w:rPr>
        <w:footnoteReference w:id="1126"/>
      </w:r>
      <w:r>
        <w:t xml:space="preserve">.</w:t>
      </w:r>
    </w:p>
    <w:p>
      <w:pPr>
        <w:pStyle w:val="BodyText"/>
      </w:pPr>
      <w:r>
        <w:t xml:space="preserve">ARA-290 is rapidly broken down in the blood; an anti-doping laboratory described pronounced enzymatic degradation with one main breakdown product</w:t>
      </w:r>
      <w:r>
        <w:rPr>
          <w:rStyle w:val="FootnoteReference"/>
        </w:rPr>
        <w:footnoteReference w:id="1127"/>
      </w:r>
      <w:r>
        <w:t xml:space="preserve">.</w:t>
      </w:r>
    </w:p>
    <w:bookmarkEnd w:id="1128"/>
    <w:bookmarkStart w:id="1137" w:name="human-studies-20"/>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5</w:t>
      </w:r>
      <w:r>
        <w:t xml:space="preserve"> </w:t>
      </w:r>
      <w:r>
        <w:t xml:space="preserve">human studies in PubMed and</w:t>
      </w:r>
      <w:r>
        <w:t xml:space="preserve"> </w:t>
      </w:r>
      <w:r>
        <w:rPr>
          <w:bCs/>
          <w:b/>
        </w:rPr>
        <w:t xml:space="preserve">5</w:t>
      </w:r>
      <w:r>
        <w:t xml:space="preserve"> </w:t>
      </w:r>
      <w:r>
        <w:t xml:space="preserve">entries on ClinicalTrials.gov. One further study (diabetic macular edema) was found through a targeted search. All studies are small and lasted four to twelve weeks.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Sarcoidosis, pilot study (Heij 2012, PMID 23168581)</w:t>
            </w:r>
          </w:p>
        </w:tc>
        <w:tc>
          <w:tcPr/>
          <w:p>
            <w:pPr>
              <w:pStyle w:val="Compact"/>
              <w:jc w:val="left"/>
            </w:pPr>
            <w:r>
              <w:t xml:space="preserve">22 people with nerve pain in sarcoidosis, double-blind RCT, infusion</w:t>
            </w:r>
          </w:p>
        </w:tc>
        <w:tc>
          <w:tcPr/>
          <w:p>
            <w:pPr>
              <w:pStyle w:val="Compact"/>
              <w:jc w:val="left"/>
            </w:pPr>
            <w:r>
              <w:t xml:space="preserve">4 weeks</w:t>
            </w:r>
          </w:p>
        </w:tc>
        <w:tc>
          <w:tcPr/>
          <w:p>
            <w:pPr>
              <w:pStyle w:val="Compact"/>
              <w:jc w:val="left"/>
            </w:pPr>
            <w:r>
              <w:t xml:space="preserve">neuropathy questionnaire −11.5 vs. −2.9 points; main pain scale improved equally in both groups</w:t>
            </w:r>
          </w:p>
        </w:tc>
      </w:tr>
      <w:tr>
        <w:tc>
          <w:tcPr/>
          <w:p>
            <w:pPr>
              <w:pStyle w:val="Compact"/>
              <w:jc w:val="left"/>
            </w:pPr>
            <w:r>
              <w:t xml:space="preserve">Sarcoidosis, injection under the skin (Dahan 2013, PMID 24136731)</w:t>
            </w:r>
          </w:p>
        </w:tc>
        <w:tc>
          <w:tcPr/>
          <w:p>
            <w:pPr>
              <w:pStyle w:val="Compact"/>
              <w:jc w:val="left"/>
            </w:pPr>
            <w:r>
              <w:t xml:space="preserve">People with nerve fiber loss in sarcoidosis, blinded, placebo-controlled study</w:t>
            </w:r>
          </w:p>
        </w:tc>
        <w:tc>
          <w:tcPr/>
          <w:p>
            <w:pPr>
              <w:pStyle w:val="Compact"/>
              <w:jc w:val="left"/>
            </w:pPr>
            <w:r>
              <w:t xml:space="preserve">28 days</w:t>
            </w:r>
          </w:p>
        </w:tc>
        <w:tc>
          <w:tcPr/>
          <w:p>
            <w:pPr>
              <w:pStyle w:val="Compact"/>
              <w:jc w:val="left"/>
            </w:pPr>
            <w:r>
              <w:t xml:space="preserve">improvement in symptoms, more nerve fibers in the cornea, longer walking distance</w:t>
            </w:r>
          </w:p>
        </w:tc>
      </w:tr>
      <w:tr>
        <w:tc>
          <w:tcPr/>
          <w:p>
            <w:pPr>
              <w:pStyle w:val="Compact"/>
              <w:jc w:val="left"/>
            </w:pPr>
            <w:r>
              <w:t xml:space="preserve">Sarcoidosis, Phase 2b (Culver 2017, PMID 28475703; NCT02039687)</w:t>
            </w:r>
          </w:p>
        </w:tc>
        <w:tc>
          <w:tcPr/>
          <w:p>
            <w:pPr>
              <w:pStyle w:val="Compact"/>
              <w:jc w:val="left"/>
            </w:pPr>
            <w:r>
              <w:t xml:space="preserve">64 people, RCT with three doses and placebo</w:t>
            </w:r>
          </w:p>
        </w:tc>
        <w:tc>
          <w:tcPr/>
          <w:p>
            <w:pPr>
              <w:pStyle w:val="Compact"/>
              <w:jc w:val="left"/>
            </w:pPr>
            <w:r>
              <w:t xml:space="preserve">28 days</w:t>
            </w:r>
          </w:p>
        </w:tc>
        <w:tc>
          <w:tcPr/>
          <w:p>
            <w:pPr>
              <w:pStyle w:val="Compact"/>
              <w:jc w:val="left"/>
            </w:pPr>
            <w:r>
              <w:t xml:space="preserve">corneal nerve fiber area significantly increased only at the middle dose; pain improved in all groups including placebo</w:t>
            </w:r>
          </w:p>
        </w:tc>
      </w:tr>
      <w:tr>
        <w:tc>
          <w:tcPr/>
          <w:p>
            <w:pPr>
              <w:pStyle w:val="Compact"/>
              <w:jc w:val="left"/>
            </w:pPr>
            <w:r>
              <w:t xml:space="preserve">Type 2 diabetes with neuropathy (Brines 2015, PMID 25387363)</w:t>
            </w:r>
          </w:p>
        </w:tc>
        <w:tc>
          <w:tcPr/>
          <w:p>
            <w:pPr>
              <w:pStyle w:val="Compact"/>
              <w:jc w:val="left"/>
            </w:pPr>
            <w:r>
              <w:t xml:space="preserve">People with type 2 diabetes and nerve pain, Phase 2, vs. placebo</w:t>
            </w:r>
          </w:p>
        </w:tc>
        <w:tc>
          <w:tcPr/>
          <w:p>
            <w:pPr>
              <w:pStyle w:val="Compact"/>
              <w:jc w:val="left"/>
            </w:pPr>
            <w:r>
              <w:t xml:space="preserve">28 days plus 28 days</w:t>
            </w:r>
          </w:p>
        </w:tc>
        <w:tc>
          <w:tcPr/>
          <w:p>
            <w:pPr>
              <w:pStyle w:val="Compact"/>
              <w:jc w:val="left"/>
            </w:pPr>
            <w:r>
              <w:t xml:space="preserve">HbA1c and blood lipids improved, neuropathy questionnaire better</w:t>
            </w:r>
          </w:p>
        </w:tc>
      </w:tr>
      <w:tr>
        <w:tc>
          <w:tcPr/>
          <w:p>
            <w:pPr>
              <w:pStyle w:val="Compact"/>
              <w:jc w:val="left"/>
            </w:pPr>
            <w:r>
              <w:t xml:space="preserve">Diabetic macular edema (Lois 2020, PMID 32674280)</w:t>
            </w:r>
          </w:p>
        </w:tc>
        <w:tc>
          <w:tcPr/>
          <w:p>
            <w:pPr>
              <w:pStyle w:val="Compact"/>
              <w:jc w:val="left"/>
            </w:pPr>
            <w:r>
              <w:t xml:space="preserve">9 people, Phase 2 without control group</w:t>
            </w:r>
          </w:p>
        </w:tc>
        <w:tc>
          <w:tcPr/>
          <w:p>
            <w:pPr>
              <w:pStyle w:val="Compact"/>
              <w:jc w:val="left"/>
            </w:pPr>
            <w:r>
              <w:t xml:space="preserve">12 weeks</w:t>
            </w:r>
          </w:p>
        </w:tc>
        <w:tc>
          <w:tcPr/>
          <w:p>
            <w:pPr>
              <w:pStyle w:val="Compact"/>
              <w:jc w:val="left"/>
            </w:pPr>
            <w:r>
              <w:t xml:space="preserve">no improvement in visual acuity or retinal thickness; no antibodies against the active substance</w:t>
            </w:r>
          </w:p>
        </w:tc>
      </w:tr>
      <w:tr>
        <w:tc>
          <w:tcPr/>
          <w:p>
            <w:pPr>
              <w:pStyle w:val="Compact"/>
              <w:jc w:val="left"/>
            </w:pPr>
            <w:r>
              <w:t xml:space="preserve">Healthy people, mood (Cerit 2015, PMID 26431906)</w:t>
            </w:r>
          </w:p>
        </w:tc>
        <w:tc>
          <w:tcPr/>
          <w:p>
            <w:pPr>
              <w:pStyle w:val="Compact"/>
              <w:jc w:val="left"/>
            </w:pPr>
            <w:r>
              <w:t xml:space="preserve">36 healthy people, double-blind RCT, single dose</w:t>
            </w:r>
          </w:p>
        </w:tc>
        <w:tc>
          <w:tcPr/>
          <w:p>
            <w:pPr>
              <w:pStyle w:val="Compact"/>
              <w:jc w:val="left"/>
            </w:pPr>
            <w:r>
              <w:t xml:space="preserve">1 week</w:t>
            </w:r>
          </w:p>
        </w:tc>
        <w:tc>
          <w:tcPr/>
          <w:p>
            <w:pPr>
              <w:pStyle w:val="Compact"/>
              <w:jc w:val="left"/>
            </w:pPr>
            <w:r>
              <w:t xml:space="preserve">no effect on mood; findings do not clearly support an antidepressant effect</w:t>
            </w:r>
          </w:p>
        </w:tc>
      </w:tr>
    </w:tbl>
    <w:bookmarkStart w:id="1132" w:name="sarcoidosis-the-main-area-of-application"/>
    <w:p>
      <w:pPr>
        <w:pStyle w:val="Heading4"/>
      </w:pPr>
      <w:r>
        <w:t xml:space="preserve">Sarcoidosis – the main area of application</w:t>
      </w:r>
    </w:p>
    <w:p>
      <w:pPr>
        <w:pStyle w:val="FirstParagraph"/>
      </w:pPr>
      <w:r>
        <w:t xml:space="preserve">Sarcoidosis is an inflammatory disease in which small nodules form in the lungs, skin, eyes and other organs. Many of those affected suffer from burning pain and abnormal sensations due to damaged small nerve fibers (small fiber neuropathy). There are hardly any effective treatments.</w:t>
      </w:r>
    </w:p>
    <w:p>
      <w:pPr>
        <w:pStyle w:val="BodyText"/>
      </w:pPr>
      <w:r>
        <w:t xml:space="preserve">In the first pilot study with 22 people, a questionnaire on neuropathy symptoms improved considerably more on ARA-290 than on placebo. However, the scores of the main pain questionnaire and of fatigue improved equally in both groups – an indication of a substantial placebo effect</w:t>
      </w:r>
      <w:r>
        <w:rPr>
          <w:rStyle w:val="FootnoteReference"/>
        </w:rPr>
        <w:footnoteReference w:id="1129"/>
      </w:r>
      <w:r>
        <w:t xml:space="preserve">.</w:t>
      </w:r>
    </w:p>
    <w:p>
      <w:pPr>
        <w:pStyle w:val="BodyText"/>
      </w:pPr>
      <w:r>
        <w:t xml:space="preserve">The largest study, a Phase 2b trial with 64 people, chose as its primary endpoint the area of the small nerve fibers in the cornea of the eye, which can be measured with a special microscope. Only at the middle of three doses did this area increase significantly compared with placebo; the low and the high dose showed no significant effect. Pain improved in all groups, including placebo</w:t>
      </w:r>
      <w:r>
        <w:rPr>
          <w:rStyle w:val="FootnoteReference"/>
        </w:rPr>
        <w:footnoteReference w:id="1130"/>
      </w:r>
      <w:r>
        <w:t xml:space="preserve">. The corneal nerve fibers are a surrogate marker (surrogate endpoint): whether more nerve fibers in the cornea also mean less pain in the long term has not been demonstrated.</w:t>
      </w:r>
    </w:p>
    <w:p>
      <w:pPr>
        <w:pStyle w:val="BodyText"/>
      </w:pPr>
      <w:r>
        <w:t xml:space="preserve">A review by members of the Leiden research group rated the prospects as promising</w:t>
      </w:r>
      <w:r>
        <w:rPr>
          <w:rStyle w:val="FootnoteReference"/>
        </w:rPr>
        <w:footnoteReference w:id="1131"/>
      </w:r>
      <w:r>
        <w:t xml:space="preserve">. It should be noted that a large proportion of the studies come from the developer company and researchers closely associated with it.</w:t>
      </w:r>
    </w:p>
    <w:bookmarkEnd w:id="1132"/>
    <w:bookmarkStart w:id="1136" w:name="diabetes"/>
    <w:p>
      <w:pPr>
        <w:pStyle w:val="Heading4"/>
      </w:pPr>
      <w:r>
        <w:t xml:space="preserve">Diabetes</w:t>
      </w:r>
    </w:p>
    <w:p>
      <w:pPr>
        <w:pStyle w:val="FirstParagraph"/>
      </w:pPr>
      <w:r>
        <w:t xml:space="preserve">In people with type 2 diabetes and painful neuropathy, long-term blood glucose (HbA1c), blood lipids and neuropathy symptoms improved on ARA-290 over 28 days</w:t>
      </w:r>
      <w:r>
        <w:rPr>
          <w:rStyle w:val="FootnoteReference"/>
        </w:rPr>
        <w:footnoteReference w:id="1133"/>
      </w:r>
      <w:r>
        <w:t xml:space="preserve">. The number of participants is not stated in the abstract; the study was short. A separately registered Swedish study on the glucose-lowering effect in prediabetes with 24 people planned has an unknown status</w:t>
      </w:r>
      <w:r>
        <w:rPr>
          <w:rStyle w:val="FootnoteReference"/>
        </w:rPr>
        <w:footnoteReference w:id="1134"/>
      </w:r>
      <w:r>
        <w:t xml:space="preserve">. In nine people with diabetic macular edema – a swelling of the center of the retina – visual acuity and retinal thickness did not improve</w:t>
      </w:r>
      <w:r>
        <w:rPr>
          <w:rStyle w:val="FootnoteReference"/>
        </w:rPr>
        <w:footnoteReference w:id="1135"/>
      </w:r>
      <w:r>
        <w:t xml:space="preserve">.</w:t>
      </w:r>
    </w:p>
    <w:bookmarkEnd w:id="1136"/>
    <w:bookmarkEnd w:id="1137"/>
    <w:bookmarkStart w:id="1143" w:name="animal-and-laboratory-studies-20"/>
    <w:p>
      <w:pPr>
        <w:pStyle w:val="Heading3"/>
      </w:pPr>
      <w:r>
        <w:t xml:space="preserve">Animal and laboratory studies</w:t>
      </w:r>
    </w:p>
    <w:p>
      <w:pPr>
        <w:pStyle w:val="FirstParagraph"/>
      </w:pPr>
      <w:r>
        <w:t xml:space="preserve">Animal research on ARA-290 is broad. In rats, mice and pigs, protective effects have been described in nerve pain</w:t>
      </w:r>
      <w:r>
        <w:rPr>
          <w:rStyle w:val="FootnoteReference"/>
        </w:rPr>
        <w:footnoteReference w:id="1138"/>
      </w:r>
      <w:r>
        <w:t xml:space="preserve">, kidney damage after impaired blood flow in pigs</w:t>
      </w:r>
      <w:r>
        <w:rPr>
          <w:rStyle w:val="FootnoteReference"/>
        </w:rPr>
        <w:footnoteReference w:id="1139"/>
      </w:r>
      <w:r>
        <w:t xml:space="preserve">, diabetes in rats</w:t>
      </w:r>
      <w:r>
        <w:rPr>
          <w:rStyle w:val="FootnoteReference"/>
        </w:rPr>
        <w:footnoteReference w:id="1140"/>
      </w:r>
      <w:r>
        <w:t xml:space="preserve"> </w:t>
      </w:r>
      <w:r>
        <w:t xml:space="preserve">and Alzheimer-like changes</w:t>
      </w:r>
      <w:r>
        <w:rPr>
          <w:rStyle w:val="FootnoteReference"/>
        </w:rPr>
        <w:footnoteReference w:id="1141"/>
      </w:r>
      <w:r>
        <w:t xml:space="preserve">. In a long-term study in aging rats over 15 months, ARA-290 reduced signs of inflammation in the heart and attenuated age-related deterioration in cardiac function</w:t>
      </w:r>
      <w:r>
        <w:rPr>
          <w:rStyle w:val="FootnoteReference"/>
        </w:rPr>
        <w:footnoteReference w:id="1142"/>
      </w:r>
      <w:r>
        <w:t xml:space="preserve"> </w:t>
      </w:r>
      <w:r>
        <w:t xml:space="preserve">– the marketing as an</w:t>
      </w:r>
      <w:r>
        <w:t xml:space="preserve"> </w:t>
      </w:r>
      <w:r>
        <w:t xml:space="preserve">“</w:t>
      </w:r>
      <w:r>
        <w:t xml:space="preserve">anti-aging peptide</w:t>
      </w:r>
      <w:r>
        <w:t xml:space="preserve">”</w:t>
      </w:r>
      <w:r>
        <w:t xml:space="preserve"> </w:t>
      </w:r>
      <w:r>
        <w:t xml:space="preserve">relies on this study. All of these results come from animal experiments.</w:t>
      </w:r>
    </w:p>
    <w:bookmarkEnd w:id="1143"/>
    <w:bookmarkStart w:id="1148" w:name="risks-and-side-effects-20"/>
    <w:p>
      <w:pPr>
        <w:pStyle w:val="Heading3"/>
      </w:pPr>
      <w:r>
        <w:t xml:space="preserve">Risks and side effects</w:t>
      </w:r>
    </w:p>
    <w:bookmarkStart w:id="1146" w:name="documented-4"/>
    <w:p>
      <w:pPr>
        <w:pStyle w:val="Heading4"/>
      </w:pPr>
      <w:r>
        <w:t xml:space="preserve">Documented</w:t>
      </w:r>
    </w:p>
    <w:p>
      <w:pPr>
        <w:pStyle w:val="FirstParagraph"/>
      </w:pPr>
      <w:r>
        <w:t xml:space="preserve">No safety problems were reported in any of the published studies</w:t>
      </w:r>
      <w:r>
        <w:rPr>
          <w:rStyle w:val="FootnoteReference"/>
        </w:rPr>
        <w:footnoteReference w:id="1144"/>
      </w:r>
      <w:r>
        <w:t xml:space="preserve">. In the twelve-week macular edema study, no serious side effects and no antibodies against ARA-290 occurred</w:t>
      </w:r>
      <w:r>
        <w:rPr>
          <w:rStyle w:val="FootnoteReference"/>
        </w:rPr>
        <w:footnoteReference w:id="1145"/>
      </w:r>
      <w:r>
        <w:t xml:space="preserve">. However, the database is small, with considerably fewer than 200 people treated in total and treatment durations of twelve weeks at most.</w:t>
      </w:r>
    </w:p>
    <w:bookmarkEnd w:id="1146"/>
    <w:bookmarkStart w:id="1147" w:name="theoretical-1"/>
    <w:p>
      <w:pPr>
        <w:pStyle w:val="Heading4"/>
      </w:pPr>
      <w:r>
        <w:t xml:space="preserve">Theoretical</w:t>
      </w:r>
    </w:p>
    <w:p>
      <w:pPr>
        <w:numPr>
          <w:ilvl w:val="0"/>
          <w:numId w:val="1136"/>
        </w:numPr>
        <w:pStyle w:val="Compact"/>
      </w:pPr>
      <w:r>
        <w:rPr>
          <w:bCs/>
          <w:b/>
        </w:rPr>
        <w:t xml:space="preserve">EPO-like effects:</w:t>
      </w:r>
      <w:r>
        <w:t xml:space="preserve"> </w:t>
      </w:r>
      <w:r>
        <w:t xml:space="preserve">ARA-290 was designed so that it does not stimulate blood formation. Whether EPO-like effects nevertheless occur with longer use or higher doses, such as those circulating on the gray market, has not been studied in humans.</w:t>
      </w:r>
    </w:p>
    <w:p>
      <w:pPr>
        <w:numPr>
          <w:ilvl w:val="0"/>
          <w:numId w:val="1136"/>
        </w:numPr>
        <w:pStyle w:val="Compact"/>
      </w:pPr>
      <w:r>
        <w:rPr>
          <w:bCs/>
          <w:b/>
        </w:rPr>
        <w:t xml:space="preserve">Tumor growth:</w:t>
      </w:r>
      <w:r>
        <w:t xml:space="preserve"> </w:t>
      </w:r>
      <w:r>
        <w:t xml:space="preserve">EPO itself is suspected of promoting tumor growth in some cancers. Whether this plays a role for ARA-290 is unknown; long-term data are lacking.</w:t>
      </w:r>
    </w:p>
    <w:p>
      <w:pPr>
        <w:numPr>
          <w:ilvl w:val="0"/>
          <w:numId w:val="1136"/>
        </w:numPr>
        <w:pStyle w:val="Compact"/>
      </w:pPr>
      <w:r>
        <w:rPr>
          <w:bCs/>
          <w:b/>
        </w:rPr>
        <w:t xml:space="preserve">Gray market:</w:t>
      </w:r>
      <w:r>
        <w:t xml:space="preserve"> </w:t>
      </w:r>
      <w:r>
        <w:t xml:space="preserve">The studies were conducted with pharmaceutical-quality product. For freely sold products, purity and content are unknown.</w:t>
      </w:r>
    </w:p>
    <w:bookmarkEnd w:id="1147"/>
    <w:bookmarkEnd w:id="1148"/>
    <w:bookmarkStart w:id="1149" w:name="legal-status-20"/>
    <w:p>
      <w:pPr>
        <w:pStyle w:val="Heading3"/>
      </w:pPr>
      <w:r>
        <w:t xml:space="preserve">Legal status</w:t>
      </w:r>
    </w:p>
    <w:p>
      <w:pPr>
        <w:pStyle w:val="FirstParagraph"/>
      </w:pPr>
      <w:r>
        <w:rPr>
          <w:iCs/>
          <w:i/>
        </w:rPr>
        <w:t xml:space="preserve">As of 2026, please check for updates.</w:t>
      </w:r>
    </w:p>
    <w:p>
      <w:pPr>
        <w:numPr>
          <w:ilvl w:val="0"/>
          <w:numId w:val="1137"/>
        </w:numPr>
        <w:pStyle w:val="Compact"/>
      </w:pPr>
      <w:r>
        <w:rPr>
          <w:bCs/>
          <w:b/>
        </w:rPr>
        <w:t xml:space="preserve">EU, Germany, Austria:</w:t>
      </w:r>
      <w:r>
        <w:t xml:space="preserve"> </w:t>
      </w:r>
      <w:r>
        <w:t xml:space="preserve">not approved. Supplying it for use in humans is not permitted.</w:t>
      </w:r>
    </w:p>
    <w:p>
      <w:pPr>
        <w:numPr>
          <w:ilvl w:val="0"/>
          <w:numId w:val="1137"/>
        </w:numPr>
        <w:pStyle w:val="Compact"/>
      </w:pPr>
      <w:r>
        <w:rPr>
          <w:bCs/>
          <w:b/>
        </w:rPr>
        <w:t xml:space="preserve">USA:</w:t>
      </w:r>
      <w:r>
        <w:t xml:space="preserve"> </w:t>
      </w:r>
      <w:r>
        <w:t xml:space="preserve">no FDA approval.</w:t>
      </w:r>
    </w:p>
    <w:p>
      <w:pPr>
        <w:numPr>
          <w:ilvl w:val="0"/>
          <w:numId w:val="1137"/>
        </w:numPr>
        <w:pStyle w:val="Compact"/>
      </w:pPr>
      <w:r>
        <w:rPr>
          <w:bCs/>
          <w:b/>
        </w:rPr>
        <w:t xml:space="preserve">WADA:</w:t>
      </w:r>
      <w:r>
        <w:t xml:space="preserve"> </w:t>
      </w:r>
      <w:r>
        <w:t xml:space="preserve">prohibited in and out of competition (S2, peptide hormones and related substances; ARA-290 is named as an example of non-erythropoietic EPO receptor agonists).</w:t>
      </w:r>
    </w:p>
    <w:bookmarkEnd w:id="1149"/>
    <w:bookmarkStart w:id="1152" w:name="ongoing-studies-and-outlook-20"/>
    <w:p>
      <w:pPr>
        <w:pStyle w:val="Heading3"/>
      </w:pPr>
      <w:r>
        <w:t xml:space="preserve">Ongoing studies and outlook</w:t>
      </w:r>
    </w:p>
    <w:p>
      <w:pPr>
        <w:pStyle w:val="FirstParagraph"/>
      </w:pPr>
      <w:r>
        <w:rPr>
          <w:bCs/>
          <w:b/>
        </w:rPr>
        <w:t xml:space="preserve">Confirmed:</w:t>
      </w:r>
      <w:r>
        <w:t xml:space="preserve"> </w:t>
      </w:r>
      <w:r>
        <w:t xml:space="preserve">As of October 2026, no ongoing trial with ARA-290 or cibinetide is registered on ClinicalTrials.gov. The largest trial to date</w:t>
      </w:r>
      <w:r>
        <w:rPr>
          <w:rStyle w:val="FootnoteReference"/>
        </w:rPr>
        <w:footnoteReference w:id="1150"/>
      </w:r>
      <w:r>
        <w:t xml:space="preserve"> </w:t>
      </w:r>
      <w:r>
        <w:t xml:space="preserve">was completed in 2015; no Phase 3 trial has been started since. The macular edema trial was ended with nine people</w:t>
      </w:r>
      <w:r>
        <w:rPr>
          <w:rStyle w:val="FootnoteReference"/>
        </w:rPr>
        <w:footnoteReference w:id="1151"/>
      </w:r>
      <w:r>
        <w:t xml:space="preserve">.</w:t>
      </w:r>
    </w:p>
    <w:p>
      <w:pPr>
        <w:pStyle w:val="BodyText"/>
      </w:pPr>
      <w:r>
        <w:rPr>
          <w:bCs/>
          <w:b/>
        </w:rPr>
        <w:t xml:space="preserve">Author’s assessment:</w:t>
      </w:r>
      <w:r>
        <w:t xml:space="preserve"> </w:t>
      </w:r>
      <w:r>
        <w:t xml:space="preserve">The results in sarcoidosis neuropathy were interesting enough for a Phase 3 trial, which, however, has not discernibly been started more than ten years after the Phase 2b trial. Without a new developer or funder, approval is unlikely. Gray-market marketing as an anti-aging agent relies on rat studies and has little to do with the applications studied in humans.</w:t>
      </w:r>
    </w:p>
    <w:bookmarkEnd w:id="1152"/>
    <w:bookmarkStart w:id="1154" w:name="conclusion-20"/>
    <w:p>
      <w:pPr>
        <w:pStyle w:val="Heading3"/>
      </w:pPr>
      <w:r>
        <w:t xml:space="preserve">Conclusion</w:t>
      </w:r>
    </w:p>
    <w:p>
      <w:pPr>
        <w:pStyle w:val="FirstParagraph"/>
      </w:pPr>
      <w:r>
        <w:t xml:space="preserve">ARA-290 is a peptide derived from erythropoietin that is intended to protect tissue without stimulating blood formation. In small randomized trials in sarcoidosis-related nerve damage, nerve fibers in the cornea increased, but only at one of three doses, and pain also improved markedly on placebo</w:t>
      </w:r>
      <w:r>
        <w:rPr>
          <w:rStyle w:val="FootnoteReference"/>
        </w:rPr>
        <w:footnoteReference w:id="1153"/>
      </w:r>
      <w:r>
        <w:t xml:space="preserve">. Tolerability was good in the short trials; long-term data are lacking. There have been no new registered trials since 2015; ARA-290 is prohibited in sport.</w:t>
      </w:r>
    </w:p>
    <w:bookmarkEnd w:id="1154"/>
    <w:bookmarkEnd w:id="1155"/>
    <w:bookmarkStart w:id="1193" w:name="larazotide"/>
    <w:p>
      <w:pPr>
        <w:pStyle w:val="Heading2"/>
      </w:pPr>
      <w:r>
        <w:t xml:space="preserve">Larazotide</w:t>
      </w:r>
    </w:p>
    <w:p>
      <w:pPr>
        <w:pStyle w:val="FirstParagraph"/>
      </w:pPr>
      <w:r>
        <w:t xml:space="preserve">Larazotide is the only peptide in this group that made it into a Phase 3 approval trial without previously being approved anywhere. It was meant to become the first medicine for celiac disease – a condition for which, to this day, only a lifelong gluten-free diet helps. The concept behind it, sealing a</w:t>
      </w:r>
      <w:r>
        <w:t xml:space="preserve"> </w:t>
      </w:r>
      <w:r>
        <w:t xml:space="preserve">“</w:t>
      </w:r>
      <w:r>
        <w:t xml:space="preserve">leaky</w:t>
      </w:r>
      <w:r>
        <w:t xml:space="preserve">”</w:t>
      </w:r>
      <w:r>
        <w:t xml:space="preserve"> </w:t>
      </w:r>
      <w:r>
        <w:t xml:space="preserve">gut wall, also makes larazotide interesting to the</w:t>
      </w:r>
      <w:r>
        <w:t xml:space="preserve"> </w:t>
      </w:r>
      <w:r>
        <w:t xml:space="preserve">“</w:t>
      </w:r>
      <w:r>
        <w:t xml:space="preserve">leaky gut</w:t>
      </w:r>
      <w:r>
        <w:t xml:space="preserve">”</w:t>
      </w:r>
      <w:r>
        <w:t xml:space="preserve"> </w:t>
      </w:r>
      <w:r>
        <w:t xml:space="preserve">scene. The history of the substance shows how difficult it is to turn a plausible idea into an effective medicine.</w:t>
      </w:r>
    </w:p>
    <w:bookmarkStart w:id="1157" w:name="profile-21"/>
    <w:p>
      <w:pPr>
        <w:pStyle w:val="Heading3"/>
      </w:pPr>
      <w:r>
        <w:t xml:space="preserve">Profile</w:t>
      </w:r>
    </w:p>
    <w:p>
      <w:pPr>
        <w:numPr>
          <w:ilvl w:val="0"/>
          <w:numId w:val="1138"/>
        </w:numPr>
        <w:pStyle w:val="Compact"/>
      </w:pPr>
      <w:r>
        <w:rPr>
          <w:bCs/>
          <w:b/>
        </w:rPr>
        <w:t xml:space="preserve">Type and structure:</w:t>
      </w:r>
      <w:r>
        <w:t xml:space="preserve"> </w:t>
      </w:r>
      <w:r>
        <w:t xml:space="preserve">synthetic peptide of 8 amino acids</w:t>
      </w:r>
      <w:r>
        <w:rPr>
          <w:rStyle w:val="FootnoteReference"/>
        </w:rPr>
        <w:footnoteReference w:id="1156"/>
      </w:r>
      <w:r>
        <w:t xml:space="preserve">, as an acetate salt (larazotide acetate); development code AT-1001.</w:t>
      </w:r>
    </w:p>
    <w:p>
      <w:pPr>
        <w:numPr>
          <w:ilvl w:val="0"/>
          <w:numId w:val="1138"/>
        </w:numPr>
        <w:pStyle w:val="Compact"/>
      </w:pPr>
      <w:r>
        <w:rPr>
          <w:bCs/>
          <w:b/>
        </w:rPr>
        <w:t xml:space="preserve">Origin:</w:t>
      </w:r>
      <w:r>
        <w:t xml:space="preserve"> </w:t>
      </w:r>
      <w:r>
        <w:t xml:space="preserve">derived from research on the zonula occludens toxin of the cholera bacterium, which opens the connections between gut cells; larazotide is intended to act in the opposite way.</w:t>
      </w:r>
    </w:p>
    <w:p>
      <w:pPr>
        <w:numPr>
          <w:ilvl w:val="0"/>
          <w:numId w:val="1138"/>
        </w:numPr>
        <w:pStyle w:val="Compact"/>
      </w:pPr>
      <w:r>
        <w:rPr>
          <w:bCs/>
          <w:b/>
        </w:rPr>
        <w:t xml:space="preserve">Mechanism of action:</w:t>
      </w:r>
      <w:r>
        <w:t xml:space="preserve"> </w:t>
      </w:r>
      <w:r>
        <w:t xml:space="preserve">regulator of the</w:t>
      </w:r>
      <w:r>
        <w:t xml:space="preserve"> </w:t>
      </w:r>
      <w:r>
        <w:t xml:space="preserve">“</w:t>
      </w:r>
      <w:r>
        <w:t xml:space="preserve">tight junctions</w:t>
      </w:r>
      <w:r>
        <w:t xml:space="preserve">”</w:t>
      </w:r>
      <w:r>
        <w:t xml:space="preserve"> </w:t>
      </w:r>
      <w:r>
        <w:t xml:space="preserve">(sealing strips between gut cells); considered an antagonist of the endogenous signaling substance zonulin. Acts locally in the gut and is hardly absorbed into the blood.</w:t>
      </w:r>
    </w:p>
    <w:p>
      <w:pPr>
        <w:numPr>
          <w:ilvl w:val="0"/>
          <w:numId w:val="1138"/>
        </w:numPr>
        <w:pStyle w:val="Compact"/>
      </w:pPr>
      <w:r>
        <w:rPr>
          <w:bCs/>
          <w:b/>
        </w:rPr>
        <w:t xml:space="preserve">Approval EU/USA:</w:t>
      </w:r>
      <w:r>
        <w:t xml:space="preserve"> </w:t>
      </w:r>
      <w:r>
        <w:t xml:space="preserve">no.</w:t>
      </w:r>
    </w:p>
    <w:p>
      <w:pPr>
        <w:numPr>
          <w:ilvl w:val="0"/>
          <w:numId w:val="1138"/>
        </w:numPr>
        <w:pStyle w:val="Compact"/>
      </w:pPr>
      <w:r>
        <w:rPr>
          <w:bCs/>
          <w:b/>
        </w:rPr>
        <w:t xml:space="preserve">WADA:</w:t>
      </w:r>
      <w:r>
        <w:t xml:space="preserve"> </w:t>
      </w:r>
      <w:r>
        <w:t xml:space="preserve">not listed; without any discernible performance-enhancing effect.</w:t>
      </w:r>
    </w:p>
    <w:p>
      <w:pPr>
        <w:numPr>
          <w:ilvl w:val="0"/>
          <w:numId w:val="1138"/>
        </w:numPr>
        <w:pStyle w:val="Compact"/>
      </w:pPr>
      <w:r>
        <w:rPr>
          <w:bCs/>
          <w:b/>
        </w:rPr>
        <w:t xml:space="preserve">Evidence level: B</w:t>
      </w:r>
      <w:r>
        <w:t xml:space="preserve"> </w:t>
      </w:r>
      <w:r>
        <w:t xml:space="preserve">– several randomized Phase 2 trials with mixed results; the Phase 3 trial was stopped, without published results.</w:t>
      </w:r>
    </w:p>
    <w:bookmarkEnd w:id="1157"/>
    <w:bookmarkStart w:id="1160" w:name="how-it-is-supposed-to-work-21"/>
    <w:p>
      <w:pPr>
        <w:pStyle w:val="Heading3"/>
      </w:pPr>
      <w:r>
        <w:t xml:space="preserve">How it is supposed to work</w:t>
      </w:r>
    </w:p>
    <w:p>
      <w:pPr>
        <w:pStyle w:val="FirstParagraph"/>
      </w:pPr>
      <w:r>
        <w:t xml:space="preserve">In celiac disease, the immune system of genetically predisposed people reacts to gluten, a protein in wheat, rye and barley. Fragments of gluten pass through the intestinal mucosa and trigger inflammation there that destroys the intestinal villi. Some of these fragments presumably travel through the gaps between gut cells. These gaps are closed by the tight junctions – a kind of molecular zipper.</w:t>
      </w:r>
    </w:p>
    <w:p>
      <w:pPr>
        <w:pStyle w:val="BodyText"/>
      </w:pPr>
      <w:r>
        <w:t xml:space="preserve">The signaling substance zonulin can open this zipper; gliadin, a component of gluten, releases zonulin. Larazotide is intended to block this pathway. In cultures of human gut cells, larazotide prevented the rearrangement of the sealing proteins and reduced the passage of a gliadin fragment through the cell layer; in genetically modified mice with gluten sensitivity, the structure of the sealing strips was preserved</w:t>
      </w:r>
      <w:r>
        <w:rPr>
          <w:rStyle w:val="FootnoteReference"/>
        </w:rPr>
        <w:footnoteReference w:id="1158"/>
      </w:r>
      <w:r>
        <w:t xml:space="preserve">. Newer studies additionally suspect inhibition of the enzyme myosin light chain kinase, which puts the cell junctions under tension</w:t>
      </w:r>
      <w:r>
        <w:rPr>
          <w:rStyle w:val="FootnoteReference"/>
        </w:rPr>
        <w:footnoteReference w:id="1159"/>
      </w:r>
      <w:r>
        <w:t xml:space="preserve">.</w:t>
      </w:r>
    </w:p>
    <w:p>
      <w:pPr>
        <w:pStyle w:val="BodyText"/>
      </w:pPr>
      <w:r>
        <w:t xml:space="preserve">Larazotide was never intended as a replacement for the gluten-free diet. The aim was an add-on agent for those affected who have symptoms despite the diet – for example due to unnoticed traces of gluten.</w:t>
      </w:r>
    </w:p>
    <w:bookmarkEnd w:id="1160"/>
    <w:bookmarkStart w:id="1176" w:name="human-studies-21"/>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4</w:t>
      </w:r>
      <w:r>
        <w:t xml:space="preserve"> </w:t>
      </w:r>
      <w:r>
        <w:t xml:space="preserve">human studies in PubMed and</w:t>
      </w:r>
      <w:r>
        <w:t xml:space="preserve"> </w:t>
      </w:r>
      <w:r>
        <w:rPr>
          <w:bCs/>
          <w:b/>
        </w:rPr>
        <w:t xml:space="preserve">29</w:t>
      </w:r>
      <w:r>
        <w:t xml:space="preserve"> </w:t>
      </w:r>
      <w:r>
        <w:t xml:space="preserve">entries on ClinicalTrials.gov. Of these 29 entries, however, 19 concern a completely different medicine: migalastat for Fabry disease formerly had the same development code AT1001. Only</w:t>
      </w:r>
      <w:r>
        <w:t xml:space="preserve"> </w:t>
      </w:r>
      <w:r>
        <w:rPr>
          <w:bCs/>
          <w:b/>
        </w:rPr>
        <w:t xml:space="preserve">10</w:t>
      </w:r>
      <w:r>
        <w:t xml:space="preserve"> </w:t>
      </w:r>
      <w:r>
        <w:t xml:space="preserve">registry entries actually relate to larazotide. A 2022 meta-analysis summarized four randomized trials with 626 people</w:t>
      </w:r>
      <w:r>
        <w:rPr>
          <w:rStyle w:val="FootnoteReference"/>
        </w:rPr>
        <w:footnoteReference w:id="116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Gluten challenge (Leffler 2012, PMID 22825365)</w:t>
            </w:r>
          </w:p>
        </w:tc>
        <w:tc>
          <w:tcPr/>
          <w:p>
            <w:pPr>
              <w:pStyle w:val="Compact"/>
              <w:jc w:val="left"/>
            </w:pPr>
            <w:r>
              <w:t xml:space="preserve">86 people with celiac disease, RCT with 4 doses and placebo</w:t>
            </w:r>
          </w:p>
        </w:tc>
        <w:tc>
          <w:tcPr/>
          <w:p>
            <w:pPr>
              <w:pStyle w:val="Compact"/>
              <w:jc w:val="left"/>
            </w:pPr>
            <w:r>
              <w:t xml:space="preserve">14 days</w:t>
            </w:r>
          </w:p>
        </w:tc>
        <w:tc>
          <w:tcPr/>
          <w:p>
            <w:pPr>
              <w:pStyle w:val="Compact"/>
              <w:jc w:val="left"/>
            </w:pPr>
            <w:r>
              <w:t xml:space="preserve">permeability test without significant difference; fewer symptoms at some low doses</w:t>
            </w:r>
          </w:p>
        </w:tc>
      </w:tr>
      <w:tr>
        <w:tc>
          <w:tcPr/>
          <w:p>
            <w:pPr>
              <w:pStyle w:val="Compact"/>
              <w:jc w:val="left"/>
            </w:pPr>
            <w:r>
              <w:t xml:space="preserve">Gluten challenge (Kelly 2013, PMID 23163616)</w:t>
            </w:r>
          </w:p>
        </w:tc>
        <w:tc>
          <w:tcPr/>
          <w:p>
            <w:pPr>
              <w:pStyle w:val="Compact"/>
              <w:jc w:val="left"/>
            </w:pPr>
            <w:r>
              <w:t xml:space="preserve">184 people, RCT with 3 doses and placebo, 2.7 g gluten daily</w:t>
            </w:r>
          </w:p>
        </w:tc>
        <w:tc>
          <w:tcPr/>
          <w:p>
            <w:pPr>
              <w:pStyle w:val="Compact"/>
              <w:jc w:val="left"/>
            </w:pPr>
            <w:r>
              <w:t xml:space="preserve">6 weeks</w:t>
            </w:r>
          </w:p>
        </w:tc>
        <w:tc>
          <w:tcPr/>
          <w:p>
            <w:pPr>
              <w:pStyle w:val="Compact"/>
              <w:jc w:val="left"/>
            </w:pPr>
            <w:r>
              <w:t xml:space="preserve">permeability unchanged; fewer symptoms only with 1 mg; smaller rise in celiac antibodies</w:t>
            </w:r>
          </w:p>
        </w:tc>
      </w:tr>
      <w:tr>
        <w:tc>
          <w:tcPr/>
          <w:p>
            <w:pPr>
              <w:pStyle w:val="Compact"/>
              <w:jc w:val="left"/>
            </w:pPr>
            <w:r>
              <w:t xml:space="preserve">Symptoms despite diet (Leffler 2015, PMID 25683116; NCT01396213)</w:t>
            </w:r>
          </w:p>
        </w:tc>
        <w:tc>
          <w:tcPr/>
          <w:p>
            <w:pPr>
              <w:pStyle w:val="Compact"/>
              <w:jc w:val="left"/>
            </w:pPr>
            <w:r>
              <w:t xml:space="preserve">342 people, RCT with 3 doses and placebo</w:t>
            </w:r>
          </w:p>
        </w:tc>
        <w:tc>
          <w:tcPr/>
          <w:p>
            <w:pPr>
              <w:pStyle w:val="Compact"/>
              <w:jc w:val="left"/>
            </w:pPr>
            <w:r>
              <w:t xml:space="preserve">12 weeks</w:t>
            </w:r>
          </w:p>
        </w:tc>
        <w:tc>
          <w:tcPr/>
          <w:p>
            <w:pPr>
              <w:pStyle w:val="Compact"/>
              <w:jc w:val="left"/>
            </w:pPr>
            <w:r>
              <w:t xml:space="preserve">primary goal reached only with the lowest dose (0.5 mg); 1 mg and 2 mg no better than placebo</w:t>
            </w:r>
          </w:p>
        </w:tc>
      </w:tr>
      <w:tr>
        <w:tc>
          <w:tcPr/>
          <w:p>
            <w:pPr>
              <w:pStyle w:val="Compact"/>
              <w:jc w:val="left"/>
            </w:pPr>
            <w:r>
              <w:t xml:space="preserve">CeDLara, Phase 3 (NCT03569007)</w:t>
            </w:r>
          </w:p>
        </w:tc>
        <w:tc>
          <w:tcPr/>
          <w:p>
            <w:pPr>
              <w:pStyle w:val="Compact"/>
              <w:jc w:val="left"/>
            </w:pPr>
            <w:r>
              <w:t xml:space="preserve">307 people, randomized, blinded</w:t>
            </w:r>
          </w:p>
        </w:tc>
        <w:tc>
          <w:tcPr/>
          <w:p>
            <w:pPr>
              <w:pStyle w:val="Compact"/>
              <w:jc w:val="left"/>
            </w:pPr>
            <w:r>
              <w:t xml:space="preserve">12 weeks planned</w:t>
            </w:r>
          </w:p>
        </w:tc>
        <w:tc>
          <w:tcPr/>
          <w:p>
            <w:pPr>
              <w:pStyle w:val="Compact"/>
              <w:jc w:val="left"/>
            </w:pPr>
            <w:r>
              <w:t xml:space="preserve">stopped by the sponsor in 2022; no results published</w:t>
            </w:r>
          </w:p>
        </w:tc>
      </w:tr>
      <w:tr>
        <w:tc>
          <w:tcPr/>
          <w:p>
            <w:pPr>
              <w:pStyle w:val="Compact"/>
              <w:jc w:val="left"/>
            </w:pPr>
            <w:r>
              <w:t xml:space="preserve">MIS-C in children (Yonker 2025, PMID 40737433)</w:t>
            </w:r>
          </w:p>
        </w:tc>
        <w:tc>
          <w:tcPr/>
          <w:p>
            <w:pPr>
              <w:pStyle w:val="Compact"/>
              <w:jc w:val="left"/>
            </w:pPr>
            <w:r>
              <w:t xml:space="preserve">12 children with inflammatory syndrome after COVID-19, Phase 2a, RCT</w:t>
            </w:r>
          </w:p>
        </w:tc>
        <w:tc>
          <w:tcPr/>
          <w:p>
            <w:pPr>
              <w:pStyle w:val="Compact"/>
              <w:jc w:val="left"/>
            </w:pPr>
            <w:r>
              <w:t xml:space="preserve">3 weeks</w:t>
            </w:r>
          </w:p>
        </w:tc>
        <w:tc>
          <w:tcPr/>
          <w:p>
            <w:pPr>
              <w:pStyle w:val="Compact"/>
              <w:jc w:val="left"/>
            </w:pPr>
            <w:r>
              <w:t xml:space="preserve">faster resolution of gastrointestinal symptoms; no side effects from larazotide</w:t>
            </w:r>
          </w:p>
        </w:tc>
      </w:tr>
    </w:tbl>
    <w:bookmarkStart w:id="1166" w:name="celiac-disease-phase-2"/>
    <w:p>
      <w:pPr>
        <w:pStyle w:val="Heading4"/>
      </w:pPr>
      <w:r>
        <w:t xml:space="preserve">Celiac disease: Phase 2</w:t>
      </w:r>
    </w:p>
    <w:p>
      <w:pPr>
        <w:pStyle w:val="FirstParagraph"/>
      </w:pPr>
      <w:r>
        <w:t xml:space="preserve">In the two studies with targeted gluten challenge, larazotide was meant to prevent the rise in intestinal permeability. This was measured with a sugar test in urine (lactulose-mannitol ratio). In practice, this test fluctuated so much that no effect could be demonstrated</w:t>
      </w:r>
      <w:r>
        <w:rPr>
          <w:rStyle w:val="FootnoteReference"/>
        </w:rPr>
        <w:footnoteReference w:id="1162"/>
      </w:r>
      <w:r>
        <w:t xml:space="preserve">. An unusual pattern emerged for symptoms: low doses sometimes worked better than high ones. In the study with 184 people, only the 1 mg dose significantly limited gluten-induced symptoms; at the same time, celiac antibodies rose considerably less under all larazotide doses than under placebo</w:t>
      </w:r>
      <w:r>
        <w:rPr>
          <w:rStyle w:val="FootnoteReference"/>
        </w:rPr>
        <w:footnoteReference w:id="1163"/>
      </w:r>
      <w:r>
        <w:t xml:space="preserve">.</w:t>
      </w:r>
    </w:p>
    <w:p>
      <w:pPr>
        <w:pStyle w:val="BodyText"/>
      </w:pPr>
      <w:r>
        <w:t xml:space="preserve">The largest Phase 2 trial, with 342 people who had symptoms despite a gluten-free diet, reached its primary goal only with the lowest dose of 0.5 mg. At this dose, there were 26 percent fewer days with celiac symptoms. The higher doses were not better than placebo on any endpoint; the authors themselves describe the results as</w:t>
      </w:r>
      <w:r>
        <w:t xml:space="preserve"> </w:t>
      </w:r>
      <w:r>
        <w:t xml:space="preserve">“</w:t>
      </w:r>
      <w:r>
        <w:t xml:space="preserve">mixed</w:t>
      </w:r>
      <w:r>
        <w:t xml:space="preserve">”</w:t>
      </w:r>
      <w:r>
        <w:rPr>
          <w:rStyle w:val="FootnoteReference"/>
        </w:rPr>
        <w:footnoteReference w:id="1164"/>
      </w:r>
      <w:r>
        <w:t xml:space="preserve">. A medicine in which only the lowest dose works is pharmacologically unusual and leaves doubt as to whether it is a real effect or chance.</w:t>
      </w:r>
    </w:p>
    <w:p>
      <w:pPr>
        <w:pStyle w:val="BodyText"/>
      </w:pPr>
      <w:r>
        <w:t xml:space="preserve">The meta-analysis found no effect on intestinal permeability, and an improvement in symptoms only under gluten challenge, but not in people on a gluten-free diet – that is, precisely not in the group for which larazotide was intended</w:t>
      </w:r>
      <w:r>
        <w:rPr>
          <w:rStyle w:val="FootnoteReference"/>
        </w:rPr>
        <w:footnoteReference w:id="1165"/>
      </w:r>
      <w:r>
        <w:t xml:space="preserve">.</w:t>
      </w:r>
    </w:p>
    <w:bookmarkEnd w:id="1166"/>
    <w:bookmarkStart w:id="1170" w:name="celiac-disease-the-phase-3-trial-cedlara"/>
    <w:p>
      <w:pPr>
        <w:pStyle w:val="Heading4"/>
      </w:pPr>
      <w:r>
        <w:t xml:space="preserve">Celiac disease: the Phase 3 trial CeDLara</w:t>
      </w:r>
    </w:p>
    <w:p>
      <w:pPr>
        <w:pStyle w:val="FirstParagraph"/>
      </w:pPr>
      <w:r>
        <w:t xml:space="preserve">On the basis of the 0.5 mg results, the Phase 3 trial CeDLara started in 2019 with larazotide in enteric-coated beads</w:t>
      </w:r>
      <w:r>
        <w:rPr>
          <w:rStyle w:val="FootnoteReference"/>
        </w:rPr>
        <w:footnoteReference w:id="1167"/>
      </w:r>
      <w:r>
        <w:t xml:space="preserve">. According to the registry, 307 people were enrolled; the trial was</w:t>
      </w:r>
      <w:r>
        <w:t xml:space="preserve"> </w:t>
      </w:r>
      <w:r>
        <w:t xml:space="preserve">“</w:t>
      </w:r>
      <w:r>
        <w:t xml:space="preserve">terminated by the sponsor</w:t>
      </w:r>
      <w:r>
        <w:t xml:space="preserve">”</w:t>
      </w:r>
      <w:r>
        <w:t xml:space="preserve"> </w:t>
      </w:r>
      <w:r>
        <w:t xml:space="preserve">in July 2022. To the author’s knowledge, the manufacturer at the time, 9 Meters Biopharma, justified the termination by stating that an interim analysis had shown that considerably more participants would have been needed to demonstrate a difference from placebo. There is no scientific publication of the results in PubMed. Reviews note that to date no celiac drug has successfully completed a Phase 3 trial</w:t>
      </w:r>
      <w:r>
        <w:rPr>
          <w:rStyle w:val="FootnoteReference"/>
        </w:rPr>
        <w:footnoteReference w:id="1168"/>
      </w:r>
      <w:r>
        <w:t xml:space="preserve"> </w:t>
      </w:r>
      <w:r>
        <w:t xml:space="preserve">and that no treatment has been shown to be an effective alternative to the gluten-free diet</w:t>
      </w:r>
      <w:r>
        <w:rPr>
          <w:rStyle w:val="FootnoteReference"/>
        </w:rPr>
        <w:footnoteReference w:id="1169"/>
      </w:r>
      <w:r>
        <w:t xml:space="preserve">.</w:t>
      </w:r>
    </w:p>
    <w:bookmarkEnd w:id="1170"/>
    <w:bookmarkStart w:id="1175" w:name="X9e8c5d336452a560cbecd8b457fff0d74d080b8"/>
    <w:p>
      <w:pPr>
        <w:pStyle w:val="Heading4"/>
      </w:pPr>
      <w:r>
        <w:t xml:space="preserve">New application: inflammatory syndrome after COVID-19</w:t>
      </w:r>
    </w:p>
    <w:p>
      <w:pPr>
        <w:pStyle w:val="FirstParagraph"/>
      </w:pPr>
      <w:r>
        <w:t xml:space="preserve">One research group suspects that in multisystem inflammatory syndrome in children (MIS-C) after COVID-19, viral components pass from the gut into the blood. In a first case series with four children, the viral protein disappeared from the blood on larazotide, and gastrointestinal symptoms resolved faster than in 22 comparison children</w:t>
      </w:r>
      <w:r>
        <w:rPr>
          <w:rStyle w:val="FootnoteReference"/>
        </w:rPr>
        <w:footnoteReference w:id="1171"/>
      </w:r>
      <w:r>
        <w:t xml:space="preserve">. A randomized Phase 2a trial with only 12 children confirmed faster improvement of symptoms; no side effects from larazotide were observed</w:t>
      </w:r>
      <w:r>
        <w:rPr>
          <w:rStyle w:val="FootnoteReference"/>
        </w:rPr>
        <w:footnoteReference w:id="1172"/>
      </w:r>
      <w:r>
        <w:t xml:space="preserve">. The trial was stopped because of declining case numbers</w:t>
      </w:r>
      <w:r>
        <w:rPr>
          <w:rStyle w:val="FootnoteReference"/>
        </w:rPr>
        <w:footnoteReference w:id="1173"/>
      </w:r>
      <w:r>
        <w:t xml:space="preserve">. A trial in long COVID with 107 children and adults has been completed since June 2026 according to the registry</w:t>
      </w:r>
      <w:r>
        <w:rPr>
          <w:rStyle w:val="FootnoteReference"/>
        </w:rPr>
        <w:footnoteReference w:id="1174"/>
      </w:r>
      <w:r>
        <w:t xml:space="preserve">; results had not been published as of October 2026.</w:t>
      </w:r>
    </w:p>
    <w:bookmarkEnd w:id="1175"/>
    <w:bookmarkEnd w:id="1176"/>
    <w:bookmarkStart w:id="1180" w:name="animal-and-laboratory-studies-21"/>
    <w:p>
      <w:pPr>
        <w:pStyle w:val="Heading3"/>
      </w:pPr>
      <w:r>
        <w:t xml:space="preserve">Animal and laboratory studies</w:t>
      </w:r>
    </w:p>
    <w:p>
      <w:pPr>
        <w:pStyle w:val="FirstParagraph"/>
      </w:pPr>
      <w:r>
        <w:t xml:space="preserve">Besides celiac disease, larazotide has been tested in animal models of other diseases with an impaired intestinal barrier. In mice prone to joint inflammation, larazotide reduced the onset of arthritis</w:t>
      </w:r>
      <w:r>
        <w:rPr>
          <w:rStyle w:val="FootnoteReference"/>
        </w:rPr>
        <w:footnoteReference w:id="1177"/>
      </w:r>
      <w:r>
        <w:t xml:space="preserve">. In pigs, it promoted the recovery of small intestinal tissue after impaired blood flow</w:t>
      </w:r>
      <w:r>
        <w:rPr>
          <w:rStyle w:val="FootnoteReference"/>
        </w:rPr>
        <w:footnoteReference w:id="1178"/>
      </w:r>
      <w:r>
        <w:t xml:space="preserve">. In rats, effects in acute pancreatitis and acute liver failure have been described</w:t>
      </w:r>
      <w:r>
        <w:rPr>
          <w:rStyle w:val="FootnoteReference"/>
        </w:rPr>
        <w:footnoteReference w:id="1179"/>
      </w:r>
      <w:r>
        <w:t xml:space="preserve">. These are animal experiments; no conclusions about rheumatism, the pancreas or the liver in humans can be drawn from them.</w:t>
      </w:r>
    </w:p>
    <w:bookmarkEnd w:id="1180"/>
    <w:bookmarkStart w:id="1186" w:name="risks-and-side-effects-21"/>
    <w:p>
      <w:pPr>
        <w:pStyle w:val="Heading3"/>
      </w:pPr>
      <w:r>
        <w:t xml:space="preserve">Risks and side effects</w:t>
      </w:r>
    </w:p>
    <w:bookmarkStart w:id="1184" w:name="documented-5"/>
    <w:p>
      <w:pPr>
        <w:pStyle w:val="Heading4"/>
      </w:pPr>
      <w:r>
        <w:t xml:space="preserve">Documented</w:t>
      </w:r>
    </w:p>
    <w:p>
      <w:pPr>
        <w:pStyle w:val="FirstParagraph"/>
      </w:pPr>
      <w:r>
        <w:t xml:space="preserve">Larazotide was well tolerated in all studies. In the study with 86 people, no serious side effects occurred; the most common were headache and urinary tract infections</w:t>
      </w:r>
      <w:r>
        <w:rPr>
          <w:rStyle w:val="FootnoteReference"/>
        </w:rPr>
        <w:footnoteReference w:id="1181"/>
      </w:r>
      <w:r>
        <w:t xml:space="preserve">. In the largest Phase 2 trial, safety was comparable with placebo</w:t>
      </w:r>
      <w:r>
        <w:rPr>
          <w:rStyle w:val="FootnoteReference"/>
        </w:rPr>
        <w:footnoteReference w:id="1182"/>
      </w:r>
      <w:r>
        <w:t xml:space="preserve">. Overall, the meta-analysis found no excess of side effects compared with placebo</w:t>
      </w:r>
      <w:r>
        <w:rPr>
          <w:rStyle w:val="FootnoteReference"/>
        </w:rPr>
        <w:footnoteReference w:id="1183"/>
      </w:r>
      <w:r>
        <w:t xml:space="preserve">. Since larazotide hardly enters the blood, a favorable safety profile is plausible.</w:t>
      </w:r>
    </w:p>
    <w:bookmarkEnd w:id="1184"/>
    <w:bookmarkStart w:id="1185" w:name="points-to-note-1"/>
    <w:p>
      <w:pPr>
        <w:pStyle w:val="Heading4"/>
      </w:pPr>
      <w:r>
        <w:t xml:space="preserve">Points to note</w:t>
      </w:r>
    </w:p>
    <w:p>
      <w:pPr>
        <w:numPr>
          <w:ilvl w:val="0"/>
          <w:numId w:val="1139"/>
        </w:numPr>
        <w:pStyle w:val="Compact"/>
      </w:pPr>
      <w:r>
        <w:rPr>
          <w:bCs/>
          <w:b/>
        </w:rPr>
        <w:t xml:space="preserve">No alternative to the diet:</w:t>
      </w:r>
      <w:r>
        <w:t xml:space="preserve"> </w:t>
      </w:r>
      <w:r>
        <w:t xml:space="preserve">Even in the positive studies, larazotide did not protect against damage from larger amounts of gluten. Anyone who relaxes their gluten-free diet because of such an agent risks intestinal damage.</w:t>
      </w:r>
    </w:p>
    <w:p>
      <w:pPr>
        <w:numPr>
          <w:ilvl w:val="0"/>
          <w:numId w:val="1139"/>
        </w:numPr>
        <w:pStyle w:val="Compact"/>
      </w:pPr>
      <w:r>
        <w:rPr>
          <w:bCs/>
          <w:b/>
        </w:rPr>
        <w:t xml:space="preserve">Gray market:</w:t>
      </w:r>
      <w:r>
        <w:t xml:space="preserve"> </w:t>
      </w:r>
      <w:r>
        <w:t xml:space="preserve">Larazotide is occasionally offered as a</w:t>
      </w:r>
      <w:r>
        <w:t xml:space="preserve"> </w:t>
      </w:r>
      <w:r>
        <w:t xml:space="preserve">“</w:t>
      </w:r>
      <w:r>
        <w:t xml:space="preserve">leaky gut peptide.</w:t>
      </w:r>
      <w:r>
        <w:t xml:space="preserve">”</w:t>
      </w:r>
      <w:r>
        <w:t xml:space="preserve"> </w:t>
      </w:r>
      <w:r>
        <w:t xml:space="preserve">The studies used a special enteric-coated formulation; whether freely sold products deliver the active substance to the site of action at all is unknown. There are no studies with larazotide for the concept of</w:t>
      </w:r>
      <w:r>
        <w:t xml:space="preserve"> </w:t>
      </w:r>
      <w:r>
        <w:t xml:space="preserve">“</w:t>
      </w:r>
      <w:r>
        <w:t xml:space="preserve">leaky gut</w:t>
      </w:r>
      <w:r>
        <w:t xml:space="preserve">”</w:t>
      </w:r>
      <w:r>
        <w:t xml:space="preserve"> </w:t>
      </w:r>
      <w:r>
        <w:t xml:space="preserve">without celiac disease.</w:t>
      </w:r>
    </w:p>
    <w:bookmarkEnd w:id="1185"/>
    <w:bookmarkEnd w:id="1186"/>
    <w:bookmarkStart w:id="1187" w:name="legal-status-21"/>
    <w:p>
      <w:pPr>
        <w:pStyle w:val="Heading3"/>
      </w:pPr>
      <w:r>
        <w:t xml:space="preserve">Legal status</w:t>
      </w:r>
    </w:p>
    <w:p>
      <w:pPr>
        <w:pStyle w:val="FirstParagraph"/>
      </w:pPr>
      <w:r>
        <w:rPr>
          <w:iCs/>
          <w:i/>
        </w:rPr>
        <w:t xml:space="preserve">As of 2026, please check for updates.</w:t>
      </w:r>
    </w:p>
    <w:p>
      <w:pPr>
        <w:numPr>
          <w:ilvl w:val="0"/>
          <w:numId w:val="1140"/>
        </w:numPr>
        <w:pStyle w:val="Compact"/>
      </w:pPr>
      <w:r>
        <w:rPr>
          <w:bCs/>
          <w:b/>
        </w:rPr>
        <w:t xml:space="preserve">EU, Germany, Austria:</w:t>
      </w:r>
      <w:r>
        <w:t xml:space="preserve"> </w:t>
      </w:r>
      <w:r>
        <w:t xml:space="preserve">not approved.</w:t>
      </w:r>
    </w:p>
    <w:p>
      <w:pPr>
        <w:numPr>
          <w:ilvl w:val="0"/>
          <w:numId w:val="1140"/>
        </w:numPr>
        <w:pStyle w:val="Compact"/>
      </w:pPr>
      <w:r>
        <w:rPr>
          <w:bCs/>
          <w:b/>
        </w:rPr>
        <w:t xml:space="preserve">USA:</w:t>
      </w:r>
      <w:r>
        <w:t xml:space="preserve"> </w:t>
      </w:r>
      <w:r>
        <w:t xml:space="preserve">not approved. To the author’s knowledge, the developer had received an accelerated review designation (</w:t>
      </w:r>
      <w:r>
        <w:t xml:space="preserve">“</w:t>
      </w:r>
      <w:r>
        <w:t xml:space="preserve">Fast Track</w:t>
      </w:r>
      <w:r>
        <w:t xml:space="preserve">”</w:t>
      </w:r>
      <w:r>
        <w:t xml:space="preserve">) from the FDA for celiac disease; after the Phase 3 trial was stopped, no application for approval was submitted.</w:t>
      </w:r>
    </w:p>
    <w:p>
      <w:pPr>
        <w:numPr>
          <w:ilvl w:val="0"/>
          <w:numId w:val="1140"/>
        </w:numPr>
        <w:pStyle w:val="Compact"/>
      </w:pPr>
      <w:r>
        <w:rPr>
          <w:bCs/>
          <w:b/>
        </w:rPr>
        <w:t xml:space="preserve">WADA:</w:t>
      </w:r>
      <w:r>
        <w:t xml:space="preserve"> </w:t>
      </w:r>
      <w:r>
        <w:t xml:space="preserve">not listed.</w:t>
      </w:r>
    </w:p>
    <w:bookmarkEnd w:id="1187"/>
    <w:bookmarkStart w:id="1190" w:name="ongoing-studies-and-outlook-21"/>
    <w:p>
      <w:pPr>
        <w:pStyle w:val="Heading3"/>
      </w:pPr>
      <w:r>
        <w:t xml:space="preserve">Ongoing studies and outlook</w:t>
      </w:r>
    </w:p>
    <w:p>
      <w:pPr>
        <w:pStyle w:val="FirstParagraph"/>
      </w:pPr>
      <w:r>
        <w:rPr>
          <w:bCs/>
          <w:b/>
        </w:rPr>
        <w:t xml:space="preserve">Confirmed:</w:t>
      </w:r>
      <w:r>
        <w:t xml:space="preserve"> </w:t>
      </w:r>
      <w:r>
        <w:t xml:space="preserve">As of October 2026, no ongoing trial with larazotide is registered on ClinicalTrials.gov. The long COVID trial</w:t>
      </w:r>
      <w:r>
        <w:rPr>
          <w:rStyle w:val="FootnoteReference"/>
        </w:rPr>
        <w:footnoteReference w:id="1188"/>
      </w:r>
      <w:r>
        <w:t xml:space="preserve"> </w:t>
      </w:r>
      <w:r>
        <w:t xml:space="preserve">has been completed; results are pending.</w:t>
      </w:r>
    </w:p>
    <w:p>
      <w:pPr>
        <w:pStyle w:val="BodyText"/>
      </w:pPr>
      <w:r>
        <w:rPr>
          <w:bCs/>
          <w:b/>
        </w:rPr>
        <w:t xml:space="preserve">Author’s assessment:</w:t>
      </w:r>
      <w:r>
        <w:t xml:space="preserve"> </w:t>
      </w:r>
      <w:r>
        <w:t xml:space="preserve">For celiac disease, larazotide is unlikely to have a future after the termination of CeDLara unless a new developer takes over the rights. Other approaches – gluten-degrading enzymes, transglutaminase 2 inhibitors or methods for immune tolerance – are currently considered more promising</w:t>
      </w:r>
      <w:r>
        <w:rPr>
          <w:rStyle w:val="FootnoteReference"/>
        </w:rPr>
        <w:footnoteReference w:id="1189"/>
      </w:r>
      <w:r>
        <w:t xml:space="preserve">. In MIS-C and long COVID, further development depends on the as yet unpublished results.</w:t>
      </w:r>
    </w:p>
    <w:bookmarkEnd w:id="1190"/>
    <w:bookmarkStart w:id="1192" w:name="conclusion-21"/>
    <w:p>
      <w:pPr>
        <w:pStyle w:val="Heading3"/>
      </w:pPr>
      <w:r>
        <w:t xml:space="preserve">Conclusion</w:t>
      </w:r>
    </w:p>
    <w:p>
      <w:pPr>
        <w:pStyle w:val="FirstParagraph"/>
      </w:pPr>
      <w:r>
        <w:t xml:space="preserve">Larazotide is a peptide of eight amino acids intended to seal the connections between gut cells, and was the first agent against celiac disease to reach a Phase 3 trial. In the Phase 2 trials, the results were mixed: no effect on intestinal permeability could be demonstrated, and for symptoms despite diet, only the lowest dose worked</w:t>
      </w:r>
      <w:r>
        <w:rPr>
          <w:rStyle w:val="FootnoteReference"/>
        </w:rPr>
        <w:footnoteReference w:id="1191"/>
      </w:r>
      <w:r>
        <w:t xml:space="preserve">. The Phase 3 trial CeDLara was stopped in 2022, and results were not published. Larazotide is well tolerated, but neither approved nor proven effective – and no substitute for the gluten-free diet.</w:t>
      </w:r>
    </w:p>
    <w:bookmarkEnd w:id="1192"/>
    <w:bookmarkEnd w:id="1193"/>
    <w:bookmarkStart w:id="1222" w:name="thymalin-and-thymogen"/>
    <w:p>
      <w:pPr>
        <w:pStyle w:val="Heading2"/>
      </w:pPr>
      <w:r>
        <w:t xml:space="preserve">Thymalin and Thymogen</w:t>
      </w:r>
    </w:p>
    <w:p>
      <w:pPr>
        <w:pStyle w:val="FirstParagraph"/>
      </w:pPr>
      <w:r>
        <w:t xml:space="preserve">Thymalin is an extract from the thymus gland of calves; Thymogen is a synthetic dipeptide derived from it. Both originate from Soviet military medicine of the 1970s and 1980s and are still on the market as medicines in Russia today. In Western longevity circles, they are marketed as</w:t>
      </w:r>
      <w:r>
        <w:t xml:space="preserve"> </w:t>
      </w:r>
      <w:r>
        <w:t xml:space="preserve">“</w:t>
      </w:r>
      <w:r>
        <w:t xml:space="preserve">bioregulators</w:t>
      </w:r>
      <w:r>
        <w:t xml:space="preserve">”</w:t>
      </w:r>
      <w:r>
        <w:t xml:space="preserve"> </w:t>
      </w:r>
      <w:r>
        <w:t xml:space="preserve">intended to</w:t>
      </w:r>
      <w:r>
        <w:t xml:space="preserve"> </w:t>
      </w:r>
      <w:r>
        <w:t xml:space="preserve">“</w:t>
      </w:r>
      <w:r>
        <w:t xml:space="preserve">rejuvenate</w:t>
      </w:r>
      <w:r>
        <w:t xml:space="preserve">”</w:t>
      </w:r>
      <w:r>
        <w:t xml:space="preserve"> </w:t>
      </w:r>
      <w:r>
        <w:t xml:space="preserve">the immune system and extend life. The basis for these promises is almost exclusively the research of a single school around the St. Petersburg gerontologist Vladimir Khavinson. This chapter puts this research into perspective – and explains why its results should be read with great caution.</w:t>
      </w:r>
    </w:p>
    <w:bookmarkStart w:id="1197" w:name="profile-22"/>
    <w:p>
      <w:pPr>
        <w:pStyle w:val="Heading3"/>
      </w:pPr>
      <w:r>
        <w:t xml:space="preserve">Profile</w:t>
      </w:r>
    </w:p>
    <w:p>
      <w:pPr>
        <w:numPr>
          <w:ilvl w:val="0"/>
          <w:numId w:val="1141"/>
        </w:numPr>
        <w:pStyle w:val="Compact"/>
      </w:pPr>
      <w:r>
        <w:rPr>
          <w:bCs/>
          <w:b/>
        </w:rPr>
        <w:t xml:space="preserve">Thymalin:</w:t>
      </w:r>
      <w:r>
        <w:t xml:space="preserve"> </w:t>
      </w:r>
      <w:r>
        <w:t xml:space="preserve">mixture of peptides obtained by acid extraction from the thymus of calves</w:t>
      </w:r>
      <w:r>
        <w:rPr>
          <w:rStyle w:val="FootnoteReference"/>
        </w:rPr>
        <w:footnoteReference w:id="1194"/>
      </w:r>
      <w:r>
        <w:t xml:space="preserve">; not a uniformly defined substance. The dipeptides Lys-Glu (KE) and Glu-Trp (EW) are named as the most important active components</w:t>
      </w:r>
      <w:r>
        <w:rPr>
          <w:rStyle w:val="FootnoteReference"/>
        </w:rPr>
        <w:footnoteReference w:id="1195"/>
      </w:r>
      <w:r>
        <w:t xml:space="preserve">.</w:t>
      </w:r>
    </w:p>
    <w:p>
      <w:pPr>
        <w:numPr>
          <w:ilvl w:val="0"/>
          <w:numId w:val="1141"/>
        </w:numPr>
        <w:pStyle w:val="Compact"/>
      </w:pPr>
      <w:r>
        <w:rPr>
          <w:bCs/>
          <w:b/>
        </w:rPr>
        <w:t xml:space="preserve">Thymogen:</w:t>
      </w:r>
      <w:r>
        <w:t xml:space="preserve"> </w:t>
      </w:r>
      <w:r>
        <w:t xml:space="preserve">synthetically manufactured dipeptide L-Glu-L-Trp, isolated from thymalin</w:t>
      </w:r>
      <w:r>
        <w:rPr>
          <w:rStyle w:val="FootnoteReference"/>
        </w:rPr>
        <w:footnoteReference w:id="1196"/>
      </w:r>
      <w:r>
        <w:t xml:space="preserve">; also available as a nasal spray in Russia.</w:t>
      </w:r>
    </w:p>
    <w:p>
      <w:pPr>
        <w:numPr>
          <w:ilvl w:val="0"/>
          <w:numId w:val="1141"/>
        </w:numPr>
        <w:pStyle w:val="Compact"/>
      </w:pPr>
      <w:r>
        <w:rPr>
          <w:bCs/>
          <w:b/>
        </w:rPr>
        <w:t xml:space="preserve">Mechanism of action (claimed):</w:t>
      </w:r>
      <w:r>
        <w:t xml:space="preserve"> </w:t>
      </w:r>
      <w:r>
        <w:t xml:space="preserve">stimulation of T-cell maturation,</w:t>
      </w:r>
      <w:r>
        <w:t xml:space="preserve"> </w:t>
      </w:r>
      <w:r>
        <w:t xml:space="preserve">“</w:t>
      </w:r>
      <w:r>
        <w:t xml:space="preserve">normalization</w:t>
      </w:r>
      <w:r>
        <w:t xml:space="preserve">”</w:t>
      </w:r>
      <w:r>
        <w:t xml:space="preserve"> </w:t>
      </w:r>
      <w:r>
        <w:t xml:space="preserve">of immune function and blood clotting; according to Khavinson’s theory, short peptides act as</w:t>
      </w:r>
      <w:r>
        <w:t xml:space="preserve"> </w:t>
      </w:r>
      <w:r>
        <w:t xml:space="preserve">“</w:t>
      </w:r>
      <w:r>
        <w:t xml:space="preserve">bioregulators</w:t>
      </w:r>
      <w:r>
        <w:t xml:space="preserve">”</w:t>
      </w:r>
      <w:r>
        <w:t xml:space="preserve"> </w:t>
      </w:r>
      <w:r>
        <w:t xml:space="preserve">directly on gene activity.</w:t>
      </w:r>
    </w:p>
    <w:p>
      <w:pPr>
        <w:numPr>
          <w:ilvl w:val="0"/>
          <w:numId w:val="1141"/>
        </w:numPr>
        <w:pStyle w:val="Compact"/>
      </w:pPr>
      <w:r>
        <w:rPr>
          <w:bCs/>
          <w:b/>
        </w:rPr>
        <w:t xml:space="preserve">Approval:</w:t>
      </w:r>
      <w:r>
        <w:t xml:space="preserve"> </w:t>
      </w:r>
      <w:r>
        <w:t xml:space="preserve">approved as medicines in Russia and some successor states of the Soviet Union;</w:t>
      </w:r>
      <w:r>
        <w:t xml:space="preserve"> </w:t>
      </w:r>
      <w:r>
        <w:rPr>
          <w:bCs/>
          <w:b/>
        </w:rPr>
        <w:t xml:space="preserve">EU and USA:</w:t>
      </w:r>
      <w:r>
        <w:t xml:space="preserve"> </w:t>
      </w:r>
      <w:r>
        <w:t xml:space="preserve">no.</w:t>
      </w:r>
    </w:p>
    <w:p>
      <w:pPr>
        <w:numPr>
          <w:ilvl w:val="0"/>
          <w:numId w:val="1141"/>
        </w:numPr>
        <w:pStyle w:val="Compact"/>
      </w:pPr>
      <w:r>
        <w:rPr>
          <w:bCs/>
          <w:b/>
        </w:rPr>
        <w:t xml:space="preserve">WADA:</w:t>
      </w:r>
      <w:r>
        <w:t xml:space="preserve"> </w:t>
      </w:r>
      <w:r>
        <w:t xml:space="preserve">not explicitly listed.</w:t>
      </w:r>
    </w:p>
    <w:p>
      <w:pPr>
        <w:numPr>
          <w:ilvl w:val="0"/>
          <w:numId w:val="1141"/>
        </w:numPr>
        <w:pStyle w:val="Compact"/>
      </w:pPr>
      <w:r>
        <w:rPr>
          <w:bCs/>
          <w:b/>
        </w:rPr>
        <w:t xml:space="preserve">Evidence level: C</w:t>
      </w:r>
      <w:r>
        <w:t xml:space="preserve"> </w:t>
      </w:r>
      <w:r>
        <w:t xml:space="preserve">– predominantly small, open-label or inadequately described studies; only a single study in PubMed described as randomized and placebo-controlled.</w:t>
      </w:r>
    </w:p>
    <w:bookmarkEnd w:id="1197"/>
    <w:bookmarkStart w:id="1201" w:name="how-it-is-supposed-to-work-22"/>
    <w:p>
      <w:pPr>
        <w:pStyle w:val="Heading3"/>
      </w:pPr>
      <w:r>
        <w:t xml:space="preserve">How it is supposed to work</w:t>
      </w:r>
    </w:p>
    <w:p>
      <w:pPr>
        <w:pStyle w:val="FirstParagraph"/>
      </w:pPr>
      <w:r>
        <w:t xml:space="preserve">The idea follows the same logic as with thymosin alpha-1 (see there): the thymus trains T cells and shrinks with age, so thymic messengers should strengthen the body’s defenses. However, while thymosin alpha-1 is a precisely defined peptide with a known sequence, thymalin is a mixture of many components of animal origin.</w:t>
      </w:r>
    </w:p>
    <w:p>
      <w:pPr>
        <w:pStyle w:val="BodyText"/>
      </w:pPr>
      <w:r>
        <w:t xml:space="preserve">From this mixture, the researchers isolated the dipeptide Glu-Trp and brought it to market synthetically as Thymogen. It is said to promote T-cell differentiation and antigen recognition and to activate phagocytes</w:t>
      </w:r>
      <w:r>
        <w:rPr>
          <w:rStyle w:val="FootnoteReference"/>
        </w:rPr>
        <w:footnoteReference w:id="1198"/>
      </w:r>
      <w:r>
        <w:t xml:space="preserve">.</w:t>
      </w:r>
    </w:p>
    <w:p>
      <w:pPr>
        <w:pStyle w:val="BodyText"/>
      </w:pPr>
      <w:r>
        <w:t xml:space="preserve">Khavinson developed a more comprehensive theory from this: short peptides from various organs are said to act in a tissue-specific way and</w:t>
      </w:r>
      <w:r>
        <w:t xml:space="preserve"> </w:t>
      </w:r>
      <w:r>
        <w:t xml:space="preserve">“</w:t>
      </w:r>
      <w:r>
        <w:t xml:space="preserve">regulate</w:t>
      </w:r>
      <w:r>
        <w:t xml:space="preserve">”</w:t>
      </w:r>
      <w:r>
        <w:t xml:space="preserve"> </w:t>
      </w:r>
      <w:r>
        <w:t xml:space="preserve">gene activity – peptides from the pineal gland for the pineal gland, from the thymus for the immune system and so on</w:t>
      </w:r>
      <w:r>
        <w:rPr>
          <w:rStyle w:val="FootnoteReference"/>
        </w:rPr>
        <w:footnoteReference w:id="1199"/>
      </w:r>
      <w:r>
        <w:t xml:space="preserve">. Epitalon, which is dealt with in Part II · D, also comes from this school. This theory has hardly been tested outside the research group and does not correspond to the general understanding of how peptide messengers act – namely, as a rule, via receptors on the cell surface. Newer work by the group bases the mechanism mainly on computer simulations of binding to genetic material and on cell cultures</w:t>
      </w:r>
      <w:r>
        <w:rPr>
          <w:rStyle w:val="FootnoteReference"/>
        </w:rPr>
        <w:footnoteReference w:id="1200"/>
      </w:r>
      <w:r>
        <w:t xml:space="preserve">.</w:t>
      </w:r>
    </w:p>
    <w:bookmarkEnd w:id="1201"/>
    <w:bookmarkStart w:id="1210" w:name="human-studies-22"/>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17</w:t>
      </w:r>
      <w:r>
        <w:t xml:space="preserve"> </w:t>
      </w:r>
      <w:r>
        <w:t xml:space="preserve">human studies in PubMed and</w:t>
      </w:r>
      <w:r>
        <w:t xml:space="preserve"> </w:t>
      </w:r>
      <w:r>
        <w:rPr>
          <w:bCs/>
          <w:b/>
        </w:rPr>
        <w:t xml:space="preserve">0</w:t>
      </w:r>
      <w:r>
        <w:t xml:space="preserve"> </w:t>
      </w:r>
      <w:r>
        <w:t xml:space="preserve">entries on ClinicalTrials.gov. In total, PubMed lists around 290 publications on thymalin or Thymogen; of these, about 250 are in Russian, and only a single one mentions</w:t>
      </w:r>
      <w:r>
        <w:t xml:space="preserve"> </w:t>
      </w:r>
      <w:r>
        <w:t xml:space="preserve">“</w:t>
      </w:r>
      <w:r>
        <w:t xml:space="preserve">randomized</w:t>
      </w:r>
      <w:r>
        <w:t xml:space="preserve">”</w:t>
      </w:r>
      <w:r>
        <w:t xml:space="preserve"> </w:t>
      </w:r>
      <w:r>
        <w:t xml:space="preserve">or</w:t>
      </w:r>
      <w:r>
        <w:t xml:space="preserve"> </w:t>
      </w:r>
      <w:r>
        <w:t xml:space="preserve">“</w:t>
      </w:r>
      <w:r>
        <w:t xml:space="preserve">placebo</w:t>
      </w:r>
      <w:r>
        <w:t xml:space="preserve">”</w:t>
      </w:r>
      <w:r>
        <w:t xml:space="preserve"> </w:t>
      </w:r>
      <w:r>
        <w:t xml:space="preserve">in the title or abstract. For most of the human studies, PubMed contains only a short Russian or Ukrainian abstract, often without information on the number of participants, the control group or blinding.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w:t>
            </w:r>
            <w:r>
              <w:t xml:space="preserve">Extension of life</w:t>
            </w:r>
            <w:r>
              <w:t xml:space="preserve">”</w:t>
            </w:r>
            <w:r>
              <w:t xml:space="preserve"> </w:t>
            </w:r>
            <w:r>
              <w:t xml:space="preserve">(Khavinson 2003, PMID 14523363)</w:t>
            </w:r>
          </w:p>
        </w:tc>
        <w:tc>
          <w:tcPr/>
          <w:p>
            <w:pPr>
              <w:pStyle w:val="Compact"/>
              <w:jc w:val="left"/>
            </w:pPr>
            <w:r>
              <w:t xml:space="preserve">266 older people, thymalin and/or epithalamin vs. control; allocation and blinding not described</w:t>
            </w:r>
          </w:p>
        </w:tc>
        <w:tc>
          <w:tcPr/>
          <w:p>
            <w:pPr>
              <w:pStyle w:val="Compact"/>
              <w:jc w:val="left"/>
            </w:pPr>
            <w:r>
              <w:t xml:space="preserve">6–8 years of observation</w:t>
            </w:r>
          </w:p>
        </w:tc>
        <w:tc>
          <w:tcPr/>
          <w:p>
            <w:pPr>
              <w:pStyle w:val="Compact"/>
              <w:jc w:val="left"/>
            </w:pPr>
            <w:r>
              <w:t xml:space="preserve">mortality in the thymalin group 2.0- to 2.1-fold lower than in the control</w:t>
            </w:r>
          </w:p>
        </w:tc>
      </w:tr>
      <w:tr>
        <w:tc>
          <w:tcPr/>
          <w:p>
            <w:pPr>
              <w:pStyle w:val="Compact"/>
              <w:jc w:val="left"/>
            </w:pPr>
            <w:r>
              <w:t xml:space="preserve">Before abdominal surgery (Smirnov 2011, PMID 21957588)</w:t>
            </w:r>
          </w:p>
        </w:tc>
        <w:tc>
          <w:tcPr/>
          <w:p>
            <w:pPr>
              <w:pStyle w:val="Compact"/>
              <w:jc w:val="left"/>
            </w:pPr>
            <w:r>
              <w:t xml:space="preserve">older people with abdominal tumors, double-blind RCT vs. placebo, Thymogen as nasal drops; number of participants not stated in the abstract</w:t>
            </w:r>
          </w:p>
        </w:tc>
        <w:tc>
          <w:tcPr/>
          <w:p>
            <w:pPr>
              <w:pStyle w:val="Compact"/>
              <w:jc w:val="left"/>
            </w:pPr>
            <w:r>
              <w:t xml:space="preserve">7 days before surgery</w:t>
            </w:r>
          </w:p>
        </w:tc>
        <w:tc>
          <w:tcPr/>
          <w:p>
            <w:pPr>
              <w:pStyle w:val="Compact"/>
              <w:jc w:val="left"/>
            </w:pPr>
            <w:r>
              <w:t xml:space="preserve">fewer complications after surgery</w:t>
            </w:r>
          </w:p>
        </w:tc>
      </w:tr>
      <w:tr>
        <w:tc>
          <w:tcPr/>
          <w:p>
            <w:pPr>
              <w:pStyle w:val="Compact"/>
              <w:jc w:val="left"/>
            </w:pPr>
            <w:r>
              <w:t xml:space="preserve">Severe COVID-19 (Kuznik 2022, PMID 36169363)</w:t>
            </w:r>
          </w:p>
        </w:tc>
        <w:tc>
          <w:tcPr/>
          <w:p>
            <w:pPr>
              <w:pStyle w:val="Compact"/>
              <w:jc w:val="left"/>
            </w:pPr>
            <w:r>
              <w:t xml:space="preserve">three groups: standard therapy, plus tocilizumab, plus thymalin; allocation not described</w:t>
            </w:r>
          </w:p>
        </w:tc>
        <w:tc>
          <w:tcPr/>
          <w:p>
            <w:pPr>
              <w:pStyle w:val="Compact"/>
              <w:jc w:val="left"/>
            </w:pPr>
            <w:r>
              <w:t xml:space="preserve">hospital stay</w:t>
            </w:r>
          </w:p>
        </w:tc>
        <w:tc>
          <w:tcPr/>
          <w:p>
            <w:pPr>
              <w:pStyle w:val="Compact"/>
              <w:jc w:val="left"/>
            </w:pPr>
            <w:r>
              <w:t xml:space="preserve">in-hospital mortality 40.9%, 28.4% and 20.6%</w:t>
            </w:r>
          </w:p>
        </w:tc>
      </w:tr>
      <w:tr>
        <w:tc>
          <w:tcPr/>
          <w:p>
            <w:pPr>
              <w:pStyle w:val="Compact"/>
              <w:jc w:val="left"/>
            </w:pPr>
            <w:r>
              <w:t xml:space="preserve">Treatment-resistant schizophrenia (Govorin 1990, PMID 2163147)</w:t>
            </w:r>
          </w:p>
        </w:tc>
        <w:tc>
          <w:tcPr/>
          <w:p>
            <w:pPr>
              <w:pStyle w:val="Compact"/>
              <w:jc w:val="left"/>
            </w:pPr>
            <w:r>
              <w:t xml:space="preserve">36 people, no control group</w:t>
            </w:r>
          </w:p>
        </w:tc>
        <w:tc>
          <w:tcPr/>
          <w:p>
            <w:pPr>
              <w:pStyle w:val="Compact"/>
              <w:jc w:val="left"/>
            </w:pPr>
            <w:r>
              <w:t xml:space="preserve">not stated</w:t>
            </w:r>
          </w:p>
        </w:tc>
        <w:tc>
          <w:tcPr/>
          <w:p>
            <w:pPr>
              <w:pStyle w:val="Compact"/>
              <w:jc w:val="left"/>
            </w:pPr>
            <w:r>
              <w:t xml:space="preserve">improvement in psychiatric symptoms reported</w:t>
            </w:r>
          </w:p>
        </w:tc>
      </w:tr>
      <w:tr>
        <w:tc>
          <w:tcPr/>
          <w:p>
            <w:pPr>
              <w:pStyle w:val="Compact"/>
              <w:jc w:val="left"/>
            </w:pPr>
            <w:r>
              <w:t xml:space="preserve">Parkinson’s disease (Musienko 1999, PMID 10424021)</w:t>
            </w:r>
          </w:p>
        </w:tc>
        <w:tc>
          <w:tcPr/>
          <w:p>
            <w:pPr>
              <w:pStyle w:val="Compact"/>
              <w:jc w:val="left"/>
            </w:pPr>
            <w:r>
              <w:t xml:space="preserve">15 people, no control group</w:t>
            </w:r>
          </w:p>
        </w:tc>
        <w:tc>
          <w:tcPr/>
          <w:p>
            <w:pPr>
              <w:pStyle w:val="Compact"/>
              <w:jc w:val="left"/>
            </w:pPr>
            <w:r>
              <w:t xml:space="preserve">one course of treatment</w:t>
            </w:r>
          </w:p>
        </w:tc>
        <w:tc>
          <w:tcPr/>
          <w:p>
            <w:pPr>
              <w:pStyle w:val="Compact"/>
              <w:jc w:val="left"/>
            </w:pPr>
            <w:r>
              <w:t xml:space="preserve">improvement in well-being and symptoms reported</w:t>
            </w:r>
          </w:p>
        </w:tc>
      </w:tr>
    </w:tbl>
    <w:bookmarkStart w:id="1203" w:name="the-long-term-study-on-life-extension"/>
    <w:p>
      <w:pPr>
        <w:pStyle w:val="Heading4"/>
      </w:pPr>
      <w:r>
        <w:t xml:space="preserve">The long-term study on life extension</w:t>
      </w:r>
    </w:p>
    <w:p>
      <w:pPr>
        <w:pStyle w:val="FirstParagraph"/>
      </w:pPr>
      <w:r>
        <w:t xml:space="preserve">The best-known paper is at the same time the most problematic. Over six to eight years, 266 older people in St. Petersburg and Kyiv were observed, some of whom received thymalin, epithalamin or both during the first two to three years. A 2.0- to 2.1-fold lower mortality on thymalin and a 4.1-fold lower mortality with annual combination treatment over six years are reported</w:t>
      </w:r>
      <w:r>
        <w:rPr>
          <w:rStyle w:val="FootnoteReference"/>
        </w:rPr>
        <w:footnoteReference w:id="1202"/>
      </w:r>
      <w:r>
        <w:t xml:space="preserve">.</w:t>
      </w:r>
    </w:p>
    <w:p>
      <w:pPr>
        <w:pStyle w:val="BodyText"/>
      </w:pPr>
      <w:r>
        <w:t xml:space="preserve">Such effects would be spectacular – larger than with almost any established medicine. However, the abstract describes neither how participants were allocated to the groups, nor whether there was blinding, nor how many people were in each group. People who are healthier and more active are more likely to take part in years of treatment; without random allocation, such a difference can arise from this alone. There are no independent replications.</w:t>
      </w:r>
    </w:p>
    <w:bookmarkEnd w:id="1203"/>
    <w:bookmarkStart w:id="1206" w:name="covid-19-1"/>
    <w:p>
      <w:pPr>
        <w:pStyle w:val="Heading4"/>
      </w:pPr>
      <w:r>
        <w:t xml:space="preserve">COVID-19</w:t>
      </w:r>
    </w:p>
    <w:p>
      <w:pPr>
        <w:pStyle w:val="FirstParagraph"/>
      </w:pPr>
      <w:r>
        <w:t xml:space="preserve">During the pandemic, the research group reported on thymalin in patients severely ill with COVID-19. In one analysis, in-hospital mortality was 40.9 percent on standard therapy, 28.4 percent with additional tocilizumab and 20.6 percent with additional thymalin</w:t>
      </w:r>
      <w:r>
        <w:rPr>
          <w:rStyle w:val="FootnoteReference"/>
        </w:rPr>
        <w:footnoteReference w:id="1204"/>
      </w:r>
      <w:r>
        <w:t xml:space="preserve">. How the people were allocated to the groups and how large the groups were is not apparent from the abstract. Another paper reports faster decreases in inflammatory and coagulation values</w:t>
      </w:r>
      <w:r>
        <w:rPr>
          <w:rStyle w:val="FootnoteReference"/>
        </w:rPr>
        <w:footnoteReference w:id="1205"/>
      </w:r>
      <w:r>
        <w:t xml:space="preserve">. Given the experience with thymosin alpha-1, where early favorable observational data were not confirmed in larger trials (see there), these figures are not reliable without randomized confirmation.</w:t>
      </w:r>
    </w:p>
    <w:bookmarkEnd w:id="1206"/>
    <w:bookmarkStart w:id="1208" w:name="the-only-placebo-controlled-study"/>
    <w:p>
      <w:pPr>
        <w:pStyle w:val="Heading4"/>
      </w:pPr>
      <w:r>
        <w:t xml:space="preserve">The only placebo-controlled study</w:t>
      </w:r>
    </w:p>
    <w:p>
      <w:pPr>
        <w:pStyle w:val="FirstParagraph"/>
      </w:pPr>
      <w:r>
        <w:t xml:space="preserve">The only study described as double-blind, randomized and placebo-controlled examined Thymogen nasal drops in older people before abdominal tumor surgery. Fewer complications after surgery and a shorter healing course are reported</w:t>
      </w:r>
      <w:r>
        <w:rPr>
          <w:rStyle w:val="FootnoteReference"/>
        </w:rPr>
        <w:footnoteReference w:id="1207"/>
      </w:r>
      <w:r>
        <w:t xml:space="preserve">. The Russian abstract does not give the number of participants or effect sizes.</w:t>
      </w:r>
    </w:p>
    <w:bookmarkEnd w:id="1208"/>
    <w:bookmarkStart w:id="1209" w:name="other-studies"/>
    <w:p>
      <w:pPr>
        <w:pStyle w:val="Heading4"/>
      </w:pPr>
      <w:r>
        <w:t xml:space="preserve">Other studies</w:t>
      </w:r>
    </w:p>
    <w:p>
      <w:pPr>
        <w:pStyle w:val="FirstParagraph"/>
      </w:pPr>
      <w:r>
        <w:t xml:space="preserve">The remaining human studies date predominantly from the 1980s and 1990s and cover a strikingly broad spectrum: tuberculosis, dysentery, erysipelas, purulent wounds, peritonitis in children, pancreatitis, ulcerative colitis, inflammation of the female reproductive organs, schizophrenia and Parkinson’s disease. Almost always, thymalin or Thymogen was given in addition to standard treatment, without placebo and mostly without random allocation. Laboratory values of the immune system were frequently measured, not hard endpoints such as healing or survival.</w:t>
      </w:r>
    </w:p>
    <w:bookmarkEnd w:id="1209"/>
    <w:bookmarkEnd w:id="1210"/>
    <w:bookmarkStart w:id="1213" w:name="animal-and-laboratory-studies-22"/>
    <w:p>
      <w:pPr>
        <w:pStyle w:val="Heading3"/>
      </w:pPr>
      <w:r>
        <w:t xml:space="preserve">Animal and laboratory studies</w:t>
      </w:r>
    </w:p>
    <w:p>
      <w:pPr>
        <w:pStyle w:val="FirstParagraph"/>
      </w:pPr>
      <w:r>
        <w:t xml:space="preserve">The animal studies likewise come predominantly from Russian and Ukrainian research groups. In 76 rats that received Glu-Trp (Thymogen) or saline for twelve months, mean lifespan was the same; the longest-living ten percent lived longer on Thymogen, and tumors occurred less frequently</w:t>
      </w:r>
      <w:r>
        <w:rPr>
          <w:rStyle w:val="FootnoteReference"/>
        </w:rPr>
        <w:footnoteReference w:id="1211"/>
      </w:r>
      <w:r>
        <w:t xml:space="preserve">. In cultures of human blood stem cells, thymalin influenced their differentiation</w:t>
      </w:r>
      <w:r>
        <w:rPr>
          <w:rStyle w:val="FootnoteReference"/>
        </w:rPr>
        <w:footnoteReference w:id="1212"/>
      </w:r>
      <w:r>
        <w:t xml:space="preserve">. Further papers describe effects on blood clotting, cancer development after radiation or chemicals, and infections in rodents.</w:t>
      </w:r>
    </w:p>
    <w:bookmarkEnd w:id="1213"/>
    <w:bookmarkStart w:id="1214" w:name="Xe4fe6c3d3c033a7da37b22a82c2d3a393f51995"/>
    <w:p>
      <w:pPr>
        <w:pStyle w:val="Heading3"/>
      </w:pPr>
      <w:r>
        <w:t xml:space="preserve">Quality of the research: a critical assessment</w:t>
      </w:r>
    </w:p>
    <w:p>
      <w:pPr>
        <w:pStyle w:val="FirstParagraph"/>
      </w:pPr>
      <w:r>
        <w:t xml:space="preserve">For the assessment of thymalin and Thymogen, the origin of the data is more important than the individual results:</w:t>
      </w:r>
    </w:p>
    <w:p>
      <w:pPr>
        <w:numPr>
          <w:ilvl w:val="0"/>
          <w:numId w:val="1142"/>
        </w:numPr>
        <w:pStyle w:val="Compact"/>
      </w:pPr>
      <w:r>
        <w:rPr>
          <w:bCs/>
          <w:b/>
        </w:rPr>
        <w:t xml:space="preserve">One school, hardly any independent confirmation.</w:t>
      </w:r>
      <w:r>
        <w:t xml:space="preserve"> </w:t>
      </w:r>
      <w:r>
        <w:t xml:space="preserve">A large part of the work comes from Khavinson, his co-workers or cooperating institutes. According to PubMed, Khavinson is involved in over 80 of the around 290 publications; many others come from closely affiliated groups. Independent Western replication studies are lacking.</w:t>
      </w:r>
    </w:p>
    <w:p>
      <w:pPr>
        <w:numPr>
          <w:ilvl w:val="0"/>
          <w:numId w:val="1142"/>
        </w:numPr>
        <w:pStyle w:val="Compact"/>
      </w:pPr>
      <w:r>
        <w:rPr>
          <w:bCs/>
          <w:b/>
        </w:rPr>
        <w:t xml:space="preserve">Language and accessibility.</w:t>
      </w:r>
      <w:r>
        <w:t xml:space="preserve"> </w:t>
      </w:r>
      <w:r>
        <w:t xml:space="preserve">Around 250 of the papers are in Russian, often with only a short abstract in PubMed. Full texts are difficult to access, and methods can hardly be checked.</w:t>
      </w:r>
    </w:p>
    <w:p>
      <w:pPr>
        <w:numPr>
          <w:ilvl w:val="0"/>
          <w:numId w:val="1142"/>
        </w:numPr>
        <w:pStyle w:val="Compact"/>
      </w:pPr>
      <w:r>
        <w:rPr>
          <w:bCs/>
          <w:b/>
        </w:rPr>
        <w:t xml:space="preserve">Study design.</w:t>
      </w:r>
      <w:r>
        <w:t xml:space="preserve"> </w:t>
      </w:r>
      <w:r>
        <w:t xml:space="preserve">Almost no study is randomized, blinded and preregistered according to today’s standards. Not a single study is entered on ClinicalTrials.gov.</w:t>
      </w:r>
    </w:p>
    <w:p>
      <w:pPr>
        <w:numPr>
          <w:ilvl w:val="0"/>
          <w:numId w:val="1142"/>
        </w:numPr>
        <w:pStyle w:val="Compact"/>
      </w:pPr>
      <w:r>
        <w:rPr>
          <w:bCs/>
          <w:b/>
        </w:rPr>
        <w:t xml:space="preserve">Unusually large effects in a great many diseases.</w:t>
      </w:r>
      <w:r>
        <w:t xml:space="preserve"> </w:t>
      </w:r>
      <w:r>
        <w:t xml:space="preserve">A preparation that works equally in tuberculosis, schizophrenia, Parkinson’s disease, COVID-19 and aging and halves mortality is, from a methodological point of view, a warning sign, not a recommendation.</w:t>
      </w:r>
    </w:p>
    <w:p>
      <w:pPr>
        <w:numPr>
          <w:ilvl w:val="0"/>
          <w:numId w:val="1142"/>
        </w:numPr>
        <w:pStyle w:val="Compact"/>
      </w:pPr>
      <w:r>
        <w:rPr>
          <w:bCs/>
          <w:b/>
        </w:rPr>
        <w:t xml:space="preserve">Conflicts of interest.</w:t>
      </w:r>
      <w:r>
        <w:t xml:space="preserve"> </w:t>
      </w:r>
      <w:r>
        <w:t xml:space="preserve">The research group developed the preparations itself; to the author’s knowledge,</w:t>
      </w:r>
      <w:r>
        <w:t xml:space="preserve"> </w:t>
      </w:r>
      <w:r>
        <w:t xml:space="preserve">“</w:t>
      </w:r>
      <w:r>
        <w:t xml:space="preserve">bioregulators</w:t>
      </w:r>
      <w:r>
        <w:t xml:space="preserve">”</w:t>
      </w:r>
      <w:r>
        <w:t xml:space="preserve"> </w:t>
      </w:r>
      <w:r>
        <w:t xml:space="preserve">from this school are marketed internationally as dietary supplements. Independent testing by researchers without such ties is lacking.</w:t>
      </w:r>
    </w:p>
    <w:p>
      <w:pPr>
        <w:pStyle w:val="FirstParagraph"/>
      </w:pPr>
      <w:r>
        <w:t xml:space="preserve">This does not mean that all results must be wrong. It means that, by the standards of this book, they cannot count as evidence of a benefit as long as they have not been confirmed in properly planned, independent studies.</w:t>
      </w:r>
    </w:p>
    <w:bookmarkEnd w:id="1214"/>
    <w:bookmarkStart w:id="1217" w:name="risks-and-side-effects-22"/>
    <w:p>
      <w:pPr>
        <w:pStyle w:val="Heading3"/>
      </w:pPr>
      <w:r>
        <w:t xml:space="preserve">Risks and side effects</w:t>
      </w:r>
    </w:p>
    <w:bookmarkStart w:id="1215" w:name="documented-6"/>
    <w:p>
      <w:pPr>
        <w:pStyle w:val="Heading4"/>
      </w:pPr>
      <w:r>
        <w:t xml:space="preserve">Documented</w:t>
      </w:r>
    </w:p>
    <w:p>
      <w:pPr>
        <w:pStyle w:val="FirstParagraph"/>
      </w:pPr>
      <w:r>
        <w:t xml:space="preserve">Systematically collected safety data according to today’s standards are not available. The existing studies hardly report on side effects – which says little in small, unblinded studies.</w:t>
      </w:r>
    </w:p>
    <w:bookmarkEnd w:id="1215"/>
    <w:bookmarkStart w:id="1216" w:name="theoretical-2"/>
    <w:p>
      <w:pPr>
        <w:pStyle w:val="Heading4"/>
      </w:pPr>
      <w:r>
        <w:t xml:space="preserve">Theoretical</w:t>
      </w:r>
    </w:p>
    <w:p>
      <w:pPr>
        <w:numPr>
          <w:ilvl w:val="0"/>
          <w:numId w:val="1143"/>
        </w:numPr>
        <w:pStyle w:val="Compact"/>
      </w:pPr>
      <w:r>
        <w:rPr>
          <w:bCs/>
          <w:b/>
        </w:rPr>
        <w:t xml:space="preserve">Animal source material:</w:t>
      </w:r>
      <w:r>
        <w:t xml:space="preserve"> </w:t>
      </w:r>
      <w:r>
        <w:t xml:space="preserve">Thymalin is an extract from calf thymus. With animal extracts, there are fundamental risks from contaminants, batch-to-batch variation and allergic reactions. The transmission of pathogens from bovine tissue is also a theoretical risk that depends on manufacturing quality.</w:t>
      </w:r>
    </w:p>
    <w:p>
      <w:pPr>
        <w:numPr>
          <w:ilvl w:val="0"/>
          <w:numId w:val="1143"/>
        </w:numPr>
        <w:pStyle w:val="Compact"/>
      </w:pPr>
      <w:r>
        <w:rPr>
          <w:bCs/>
          <w:b/>
        </w:rPr>
        <w:t xml:space="preserve">Immune stimulation:</w:t>
      </w:r>
      <w:r>
        <w:t xml:space="preserve"> </w:t>
      </w:r>
      <w:r>
        <w:t xml:space="preserve">In autoimmune diseases or after organ transplantation, stimulating the immune system could cause harm. Data on this are lacking.</w:t>
      </w:r>
    </w:p>
    <w:p>
      <w:pPr>
        <w:numPr>
          <w:ilvl w:val="0"/>
          <w:numId w:val="1143"/>
        </w:numPr>
        <w:pStyle w:val="Compact"/>
      </w:pPr>
      <w:r>
        <w:rPr>
          <w:bCs/>
          <w:b/>
        </w:rPr>
        <w:t xml:space="preserve">Gray market and</w:t>
      </w:r>
      <w:r>
        <w:rPr>
          <w:bCs/>
          <w:b/>
        </w:rPr>
        <w:t xml:space="preserve"> </w:t>
      </w:r>
      <w:r>
        <w:rPr>
          <w:bCs/>
          <w:b/>
        </w:rPr>
        <w:t xml:space="preserve">“</w:t>
      </w:r>
      <w:r>
        <w:rPr>
          <w:bCs/>
          <w:b/>
        </w:rPr>
        <w:t xml:space="preserve">bioregulators</w:t>
      </w:r>
      <w:r>
        <w:rPr>
          <w:bCs/>
          <w:b/>
        </w:rPr>
        <w:t xml:space="preserve">”</w:t>
      </w:r>
      <w:r>
        <w:rPr>
          <w:bCs/>
          <w:b/>
        </w:rPr>
        <w:t xml:space="preserve">:</w:t>
      </w:r>
      <w:r>
        <w:t xml:space="preserve"> </w:t>
      </w:r>
      <w:r>
        <w:t xml:space="preserve">Outside Russia, thymalin, Thymogen and related products are distributed online, partly as solutions for injection, partly as capsules labeled</w:t>
      </w:r>
      <w:r>
        <w:t xml:space="preserve"> </w:t>
      </w:r>
      <w:r>
        <w:t xml:space="preserve">“</w:t>
      </w:r>
      <w:r>
        <w:t xml:space="preserve">bioregulator.</w:t>
      </w:r>
      <w:r>
        <w:t xml:space="preserve">”</w:t>
      </w:r>
      <w:r>
        <w:t xml:space="preserve"> </w:t>
      </w:r>
      <w:r>
        <w:t xml:space="preserve">The origin, content and quality of these products cannot be verified.</w:t>
      </w:r>
    </w:p>
    <w:bookmarkEnd w:id="1216"/>
    <w:bookmarkEnd w:id="1217"/>
    <w:bookmarkStart w:id="1218" w:name="legal-status-22"/>
    <w:p>
      <w:pPr>
        <w:pStyle w:val="Heading3"/>
      </w:pPr>
      <w:r>
        <w:t xml:space="preserve">Legal status</w:t>
      </w:r>
    </w:p>
    <w:p>
      <w:pPr>
        <w:pStyle w:val="FirstParagraph"/>
      </w:pPr>
      <w:r>
        <w:rPr>
          <w:iCs/>
          <w:i/>
        </w:rPr>
        <w:t xml:space="preserve">As of 2026, please check for updates.</w:t>
      </w:r>
    </w:p>
    <w:p>
      <w:pPr>
        <w:numPr>
          <w:ilvl w:val="0"/>
          <w:numId w:val="1144"/>
        </w:numPr>
        <w:pStyle w:val="Compact"/>
      </w:pPr>
      <w:r>
        <w:rPr>
          <w:bCs/>
          <w:b/>
        </w:rPr>
        <w:t xml:space="preserve">Russia and some successor states of the Soviet Union:</w:t>
      </w:r>
      <w:r>
        <w:t xml:space="preserve"> </w:t>
      </w:r>
      <w:r>
        <w:t xml:space="preserve">thymalin and Thymogen are approved as medicines.</w:t>
      </w:r>
    </w:p>
    <w:p>
      <w:pPr>
        <w:numPr>
          <w:ilvl w:val="0"/>
          <w:numId w:val="1144"/>
        </w:numPr>
        <w:pStyle w:val="Compact"/>
      </w:pPr>
      <w:r>
        <w:rPr>
          <w:bCs/>
          <w:b/>
        </w:rPr>
        <w:t xml:space="preserve">EU, Germany, Austria:</w:t>
      </w:r>
      <w:r>
        <w:t xml:space="preserve"> </w:t>
      </w:r>
      <w:r>
        <w:t xml:space="preserve">no approval. Import and supply for use in humans are permitted only under the narrow conditions of the respective pharmaceutical law. Capsules containing organ extracts sold as dietary supplements may not promise effects on diseases; whether they are to be classified as medicines depends on the individual case.</w:t>
      </w:r>
    </w:p>
    <w:p>
      <w:pPr>
        <w:numPr>
          <w:ilvl w:val="0"/>
          <w:numId w:val="1144"/>
        </w:numPr>
        <w:pStyle w:val="Compact"/>
      </w:pPr>
      <w:r>
        <w:rPr>
          <w:bCs/>
          <w:b/>
        </w:rPr>
        <w:t xml:space="preserve">USA:</w:t>
      </w:r>
      <w:r>
        <w:t xml:space="preserve"> </w:t>
      </w:r>
      <w:r>
        <w:t xml:space="preserve">no FDA approval.</w:t>
      </w:r>
    </w:p>
    <w:p>
      <w:pPr>
        <w:numPr>
          <w:ilvl w:val="0"/>
          <w:numId w:val="1144"/>
        </w:numPr>
        <w:pStyle w:val="Compact"/>
      </w:pPr>
      <w:r>
        <w:rPr>
          <w:bCs/>
          <w:b/>
        </w:rPr>
        <w:t xml:space="preserve">WADA:</w:t>
      </w:r>
      <w:r>
        <w:t xml:space="preserve"> </w:t>
      </w:r>
      <w:r>
        <w:t xml:space="preserve">not listed by name.</w:t>
      </w:r>
    </w:p>
    <w:bookmarkEnd w:id="1218"/>
    <w:bookmarkStart w:id="1219" w:name="ongoing-studies-and-outlook-22"/>
    <w:p>
      <w:pPr>
        <w:pStyle w:val="Heading3"/>
      </w:pPr>
      <w:r>
        <w:t xml:space="preserve">Ongoing studies and outlook</w:t>
      </w:r>
    </w:p>
    <w:p>
      <w:pPr>
        <w:pStyle w:val="FirstParagraph"/>
      </w:pPr>
      <w:r>
        <w:rPr>
          <w:bCs/>
          <w:b/>
        </w:rPr>
        <w:t xml:space="preserve">Confirmed:</w:t>
      </w:r>
      <w:r>
        <w:t xml:space="preserve"> </w:t>
      </w:r>
      <w:r>
        <w:t xml:space="preserve">As of October 2026, no trial on thymalin or Thymogen is registered on ClinicalTrials.gov.</w:t>
      </w:r>
    </w:p>
    <w:p>
      <w:pPr>
        <w:pStyle w:val="BodyText"/>
      </w:pPr>
      <w:r>
        <w:rPr>
          <w:bCs/>
          <w:b/>
        </w:rPr>
        <w:t xml:space="preserve">Author’s assessment:</w:t>
      </w:r>
      <w:r>
        <w:t xml:space="preserve"> </w:t>
      </w:r>
      <w:r>
        <w:t xml:space="preserve">Approval in the EU or the USA is out of the question without new studies conducted according to international standards, and such studies are not in sight. Thymalin and Thymogen will therefore probably remain a phenomenon of the Russian-speaking health market and the international longevity scene.</w:t>
      </w:r>
    </w:p>
    <w:bookmarkEnd w:id="1219"/>
    <w:bookmarkStart w:id="1221" w:name="conclusion-22"/>
    <w:p>
      <w:pPr>
        <w:pStyle w:val="Heading3"/>
      </w:pPr>
      <w:r>
        <w:t xml:space="preserve">Conclusion</w:t>
      </w:r>
    </w:p>
    <w:p>
      <w:pPr>
        <w:pStyle w:val="FirstParagraph"/>
      </w:pPr>
      <w:r>
        <w:t xml:space="preserve">Thymalin is a calf thymus extract, Thymogen a dipeptide derived from it; both are approved in Russia and are promoted in the West as</w:t>
      </w:r>
      <w:r>
        <w:t xml:space="preserve"> </w:t>
      </w:r>
      <w:r>
        <w:t xml:space="preserve">“</w:t>
      </w:r>
      <w:r>
        <w:t xml:space="preserve">bioregulators</w:t>
      </w:r>
      <w:r>
        <w:t xml:space="preserve">”</w:t>
      </w:r>
      <w:r>
        <w:t xml:space="preserve"> </w:t>
      </w:r>
      <w:r>
        <w:t xml:space="preserve">for life extension. The evidence comes almost entirely from a single Russian research school, is predominantly published in Russian and consists of small, mostly non-randomized studies. The much-cited halving of mortality in older people</w:t>
      </w:r>
      <w:r>
        <w:rPr>
          <w:rStyle w:val="FootnoteReference"/>
        </w:rPr>
        <w:footnoteReference w:id="1220"/>
      </w:r>
      <w:r>
        <w:t xml:space="preserve"> </w:t>
      </w:r>
      <w:r>
        <w:t xml:space="preserve">is based on a study whose design is not described comprehensibly in the abstract. By today’s standards, a benefit has not been proven, and the quality of freely sold products is unknown.</w:t>
      </w:r>
    </w:p>
    <w:bookmarkEnd w:id="1221"/>
    <w:bookmarkEnd w:id="1222"/>
    <w:bookmarkEnd w:id="1223"/>
    <w:bookmarkStart w:id="1603" w:name="part-ii-c-the-growth-hormone-axis"/>
    <w:p>
      <w:pPr>
        <w:pStyle w:val="Heading1"/>
      </w:pPr>
      <w:r>
        <w:t xml:space="preserve">Part II · C – The Growth Hormone Axis</w:t>
      </w:r>
    </w:p>
    <w:p>
      <w:pPr>
        <w:pStyle w:val="FirstParagraph"/>
      </w:pPr>
      <w:r>
        <w:t xml:space="preserve">Growth hormone (GH) is one of the most mythologized hormones of all. In gyms it is considered a muscle-building and fat-burning hormone, and in anti-aging practices a</w:t>
      </w:r>
      <w:r>
        <w:t xml:space="preserve"> </w:t>
      </w:r>
      <w:r>
        <w:t xml:space="preserve">“</w:t>
      </w:r>
      <w:r>
        <w:t xml:space="preserve">fountain of youth.</w:t>
      </w:r>
      <w:r>
        <w:t xml:space="preserve">”</w:t>
      </w:r>
      <w:r>
        <w:t xml:space="preserve"> </w:t>
      </w:r>
      <w:r>
        <w:t xml:space="preserve">Genuine growth hormone is a large, expensive, prescription-only protein. The peptides in this part promise a seemingly more elegant route: they are meant to get the body to release</w:t>
      </w:r>
      <w:r>
        <w:t xml:space="preserve"> </w:t>
      </w:r>
      <w:r>
        <w:rPr>
          <w:iCs/>
          <w:i/>
        </w:rPr>
        <w:t xml:space="preserve">more of its own</w:t>
      </w:r>
      <w:r>
        <w:t xml:space="preserve"> </w:t>
      </w:r>
      <w:r>
        <w:t xml:space="preserve">growth hormone – or they supply the downstream messenger IGF-1 directly.</w:t>
      </w:r>
    </w:p>
    <w:bookmarkStart w:id="1225" w:name="the-axis-in-four-stations"/>
    <w:p>
      <w:pPr>
        <w:pStyle w:val="Heading3"/>
      </w:pPr>
      <w:r>
        <w:t xml:space="preserve">The axis in four stations</w:t>
      </w:r>
    </w:p>
    <w:p>
      <w:pPr>
        <w:numPr>
          <w:ilvl w:val="0"/>
          <w:numId w:val="1145"/>
        </w:numPr>
        <w:pStyle w:val="Compact"/>
      </w:pPr>
      <w:r>
        <w:rPr>
          <w:bCs/>
          <w:b/>
        </w:rPr>
        <w:t xml:space="preserve">GHRH</w:t>
      </w:r>
      <w:r>
        <w:t xml:space="preserve"> </w:t>
      </w:r>
      <w:r>
        <w:t xml:space="preserve">(growth hormone-releasing hormone) from the diencephalon signals the pituitary gland to release growth hormone. Its counterpart somatostatin acts as a brake.</w:t>
      </w:r>
    </w:p>
    <w:p>
      <w:pPr>
        <w:numPr>
          <w:ilvl w:val="0"/>
          <w:numId w:val="1145"/>
        </w:numPr>
        <w:pStyle w:val="Compact"/>
      </w:pPr>
      <w:r>
        <w:rPr>
          <w:bCs/>
          <w:b/>
        </w:rPr>
        <w:t xml:space="preserve">Ghrelin</w:t>
      </w:r>
      <w:r>
        <w:t xml:space="preserve">, a hormone from the stomach, enhances release via its own receptor (GHS-R1a) and at the same time makes you hungry</w:t>
      </w:r>
      <w:r>
        <w:rPr>
          <w:rStyle w:val="FootnoteReference"/>
        </w:rPr>
        <w:footnoteReference w:id="1224"/>
      </w:r>
      <w:r>
        <w:t xml:space="preserve">.</w:t>
      </w:r>
    </w:p>
    <w:p>
      <w:pPr>
        <w:numPr>
          <w:ilvl w:val="0"/>
          <w:numId w:val="1145"/>
        </w:numPr>
        <w:pStyle w:val="Compact"/>
      </w:pPr>
      <w:r>
        <w:rPr>
          <w:bCs/>
          <w:b/>
        </w:rPr>
        <w:t xml:space="preserve">Growth hormone</w:t>
      </w:r>
      <w:r>
        <w:t xml:space="preserve"> </w:t>
      </w:r>
      <w:r>
        <w:t xml:space="preserve">is released by the pituitary gland in pulses, mainly at night.</w:t>
      </w:r>
    </w:p>
    <w:p>
      <w:pPr>
        <w:numPr>
          <w:ilvl w:val="0"/>
          <w:numId w:val="1145"/>
        </w:numPr>
        <w:pStyle w:val="Compact"/>
      </w:pPr>
      <w:r>
        <w:rPr>
          <w:bCs/>
          <w:b/>
        </w:rPr>
        <w:t xml:space="preserve">IGF-1</w:t>
      </w:r>
      <w:r>
        <w:t xml:space="preserve"> </w:t>
      </w:r>
      <w:r>
        <w:t xml:space="preserve">(insulin-like growth factor 1) is produced mainly in the liver in response to growth hormone and mediates many of its anabolic effects. High IGF-1 levels in turn put a brake on the axis.</w:t>
      </w:r>
    </w:p>
    <w:p>
      <w:pPr>
        <w:pStyle w:val="FirstParagraph"/>
      </w:pPr>
      <w:r>
        <w:t xml:space="preserve">The substances in this part act at different stations:</w:t>
      </w:r>
      <w:r>
        <w:t xml:space="preserve"> </w:t>
      </w:r>
      <w:r>
        <w:rPr>
          <w:bCs/>
          <w:b/>
        </w:rPr>
        <w:t xml:space="preserve">GHRH analogs</w:t>
      </w:r>
      <w:r>
        <w:t xml:space="preserve"> </w:t>
      </w:r>
      <w:r>
        <w:t xml:space="preserve">(sermorelin, tesamorelin, CJC-1295) at the GHRH receptor,</w:t>
      </w:r>
      <w:r>
        <w:t xml:space="preserve"> </w:t>
      </w:r>
      <w:r>
        <w:rPr>
          <w:bCs/>
          <w:b/>
        </w:rPr>
        <w:t xml:space="preserve">ghrelin mimetics</w:t>
      </w:r>
      <w:r>
        <w:t xml:space="preserve"> </w:t>
      </w:r>
      <w:r>
        <w:t xml:space="preserve">(ipamorelin, GHRP-2, GHRP-6, hexarelin, macimorelin and, for comparison, the non-peptide ibutamoren) at the ghrelin receptor,</w:t>
      </w:r>
      <w:r>
        <w:t xml:space="preserve"> </w:t>
      </w:r>
      <w:r>
        <w:rPr>
          <w:bCs/>
          <w:b/>
        </w:rPr>
        <w:t xml:space="preserve">IGF-1 and its variants</w:t>
      </w:r>
      <w:r>
        <w:t xml:space="preserve"> </w:t>
      </w:r>
      <w:r>
        <w:t xml:space="preserve">(mecasermin, IGF-1 LR3) directly at the end of the chain.</w:t>
      </w:r>
    </w:p>
    <w:bookmarkEnd w:id="1225"/>
    <w:bookmarkStart w:id="1228" w:name="why-this-group-is-so-popular"/>
    <w:p>
      <w:pPr>
        <w:pStyle w:val="Heading3"/>
      </w:pPr>
      <w:r>
        <w:t xml:space="preserve">Why this group is so popular</w:t>
      </w:r>
    </w:p>
    <w:p>
      <w:pPr>
        <w:pStyle w:val="FirstParagraph"/>
      </w:pPr>
      <w:r>
        <w:t xml:space="preserve">Growth hormone breaks down fat and builds lean mass – this is well documented. A review of randomized trials in young, trained people found an increase in lean mass of 2.1 kg, but no improvement in strength or endurance, and instead more fluid retention and fatigue</w:t>
      </w:r>
      <w:r>
        <w:rPr>
          <w:rStyle w:val="FootnoteReference"/>
        </w:rPr>
        <w:footnoteReference w:id="1226"/>
      </w:r>
      <w:r>
        <w:t xml:space="preserve">. In healthy older people, fat mass fell by 2.1 kg and lean mass rose by 2.1 kg; at the same time, soft tissue swelling, joint pain, carpal tunnel syndrome and breast enlargement in men occurred more frequently</w:t>
      </w:r>
      <w:r>
        <w:rPr>
          <w:rStyle w:val="FootnoteReference"/>
        </w:rPr>
        <w:footnoteReference w:id="1227"/>
      </w:r>
      <w:r>
        <w:t xml:space="preserve">. Because growth hormone release decreases with age, the idea of</w:t>
      </w:r>
      <w:r>
        <w:t xml:space="preserve"> </w:t>
      </w:r>
      <w:r>
        <w:t xml:space="preserve">“</w:t>
      </w:r>
      <w:r>
        <w:t xml:space="preserve">turning it back</w:t>
      </w:r>
      <w:r>
        <w:t xml:space="preserve">”</w:t>
      </w:r>
      <w:r>
        <w:t xml:space="preserve"> </w:t>
      </w:r>
      <w:r>
        <w:t xml:space="preserve">suggests itself. The releasers are considered a gentler alternative because the body’s own regulation is preserved. In addition, many of them are available cheaply online as</w:t>
      </w:r>
      <w:r>
        <w:t xml:space="preserve"> </w:t>
      </w:r>
      <w:r>
        <w:t xml:space="preserve">“</w:t>
      </w:r>
      <w:r>
        <w:t xml:space="preserve">research peptides.</w:t>
      </w:r>
      <w:r>
        <w:t xml:space="preserve">”</w:t>
      </w:r>
    </w:p>
    <w:p>
      <w:pPr>
        <w:pStyle w:val="BodyText"/>
      </w:pPr>
      <w:r>
        <w:t xml:space="preserve">The pattern that runs through almost all chapters: IGF-1 and lean mass rise, but strength, function or disease courses hardly improve in controlled trials – while blood glucose, fluid retention and, with some substances, stress hormones increase.</w:t>
      </w:r>
    </w:p>
    <w:bookmarkEnd w:id="1228"/>
    <w:bookmarkStart w:id="1235" w:name="the-most-important-open-question-cancer"/>
    <w:p>
      <w:pPr>
        <w:pStyle w:val="Heading3"/>
      </w:pPr>
      <w:r>
        <w:t xml:space="preserve">The most important open question: cancer</w:t>
      </w:r>
    </w:p>
    <w:p>
      <w:pPr>
        <w:pStyle w:val="FirstParagraph"/>
      </w:pPr>
      <w:r>
        <w:t xml:space="preserve">IGF-1 promotes cell division and keeps cells alive. Whether a sustained increase raises the risk of cancer is the central safety question of the group. The evidence, soberly summarized:</w:t>
      </w:r>
    </w:p>
    <w:p>
      <w:pPr>
        <w:numPr>
          <w:ilvl w:val="0"/>
          <w:numId w:val="1146"/>
        </w:numPr>
        <w:pStyle w:val="Compact"/>
      </w:pPr>
      <w:r>
        <w:rPr>
          <w:bCs/>
          <w:b/>
        </w:rPr>
        <w:t xml:space="preserve">Naturally high IGF-1:</w:t>
      </w:r>
      <w:r>
        <w:t xml:space="preserve"> </w:t>
      </w:r>
      <w:r>
        <w:t xml:space="preserve">In observational studies, a higher level is associated with a moderately increased risk of prostate cancer and premenopausal breast cancer</w:t>
      </w:r>
      <w:r>
        <w:rPr>
          <w:rStyle w:val="FootnoteReference"/>
        </w:rPr>
        <w:footnoteReference w:id="1229"/>
      </w:r>
      <w:r>
        <w:t xml:space="preserve">. Genetic analyses with hundreds of thousands of participants suggest that the association could be causal for breast and colorectal cancer</w:t>
      </w:r>
      <w:r>
        <w:rPr>
          <w:rStyle w:val="FootnoteReference"/>
        </w:rPr>
        <w:footnoteReference w:id="1230"/>
      </w:r>
      <w:r>
        <w:t xml:space="preserve">.</w:t>
      </w:r>
    </w:p>
    <w:p>
      <w:pPr>
        <w:numPr>
          <w:ilvl w:val="0"/>
          <w:numId w:val="1146"/>
        </w:numPr>
        <w:pStyle w:val="Compact"/>
      </w:pPr>
      <w:r>
        <w:rPr>
          <w:bCs/>
          <w:b/>
        </w:rPr>
        <w:t xml:space="preserve">Naturally excessive growth hormone (acromegaly):</w:t>
      </w:r>
      <w:r>
        <w:t xml:space="preserve"> </w:t>
      </w:r>
      <w:r>
        <w:t xml:space="preserve">A meta-analysis of 23 studies found a cancer rate increased by about 50%, but also points to biases in older studies</w:t>
      </w:r>
      <w:r>
        <w:rPr>
          <w:rStyle w:val="FootnoteReference"/>
        </w:rPr>
        <w:footnoteReference w:id="1231"/>
      </w:r>
      <w:r>
        <w:t xml:space="preserve">.</w:t>
      </w:r>
    </w:p>
    <w:p>
      <w:pPr>
        <w:numPr>
          <w:ilvl w:val="0"/>
          <w:numId w:val="1146"/>
        </w:numPr>
        <w:pStyle w:val="Compact"/>
      </w:pPr>
      <w:r>
        <w:rPr>
          <w:bCs/>
          <w:b/>
        </w:rPr>
        <w:t xml:space="preserve">Lifelong IGF-1 deficiency (Laron syndrome):</w:t>
      </w:r>
      <w:r>
        <w:t xml:space="preserve"> </w:t>
      </w:r>
      <w:r>
        <w:t xml:space="preserve">Cancer occurred strikingly rarely</w:t>
      </w:r>
      <w:r>
        <w:rPr>
          <w:rStyle w:val="FootnoteReference"/>
        </w:rPr>
        <w:footnoteReference w:id="1232"/>
      </w:r>
      <w:r>
        <w:t xml:space="preserve">.</w:t>
      </w:r>
    </w:p>
    <w:p>
      <w:pPr>
        <w:numPr>
          <w:ilvl w:val="0"/>
          <w:numId w:val="1146"/>
        </w:numPr>
        <w:pStyle w:val="Compact"/>
      </w:pPr>
      <w:r>
        <w:rPr>
          <w:bCs/>
          <w:b/>
        </w:rPr>
        <w:t xml:space="preserve">Growth hormone as a medicine:</w:t>
      </w:r>
      <w:r>
        <w:t xml:space="preserve"> </w:t>
      </w:r>
      <w:r>
        <w:t xml:space="preserve">In a European cohort of 23,984 treated children, there was no generally increased risk in children without pre-existing conditions, but there were abnormalities for individual cancer types and in children who had previously had cancer</w:t>
      </w:r>
      <w:r>
        <w:rPr>
          <w:rStyle w:val="FootnoteReference"/>
        </w:rPr>
        <w:footnoteReference w:id="1233"/>
      </w:r>
      <w:r>
        <w:t xml:space="preserve">. In 8,418 treated adults with hypopituitarism, the cancer risk was not increased</w:t>
      </w:r>
      <w:r>
        <w:rPr>
          <w:rStyle w:val="FootnoteReference"/>
        </w:rPr>
        <w:footnoteReference w:id="1234"/>
      </w:r>
      <w:r>
        <w:t xml:space="preserve">.</w:t>
      </w:r>
    </w:p>
    <w:p>
      <w:pPr>
        <w:pStyle w:val="FirstParagraph"/>
      </w:pPr>
      <w:r>
        <w:t xml:space="preserve">Conclusion: in people with a genuine deficiency, replacement treatment is, according to current knowledge, not associated with a markedly higher cancer risk. For healthy people who raise a normal level over years, data are lacking – and the biology argues more for than against some risk. Part IV explores the topic in more depth.</w:t>
      </w:r>
    </w:p>
    <w:bookmarkEnd w:id="1235"/>
    <w:bookmarkStart w:id="1236" w:name="overview-1"/>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formerly USA (Geref), none today</w:t>
            </w:r>
          </w:p>
        </w:tc>
        <w:tc>
          <w:tcPr/>
          <w:p>
            <w:pPr>
              <w:pStyle w:val="Compact"/>
              <w:jc w:val="left"/>
            </w:pPr>
            <w:r>
              <w:t xml:space="preserve">GHRH fragment; children with GH deficiency</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USA (Egrifta)</w:t>
            </w:r>
          </w:p>
        </w:tc>
        <w:tc>
          <w:tcPr/>
          <w:p>
            <w:pPr>
              <w:pStyle w:val="Compact"/>
              <w:jc w:val="left"/>
            </w:pPr>
            <w:r>
              <w:t xml:space="preserve">less abdominal and liver fat in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none</w:t>
            </w:r>
          </w:p>
        </w:tc>
        <w:tc>
          <w:tcPr/>
          <w:p>
            <w:pPr>
              <w:pStyle w:val="Compact"/>
              <w:jc w:val="left"/>
            </w:pPr>
            <w:r>
              <w:t xml:space="preserve">only Phase 1 data;</w:t>
            </w:r>
            <w:r>
              <w:t xml:space="preserve"> </w:t>
            </w:r>
            <w:r>
              <w:t xml:space="preserve">“</w:t>
            </w:r>
            <w:r>
              <w:t xml:space="preserve">no DAC</w:t>
            </w:r>
            <w:r>
              <w:t xml:space="preserve">”</w:t>
            </w:r>
            <w:r>
              <w:t xml:space="preserve"> </w:t>
            </w:r>
            <w:r>
              <w:t xml:space="preserve">variant unstudied</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none</w:t>
            </w:r>
          </w:p>
        </w:tc>
        <w:tc>
          <w:tcPr/>
          <w:p>
            <w:pPr>
              <w:pStyle w:val="Compact"/>
              <w:jc w:val="left"/>
            </w:pPr>
            <w:r>
              <w:t xml:space="preserve">no benefit in postoperative ileus</w:t>
            </w:r>
          </w:p>
        </w:tc>
      </w:tr>
      <w:tr>
        <w:tc>
          <w:tcPr/>
          <w:p>
            <w:pPr>
              <w:pStyle w:val="Compact"/>
              <w:jc w:val="left"/>
            </w:pPr>
            <w:r>
              <w:t xml:space="preserve">GHRP-2 (pralmorelin)</w:t>
            </w:r>
          </w:p>
        </w:tc>
        <w:tc>
          <w:tcPr/>
          <w:p>
            <w:pPr>
              <w:pStyle w:val="Compact"/>
              <w:jc w:val="left"/>
            </w:pPr>
            <w:r>
              <w:t xml:space="preserve">B</w:t>
            </w:r>
          </w:p>
        </w:tc>
        <w:tc>
          <w:tcPr/>
          <w:p>
            <w:pPr>
              <w:pStyle w:val="Compact"/>
              <w:jc w:val="left"/>
            </w:pPr>
            <w:r>
              <w:t xml:space="preserve">Japan (diagnostic agent)</w:t>
            </w:r>
          </w:p>
        </w:tc>
        <w:tc>
          <w:tcPr/>
          <w:p>
            <w:pPr>
              <w:pStyle w:val="Compact"/>
              <w:jc w:val="left"/>
            </w:pPr>
            <w:r>
              <w:t xml:space="preserve">test for GH deficiency</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none</w:t>
            </w:r>
          </w:p>
        </w:tc>
        <w:tc>
          <w:tcPr/>
          <w:p>
            <w:pPr>
              <w:pStyle w:val="Compact"/>
              <w:jc w:val="left"/>
            </w:pPr>
            <w:r>
              <w:t xml:space="preserve">research and test substance</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none</w:t>
            </w:r>
          </w:p>
        </w:tc>
        <w:tc>
          <w:tcPr/>
          <w:p>
            <w:pPr>
              <w:pStyle w:val="Compact"/>
              <w:jc w:val="left"/>
            </w:pPr>
            <w:r>
              <w:t xml:space="preserve">acute cardiac effects; loss of effect with continuous use</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EU, USA (diagnostic agent)</w:t>
            </w:r>
          </w:p>
        </w:tc>
        <w:tc>
          <w:tcPr/>
          <w:p>
            <w:pPr>
              <w:pStyle w:val="Compact"/>
              <w:jc w:val="left"/>
            </w:pPr>
            <w:r>
              <w:t xml:space="preserve">oral test for GH deficiency</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EU, USA (Increlex)</w:t>
            </w:r>
          </w:p>
        </w:tc>
        <w:tc>
          <w:tcPr/>
          <w:p>
            <w:pPr>
              <w:pStyle w:val="Compact"/>
              <w:jc w:val="left"/>
            </w:pPr>
            <w:r>
              <w:t xml:space="preserve">severe IGF-1 deficiency in children</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none</w:t>
            </w:r>
          </w:p>
        </w:tc>
        <w:tc>
          <w:tcPr/>
          <w:p>
            <w:pPr>
              <w:pStyle w:val="Compact"/>
              <w:jc w:val="left"/>
            </w:pPr>
            <w:r>
              <w:t xml:space="preserve">laboratory reagent, never tested in humans</w:t>
            </w:r>
          </w:p>
        </w:tc>
      </w:tr>
      <w:tr>
        <w:tc>
          <w:tcPr/>
          <w:p>
            <w:pPr>
              <w:pStyle w:val="Compact"/>
              <w:jc w:val="left"/>
            </w:pPr>
            <w:r>
              <w:t xml:space="preserve">Ibutamoren (comparison)</w:t>
            </w:r>
          </w:p>
        </w:tc>
        <w:tc>
          <w:tcPr/>
          <w:p>
            <w:pPr>
              <w:pStyle w:val="Compact"/>
              <w:jc w:val="left"/>
            </w:pPr>
            <w:r>
              <w:t xml:space="preserve">B</w:t>
            </w:r>
          </w:p>
        </w:tc>
        <w:tc>
          <w:tcPr/>
          <w:p>
            <w:pPr>
              <w:pStyle w:val="Compact"/>
              <w:jc w:val="left"/>
            </w:pPr>
            <w:r>
              <w:t xml:space="preserve">none</w:t>
            </w:r>
          </w:p>
        </w:tc>
        <w:tc>
          <w:tcPr/>
          <w:p>
            <w:pPr>
              <w:pStyle w:val="Compact"/>
              <w:jc w:val="left"/>
            </w:pPr>
            <w:r>
              <w:t xml:space="preserve">tablet; heart failure signal</w:t>
            </w:r>
          </w:p>
        </w:tc>
      </w:tr>
    </w:tbl>
    <w:bookmarkEnd w:id="1236"/>
    <w:bookmarkStart w:id="1237" w:name="reading-guide-2"/>
    <w:p>
      <w:pPr>
        <w:pStyle w:val="Heading3"/>
      </w:pPr>
      <w:r>
        <w:t xml:space="preserve">Reading guide</w:t>
      </w:r>
    </w:p>
    <w:p>
      <w:pPr>
        <w:pStyle w:val="FirstParagraph"/>
      </w:pPr>
      <w:r>
        <w:t xml:space="preserve">If you are interested in applications with genuine benefit, start with tesamorelin, macimorelin and mecasermin. If you want to know what lies behind the gray-market classics, read CJC-1295, ipamorelin and IGF-1 LR3. Ibutamoren is not a peptide, but in large trials it shows particularly clearly what sustained stimulation of the axis does. All substances in this group are on the Prohibited List of the World Anti-Doping Agency (group S2).</w:t>
      </w:r>
    </w:p>
    <w:bookmarkEnd w:id="1237"/>
    <w:bookmarkStart w:id="1274" w:name="sermorelin"/>
    <w:p>
      <w:pPr>
        <w:pStyle w:val="Heading2"/>
      </w:pPr>
      <w:r>
        <w:t xml:space="preserve">Sermorelin</w:t>
      </w:r>
    </w:p>
    <w:p>
      <w:pPr>
        <w:pStyle w:val="FirstParagraph"/>
      </w:pPr>
      <w:r>
        <w:t xml:space="preserve">Sermorelin is a piece of pharmaceutical history that is living a second life online. In the 1990s it was approved as a medicine in the USA – first as a test substance for diagnosing growth hormone deficiency, then for the treatment of children with short stature. Since the end of the 2000s, the original product has disappeared from the market. Today, sermorelin is mainly prescribed as a compounded preparation in American</w:t>
      </w:r>
      <w:r>
        <w:t xml:space="preserve"> </w:t>
      </w:r>
      <w:r>
        <w:t xml:space="preserve">“</w:t>
      </w:r>
      <w:r>
        <w:t xml:space="preserve">anti-aging</w:t>
      </w:r>
      <w:r>
        <w:t xml:space="preserve">”</w:t>
      </w:r>
      <w:r>
        <w:t xml:space="preserve"> </w:t>
      </w:r>
      <w:r>
        <w:t xml:space="preserve">and</w:t>
      </w:r>
      <w:r>
        <w:t xml:space="preserve"> </w:t>
      </w:r>
      <w:r>
        <w:t xml:space="preserve">“</w:t>
      </w:r>
      <w:r>
        <w:t xml:space="preserve">men’s health</w:t>
      </w:r>
      <w:r>
        <w:t xml:space="preserve">”</w:t>
      </w:r>
      <w:r>
        <w:t xml:space="preserve"> </w:t>
      </w:r>
      <w:r>
        <w:t xml:space="preserve">clinics and offered on the gray market. This chapter shows what the old studies actually prove and what they do not.</w:t>
      </w:r>
    </w:p>
    <w:bookmarkStart w:id="1239" w:name="profile-23"/>
    <w:p>
      <w:pPr>
        <w:pStyle w:val="Heading3"/>
      </w:pPr>
      <w:r>
        <w:t xml:space="preserve">Profile</w:t>
      </w:r>
    </w:p>
    <w:p>
      <w:pPr>
        <w:numPr>
          <w:ilvl w:val="0"/>
          <w:numId w:val="1147"/>
        </w:numPr>
        <w:pStyle w:val="Compact"/>
      </w:pPr>
      <w:r>
        <w:rPr>
          <w:bCs/>
          <w:b/>
        </w:rPr>
        <w:t xml:space="preserve">Type and structure:</w:t>
      </w:r>
      <w:r>
        <w:t xml:space="preserve"> </w:t>
      </w:r>
      <w:r>
        <w:t xml:space="preserve">synthetic peptide of 29 amino acids; it corresponds to the front, active segment of the endogenous growth hormone-releasing hormone, GHRH(1-29)NH2. It is the shortest synthetic peptide with full GHRH activity</w:t>
      </w:r>
      <w:r>
        <w:rPr>
          <w:rStyle w:val="FootnoteReference"/>
        </w:rPr>
        <w:footnoteReference w:id="1238"/>
      </w:r>
      <w:r>
        <w:t xml:space="preserve">.</w:t>
      </w:r>
    </w:p>
    <w:p>
      <w:pPr>
        <w:numPr>
          <w:ilvl w:val="0"/>
          <w:numId w:val="1147"/>
        </w:numPr>
        <w:pStyle w:val="Compact"/>
      </w:pPr>
      <w:r>
        <w:rPr>
          <w:bCs/>
          <w:b/>
        </w:rPr>
        <w:t xml:space="preserve">Origin:</w:t>
      </w:r>
      <w:r>
        <w:t xml:space="preserve"> </w:t>
      </w:r>
      <w:r>
        <w:t xml:space="preserve">derived from natural GHRH in the 1980s; marketed by Serono as Geref.</w:t>
      </w:r>
    </w:p>
    <w:p>
      <w:pPr>
        <w:numPr>
          <w:ilvl w:val="0"/>
          <w:numId w:val="1147"/>
        </w:numPr>
        <w:pStyle w:val="Compact"/>
      </w:pPr>
      <w:r>
        <w:rPr>
          <w:bCs/>
          <w:b/>
        </w:rPr>
        <w:t xml:space="preserve">Mechanism of action:</w:t>
      </w:r>
      <w:r>
        <w:t xml:space="preserve"> </w:t>
      </w:r>
      <w:r>
        <w:t xml:space="preserve">binds to the GHRH receptor of the pituitary gland and triggers the release of growth hormone there; the body’s own regulation (brake via somatostatin, feedback via IGF-1) is preserved.</w:t>
      </w:r>
    </w:p>
    <w:p>
      <w:pPr>
        <w:numPr>
          <w:ilvl w:val="0"/>
          <w:numId w:val="1147"/>
        </w:numPr>
        <w:pStyle w:val="Compact"/>
      </w:pPr>
      <w:r>
        <w:rPr>
          <w:bCs/>
          <w:b/>
        </w:rPr>
        <w:t xml:space="preserve">Approval EU:</w:t>
      </w:r>
      <w:r>
        <w:t xml:space="preserve"> </w:t>
      </w:r>
      <w:r>
        <w:t xml:space="preserve">no (as of 2026).</w:t>
      </w:r>
      <w:r>
        <w:t xml:space="preserve"> </w:t>
      </w:r>
      <w:r>
        <w:rPr>
          <w:bCs/>
          <w:b/>
        </w:rPr>
        <w:t xml:space="preserve">Approval USA:</w:t>
      </w:r>
      <w:r>
        <w:t xml:space="preserve"> </w:t>
      </w:r>
      <w:r>
        <w:t xml:space="preserve">formerly yes (Geref as a diagnostic agent and for the treatment of children with growth hormone deficiency); the original product has no longer been available since the end of the 2000s.</w:t>
      </w:r>
    </w:p>
    <w:p>
      <w:pPr>
        <w:numPr>
          <w:ilvl w:val="0"/>
          <w:numId w:val="1147"/>
        </w:numPr>
        <w:pStyle w:val="Compact"/>
      </w:pPr>
      <w:r>
        <w:rPr>
          <w:bCs/>
          <w:b/>
        </w:rPr>
        <w:t xml:space="preserve">WADA:</w:t>
      </w:r>
      <w:r>
        <w:t xml:space="preserve"> </w:t>
      </w:r>
      <w:r>
        <w:t xml:space="preserve">prohibited, group S2 – sermorelin is explicitly named as a GHRH analog.</w:t>
      </w:r>
    </w:p>
    <w:p>
      <w:pPr>
        <w:numPr>
          <w:ilvl w:val="0"/>
          <w:numId w:val="1147"/>
        </w:numPr>
        <w:pStyle w:val="Compact"/>
      </w:pPr>
      <w:r>
        <w:rPr>
          <w:bCs/>
          <w:b/>
        </w:rPr>
        <w:t xml:space="preserve">Evidence level: B</w:t>
      </w:r>
      <w:r>
        <w:t xml:space="preserve"> </w:t>
      </w:r>
      <w:r>
        <w:t xml:space="preserve">– individual small randomized or controlled trials, mostly open-label and from the 1980s and 1990s; no modern large trial.</w:t>
      </w:r>
    </w:p>
    <w:bookmarkEnd w:id="1239"/>
    <w:bookmarkStart w:id="1241" w:name="how-it-is-supposed-to-work-23"/>
    <w:p>
      <w:pPr>
        <w:pStyle w:val="Heading3"/>
      </w:pPr>
      <w:r>
        <w:t xml:space="preserve">How it is supposed to work</w:t>
      </w:r>
    </w:p>
    <w:p>
      <w:pPr>
        <w:pStyle w:val="FirstParagraph"/>
      </w:pPr>
      <w:r>
        <w:t xml:space="preserve">The pituitary gland releases growth hormone in pulses. The starting signal comes from GHRH from the diencephalon. As produced in nature, GHRH is 44 amino acids long; in the 1980s, researchers found that the first 29 amino acids are sufficient for the full effect. Sermorelin was developed from this.</w:t>
      </w:r>
    </w:p>
    <w:p>
      <w:pPr>
        <w:pStyle w:val="BodyText"/>
      </w:pPr>
      <w:r>
        <w:t xml:space="preserve">The advantage over injected growth hormone is supposed to be that the pituitary gland</w:t>
      </w:r>
      <w:r>
        <w:t xml:space="preserve"> </w:t>
      </w:r>
      <w:r>
        <w:t xml:space="preserve">“</w:t>
      </w:r>
      <w:r>
        <w:t xml:space="preserve">has a say</w:t>
      </w:r>
      <w:r>
        <w:t xml:space="preserve">”</w:t>
      </w:r>
      <w:r>
        <w:t xml:space="preserve">: if there is enough IGF-1 in the blood, the body itself applies the brake via somatostatin. Overdoses as with direct GH administration are therefore supposed to be less likely. The disadvantage: sermorelin only works if the pituitary gland can still produce growth hormone, and its effect is short: the half-life in human blood is only about 10 to 20 minutes</w:t>
      </w:r>
      <w:r>
        <w:rPr>
          <w:rStyle w:val="FootnoteReference"/>
        </w:rPr>
        <w:footnoteReference w:id="1240"/>
      </w:r>
      <w:r>
        <w:t xml:space="preserve">. It is therefore effective mainly in disorders located in the diencephalon, not in the pituitary itself.</w:t>
      </w:r>
    </w:p>
    <w:bookmarkEnd w:id="1241"/>
    <w:bookmarkStart w:id="1258" w:name="human-studies-23"/>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for this book under the keyword</w:t>
      </w:r>
      <w:r>
        <w:t xml:space="preserve"> </w:t>
      </w:r>
      <w:r>
        <w:t xml:space="preserve">“</w:t>
      </w:r>
      <w:r>
        <w:t xml:space="preserve">sermorelin</w:t>
      </w:r>
      <w:r>
        <w:t xml:space="preserve">”</w:t>
      </w:r>
      <w:r>
        <w:t xml:space="preserve"> </w:t>
      </w:r>
      <w:r>
        <w:t xml:space="preserve">found</w:t>
      </w:r>
      <w:r>
        <w:t xml:space="preserve"> </w:t>
      </w:r>
      <w:r>
        <w:rPr>
          <w:bCs/>
          <w:b/>
        </w:rPr>
        <w:t xml:space="preserve">no</w:t>
      </w:r>
      <w:r>
        <w:t xml:space="preserve"> </w:t>
      </w:r>
      <w:r>
        <w:t xml:space="preserve">human study (</w:t>
      </w:r>
      <w:r>
        <w:rPr>
          <w:rStyle w:val="VerbatimChar"/>
        </w:rPr>
        <w:t xml:space="preserve">humanstudien_alle</w:t>
      </w:r>
      <w:r>
        <w:t xml:space="preserve">: 0) and</w:t>
      </w:r>
      <w:r>
        <w:t xml:space="preserve"> </w:t>
      </w:r>
      <w:r>
        <w:rPr>
          <w:bCs/>
          <w:b/>
        </w:rPr>
        <w:t xml:space="preserve">27</w:t>
      </w:r>
      <w:r>
        <w:t xml:space="preserve"> </w:t>
      </w:r>
      <w:r>
        <w:t xml:space="preserve">entries on ClinicalTrials.gov. Both figures are misleading: most clinical papers appeared under designations such as</w:t>
      </w:r>
      <w:r>
        <w:t xml:space="preserve"> </w:t>
      </w:r>
      <w:r>
        <w:t xml:space="preserve">“</w:t>
      </w:r>
      <w:r>
        <w:t xml:space="preserve">GHRH(1-29)NH2,</w:t>
      </w:r>
      <w:r>
        <w:t xml:space="preserve">”</w:t>
      </w:r>
      <w:r>
        <w:t xml:space="preserve"> </w:t>
      </w:r>
      <w:r>
        <w:t xml:space="preserve">“</w:t>
      </w:r>
      <w:r>
        <w:t xml:space="preserve">GRF 1-29</w:t>
      </w:r>
      <w:r>
        <w:t xml:space="preserve">”</w:t>
      </w:r>
      <w:r>
        <w:t xml:space="preserve"> </w:t>
      </w:r>
      <w:r>
        <w:t xml:space="preserve">or</w:t>
      </w:r>
      <w:r>
        <w:t xml:space="preserve"> </w:t>
      </w:r>
      <w:r>
        <w:t xml:space="preserve">“</w:t>
      </w:r>
      <w:r>
        <w:t xml:space="preserve">Geref</w:t>
      </w:r>
      <w:r>
        <w:t xml:space="preserve">”</w:t>
      </w:r>
      <w:r>
        <w:t xml:space="preserve"> </w:t>
      </w:r>
      <w:r>
        <w:t xml:space="preserve">and are not captured by a pure name search. Conversely, many of the 27 registry entries do not concern sermorelin at all, but tesamorelin or GHRH tests in general. A targeted follow-up search found several dozen clinical studies, mostly small and from the period before 2000.</w:t>
      </w:r>
    </w:p>
    <w:bookmarkStart w:id="1247" w:name="children-with-growth-hormone-deficiency"/>
    <w:p>
      <w:pPr>
        <w:pStyle w:val="Heading4"/>
      </w:pPr>
      <w:r>
        <w:t xml:space="preserve">Children with growth hormone deficiency</w:t>
      </w:r>
    </w:p>
    <w:p>
      <w:pPr>
        <w:pStyle w:val="FirstParagraph"/>
      </w:pPr>
      <w:r>
        <w:t xml:space="preserve">The main area of application was growth disorder in children. In an open-label, multicenter study by the Geref study group, 110 previously untreated prepubertal children received sermorelin once daily in the evening for one year. Growth velocity rose from 4.1 cm per year to 8.0 cm after six months and 7.2 cm after twelve months; 74% were considered good responders after six months. No abnormal laboratory changes occurred</w:t>
      </w:r>
      <w:r>
        <w:rPr>
          <w:rStyle w:val="FootnoteReference"/>
        </w:rPr>
        <w:footnoteReference w:id="1242"/>
      </w:r>
      <w:r>
        <w:t xml:space="preserve">.</w:t>
      </w:r>
    </w:p>
    <w:p>
      <w:pPr>
        <w:pStyle w:val="BodyText"/>
      </w:pPr>
      <w:r>
        <w:t xml:space="preserve">An early British study with 18 children already showed the limits: only in 8 children did growth velocity increase by more than 2 cm per year in the first six months; 14 children developed antibodies against the peptide, without any discernible effect on growth</w:t>
      </w:r>
      <w:r>
        <w:rPr>
          <w:rStyle w:val="FootnoteReference"/>
        </w:rPr>
        <w:footnoteReference w:id="1243"/>
      </w:r>
      <w:r>
        <w:t xml:space="preserve">. In a randomized trial with 43 children, the children grew most slowly on low-dose sermorelin; only on growth hormone did height improve relative to bone age</w:t>
      </w:r>
      <w:r>
        <w:rPr>
          <w:rStyle w:val="FootnoteReference"/>
        </w:rPr>
        <w:footnoteReference w:id="1244"/>
      </w:r>
      <w:r>
        <w:t xml:space="preserve">. A review noted that sermorelin is effective in some of the children, but weaker than growth hormone, and that data on final height are lacking</w:t>
      </w:r>
      <w:r>
        <w:rPr>
          <w:rStyle w:val="FootnoteReference"/>
        </w:rPr>
        <w:footnoteReference w:id="1245"/>
      </w:r>
      <w:r>
        <w:t xml:space="preserve">.</w:t>
      </w:r>
    </w:p>
    <w:p>
      <w:pPr>
        <w:pStyle w:val="BodyText"/>
      </w:pPr>
      <w:r>
        <w:t xml:space="preserve">In children with idiopathic short stature (i.e., without demonstrable hormone deficiency), growth velocity also increased with twice-daily injections in a small study with 18 children; after discontinuation it fell back below baseline, and fasting glucose and insulin rose during treatment</w:t>
      </w:r>
      <w:r>
        <w:rPr>
          <w:rStyle w:val="FootnoteReference"/>
        </w:rPr>
        <w:footnoteReference w:id="1246"/>
      </w:r>
      <w:r>
        <w:t xml:space="preserve">.</w:t>
      </w:r>
    </w:p>
    <w:bookmarkEnd w:id="1247"/>
    <w:bookmarkStart w:id="1252" w:name="older-adults"/>
    <w:p>
      <w:pPr>
        <w:pStyle w:val="Heading4"/>
      </w:pPr>
      <w:r>
        <w:t xml:space="preserve">Older adults</w:t>
      </w:r>
    </w:p>
    <w:p>
      <w:pPr>
        <w:pStyle w:val="FirstParagraph"/>
      </w:pPr>
      <w:r>
        <w:t xml:space="preserve">For today’s marketing (</w:t>
      </w:r>
      <w:r>
        <w:t xml:space="preserve">“</w:t>
      </w:r>
      <w:r>
        <w:t xml:space="preserve">anti-aging</w:t>
      </w:r>
      <w:r>
        <w:t xml:space="preserve">”</w:t>
      </w:r>
      <w:r>
        <w:t xml:space="preserve">), studies in older people are decisive. There are only a few, and they are very small:</w:t>
      </w:r>
    </w:p>
    <w:p>
      <w:pPr>
        <w:numPr>
          <w:ilvl w:val="0"/>
          <w:numId w:val="1148"/>
        </w:numPr>
        <w:pStyle w:val="Compact"/>
      </w:pPr>
      <w:r>
        <w:t xml:space="preserve">19 healthy women and men between 55 and 71 years of age received a sermorelin analog for 16 weeks after four weeks of placebo. Growth hormone and IGF-1 rose, skin thickness increased in both sexes, and lean mass and insulin sensitivity only in men. Men reported improved well-being and increased libido; sleep quality did not change. As a side effect, a temporary increase in blood lipids occurred</w:t>
      </w:r>
      <w:r>
        <w:rPr>
          <w:rStyle w:val="FootnoteReference"/>
        </w:rPr>
        <w:footnoteReference w:id="1248"/>
      </w:r>
      <w:r>
        <w:t xml:space="preserve">. The same group described changes in immune cells</w:t>
      </w:r>
      <w:r>
        <w:rPr>
          <w:rStyle w:val="FootnoteReference"/>
        </w:rPr>
        <w:footnoteReference w:id="1249"/>
      </w:r>
      <w:r>
        <w:t xml:space="preserve">. The study was only single-blind and had no parallel control group.</w:t>
      </w:r>
    </w:p>
    <w:p>
      <w:pPr>
        <w:numPr>
          <w:ilvl w:val="0"/>
          <w:numId w:val="1148"/>
        </w:numPr>
        <w:pStyle w:val="Compact"/>
      </w:pPr>
      <w:r>
        <w:t xml:space="preserve">In 11 healthy men between 64 and 76 years of age, six weeks of nightly injections increased nocturnal GH release, but neither IGF-1 nor muscle or fat mass changed; two of six strength measurements improved</w:t>
      </w:r>
      <w:r>
        <w:rPr>
          <w:rStyle w:val="FootnoteReference"/>
        </w:rPr>
        <w:footnoteReference w:id="1250"/>
      </w:r>
      <w:r>
        <w:t xml:space="preserve">.</w:t>
      </w:r>
    </w:p>
    <w:p>
      <w:pPr>
        <w:pStyle w:val="FirstParagraph"/>
      </w:pPr>
      <w:r>
        <w:t xml:space="preserve">Two later studies on GHRH in older people were stopped after 5 and 13 participants, respectively</w:t>
      </w:r>
      <w:r>
        <w:rPr>
          <w:rStyle w:val="FootnoteReference"/>
        </w:rPr>
        <w:footnoteReference w:id="1251"/>
      </w:r>
      <w:r>
        <w:t xml:space="preserve">.</w:t>
      </w:r>
    </w:p>
    <w:bookmarkEnd w:id="1252"/>
    <w:bookmarkStart w:id="1255" w:name="diagnostics"/>
    <w:p>
      <w:pPr>
        <w:pStyle w:val="Heading4"/>
      </w:pPr>
      <w:r>
        <w:t xml:space="preserve">Diagnostics</w:t>
      </w:r>
    </w:p>
    <w:p>
      <w:pPr>
        <w:pStyle w:val="FirstParagraph"/>
      </w:pPr>
      <w:r>
        <w:t xml:space="preserve">As a test substance, sermorelin was given intravenously to check whether the pituitary gland responds to GHRH. Combined with the amino acid arginine, this test was considered an alternative in adults to the burdensome insulin hypoglycemia test</w:t>
      </w:r>
      <w:r>
        <w:rPr>
          <w:rStyle w:val="FootnoteReference"/>
        </w:rPr>
        <w:footnoteReference w:id="1253"/>
      </w:r>
      <w:r>
        <w:t xml:space="preserve">. After the diagnostic agent was no longer available in the USA, an ongoing study of a new test (macimorelin) had to change its design</w:t>
      </w:r>
      <w:r>
        <w:rPr>
          <w:rStyle w:val="FootnoteReference"/>
        </w:rPr>
        <w:footnoteReference w:id="1254"/>
      </w:r>
      <w:r>
        <w:t xml:space="preserve">.</w:t>
      </w:r>
    </w:p>
    <w:bookmarkEnd w:id="1255"/>
    <w:bookmarkStart w:id="1257" w:name="modern-mens-health"/>
    <w:p>
      <w:pPr>
        <w:pStyle w:val="Heading4"/>
      </w:pPr>
      <w:r>
        <w:t xml:space="preserve">Modern</w:t>
      </w:r>
      <w:r>
        <w:t xml:space="preserve"> </w:t>
      </w:r>
      <w:r>
        <w:t xml:space="preserve">“</w:t>
      </w:r>
      <w:r>
        <w:t xml:space="preserve">men’s health</w:t>
      </w:r>
      <w:r>
        <w:t xml:space="preserve">”</w:t>
      </w:r>
    </w:p>
    <w:p>
      <w:pPr>
        <w:pStyle w:val="FirstParagraph"/>
      </w:pPr>
      <w:r>
        <w:t xml:space="preserve">A retrospective chart review from a US men’s clinic described 14 young men on testosterone therapy who were prescribed a combination of sermorelin, GHRP-2 and GHRP-6. IGF-1 rose on average from 159.5 to 239.0 ng/ml</w:t>
      </w:r>
      <w:r>
        <w:rPr>
          <w:rStyle w:val="FootnoteReference"/>
        </w:rPr>
        <w:footnoteReference w:id="1256"/>
      </w:r>
      <w:r>
        <w:t xml:space="preserve">. Of an original 105 men, only 14 met the inclusion criteria; the paper allows no conclusions about muscle mass, fat loss or safety.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Geref study group (Thorner 1996), PMID 8772599</w:t>
            </w:r>
          </w:p>
        </w:tc>
        <w:tc>
          <w:tcPr/>
          <w:p>
            <w:pPr>
              <w:pStyle w:val="Compact"/>
              <w:jc w:val="left"/>
            </w:pPr>
            <w:r>
              <w:t xml:space="preserve">110 children with GH deficiency, open-label, no control group</w:t>
            </w:r>
          </w:p>
        </w:tc>
        <w:tc>
          <w:tcPr/>
          <w:p>
            <w:pPr>
              <w:pStyle w:val="Compact"/>
              <w:jc w:val="left"/>
            </w:pPr>
            <w:r>
              <w:t xml:space="preserve">12 months</w:t>
            </w:r>
          </w:p>
        </w:tc>
        <w:tc>
          <w:tcPr/>
          <w:p>
            <w:pPr>
              <w:pStyle w:val="Compact"/>
              <w:jc w:val="left"/>
            </w:pPr>
            <w:r>
              <w:t xml:space="preserve">growth 4.1 → 7.2 cm/year</w:t>
            </w:r>
          </w:p>
        </w:tc>
      </w:tr>
      <w:tr>
        <w:tc>
          <w:tcPr/>
          <w:p>
            <w:pPr>
              <w:pStyle w:val="Compact"/>
              <w:jc w:val="left"/>
            </w:pPr>
            <w:r>
              <w:t xml:space="preserve">Comparison with GH (Neyzi 1993), PMID 8329826</w:t>
            </w:r>
          </w:p>
        </w:tc>
        <w:tc>
          <w:tcPr/>
          <w:p>
            <w:pPr>
              <w:pStyle w:val="Compact"/>
              <w:jc w:val="left"/>
            </w:pPr>
            <w:r>
              <w:t xml:space="preserve">43 children, randomized (2 sermorelin doses vs. GH)</w:t>
            </w:r>
          </w:p>
        </w:tc>
        <w:tc>
          <w:tcPr/>
          <w:p>
            <w:pPr>
              <w:pStyle w:val="Compact"/>
              <w:jc w:val="left"/>
            </w:pPr>
            <w:r>
              <w:t xml:space="preserve">6 months</w:t>
            </w:r>
          </w:p>
        </w:tc>
        <w:tc>
          <w:tcPr/>
          <w:p>
            <w:pPr>
              <w:pStyle w:val="Compact"/>
              <w:jc w:val="left"/>
            </w:pPr>
            <w:r>
              <w:t xml:space="preserve">high dose similar to GH, low dose weaker</w:t>
            </w:r>
          </w:p>
        </w:tc>
      </w:tr>
      <w:tr>
        <w:tc>
          <w:tcPr/>
          <w:p>
            <w:pPr>
              <w:pStyle w:val="Compact"/>
              <w:jc w:val="left"/>
            </w:pPr>
            <w:r>
              <w:t xml:space="preserve">Older adults (Khorram 1997), PMID 9141536</w:t>
            </w:r>
          </w:p>
        </w:tc>
        <w:tc>
          <w:tcPr/>
          <w:p>
            <w:pPr>
              <w:pStyle w:val="Compact"/>
              <w:jc w:val="left"/>
            </w:pPr>
            <w:r>
              <w:t xml:space="preserve">19 healthy people, 55–71 years, single-blind, placebo run-in</w:t>
            </w:r>
          </w:p>
        </w:tc>
        <w:tc>
          <w:tcPr/>
          <w:p>
            <w:pPr>
              <w:pStyle w:val="Compact"/>
              <w:jc w:val="left"/>
            </w:pPr>
            <w:r>
              <w:t xml:space="preserve">5 months</w:t>
            </w:r>
          </w:p>
        </w:tc>
        <w:tc>
          <w:tcPr/>
          <w:p>
            <w:pPr>
              <w:pStyle w:val="Compact"/>
              <w:jc w:val="left"/>
            </w:pPr>
            <w:r>
              <w:t xml:space="preserve">IGF-1 ↑, lean mass ↑ only in men</w:t>
            </w:r>
          </w:p>
        </w:tc>
      </w:tr>
      <w:tr>
        <w:tc>
          <w:tcPr/>
          <w:p>
            <w:pPr>
              <w:pStyle w:val="Compact"/>
              <w:jc w:val="left"/>
            </w:pPr>
            <w:r>
              <w:t xml:space="preserve">Older men (Vittone 1997), PMID 9005976</w:t>
            </w:r>
          </w:p>
        </w:tc>
        <w:tc>
          <w:tcPr/>
          <w:p>
            <w:pPr>
              <w:pStyle w:val="Compact"/>
              <w:jc w:val="left"/>
            </w:pPr>
            <w:r>
              <w:t xml:space="preserve">11 healthy people, 64–76 years, no control group</w:t>
            </w:r>
          </w:p>
        </w:tc>
        <w:tc>
          <w:tcPr/>
          <w:p>
            <w:pPr>
              <w:pStyle w:val="Compact"/>
              <w:jc w:val="left"/>
            </w:pPr>
            <w:r>
              <w:t xml:space="preserve">6 weeks</w:t>
            </w:r>
          </w:p>
        </w:tc>
        <w:tc>
          <w:tcPr/>
          <w:p>
            <w:pPr>
              <w:pStyle w:val="Compact"/>
              <w:jc w:val="left"/>
            </w:pPr>
            <w:r>
              <w:t xml:space="preserve">GH ↑, IGF-1 and body composition unchanged</w:t>
            </w:r>
          </w:p>
        </w:tc>
      </w:tr>
      <w:tr>
        <w:tc>
          <w:tcPr/>
          <w:p>
            <w:pPr>
              <w:pStyle w:val="Compact"/>
              <w:jc w:val="left"/>
            </w:pPr>
            <w:r>
              <w:t xml:space="preserve">Men’s clinic (Sigalos 2017), PMID 28830317</w:t>
            </w:r>
          </w:p>
        </w:tc>
        <w:tc>
          <w:tcPr/>
          <w:p>
            <w:pPr>
              <w:pStyle w:val="Compact"/>
              <w:jc w:val="left"/>
            </w:pPr>
            <w:r>
              <w:t xml:space="preserve">14 men, retrospective, combination with GHRP-2/-6</w:t>
            </w:r>
          </w:p>
        </w:tc>
        <w:tc>
          <w:tcPr/>
          <w:p>
            <w:pPr>
              <w:pStyle w:val="Compact"/>
              <w:jc w:val="left"/>
            </w:pPr>
            <w:r>
              <w:t xml:space="preserve">134 days on average</w:t>
            </w:r>
          </w:p>
        </w:tc>
        <w:tc>
          <w:tcPr/>
          <w:p>
            <w:pPr>
              <w:pStyle w:val="Compact"/>
              <w:jc w:val="left"/>
            </w:pPr>
            <w:r>
              <w:t xml:space="preserve">IGF-1 159.5 → 239.0 ng/ml</w:t>
            </w:r>
          </w:p>
        </w:tc>
      </w:tr>
    </w:tbl>
    <w:bookmarkEnd w:id="1257"/>
    <w:bookmarkEnd w:id="1258"/>
    <w:bookmarkStart w:id="1261" w:name="animal-and-laboratory-studies-23"/>
    <w:p>
      <w:pPr>
        <w:pStyle w:val="Heading3"/>
      </w:pPr>
      <w:r>
        <w:t xml:space="preserve">Animal and laboratory studies</w:t>
      </w:r>
    </w:p>
    <w:p>
      <w:pPr>
        <w:pStyle w:val="FirstParagraph"/>
      </w:pPr>
      <w:r>
        <w:t xml:space="preserve">Sermorelin itself was studied in the laboratory mainly in connection with its discovery and with variants with a longer duration of action, for example variants coupled to polyethylene glycol, which acted longer than the unmodified peptide in rats and pigs</w:t>
      </w:r>
      <w:r>
        <w:rPr>
          <w:rStyle w:val="FootnoteReference"/>
        </w:rPr>
        <w:footnoteReference w:id="1259"/>
      </w:r>
      <w:r>
        <w:t xml:space="preserve">. A purely computational study that matched gene activity data from glioma patients against a drug database named sermorelin as a possible candidate against recurrent brain tumors</w:t>
      </w:r>
      <w:r>
        <w:rPr>
          <w:rStyle w:val="FootnoteReference"/>
        </w:rPr>
        <w:footnoteReference w:id="1260"/>
      </w:r>
      <w:r>
        <w:t xml:space="preserve">. This is a computer hypothesis without laboratory or patient confirmation – and stands in striking contrast to the concern that stimulating the growth axis might rather promote tumors.</w:t>
      </w:r>
    </w:p>
    <w:bookmarkEnd w:id="1261"/>
    <w:bookmarkStart w:id="1267" w:name="risks-and-side-effects-23"/>
    <w:p>
      <w:pPr>
        <w:pStyle w:val="Heading3"/>
      </w:pPr>
      <w:r>
        <w:t xml:space="preserve">Risks and side effects</w:t>
      </w:r>
    </w:p>
    <w:p>
      <w:pPr>
        <w:pStyle w:val="FirstParagraph"/>
      </w:pPr>
      <w:r>
        <w:rPr>
          <w:bCs/>
          <w:b/>
        </w:rPr>
        <w:t xml:space="preserve">Documented (from approval and study data):</w:t>
      </w:r>
      <w:r>
        <w:t xml:space="preserve"> </w:t>
      </w:r>
      <w:r>
        <w:t xml:space="preserve">temporary facial flushing and pain at the injection site were the most common side effects</w:t>
      </w:r>
      <w:r>
        <w:rPr>
          <w:rStyle w:val="FootnoteReference"/>
        </w:rPr>
        <w:footnoteReference w:id="1262"/>
      </w:r>
      <w:r>
        <w:t xml:space="preserve">. Antibodies against sermorelin frequently occurred in children, without discernible consequences</w:t>
      </w:r>
      <w:r>
        <w:rPr>
          <w:rStyle w:val="FootnoteReference"/>
        </w:rPr>
        <w:footnoteReference w:id="1263"/>
      </w:r>
      <w:r>
        <w:t xml:space="preserve">. In individual studies, blood glucose, insulin or blood lipids rose temporarily</w:t>
      </w:r>
      <w:r>
        <w:rPr>
          <w:rStyle w:val="FootnoteReference"/>
        </w:rPr>
        <w:footnoteReference w:id="1264"/>
      </w:r>
      <w:r>
        <w:t xml:space="preserve">.</w:t>
      </w:r>
    </w:p>
    <w:p>
      <w:pPr>
        <w:pStyle w:val="BodyText"/>
      </w:pPr>
      <w:r>
        <w:rPr>
          <w:bCs/>
          <w:b/>
        </w:rPr>
        <w:t xml:space="preserve">Long-term risks:</w:t>
      </w:r>
      <w:r>
        <w:t xml:space="preserve"> </w:t>
      </w:r>
      <w:r>
        <w:t xml:space="preserve">There are no systematic long-term data on sermorelin in adults. A case report describes a 62-year-old recreational bodybuilder who had used growth hormone and GH releasers (including sermorelin with GHRP-6) for around 20 years and developed swallowing difficulties due to a large bone spur on the cervical spine; the authors consider a connection possible but not proven</w:t>
      </w:r>
      <w:r>
        <w:rPr>
          <w:rStyle w:val="FootnoteReference"/>
        </w:rPr>
        <w:footnoteReference w:id="1265"/>
      </w:r>
      <w:r>
        <w:t xml:space="preserve">. On the fundamental question of whether a sustained increase in IGF-1 raises the risk of cancer, see the introduction to this group and Part IV.</w:t>
      </w:r>
    </w:p>
    <w:p>
      <w:pPr>
        <w:pStyle w:val="BodyText"/>
      </w:pPr>
      <w:r>
        <w:rPr>
          <w:bCs/>
          <w:b/>
        </w:rPr>
        <w:t xml:space="preserve">Gray market:</w:t>
      </w:r>
      <w:r>
        <w:t xml:space="preserve"> </w:t>
      </w:r>
      <w:r>
        <w:t xml:space="preserve">In a European customs operation, sermorelin products were found among seized injectable preparations alongside growth hormone and melanotan II – without labeling and in some cases without active substance</w:t>
      </w:r>
      <w:r>
        <w:rPr>
          <w:rStyle w:val="FootnoteReference"/>
        </w:rPr>
        <w:footnoteReference w:id="1266"/>
      </w:r>
      <w:r>
        <w:t xml:space="preserve">.</w:t>
      </w:r>
    </w:p>
    <w:bookmarkEnd w:id="1267"/>
    <w:bookmarkStart w:id="1271" w:name="legal-status-23"/>
    <w:p>
      <w:pPr>
        <w:pStyle w:val="Heading3"/>
      </w:pPr>
      <w:r>
        <w:t xml:space="preserve">Legal status</w:t>
      </w:r>
    </w:p>
    <w:p>
      <w:pPr>
        <w:pStyle w:val="FirstParagraph"/>
      </w:pPr>
      <w:r>
        <w:rPr>
          <w:iCs/>
          <w:i/>
        </w:rPr>
        <w:t xml:space="preserve">As of 2026, please check for updates.</w:t>
      </w:r>
    </w:p>
    <w:p>
      <w:pPr>
        <w:numPr>
          <w:ilvl w:val="0"/>
          <w:numId w:val="1149"/>
        </w:numPr>
        <w:pStyle w:val="Compact"/>
      </w:pPr>
      <w:r>
        <w:rPr>
          <w:bCs/>
          <w:b/>
        </w:rPr>
        <w:t xml:space="preserve">Background of the US approval:</w:t>
      </w:r>
      <w:r>
        <w:t xml:space="preserve"> </w:t>
      </w:r>
      <w:r>
        <w:t xml:space="preserve">Geref was initially approved in the USA as a diagnostic agent and, from the 1990s, for the treatment of children with growth hormone deficiency. The manufacturer discontinued distribution toward the end of the 2000s; according to publicly available information, for manufacturing or commercial reasons and not because of a newly identified safety problem. That the diagnostic agent disappeared around this time is documented in a study</w:t>
      </w:r>
      <w:r>
        <w:rPr>
          <w:rStyle w:val="FootnoteReference"/>
        </w:rPr>
        <w:footnoteReference w:id="1268"/>
      </w:r>
      <w:r>
        <w:t xml:space="preserve">. There is no finished medicinal product with a valid approval today.</w:t>
      </w:r>
    </w:p>
    <w:p>
      <w:pPr>
        <w:numPr>
          <w:ilvl w:val="0"/>
          <w:numId w:val="1149"/>
        </w:numPr>
        <w:pStyle w:val="Compact"/>
      </w:pPr>
      <w:r>
        <w:rPr>
          <w:bCs/>
          <w:b/>
        </w:rPr>
        <w:t xml:space="preserve">USA today:</w:t>
      </w:r>
      <w:r>
        <w:t xml:space="preserve"> </w:t>
      </w:r>
      <w:r>
        <w:t xml:space="preserve">Sermorelin is produced by compounding pharmacies and prescribed mainly in anti-aging practices. Whether and under what conditions this is permissible depends on the changing FDA rules for compounding substances, which are debated controversially in professional circles</w:t>
      </w:r>
      <w:r>
        <w:rPr>
          <w:rStyle w:val="FootnoteReference"/>
        </w:rPr>
        <w:footnoteReference w:id="1269"/>
      </w:r>
      <w:r>
        <w:t xml:space="preserve">.</w:t>
      </w:r>
    </w:p>
    <w:p>
      <w:pPr>
        <w:numPr>
          <w:ilvl w:val="0"/>
          <w:numId w:val="1149"/>
        </w:numPr>
        <w:pStyle w:val="Compact"/>
      </w:pPr>
      <w:r>
        <w:rPr>
          <w:bCs/>
          <w:b/>
        </w:rPr>
        <w:t xml:space="preserve">EU, Germany, Austria:</w:t>
      </w:r>
      <w:r>
        <w:t xml:space="preserve"> </w:t>
      </w:r>
      <w:r>
        <w:t xml:space="preserve">no approval, no finished medicinal product on the market. Supplying it for use in humans without approval is impermissible under the respective medicines act;</w:t>
      </w:r>
      <w:r>
        <w:t xml:space="preserve"> </w:t>
      </w:r>
      <w:r>
        <w:t xml:space="preserve">“</w:t>
      </w:r>
      <w:r>
        <w:t xml:space="preserve">for research purposes only</w:t>
      </w:r>
      <w:r>
        <w:t xml:space="preserve">”</w:t>
      </w:r>
      <w:r>
        <w:t xml:space="preserve"> </w:t>
      </w:r>
      <w:r>
        <w:t xml:space="preserve">labels do not change this.</w:t>
      </w:r>
    </w:p>
    <w:p>
      <w:pPr>
        <w:numPr>
          <w:ilvl w:val="0"/>
          <w:numId w:val="1149"/>
        </w:numPr>
        <w:pStyle w:val="Compact"/>
      </w:pPr>
      <w:r>
        <w:rPr>
          <w:bCs/>
          <w:b/>
        </w:rPr>
        <w:t xml:space="preserve">WADA:</w:t>
      </w:r>
      <w:r>
        <w:t xml:space="preserve"> </w:t>
      </w:r>
      <w:r>
        <w:t xml:space="preserve">prohibited (S2). Detection methods for sermorelin and its breakdown products in urine have been developed</w:t>
      </w:r>
      <w:r>
        <w:rPr>
          <w:rStyle w:val="FootnoteReference"/>
        </w:rPr>
        <w:footnoteReference w:id="1270"/>
      </w:r>
      <w:r>
        <w:t xml:space="preserve">.</w:t>
      </w:r>
    </w:p>
    <w:bookmarkEnd w:id="1271"/>
    <w:bookmarkStart w:id="1272" w:name="ongoing-studies-and-outlook-23"/>
    <w:p>
      <w:pPr>
        <w:pStyle w:val="Heading3"/>
      </w:pPr>
      <w:r>
        <w:t xml:space="preserve">Ongoing studies and outlook</w:t>
      </w:r>
    </w:p>
    <w:p>
      <w:pPr>
        <w:pStyle w:val="FirstParagraph"/>
      </w:pPr>
      <w:r>
        <w:t xml:space="preserve">As of October 2026, no ongoing clinical trial with sermorelin itself is listed on ClinicalTrials.gov; the registry entries under this search term concern completed GHRH studies or tesamorelin.</w:t>
      </w:r>
      <w:r>
        <w:t xml:space="preserve"> </w:t>
      </w:r>
      <w:r>
        <w:rPr>
          <w:iCs/>
          <w:i/>
        </w:rPr>
        <w:t xml:space="preserve">Author’s assessment:</w:t>
      </w:r>
      <w:r>
        <w:t xml:space="preserve"> </w:t>
      </w:r>
      <w:r>
        <w:t xml:space="preserve">A return as an approved medicine is not in sight. Demand will continue to be driven by clinics and online suppliers, not by new study data.</w:t>
      </w:r>
    </w:p>
    <w:bookmarkEnd w:id="1272"/>
    <w:bookmarkStart w:id="1273" w:name="conclusion-23"/>
    <w:p>
      <w:pPr>
        <w:pStyle w:val="Heading3"/>
      </w:pPr>
      <w:r>
        <w:t xml:space="preserve">Conclusion</w:t>
      </w:r>
    </w:p>
    <w:p>
      <w:pPr>
        <w:pStyle w:val="FirstParagraph"/>
      </w:pPr>
      <w:r>
        <w:t xml:space="preserve">Sermorelin reliably stimulates the body’s own release of growth hormone and was approved in the USA for children with growth hormone deficiency, but was weaker there than growth hormone itself. The studies in older adults each include only about ten to twenty people and show at most small, inconsistent effects. Evidence of a benefit as an</w:t>
      </w:r>
      <w:r>
        <w:t xml:space="preserve"> </w:t>
      </w:r>
      <w:r>
        <w:t xml:space="preserve">“</w:t>
      </w:r>
      <w:r>
        <w:t xml:space="preserve">anti-aging</w:t>
      </w:r>
      <w:r>
        <w:t xml:space="preserve">”</w:t>
      </w:r>
      <w:r>
        <w:t xml:space="preserve"> </w:t>
      </w:r>
      <w:r>
        <w:t xml:space="preserve">agent or for performance enhancement is lacking, as are long-term safety data.</w:t>
      </w:r>
    </w:p>
    <w:bookmarkEnd w:id="1273"/>
    <w:bookmarkEnd w:id="1274"/>
    <w:bookmarkStart w:id="1314" w:name="tesamorelin"/>
    <w:p>
      <w:pPr>
        <w:pStyle w:val="Heading2"/>
      </w:pPr>
      <w:r>
        <w:t xml:space="preserve">Tesamorelin</w:t>
      </w:r>
    </w:p>
    <w:p>
      <w:pPr>
        <w:pStyle w:val="FirstParagraph"/>
      </w:pPr>
      <w:r>
        <w:t xml:space="preserve">Tesamorelin is the only peptide in this group that is currently approved in the United States as a medicine for long-term treatment – albeit for a very specific situation: excess abdominal fat in people with HIV. That is precisely what makes it instructive. Tesamorelin shows what increasing the body’s own growth hormone secretion actually achieves in clean, placebo-controlled trials – and what it does not. On the internet, by contrast, it is often promoted as a</w:t>
      </w:r>
      <w:r>
        <w:t xml:space="preserve"> </w:t>
      </w:r>
      <w:r>
        <w:t xml:space="preserve">“</w:t>
      </w:r>
      <w:r>
        <w:t xml:space="preserve">belly fat peptide</w:t>
      </w:r>
      <w:r>
        <w:t xml:space="preserve">”</w:t>
      </w:r>
      <w:r>
        <w:t xml:space="preserve"> </w:t>
      </w:r>
      <w:r>
        <w:t xml:space="preserve">for everyone. This chapter separates the proven use from the hopes.</w:t>
      </w:r>
    </w:p>
    <w:bookmarkStart w:id="1277" w:name="profile-24"/>
    <w:p>
      <w:pPr>
        <w:pStyle w:val="Heading3"/>
      </w:pPr>
      <w:r>
        <w:t xml:space="preserve">Profile</w:t>
      </w:r>
    </w:p>
    <w:p>
      <w:pPr>
        <w:numPr>
          <w:ilvl w:val="0"/>
          <w:numId w:val="1150"/>
        </w:numPr>
        <w:pStyle w:val="Compact"/>
      </w:pPr>
      <w:r>
        <w:rPr>
          <w:bCs/>
          <w:b/>
        </w:rPr>
        <w:t xml:space="preserve">Type and structure:</w:t>
      </w:r>
      <w:r>
        <w:t xml:space="preserve"> </w:t>
      </w:r>
      <w:r>
        <w:t xml:space="preserve">synthetic peptide of 44 amino acids; it corresponds to the complete human growth hormone–releasing hormone, GHRH(1-44)</w:t>
      </w:r>
      <w:r>
        <w:rPr>
          <w:rStyle w:val="FootnoteReference"/>
        </w:rPr>
        <w:footnoteReference w:id="1275"/>
      </w:r>
      <w:r>
        <w:t xml:space="preserve">, with an additional chemical group attached to its beginning that slows its rapid breakdown in the blood.</w:t>
      </w:r>
    </w:p>
    <w:p>
      <w:pPr>
        <w:numPr>
          <w:ilvl w:val="0"/>
          <w:numId w:val="1150"/>
        </w:numPr>
        <w:pStyle w:val="Compact"/>
      </w:pPr>
      <w:r>
        <w:rPr>
          <w:bCs/>
          <w:b/>
        </w:rPr>
        <w:t xml:space="preserve">Origin:</w:t>
      </w:r>
      <w:r>
        <w:t xml:space="preserve"> </w:t>
      </w:r>
      <w:r>
        <w:t xml:space="preserve">developed by the Canadian company Theratechnologies (development name TH9507).</w:t>
      </w:r>
    </w:p>
    <w:p>
      <w:pPr>
        <w:numPr>
          <w:ilvl w:val="0"/>
          <w:numId w:val="1150"/>
        </w:numPr>
        <w:pStyle w:val="Compact"/>
      </w:pPr>
      <w:r>
        <w:rPr>
          <w:bCs/>
          <w:b/>
        </w:rPr>
        <w:t xml:space="preserve">Mechanism of action:</w:t>
      </w:r>
      <w:r>
        <w:t xml:space="preserve"> </w:t>
      </w:r>
      <w:r>
        <w:t xml:space="preserve">like the body’s own GHRH, it binds to the GHRH receptor in the pituitary gland and thereby increases the body’s own, still pulsatile, secretion of growth hormone (GH); as a consequence, the messenger IGF-1 rises.</w:t>
      </w:r>
    </w:p>
    <w:p>
      <w:pPr>
        <w:numPr>
          <w:ilvl w:val="0"/>
          <w:numId w:val="1150"/>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yes (Egrifta, since 2010) for the reduction of excess abdominal fat in adults with HIV and lipodystrophy</w:t>
      </w:r>
      <w:r>
        <w:rPr>
          <w:rStyle w:val="FootnoteReference"/>
        </w:rPr>
        <w:footnoteReference w:id="1276"/>
      </w:r>
      <w:r>
        <w:t xml:space="preserve">.</w:t>
      </w:r>
    </w:p>
    <w:p>
      <w:pPr>
        <w:numPr>
          <w:ilvl w:val="0"/>
          <w:numId w:val="1150"/>
        </w:numPr>
        <w:pStyle w:val="Compact"/>
      </w:pPr>
      <w:r>
        <w:rPr>
          <w:bCs/>
          <w:b/>
        </w:rPr>
        <w:t xml:space="preserve">WADA:</w:t>
      </w:r>
      <w:r>
        <w:t xml:space="preserve"> </w:t>
      </w:r>
      <w:r>
        <w:t xml:space="preserve">prohibited, class S2 (peptide hormones, growth factors, related substances) – explicitly covered as a GHRH analog.</w:t>
      </w:r>
    </w:p>
    <w:p>
      <w:pPr>
        <w:numPr>
          <w:ilvl w:val="0"/>
          <w:numId w:val="1150"/>
        </w:numPr>
        <w:pStyle w:val="Compact"/>
      </w:pPr>
      <w:r>
        <w:rPr>
          <w:bCs/>
          <w:b/>
        </w:rPr>
        <w:t xml:space="preserve">Evidence level: A</w:t>
      </w:r>
      <w:r>
        <w:t xml:space="preserve"> </w:t>
      </w:r>
      <w:r>
        <w:t xml:space="preserve">– two large phase 3 trials with a combined 806 participants, several further randomized trials, approval in the United States.</w:t>
      </w:r>
    </w:p>
    <w:bookmarkEnd w:id="1277"/>
    <w:bookmarkStart w:id="1278" w:name="how-it-is-supposed-to-work-24"/>
    <w:p>
      <w:pPr>
        <w:pStyle w:val="Heading3"/>
      </w:pPr>
      <w:r>
        <w:t xml:space="preserve">How it is supposed to work</w:t>
      </w:r>
    </w:p>
    <w:p>
      <w:pPr>
        <w:pStyle w:val="FirstParagraph"/>
      </w:pPr>
      <w:r>
        <w:t xml:space="preserve">Growth hormone is not released by the pituitary gland (hypophysis) evenly but in bursts, mainly at night. This is controlled by two opposing hormones from the hypothalamus: GHRH steps on the gas, somatostatin hits the brakes. Growth hormone itself breaks down fat – especially the fat between the organs in the abdominal cavity (visceral fat) – and stimulates the liver to produce IGF-1, which mediates many of its anabolic effects.</w:t>
      </w:r>
    </w:p>
    <w:p>
      <w:pPr>
        <w:pStyle w:val="BodyText"/>
      </w:pPr>
      <w:r>
        <w:t xml:space="preserve">Under certain HIV therapies, especially the older ones, some people accumulate a striking amount of abdominal fat while their arms and legs tend to become thinner. This redistribution of fat is called lipodystrophy. In those affected, growth hormone secretion is often reduced. The idea behind tesamorelin: instead of injecting growth hormone from outside, you stimulate the body’s own pituitary. Because the body’s own feedback loops remain intact, excessive levels and their side effects should be less common than with direct GH administration – an assumption that the trials support in part, but not completely.</w:t>
      </w:r>
    </w:p>
    <w:bookmarkEnd w:id="1278"/>
    <w:bookmarkStart w:id="1296" w:name="human-studies-24"/>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23</w:t>
      </w:r>
      <w:r>
        <w:t xml:space="preserve"> </w:t>
      </w:r>
      <w:r>
        <w:t xml:space="preserve">human studies in PubMed (</w:t>
      </w:r>
      <w:r>
        <w:rPr>
          <w:rStyle w:val="VerbatimChar"/>
        </w:rPr>
        <w:t xml:space="preserve">humanstudien_alle</w:t>
      </w:r>
      <w:r>
        <w:t xml:space="preserve">) and</w:t>
      </w:r>
      <w:r>
        <w:t xml:space="preserve"> </w:t>
      </w:r>
      <w:r>
        <w:rPr>
          <w:bCs/>
          <w:b/>
        </w:rPr>
        <w:t xml:space="preserve">24</w:t>
      </w:r>
      <w:r>
        <w:t xml:space="preserve"> </w:t>
      </w:r>
      <w:r>
        <w:t xml:space="preserve">entries on ClinicalTrials.gov; one of them (sponsor</w:t>
      </w:r>
      <w:r>
        <w:t xml:space="preserve"> </w:t>
      </w:r>
      <w:r>
        <w:t xml:space="preserve">“</w:t>
      </w:r>
      <w:r>
        <w:t xml:space="preserve">Hudson Biotech,</w:t>
      </w:r>
      <w:r>
        <w:t xml:space="preserve">”</w:t>
      </w:r>
      <w:r>
        <w:t xml:space="preserve"> </w:t>
      </w:r>
      <w:r>
        <w:t xml:space="preserve">title suffix</w:t>
      </w:r>
      <w:r>
        <w:t xml:space="preserve"> </w:t>
      </w:r>
      <w:r>
        <w:t xml:space="preserve">“</w:t>
      </w:r>
      <w:r>
        <w:t xml:space="preserve">Mock Study</w:t>
      </w:r>
      <w:r>
        <w:t xml:space="preserve">”</w:t>
      </w:r>
      <w:r>
        <w:t xml:space="preserve">) is evidently a fictitious sample entry and is not counted here, leaving</w:t>
      </w:r>
      <w:r>
        <w:t xml:space="preserve"> </w:t>
      </w:r>
      <w:r>
        <w:rPr>
          <w:bCs/>
          <w:b/>
        </w:rPr>
        <w:t xml:space="preserve">23</w:t>
      </w:r>
      <w:r>
        <w:t xml:space="preserve"> </w:t>
      </w:r>
      <w:r>
        <w:t xml:space="preserve">genuine registered studies. In addition, there are three systematic reviews with meta-analyses.</w:t>
      </w:r>
    </w:p>
    <w:bookmarkStart w:id="1284" w:name="the-approval-trials"/>
    <w:p>
      <w:pPr>
        <w:pStyle w:val="Heading4"/>
      </w:pPr>
      <w:r>
        <w:t xml:space="preserve">The approval trials</w:t>
      </w:r>
    </w:p>
    <w:p>
      <w:pPr>
        <w:pStyle w:val="FirstParagraph"/>
      </w:pPr>
      <w:r>
        <w:t xml:space="preserve">Approval is based on two almost identically designed phase 3 trials in people with HIV and increased abdominal fat. In both, participants were randomized 2:1 to receive daily subcutaneous injections of tesamorelin or a dummy medication (placebo); after 26 weeks there was an extension phase in which part of the tesamorelin group continued treatment and another part was switched to placebo.</w:t>
      </w:r>
    </w:p>
    <w:p>
      <w:pPr>
        <w:pStyle w:val="BodyText"/>
      </w:pPr>
      <w:r>
        <w:t xml:space="preserve">In the first trial, with 412 participants (86% men), visceral fat measured by computed tomography decreased by 15.2% on tesamorelin and increased by 5.0% on placebo. Triglycerides (blood fats) fell by 50 mg/dL compared with an increase of 9 mg/dL. IGF-1 rose by 81.0%. Blood glucose values did not differ significantly; however, more participants in the tesamorelin group dropped out because of side effects</w:t>
      </w:r>
      <w:r>
        <w:rPr>
          <w:rStyle w:val="FootnoteReference"/>
        </w:rPr>
        <w:footnoteReference w:id="1279"/>
      </w:r>
      <w:r>
        <w:t xml:space="preserve">. Over 52 weeks, the reduction in abdominal fat with continuous treatment remained at about −18%; after stopping, the fat returned</w:t>
      </w:r>
      <w:r>
        <w:rPr>
          <w:rStyle w:val="FootnoteReference"/>
        </w:rPr>
        <w:footnoteReference w:id="1280"/>
      </w:r>
      <w:r>
        <w:t xml:space="preserve">.</w:t>
      </w:r>
    </w:p>
    <w:p>
      <w:pPr>
        <w:pStyle w:val="BodyText"/>
      </w:pPr>
      <w:r>
        <w:t xml:space="preserve">The second trial, with 404 participants, confirmed this: −10.9% visceral fat on tesamorelin compared with −0.6% on placebo after six months, no change in subcutaneous fat on the arms, legs and abdomen, and a rapid loss of the effect after switching to placebo</w:t>
      </w:r>
      <w:r>
        <w:rPr>
          <w:rStyle w:val="FootnoteReference"/>
        </w:rPr>
        <w:footnoteReference w:id="1281"/>
      </w:r>
      <w:r>
        <w:t xml:space="preserve">.</w:t>
      </w:r>
    </w:p>
    <w:p>
      <w:pPr>
        <w:pStyle w:val="BodyText"/>
      </w:pPr>
      <w:r>
        <w:t xml:space="preserve">The pooled analysis of both trials with 806 people showed a treatment effect of −15.4% in visceral fat after 26 weeks, improvements in triglycerides and in the ratio of total to HDL cholesterol, and in satisfaction with the appearance of the abdomen. The authors found no clinically meaningful differences in blood glucose values</w:t>
      </w:r>
      <w:r>
        <w:rPr>
          <w:rStyle w:val="FootnoteReference"/>
        </w:rPr>
        <w:footnoteReference w:id="1282"/>
      </w:r>
      <w:r>
        <w:t xml:space="preserve">. Not everyone benefits equally: a follow-up analysis defined a reduction in abdominal fat of at least 8% in advance as a</w:t>
      </w:r>
      <w:r>
        <w:t xml:space="preserve"> </w:t>
      </w:r>
      <w:r>
        <w:t xml:space="preserve">“</w:t>
      </w:r>
      <w:r>
        <w:t xml:space="preserve">response.</w:t>
      </w:r>
      <w:r>
        <w:t xml:space="preserve">”</w:t>
      </w:r>
      <w:r>
        <w:t xml:space="preserve"> </w:t>
      </w:r>
      <w:r>
        <w:t xml:space="preserve">In these responders, triglycerides fell considerably more, and blood glucose and HbA1c remained largely stable; in non-responders, fasting glucose and HbA1c rose slightly (post hoc analysis)</w:t>
      </w:r>
      <w:r>
        <w:rPr>
          <w:rStyle w:val="FootnoteReference"/>
        </w:rPr>
        <w:footnoteReference w:id="1283"/>
      </w:r>
      <w:r>
        <w:t xml:space="preserve">.</w:t>
      </w:r>
    </w:p>
    <w:bookmarkEnd w:id="1284"/>
    <w:bookmarkStart w:id="1287" w:name="liver-fat"/>
    <w:p>
      <w:pPr>
        <w:pStyle w:val="Heading4"/>
      </w:pPr>
      <w:r>
        <w:t xml:space="preserve">Liver fat</w:t>
      </w:r>
    </w:p>
    <w:p>
      <w:pPr>
        <w:pStyle w:val="FirstParagraph"/>
      </w:pPr>
      <w:r>
        <w:t xml:space="preserve">The effect on fatty liver is particularly interesting. In a smaller study of 50 people with HIV, liver fat decreased along with abdominal fat; fasting glucose rose temporarily after two weeks, but after six months there was no longer a significant difference</w:t>
      </w:r>
      <w:r>
        <w:rPr>
          <w:rStyle w:val="FootnoteReference"/>
        </w:rPr>
        <w:footnoteReference w:id="1285"/>
      </w:r>
      <w:r>
        <w:t xml:space="preserve">. A subsequent randomized, double-blind trial specifically studied 61 people with HIV and nonalcoholic fatty liver disease over twelve months with liver biopsies. The liver fat fraction fell by 4.1 percentage points more in absolute terms than on placebo, 37% in relative terms; 35% of the tesamorelin group but only 4% of the placebo group were below the fatty liver threshold of 5% at the end</w:t>
      </w:r>
      <w:r>
        <w:rPr>
          <w:rStyle w:val="FootnoteReference"/>
        </w:rPr>
        <w:footnoteReference w:id="1286"/>
      </w:r>
      <w:r>
        <w:t xml:space="preserve">. Whether this prevents liver cirrhosis or liver cancer in the long term has not been studied.</w:t>
      </w:r>
    </w:p>
    <w:bookmarkEnd w:id="1287"/>
    <w:bookmarkStart w:id="1292" w:name="other-uses"/>
    <w:p>
      <w:pPr>
        <w:pStyle w:val="Heading4"/>
      </w:pPr>
      <w:r>
        <w:t xml:space="preserve">Other uses</w:t>
      </w:r>
    </w:p>
    <w:p>
      <w:pPr>
        <w:pStyle w:val="FirstParagraph"/>
      </w:pPr>
      <w:r>
        <w:t xml:space="preserve">Outside of HIV, only smaller studies are available:</w:t>
      </w:r>
    </w:p>
    <w:p>
      <w:pPr>
        <w:numPr>
          <w:ilvl w:val="0"/>
          <w:numId w:val="1151"/>
        </w:numPr>
        <w:pStyle w:val="Compact"/>
      </w:pPr>
      <w:r>
        <w:t xml:space="preserve">In 60 people with abdominal obesity and reduced GH secretion (without HIV), tesamorelin lowered visceral fat, triglycerides, C-reactive protein and the thickness of the carotid artery wall over twelve months without worsening blood glucose values</w:t>
      </w:r>
      <w:r>
        <w:rPr>
          <w:rStyle w:val="FootnoteReference"/>
        </w:rPr>
        <w:footnoteReference w:id="1288"/>
      </w:r>
      <w:r>
        <w:t xml:space="preserve">.</w:t>
      </w:r>
    </w:p>
    <w:p>
      <w:pPr>
        <w:numPr>
          <w:ilvl w:val="0"/>
          <w:numId w:val="1151"/>
        </w:numPr>
        <w:pStyle w:val="Compact"/>
      </w:pPr>
      <w:r>
        <w:t xml:space="preserve">In 53 people with type 2 diabetes, neither insulin response nor HbA1c changed over twelve weeks compared with placebo</w:t>
      </w:r>
      <w:r>
        <w:rPr>
          <w:rStyle w:val="FootnoteReference"/>
        </w:rPr>
        <w:footnoteReference w:id="1289"/>
      </w:r>
      <w:r>
        <w:t xml:space="preserve">.</w:t>
      </w:r>
    </w:p>
    <w:p>
      <w:pPr>
        <w:numPr>
          <w:ilvl w:val="0"/>
          <w:numId w:val="1151"/>
        </w:numPr>
        <w:pStyle w:val="Compact"/>
      </w:pPr>
      <w:r>
        <w:t xml:space="preserve">In a study of 152 older adults (55 to 87 years), 66 of whom had mild cognitive impairment, a favorable effect on the overall rating of cognitive performance, especially on executive functions, was seen after 20 weeks. Side effects – mostly mild – were reported by 68% on tesamorelin compared with 36% on placebo</w:t>
      </w:r>
      <w:r>
        <w:rPr>
          <w:rStyle w:val="FootnoteReference"/>
        </w:rPr>
        <w:footnoteReference w:id="1290"/>
      </w:r>
      <w:r>
        <w:t xml:space="preserve">. A confirmatory trial is lacking.</w:t>
      </w:r>
    </w:p>
    <w:p>
      <w:pPr>
        <w:numPr>
          <w:ilvl w:val="0"/>
          <w:numId w:val="1151"/>
        </w:numPr>
        <w:pStyle w:val="Compact"/>
      </w:pPr>
      <w:r>
        <w:t xml:space="preserve">In 73 people with HIV, abdominal obesity and cognitive impairment, an open-label phase 2 trial found no significant difference in cognitive performance compared with standard care</w:t>
      </w:r>
      <w:r>
        <w:rPr>
          <w:rStyle w:val="FootnoteReference"/>
        </w:rPr>
        <w:footnoteReference w:id="1291"/>
      </w:r>
      <w:r>
        <w:t xml:space="preserve">.</w:t>
      </w:r>
    </w:p>
    <w:bookmarkEnd w:id="1292"/>
    <w:bookmarkStart w:id="1295" w:name="meta-analyses"/>
    <w:p>
      <w:pPr>
        <w:pStyle w:val="Heading4"/>
      </w:pPr>
      <w:r>
        <w:t xml:space="preserve">Meta-analyses</w:t>
      </w:r>
    </w:p>
    <w:p>
      <w:pPr>
        <w:pStyle w:val="FirstParagraph"/>
      </w:pPr>
      <w:r>
        <w:t xml:space="preserve">Two meta-analyses from 2026 summarize the randomized trials in HIV lipodystrophy. One (four trials, 909 people) found a reduction in visceral fat, in waist circumference by 1.61 cm and in trunk fat, as well as an increase in lean mass of 1.42 kg; the rate of discontinuation due to side effects tended to be higher (risk ratio 2.25, narrowly not statistically significant)</w:t>
      </w:r>
      <w:r>
        <w:rPr>
          <w:rStyle w:val="FootnoteReference"/>
        </w:rPr>
        <w:footnoteReference w:id="1293"/>
      </w:r>
      <w:r>
        <w:t xml:space="preserve">. The other (five trials) confirmed the reduction in liver fat by 4.28 percentage points and named joint and muscle pain, abnormal sensations (paresthesia) and skin reactions at the injection site as typical side effects</w:t>
      </w:r>
      <w:r>
        <w:rPr>
          <w:rStyle w:val="FootnoteReference"/>
        </w:rPr>
        <w:footnoteReference w:id="1294"/>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3, trial 1 (Falutz 2007), PMID 18057338</w:t>
            </w:r>
          </w:p>
        </w:tc>
        <w:tc>
          <w:tcPr/>
          <w:p>
            <w:pPr>
              <w:pStyle w:val="Compact"/>
              <w:jc w:val="left"/>
            </w:pPr>
            <w:r>
              <w:t xml:space="preserve">412 people with HIV and abdominal fat, RCT vs. placebo</w:t>
            </w:r>
          </w:p>
        </w:tc>
        <w:tc>
          <w:tcPr/>
          <w:p>
            <w:pPr>
              <w:pStyle w:val="Compact"/>
              <w:jc w:val="left"/>
            </w:pPr>
            <w:r>
              <w:t xml:space="preserve">26 weeks</w:t>
            </w:r>
          </w:p>
        </w:tc>
        <w:tc>
          <w:tcPr/>
          <w:p>
            <w:pPr>
              <w:pStyle w:val="Compact"/>
              <w:jc w:val="left"/>
            </w:pPr>
            <w:r>
              <w:t xml:space="preserve">visceral fat −15.2% vs. +5.0%</w:t>
            </w:r>
          </w:p>
        </w:tc>
      </w:tr>
      <w:tr>
        <w:tc>
          <w:tcPr/>
          <w:p>
            <w:pPr>
              <w:pStyle w:val="Compact"/>
              <w:jc w:val="left"/>
            </w:pPr>
            <w:r>
              <w:t xml:space="preserve">Phase 3, trial 2 (Falutz 2010), PMID 20101189</w:t>
            </w:r>
          </w:p>
        </w:tc>
        <w:tc>
          <w:tcPr/>
          <w:p>
            <w:pPr>
              <w:pStyle w:val="Compact"/>
              <w:jc w:val="left"/>
            </w:pPr>
            <w:r>
              <w:t xml:space="preserve">404 people with HIV, RCT with extension phase</w:t>
            </w:r>
          </w:p>
        </w:tc>
        <w:tc>
          <w:tcPr/>
          <w:p>
            <w:pPr>
              <w:pStyle w:val="Compact"/>
              <w:jc w:val="left"/>
            </w:pPr>
            <w:r>
              <w:t xml:space="preserve">12 months</w:t>
            </w:r>
          </w:p>
        </w:tc>
        <w:tc>
          <w:tcPr/>
          <w:p>
            <w:pPr>
              <w:pStyle w:val="Compact"/>
              <w:jc w:val="left"/>
            </w:pPr>
            <w:r>
              <w:t xml:space="preserve">−10.9% vs. −0.6% after 6 months; effect lost after stopping</w:t>
            </w:r>
          </w:p>
        </w:tc>
      </w:tr>
      <w:tr>
        <w:tc>
          <w:tcPr/>
          <w:p>
            <w:pPr>
              <w:pStyle w:val="Compact"/>
              <w:jc w:val="left"/>
            </w:pPr>
            <w:r>
              <w:t xml:space="preserve">Pooled analysis (Falutz 2010), PMID 20554713</w:t>
            </w:r>
          </w:p>
        </w:tc>
        <w:tc>
          <w:tcPr/>
          <w:p>
            <w:pPr>
              <w:pStyle w:val="Compact"/>
              <w:jc w:val="left"/>
            </w:pPr>
            <w:r>
              <w:t xml:space="preserve">806 people from both phase 3 trials</w:t>
            </w:r>
          </w:p>
        </w:tc>
        <w:tc>
          <w:tcPr/>
          <w:p>
            <w:pPr>
              <w:pStyle w:val="Compact"/>
              <w:jc w:val="left"/>
            </w:pPr>
            <w:r>
              <w:t xml:space="preserve">26–52 weeks</w:t>
            </w:r>
          </w:p>
        </w:tc>
        <w:tc>
          <w:tcPr/>
          <w:p>
            <w:pPr>
              <w:pStyle w:val="Compact"/>
              <w:jc w:val="left"/>
            </w:pPr>
            <w:r>
              <w:t xml:space="preserve">treatment effect −15.4%; blood glucose without clinically relevant change</w:t>
            </w:r>
          </w:p>
        </w:tc>
      </w:tr>
      <w:tr>
        <w:tc>
          <w:tcPr/>
          <w:p>
            <w:pPr>
              <w:pStyle w:val="Compact"/>
              <w:jc w:val="left"/>
            </w:pPr>
            <w:r>
              <w:t xml:space="preserve">Fatty liver in HIV (Stanley 2019), PMID 31611038</w:t>
            </w:r>
          </w:p>
        </w:tc>
        <w:tc>
          <w:tcPr/>
          <w:p>
            <w:pPr>
              <w:pStyle w:val="Compact"/>
              <w:jc w:val="left"/>
            </w:pPr>
            <w:r>
              <w:t xml:space="preserve">61 people with HIV and fatty liver, RCT</w:t>
            </w:r>
          </w:p>
        </w:tc>
        <w:tc>
          <w:tcPr/>
          <w:p>
            <w:pPr>
              <w:pStyle w:val="Compact"/>
              <w:jc w:val="left"/>
            </w:pPr>
            <w:r>
              <w:t xml:space="preserve">12 months</w:t>
            </w:r>
          </w:p>
        </w:tc>
        <w:tc>
          <w:tcPr/>
          <w:p>
            <w:pPr>
              <w:pStyle w:val="Compact"/>
              <w:jc w:val="left"/>
            </w:pPr>
            <w:r>
              <w:t xml:space="preserve">liver fat fraction −4.1 percentage points vs. placebo</w:t>
            </w:r>
          </w:p>
        </w:tc>
      </w:tr>
      <w:tr>
        <w:tc>
          <w:tcPr/>
          <w:p>
            <w:pPr>
              <w:pStyle w:val="Compact"/>
              <w:jc w:val="left"/>
            </w:pPr>
            <w:r>
              <w:t xml:space="preserve">Without HIV (Makimura 2012), PMID 23015655</w:t>
            </w:r>
          </w:p>
        </w:tc>
        <w:tc>
          <w:tcPr/>
          <w:p>
            <w:pPr>
              <w:pStyle w:val="Compact"/>
              <w:jc w:val="left"/>
            </w:pPr>
            <w:r>
              <w:t xml:space="preserve">60 adults with abdominal obesity, RCT</w:t>
            </w:r>
          </w:p>
        </w:tc>
        <w:tc>
          <w:tcPr/>
          <w:p>
            <w:pPr>
              <w:pStyle w:val="Compact"/>
              <w:jc w:val="left"/>
            </w:pPr>
            <w:r>
              <w:t xml:space="preserve">12 months</w:t>
            </w:r>
          </w:p>
        </w:tc>
        <w:tc>
          <w:tcPr/>
          <w:p>
            <w:pPr>
              <w:pStyle w:val="Compact"/>
              <w:jc w:val="left"/>
            </w:pPr>
            <w:r>
              <w:t xml:space="preserve">visceral fat −35 cm² compared with placebo</w:t>
            </w:r>
          </w:p>
        </w:tc>
      </w:tr>
      <w:tr>
        <w:tc>
          <w:tcPr/>
          <w:p>
            <w:pPr>
              <w:pStyle w:val="Compact"/>
              <w:jc w:val="left"/>
            </w:pPr>
            <w:r>
              <w:t xml:space="preserve">Cognition in older age (Baker 2012), PMID 22869065</w:t>
            </w:r>
          </w:p>
        </w:tc>
        <w:tc>
          <w:tcPr/>
          <w:p>
            <w:pPr>
              <w:pStyle w:val="Compact"/>
              <w:jc w:val="left"/>
            </w:pPr>
            <w:r>
              <w:t xml:space="preserve">152 older adults, 66 of them with mild cognitive impairment, RCT</w:t>
            </w:r>
          </w:p>
        </w:tc>
        <w:tc>
          <w:tcPr/>
          <w:p>
            <w:pPr>
              <w:pStyle w:val="Compact"/>
              <w:jc w:val="left"/>
            </w:pPr>
            <w:r>
              <w:t xml:space="preserve">20 weeks</w:t>
            </w:r>
          </w:p>
        </w:tc>
        <w:tc>
          <w:tcPr/>
          <w:p>
            <w:pPr>
              <w:pStyle w:val="Compact"/>
              <w:jc w:val="left"/>
            </w:pPr>
            <w:r>
              <w:t xml:space="preserve">favorable effect on cognitive performance; more side effects</w:t>
            </w:r>
          </w:p>
        </w:tc>
      </w:tr>
      <w:tr>
        <w:tc>
          <w:tcPr/>
          <w:p>
            <w:pPr>
              <w:pStyle w:val="Compact"/>
              <w:jc w:val="left"/>
            </w:pPr>
            <w:r>
              <w:t xml:space="preserve">Meta-analysis (Ditta 2026), PMID 42538058</w:t>
            </w:r>
          </w:p>
        </w:tc>
        <w:tc>
          <w:tcPr/>
          <w:p>
            <w:pPr>
              <w:pStyle w:val="Compact"/>
              <w:jc w:val="left"/>
            </w:pPr>
            <w:r>
              <w:t xml:space="preserve">4 RCTs, 909 people with HIV</w:t>
            </w:r>
          </w:p>
        </w:tc>
        <w:tc>
          <w:tcPr/>
          <w:p>
            <w:pPr>
              <w:pStyle w:val="Compact"/>
              <w:jc w:val="left"/>
            </w:pPr>
            <w:r>
              <w:t xml:space="preserve">–</w:t>
            </w:r>
          </w:p>
        </w:tc>
        <w:tc>
          <w:tcPr/>
          <w:p>
            <w:pPr>
              <w:pStyle w:val="Compact"/>
              <w:jc w:val="left"/>
            </w:pPr>
            <w:r>
              <w:t xml:space="preserve">less visceral fat, +1.42 kg lean mass</w:t>
            </w:r>
          </w:p>
        </w:tc>
      </w:tr>
    </w:tbl>
    <w:bookmarkEnd w:id="1295"/>
    <w:bookmarkEnd w:id="1296"/>
    <w:bookmarkStart w:id="1300" w:name="animal-and-laboratory-studies-24"/>
    <w:p>
      <w:pPr>
        <w:pStyle w:val="Heading3"/>
      </w:pPr>
      <w:r>
        <w:t xml:space="preserve">Animal and laboratory studies</w:t>
      </w:r>
    </w:p>
    <w:p>
      <w:pPr>
        <w:pStyle w:val="FirstParagraph"/>
      </w:pPr>
      <w:r>
        <w:t xml:space="preserve">For tesamorelin itself there is comparatively little independent animal research; its development built on the well-studied endogenous GHRH. A review discusses whether stimulating the growth hormone axis could promote the regeneration of injured nerves, relying mainly on animal and mechanistic studies</w:t>
      </w:r>
      <w:r>
        <w:rPr>
          <w:rStyle w:val="FootnoteReference"/>
        </w:rPr>
        <w:footnoteReference w:id="1297"/>
      </w:r>
      <w:r>
        <w:t xml:space="preserve">. A small phase 2 trial on this in humans is registered</w:t>
      </w:r>
      <w:r>
        <w:rPr>
          <w:rStyle w:val="FootnoteReference"/>
        </w:rPr>
        <w:footnoteReference w:id="1298"/>
      </w:r>
      <w:r>
        <w:t xml:space="preserve">.</w:t>
      </w:r>
    </w:p>
    <w:p>
      <w:pPr>
        <w:pStyle w:val="BodyText"/>
      </w:pPr>
      <w:r>
        <w:t xml:space="preserve">A tissue analysis of the liver biopsies from the fatty liver trial found that on tesamorelin, gene sets for energy production in the mitochondria were more active and gene sets for inflammation, tissue remodeling and cell division were less active than on placebo</w:t>
      </w:r>
      <w:r>
        <w:rPr>
          <w:rStyle w:val="FootnoteReference"/>
        </w:rPr>
        <w:footnoteReference w:id="1299"/>
      </w:r>
      <w:r>
        <w:t xml:space="preserve">. These are findings from human tissue samples, but not clinical endpoints.</w:t>
      </w:r>
    </w:p>
    <w:bookmarkEnd w:id="1300"/>
    <w:bookmarkStart w:id="1309" w:name="risks-and-side-effects-24"/>
    <w:p>
      <w:pPr>
        <w:pStyle w:val="Heading3"/>
      </w:pPr>
      <w:r>
        <w:t xml:space="preserve">Risks and side effects</w:t>
      </w:r>
    </w:p>
    <w:p>
      <w:pPr>
        <w:pStyle w:val="FirstParagraph"/>
      </w:pPr>
      <w:r>
        <w:rPr>
          <w:bCs/>
          <w:b/>
        </w:rPr>
        <w:t xml:space="preserve">Established from the trials:</w:t>
      </w:r>
    </w:p>
    <w:p>
      <w:pPr>
        <w:numPr>
          <w:ilvl w:val="0"/>
          <w:numId w:val="1152"/>
        </w:numPr>
        <w:pStyle w:val="Compact"/>
      </w:pPr>
      <w:r>
        <w:t xml:space="preserve">Reactions at the injection site (redness, itching) – more frequent than on placebo in the fatty liver trial, but not serious</w:t>
      </w:r>
      <w:r>
        <w:rPr>
          <w:rStyle w:val="FootnoteReference"/>
        </w:rPr>
        <w:footnoteReference w:id="1301"/>
      </w:r>
      <w:r>
        <w:t xml:space="preserve">.</w:t>
      </w:r>
    </w:p>
    <w:p>
      <w:pPr>
        <w:numPr>
          <w:ilvl w:val="0"/>
          <w:numId w:val="1152"/>
        </w:numPr>
        <w:pStyle w:val="Compact"/>
      </w:pPr>
      <w:r>
        <w:t xml:space="preserve">Typical growth hormone effects such as joint and muscle pain and abnormal sensations</w:t>
      </w:r>
      <w:r>
        <w:rPr>
          <w:rStyle w:val="FootnoteReference"/>
        </w:rPr>
        <w:footnoteReference w:id="1302"/>
      </w:r>
      <w:r>
        <w:t xml:space="preserve">.</w:t>
      </w:r>
    </w:p>
    <w:p>
      <w:pPr>
        <w:numPr>
          <w:ilvl w:val="0"/>
          <w:numId w:val="1152"/>
        </w:numPr>
        <w:pStyle w:val="Compact"/>
      </w:pPr>
      <w:r>
        <w:t xml:space="preserve">Blood glucose: in the large trials no clinically relevant worsening on average, but a temporary rise in fasting glucose in the first weeks</w:t>
      </w:r>
      <w:r>
        <w:rPr>
          <w:rStyle w:val="FootnoteReference"/>
        </w:rPr>
        <w:footnoteReference w:id="1303"/>
      </w:r>
      <w:r>
        <w:t xml:space="preserve"> </w:t>
      </w:r>
      <w:r>
        <w:t xml:space="preserve">and a slight increase in people whose abdominal fat did not respond</w:t>
      </w:r>
      <w:r>
        <w:rPr>
          <w:rStyle w:val="FootnoteReference"/>
        </w:rPr>
        <w:footnoteReference w:id="1304"/>
      </w:r>
      <w:r>
        <w:t xml:space="preserve">. People with diabetes should be medically monitored.</w:t>
      </w:r>
    </w:p>
    <w:p>
      <w:pPr>
        <w:numPr>
          <w:ilvl w:val="0"/>
          <w:numId w:val="1152"/>
        </w:numPr>
        <w:pStyle w:val="Compact"/>
      </w:pPr>
      <w:r>
        <w:t xml:space="preserve">More treatment discontinuations due to side effects than on placebo</w:t>
      </w:r>
      <w:r>
        <w:rPr>
          <w:rStyle w:val="FootnoteReference"/>
        </w:rPr>
        <w:footnoteReference w:id="1305"/>
      </w:r>
      <w:r>
        <w:t xml:space="preserve">.</w:t>
      </w:r>
    </w:p>
    <w:p>
      <w:pPr>
        <w:numPr>
          <w:ilvl w:val="0"/>
          <w:numId w:val="1152"/>
        </w:numPr>
        <w:pStyle w:val="Compact"/>
      </w:pPr>
      <w:r>
        <w:t xml:space="preserve">The effect is not permanent: after stopping, the abdominal fat returns</w:t>
      </w:r>
      <w:r>
        <w:rPr>
          <w:rStyle w:val="FootnoteReference"/>
        </w:rPr>
        <w:footnoteReference w:id="1306"/>
      </w:r>
      <w:r>
        <w:t xml:space="preserve">.</w:t>
      </w:r>
    </w:p>
    <w:p>
      <w:pPr>
        <w:pStyle w:val="FirstParagraph"/>
      </w:pPr>
      <w:r>
        <w:rPr>
          <w:bCs/>
          <w:b/>
        </w:rPr>
        <w:t xml:space="preserve">Open or theoretical:</w:t>
      </w:r>
      <w:r>
        <w:t xml:space="preserve"> </w:t>
      </w:r>
      <w:r>
        <w:t xml:space="preserve">Tesamorelin raises IGF-1 markedly – by 81% in the first phase 3 trial. High IGF-1 levels are associated in observational studies with a somewhat higher risk of some types of cancer (details in the introduction to this group and in Part IV). No increased cancer risk can be read from the tesamorelin trials themselves, but they were too short for that. A long-term observational study by the manufacturer with 391 participants</w:t>
      </w:r>
      <w:r>
        <w:rPr>
          <w:rStyle w:val="FootnoteReference"/>
        </w:rPr>
        <w:footnoteReference w:id="1307"/>
      </w:r>
      <w:r>
        <w:t xml:space="preserve"> </w:t>
      </w:r>
      <w:r>
        <w:t xml:space="preserve">and a study on diabetic retinopathy</w:t>
      </w:r>
      <w:r>
        <w:rPr>
          <w:rStyle w:val="FootnoteReference"/>
        </w:rPr>
        <w:footnoteReference w:id="1308"/>
      </w:r>
      <w:r>
        <w:t xml:space="preserve"> </w:t>
      </w:r>
      <w:r>
        <w:t xml:space="preserve">were terminated early; I have not found published results for them in PubMed. According to the prescribing information, tesamorelin should not be used in people with active cancer; details are governed by the prescribing information, and its use belongs in medical hands.</w:t>
      </w:r>
    </w:p>
    <w:bookmarkEnd w:id="1309"/>
    <w:bookmarkStart w:id="1311" w:name="legal-status-24"/>
    <w:p>
      <w:pPr>
        <w:pStyle w:val="Heading3"/>
      </w:pPr>
      <w:r>
        <w:t xml:space="preserve">Legal status</w:t>
      </w:r>
    </w:p>
    <w:p>
      <w:pPr>
        <w:pStyle w:val="FirstParagraph"/>
      </w:pPr>
      <w:r>
        <w:rPr>
          <w:iCs/>
          <w:i/>
        </w:rPr>
        <w:t xml:space="preserve">As of 2026, please check for updates.</w:t>
      </w:r>
    </w:p>
    <w:p>
      <w:pPr>
        <w:numPr>
          <w:ilvl w:val="0"/>
          <w:numId w:val="1153"/>
        </w:numPr>
        <w:pStyle w:val="Compact"/>
      </w:pPr>
      <w:r>
        <w:rPr>
          <w:bCs/>
          <w:b/>
        </w:rPr>
        <w:t xml:space="preserve">EU:</w:t>
      </w:r>
      <w:r>
        <w:t xml:space="preserve"> </w:t>
      </w:r>
      <w:r>
        <w:t xml:space="preserve">not approved. Tesamorelin is not marketed as a finished medicinal product in any EU member state.</w:t>
      </w:r>
    </w:p>
    <w:p>
      <w:pPr>
        <w:numPr>
          <w:ilvl w:val="0"/>
          <w:numId w:val="1153"/>
        </w:numPr>
        <w:pStyle w:val="Compact"/>
      </w:pPr>
      <w:r>
        <w:rPr>
          <w:bCs/>
          <w:b/>
        </w:rPr>
        <w:t xml:space="preserve">Germany and Austria:</w:t>
      </w:r>
      <w:r>
        <w:t xml:space="preserve"> </w:t>
      </w:r>
      <w:r>
        <w:t xml:space="preserve">no approval. At most, it could be obtained through a physician-supervised individual import of a medicine approved abroad; supplying gray-market products for use in humans is not permitted.</w:t>
      </w:r>
    </w:p>
    <w:p>
      <w:pPr>
        <w:numPr>
          <w:ilvl w:val="0"/>
          <w:numId w:val="1153"/>
        </w:numPr>
        <w:pStyle w:val="Compact"/>
      </w:pPr>
      <w:r>
        <w:rPr>
          <w:bCs/>
          <w:b/>
        </w:rPr>
        <w:t xml:space="preserve">USA:</w:t>
      </w:r>
      <w:r>
        <w:t xml:space="preserve"> </w:t>
      </w:r>
      <w:r>
        <w:t xml:space="preserve">approved as Egrifta (prescription only) exclusively for the reduction of excess abdominal fat in HIV-associated lipodystrophy. Any other use – for example</w:t>
      </w:r>
      <w:r>
        <w:t xml:space="preserve"> </w:t>
      </w:r>
      <w:r>
        <w:t xml:space="preserve">“</w:t>
      </w:r>
      <w:r>
        <w:t xml:space="preserve">for weight loss</w:t>
      </w:r>
      <w:r>
        <w:t xml:space="preserve">”</w:t>
      </w:r>
      <w:r>
        <w:t xml:space="preserve"> </w:t>
      </w:r>
      <w:r>
        <w:t xml:space="preserve">or</w:t>
      </w:r>
      <w:r>
        <w:t xml:space="preserve"> </w:t>
      </w:r>
      <w:r>
        <w:t xml:space="preserve">“</w:t>
      </w:r>
      <w:r>
        <w:t xml:space="preserve">against aging</w:t>
      </w:r>
      <w:r>
        <w:t xml:space="preserve">”</w:t>
      </w:r>
      <w:r>
        <w:t xml:space="preserve"> </w:t>
      </w:r>
      <w:r>
        <w:t xml:space="preserve">– is off-label.</w:t>
      </w:r>
    </w:p>
    <w:p>
      <w:pPr>
        <w:numPr>
          <w:ilvl w:val="0"/>
          <w:numId w:val="1153"/>
        </w:numPr>
        <w:pStyle w:val="Compact"/>
      </w:pPr>
      <w:r>
        <w:rPr>
          <w:bCs/>
          <w:b/>
        </w:rPr>
        <w:t xml:space="preserve">WADA:</w:t>
      </w:r>
      <w:r>
        <w:t xml:space="preserve"> </w:t>
      </w:r>
      <w:r>
        <w:t xml:space="preserve">prohibited (S2), in and out of competition. Anti-doping laboratories have developed detection methods for tesamorelin and other GHRH analogs in urine</w:t>
      </w:r>
      <w:r>
        <w:rPr>
          <w:rStyle w:val="FootnoteReference"/>
        </w:rPr>
        <w:footnoteReference w:id="1310"/>
      </w:r>
      <w:r>
        <w:t xml:space="preserve">.</w:t>
      </w:r>
    </w:p>
    <w:bookmarkEnd w:id="1311"/>
    <w:bookmarkStart w:id="1312" w:name="ongoing-studies-and-outlook-24"/>
    <w:p>
      <w:pPr>
        <w:pStyle w:val="Heading3"/>
      </w:pPr>
      <w:r>
        <w:t xml:space="preserve">Ongoing studies and outlook</w:t>
      </w:r>
    </w:p>
    <w:p>
      <w:pPr>
        <w:pStyle w:val="FirstParagraph"/>
      </w:pPr>
      <w:r>
        <w:t xml:space="preserve">As of October 2026, ClinicalTrials.gov lists, among others, the following open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Topic</w:t>
            </w:r>
          </w:p>
        </w:tc>
      </w:tr>
      <w:tr>
        <w:tc>
          <w:tcPr/>
          <w:p>
            <w:pPr>
              <w:pStyle w:val="Compact"/>
              <w:jc w:val="left"/>
            </w:pPr>
            <w:r>
              <w:t xml:space="preserve">NCT06554717</w:t>
            </w:r>
          </w:p>
        </w:tc>
        <w:tc>
          <w:tcPr/>
          <w:p>
            <w:pPr>
              <w:pStyle w:val="Compact"/>
              <w:jc w:val="left"/>
            </w:pPr>
            <w:r>
              <w:t xml:space="preserve">Phase 2, 100 people</w:t>
            </w:r>
          </w:p>
        </w:tc>
        <w:tc>
          <w:tcPr/>
          <w:p>
            <w:pPr>
              <w:pStyle w:val="Compact"/>
              <w:jc w:val="left"/>
            </w:pPr>
            <w:r>
              <w:t xml:space="preserve">recruiting (start 2025)</w:t>
            </w:r>
          </w:p>
        </w:tc>
        <w:tc>
          <w:tcPr/>
          <w:p>
            <w:pPr>
              <w:pStyle w:val="Compact"/>
              <w:jc w:val="left"/>
            </w:pPr>
            <w:r>
              <w:t xml:space="preserve">tesamorelin in addition to exercise in HIV – physical performance</w:t>
            </w:r>
          </w:p>
        </w:tc>
      </w:tr>
      <w:tr>
        <w:tc>
          <w:tcPr/>
          <w:p>
            <w:pPr>
              <w:pStyle w:val="Compact"/>
              <w:jc w:val="left"/>
            </w:pPr>
            <w:r>
              <w:t xml:space="preserve">NCT03150511</w:t>
            </w:r>
          </w:p>
        </w:tc>
        <w:tc>
          <w:tcPr/>
          <w:p>
            <w:pPr>
              <w:pStyle w:val="Compact"/>
              <w:jc w:val="left"/>
            </w:pPr>
            <w:r>
              <w:t xml:space="preserve">Phase 2, 36 people</w:t>
            </w:r>
          </w:p>
        </w:tc>
        <w:tc>
          <w:tcPr/>
          <w:p>
            <w:pPr>
              <w:pStyle w:val="Compact"/>
              <w:jc w:val="left"/>
            </w:pPr>
            <w:r>
              <w:t xml:space="preserve">recruiting (since 2018)</w:t>
            </w:r>
          </w:p>
        </w:tc>
        <w:tc>
          <w:tcPr/>
          <w:p>
            <w:pPr>
              <w:pStyle w:val="Compact"/>
              <w:jc w:val="left"/>
            </w:pPr>
            <w:r>
              <w:t xml:space="preserve">recovery after peripheral nerve injury</w:t>
            </w:r>
          </w:p>
        </w:tc>
      </w:tr>
    </w:tbl>
    <w:p>
      <w:pPr>
        <w:pStyle w:val="BodyText"/>
      </w:pPr>
      <w:r>
        <w:t xml:space="preserve">What is</w:t>
      </w:r>
      <w:r>
        <w:t xml:space="preserve"> </w:t>
      </w:r>
      <w:r>
        <w:rPr>
          <w:iCs/>
          <w:i/>
        </w:rPr>
        <w:t xml:space="preserve">established</w:t>
      </w:r>
      <w:r>
        <w:t xml:space="preserve">, therefore, is only that research continues in small phase 2 trials.</w:t>
      </w:r>
      <w:r>
        <w:t xml:space="preserve"> </w:t>
      </w:r>
      <w:r>
        <w:rPr>
          <w:iCs/>
          <w:i/>
        </w:rPr>
        <w:t xml:space="preserve">Author’s assessment:</w:t>
      </w:r>
      <w:r>
        <w:t xml:space="preserve"> </w:t>
      </w:r>
      <w:r>
        <w:t xml:space="preserve">Fatty liver outside of HIV would be the most obvious new area of use, but there other agents with much larger trial programs are now competing. An approval in the EU is not foreseeable in the near future.</w:t>
      </w:r>
    </w:p>
    <w:bookmarkEnd w:id="1312"/>
    <w:bookmarkStart w:id="1313" w:name="conclusion-24"/>
    <w:p>
      <w:pPr>
        <w:pStyle w:val="Heading3"/>
      </w:pPr>
      <w:r>
        <w:t xml:space="preserve">Conclusion</w:t>
      </w:r>
    </w:p>
    <w:p>
      <w:pPr>
        <w:pStyle w:val="FirstParagraph"/>
      </w:pPr>
      <w:r>
        <w:t xml:space="preserve">Tesamorelin is the best-studied peptide of the growth hormone axis: two large phase 3 trials show that in people with HIV it reduces visceral abdominal fat by about 15 to 18% and also reduces liver fat. The effect lasts only as long as treatment continues, and not everyone responds. For healthy people, athletes, or as an</w:t>
      </w:r>
      <w:r>
        <w:t xml:space="preserve"> </w:t>
      </w:r>
      <w:r>
        <w:t xml:space="preserve">“</w:t>
      </w:r>
      <w:r>
        <w:t xml:space="preserve">anti-aging</w:t>
      </w:r>
      <w:r>
        <w:t xml:space="preserve">”</w:t>
      </w:r>
      <w:r>
        <w:t xml:space="preserve"> </w:t>
      </w:r>
      <w:r>
        <w:t xml:space="preserve">agent, there are no robust data. Long-term safety, especially with regard to the elevated IGF-1, has not been conclusively established.</w:t>
      </w:r>
    </w:p>
    <w:bookmarkEnd w:id="1313"/>
    <w:bookmarkEnd w:id="1314"/>
    <w:bookmarkStart w:id="1339" w:name="cjc-1295"/>
    <w:p>
      <w:pPr>
        <w:pStyle w:val="Heading2"/>
      </w:pPr>
      <w:r>
        <w:t xml:space="preserve">CJC-1295</w:t>
      </w:r>
    </w:p>
    <w:p>
      <w:pPr>
        <w:pStyle w:val="FirstParagraph"/>
      </w:pPr>
      <w:r>
        <w:t xml:space="preserve">Two different substances are sold on the internet under the name CJC-1295 – and that is the most important point of this chapter. The original CJC-1295 from the company ConjuChem is a growth hormone–releasing hormone with a chemical</w:t>
      </w:r>
      <w:r>
        <w:t xml:space="preserve"> </w:t>
      </w:r>
      <w:r>
        <w:t xml:space="preserve">“</w:t>
      </w:r>
      <w:r>
        <w:t xml:space="preserve">anchor</w:t>
      </w:r>
      <w:r>
        <w:t xml:space="preserve">”</w:t>
      </w:r>
      <w:r>
        <w:t xml:space="preserve"> </w:t>
      </w:r>
      <w:r>
        <w:t xml:space="preserve">that attaches to the protein albumin in the blood and extends its action to around one week. Gray-market dealers also offer</w:t>
      </w:r>
      <w:r>
        <w:t xml:space="preserve"> </w:t>
      </w:r>
      <w:r>
        <w:t xml:space="preserve">“</w:t>
      </w:r>
      <w:r>
        <w:t xml:space="preserve">CJC-1295 without DAC,</w:t>
      </w:r>
      <w:r>
        <w:t xml:space="preserve">”</w:t>
      </w:r>
      <w:r>
        <w:t xml:space="preserve"> </w:t>
      </w:r>
      <w:r>
        <w:t xml:space="preserve">which in the scientific literature is usually called</w:t>
      </w:r>
      <w:r>
        <w:t xml:space="preserve"> </w:t>
      </w:r>
      <w:r>
        <w:t xml:space="preserve">“</w:t>
      </w:r>
      <w:r>
        <w:t xml:space="preserve">modified GRF (1-29).</w:t>
      </w:r>
      <w:r>
        <w:t xml:space="preserve">”</w:t>
      </w:r>
      <w:r>
        <w:t xml:space="preserve"> </w:t>
      </w:r>
      <w:r>
        <w:t xml:space="preserve">For the first there are two small studies in healthy people; for the second, not a single one.</w:t>
      </w:r>
    </w:p>
    <w:bookmarkStart w:id="1316" w:name="profile-25"/>
    <w:p>
      <w:pPr>
        <w:pStyle w:val="Heading3"/>
      </w:pPr>
      <w:r>
        <w:t xml:space="preserve">Profile</w:t>
      </w:r>
    </w:p>
    <w:p>
      <w:pPr>
        <w:numPr>
          <w:ilvl w:val="0"/>
          <w:numId w:val="1154"/>
        </w:numPr>
        <w:pStyle w:val="Compact"/>
      </w:pPr>
      <w:r>
        <w:rPr>
          <w:bCs/>
          <w:b/>
        </w:rPr>
        <w:t xml:space="preserve">Type and structure:</w:t>
      </w:r>
      <w:r>
        <w:t xml:space="preserve"> </w:t>
      </w:r>
      <w:r>
        <w:t xml:space="preserve">synthetic analog of growth hormone–releasing hormone, based on its first 29 amino acids with four substituted building blocks that make it harder to break down.</w:t>
      </w:r>
    </w:p>
    <w:p>
      <w:pPr>
        <w:numPr>
          <w:ilvl w:val="1"/>
          <w:numId w:val="1155"/>
        </w:numPr>
        <w:pStyle w:val="Compact"/>
      </w:pPr>
      <w:r>
        <w:rPr>
          <w:iCs/>
          <w:i/>
        </w:rPr>
        <w:t xml:space="preserve">CJC-1295 with DAC</w:t>
      </w:r>
      <w:r>
        <w:t xml:space="preserve"> </w:t>
      </w:r>
      <w:r>
        <w:t xml:space="preserve">(Drug Affinity Complex): additionally a reactive anchor at the end of the chain that binds firmly to albumin after injection</w:t>
      </w:r>
      <w:r>
        <w:rPr>
          <w:rStyle w:val="FootnoteReference"/>
        </w:rPr>
        <w:footnoteReference w:id="1315"/>
      </w:r>
      <w:r>
        <w:t xml:space="preserve">.</w:t>
      </w:r>
    </w:p>
    <w:p>
      <w:pPr>
        <w:numPr>
          <w:ilvl w:val="1"/>
          <w:numId w:val="1155"/>
        </w:numPr>
        <w:pStyle w:val="Compact"/>
      </w:pPr>
      <w:r>
        <w:rPr>
          <w:iCs/>
          <w:i/>
        </w:rPr>
        <w:t xml:space="preserve">CJC-1295 without DAC</w:t>
      </w:r>
      <w:r>
        <w:t xml:space="preserve"> </w:t>
      </w:r>
      <w:r>
        <w:t xml:space="preserve">(</w:t>
      </w:r>
      <w:r>
        <w:t xml:space="preserve">“</w:t>
      </w:r>
      <w:r>
        <w:t xml:space="preserve">Mod GRF 1-29</w:t>
      </w:r>
      <w:r>
        <w:t xml:space="preserve">”</w:t>
      </w:r>
      <w:r>
        <w:t xml:space="preserve">): the same chain without the anchor; short duration of action.</w:t>
      </w:r>
    </w:p>
    <w:p>
      <w:pPr>
        <w:numPr>
          <w:ilvl w:val="0"/>
          <w:numId w:val="1154"/>
        </w:numPr>
        <w:pStyle w:val="Compact"/>
      </w:pPr>
      <w:r>
        <w:rPr>
          <w:bCs/>
          <w:b/>
        </w:rPr>
        <w:t xml:space="preserve">Origin:</w:t>
      </w:r>
      <w:r>
        <w:t xml:space="preserve"> </w:t>
      </w:r>
      <w:r>
        <w:t xml:space="preserve">developed by ConjuChem (Canada) in the 2000s; clinical development was not continued.</w:t>
      </w:r>
    </w:p>
    <w:p>
      <w:pPr>
        <w:numPr>
          <w:ilvl w:val="0"/>
          <w:numId w:val="1154"/>
        </w:numPr>
        <w:pStyle w:val="Compact"/>
      </w:pPr>
      <w:r>
        <w:rPr>
          <w:bCs/>
          <w:b/>
        </w:rPr>
        <w:t xml:space="preserve">Mechanism of action:</w:t>
      </w:r>
      <w:r>
        <w:t xml:space="preserve"> </w:t>
      </w:r>
      <w:r>
        <w:t xml:space="preserve">binding to the GHRH receptor of the pituitary gland; rise in growth hormone and IGF-1.</w:t>
      </w:r>
    </w:p>
    <w:p>
      <w:pPr>
        <w:numPr>
          <w:ilvl w:val="0"/>
          <w:numId w:val="1154"/>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54"/>
        </w:numPr>
        <w:pStyle w:val="Compact"/>
      </w:pPr>
      <w:r>
        <w:rPr>
          <w:bCs/>
          <w:b/>
        </w:rPr>
        <w:t xml:space="preserve">WADA:</w:t>
      </w:r>
      <w:r>
        <w:t xml:space="preserve"> </w:t>
      </w:r>
      <w:r>
        <w:t xml:space="preserve">prohibited, class S2 – CJC-1295 is explicitly named as a GHRH analog.</w:t>
      </w:r>
    </w:p>
    <w:p>
      <w:pPr>
        <w:numPr>
          <w:ilvl w:val="0"/>
          <w:numId w:val="1154"/>
        </w:numPr>
        <w:pStyle w:val="Compact"/>
      </w:pPr>
      <w:r>
        <w:rPr>
          <w:bCs/>
          <w:b/>
        </w:rPr>
        <w:t xml:space="preserve">Evidence level: C</w:t>
      </w:r>
      <w:r>
        <w:t xml:space="preserve"> </w:t>
      </w:r>
      <w:r>
        <w:t xml:space="preserve">– two small phase 1 studies in healthy people (with DAC); no study of a clinical benefit; no human study for the variant without DAC.</w:t>
      </w:r>
    </w:p>
    <w:bookmarkEnd w:id="1316"/>
    <w:bookmarkStart w:id="1318" w:name="how-it-is-supposed-to-work-25"/>
    <w:p>
      <w:pPr>
        <w:pStyle w:val="Heading3"/>
      </w:pPr>
      <w:r>
        <w:t xml:space="preserve">How it is supposed to work</w:t>
      </w:r>
    </w:p>
    <w:p>
      <w:pPr>
        <w:pStyle w:val="FirstParagraph"/>
      </w:pPr>
      <w:r>
        <w:t xml:space="preserve">Natural GHRH is eliminated from the blood within minutes by the enzyme dipeptidyl peptidase-4 and via the kidneys. The DAC anchor was meant to solve this problem: after injection, it reacts with a free sulfur group on albumin. The peptide then</w:t>
      </w:r>
      <w:r>
        <w:t xml:space="preserve"> </w:t>
      </w:r>
      <w:r>
        <w:t xml:space="preserve">“</w:t>
      </w:r>
      <w:r>
        <w:t xml:space="preserve">rides</w:t>
      </w:r>
      <w:r>
        <w:t xml:space="preserve">”</w:t>
      </w:r>
      <w:r>
        <w:t xml:space="preserve"> </w:t>
      </w:r>
      <w:r>
        <w:t xml:space="preserve">on albumin, which has a lifespan of weeks, and is released slowly. In rats, CJC-1295 thus remained detectable in the blood for over 72 hours</w:t>
      </w:r>
      <w:r>
        <w:rPr>
          <w:rStyle w:val="FootnoteReference"/>
        </w:rPr>
        <w:footnoteReference w:id="1317"/>
      </w:r>
      <w:r>
        <w:t xml:space="preserve">.</w:t>
      </w:r>
    </w:p>
    <w:p>
      <w:pPr>
        <w:pStyle w:val="BodyText"/>
      </w:pPr>
      <w:r>
        <w:t xml:space="preserve">This makes CJC-1295 with DAC fundamentally different from all other GH releasers: instead of short pulses, it produces continuous stimulation of the pituitary gland. Whether this is physiologically favorable was one of the open questions of its development. The variant without DAC, by contrast, acts about as briefly as sermorelin and is often offered on the gray market in combination with GH releasers from the ghrelin group (such as ipamorelin) – a practice for which there are no studies.</w:t>
      </w:r>
    </w:p>
    <w:bookmarkEnd w:id="1318"/>
    <w:bookmarkStart w:id="1324" w:name="human-studies-25"/>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w:t>
      </w:r>
      <w:r>
        <w:t xml:space="preserve"> </w:t>
      </w:r>
      <w:r>
        <w:t xml:space="preserve">human studies in PubMed (</w:t>
      </w:r>
      <w:r>
        <w:rPr>
          <w:rStyle w:val="VerbatimChar"/>
        </w:rPr>
        <w:t xml:space="preserve">humanstudien_alle</w:t>
      </w:r>
      <w:r>
        <w:t xml:space="preserve">) and</w:t>
      </w:r>
      <w:r>
        <w:t xml:space="preserve"> </w:t>
      </w:r>
      <w:r>
        <w:rPr>
          <w:bCs/>
          <w:b/>
        </w:rPr>
        <w:t xml:space="preserve">1</w:t>
      </w:r>
      <w:r>
        <w:t xml:space="preserve"> </w:t>
      </w:r>
      <w:r>
        <w:t xml:space="preserve">entry on ClinicalTrials.gov. A targeted follow-up search additionally yielded a secondary analysis of blood samples from one of the two studies. All papers concern CJC-1295</w:t>
      </w:r>
      <w:r>
        <w:t xml:space="preserve"> </w:t>
      </w:r>
      <w:r>
        <w:rPr>
          <w:iCs/>
          <w:i/>
        </w:rPr>
        <w:t xml:space="preserve">with</w:t>
      </w:r>
      <w:r>
        <w:t xml:space="preserve"> </w:t>
      </w:r>
      <w:r>
        <w:t xml:space="preserve">DAC.</w:t>
      </w:r>
    </w:p>
    <w:p>
      <w:pPr>
        <w:pStyle w:val="BodyText"/>
      </w:pPr>
      <w:r>
        <w:rPr>
          <w:bCs/>
          <w:b/>
        </w:rPr>
        <w:t xml:space="preserve">Dose finding in healthy people:</w:t>
      </w:r>
      <w:r>
        <w:t xml:space="preserve"> </w:t>
      </w:r>
      <w:r>
        <w:t xml:space="preserve">In two randomized, placebo-controlled, double-blind ascending-dose studies, healthy adults between 21 and 61 years of age received a single injection or two to three weekly or biweekly injections. After a single injection, growth hormone rose on average 2- to 10-fold for six days or longer, and IGF-1 1.5- to 3-fold for 9 to 11 days. The half-life was 5.8 to 8.1 days. After multiple doses, IGF-1 remained above baseline for up to 28 days. No serious side effects were reported</w:t>
      </w:r>
      <w:r>
        <w:rPr>
          <w:rStyle w:val="FootnoteReference"/>
        </w:rPr>
        <w:footnoteReference w:id="1319"/>
      </w:r>
      <w:r>
        <w:t xml:space="preserve">.</w:t>
      </w:r>
    </w:p>
    <w:p>
      <w:pPr>
        <w:pStyle w:val="BodyText"/>
      </w:pPr>
      <w:r>
        <w:rPr>
          <w:bCs/>
          <w:b/>
        </w:rPr>
        <w:t xml:space="preserve">Pulsatility:</w:t>
      </w:r>
      <w:r>
        <w:t xml:space="preserve"> </w:t>
      </w:r>
      <w:r>
        <w:t xml:space="preserve">A second study examined in healthy men between 20 and 40 years of age whether the natural pulsatile pattern of GH secretion is preserved. One week after the injection, the frequency and height of the GH pulses were unchanged, but the baseline level between pulses was increased 7.5-fold; mean GH rose by 46%, IGF-1 by 45%</w:t>
      </w:r>
      <w:r>
        <w:rPr>
          <w:rStyle w:val="FootnoteReference"/>
        </w:rPr>
        <w:footnoteReference w:id="1320"/>
      </w:r>
      <w:r>
        <w:t xml:space="preserve">.</w:t>
      </w:r>
    </w:p>
    <w:p>
      <w:pPr>
        <w:pStyle w:val="BodyText"/>
      </w:pPr>
      <w:r>
        <w:rPr>
          <w:bCs/>
          <w:b/>
        </w:rPr>
        <w:t xml:space="preserve">Blood proteins:</w:t>
      </w:r>
      <w:r>
        <w:t xml:space="preserve"> </w:t>
      </w:r>
      <w:r>
        <w:t xml:space="preserve">An analysis of serum samples from 11 young men before and one week after the injection looked for new markers of growth hormone action and found changes in individual blood proteins</w:t>
      </w:r>
      <w:r>
        <w:rPr>
          <w:rStyle w:val="FootnoteReference"/>
        </w:rPr>
        <w:footnoteReference w:id="1321"/>
      </w:r>
      <w:r>
        <w:t xml:space="preserve">. This is basic research without clinical implications.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Dose finding (Teichman 2006), PMID 16352683</w:t>
            </w:r>
          </w:p>
        </w:tc>
        <w:tc>
          <w:tcPr/>
          <w:p>
            <w:pPr>
              <w:pStyle w:val="Compact"/>
              <w:jc w:val="left"/>
            </w:pPr>
            <w:r>
              <w:t xml:space="preserve">healthy adults 21–61 years, two RCTs vs. placebo, ascending doses</w:t>
            </w:r>
          </w:p>
        </w:tc>
        <w:tc>
          <w:tcPr/>
          <w:p>
            <w:pPr>
              <w:pStyle w:val="Compact"/>
              <w:jc w:val="left"/>
            </w:pPr>
            <w:r>
              <w:t xml:space="preserve">28 and 49 days</w:t>
            </w:r>
          </w:p>
        </w:tc>
        <w:tc>
          <w:tcPr/>
          <w:p>
            <w:pPr>
              <w:pStyle w:val="Compact"/>
              <w:jc w:val="left"/>
            </w:pPr>
            <w:r>
              <w:t xml:space="preserve">GH increased 2- to 10-fold, IGF-1 1.5- to 3-fold; half-life 5.8–8.1 days</w:t>
            </w:r>
          </w:p>
        </w:tc>
      </w:tr>
      <w:tr>
        <w:tc>
          <w:tcPr/>
          <w:p>
            <w:pPr>
              <w:pStyle w:val="Compact"/>
              <w:jc w:val="left"/>
            </w:pPr>
            <w:r>
              <w:t xml:space="preserve">GH pulsatility (Ionescu 2006), PMID 17018654</w:t>
            </w:r>
          </w:p>
        </w:tc>
        <w:tc>
          <w:tcPr/>
          <w:p>
            <w:pPr>
              <w:pStyle w:val="Compact"/>
              <w:jc w:val="left"/>
            </w:pPr>
            <w:r>
              <w:t xml:space="preserve">healthy men 20–40 years, before-and-after comparison</w:t>
            </w:r>
          </w:p>
        </w:tc>
        <w:tc>
          <w:tcPr/>
          <w:p>
            <w:pPr>
              <w:pStyle w:val="Compact"/>
              <w:jc w:val="left"/>
            </w:pPr>
            <w:r>
              <w:t xml:space="preserve">1 week after single dose</w:t>
            </w:r>
          </w:p>
        </w:tc>
        <w:tc>
          <w:tcPr/>
          <w:p>
            <w:pPr>
              <w:pStyle w:val="Compact"/>
              <w:jc w:val="left"/>
            </w:pPr>
            <w:r>
              <w:t xml:space="preserve">pulses preserved, baseline GH 7.5-fold, IGF-1 +45%</w:t>
            </w:r>
          </w:p>
        </w:tc>
      </w:tr>
      <w:tr>
        <w:tc>
          <w:tcPr/>
          <w:p>
            <w:pPr>
              <w:pStyle w:val="Compact"/>
              <w:jc w:val="left"/>
            </w:pPr>
            <w:r>
              <w:t xml:space="preserve">HIV abdominal fat, NCT00267527</w:t>
            </w:r>
          </w:p>
        </w:tc>
        <w:tc>
          <w:tcPr/>
          <w:p>
            <w:pPr>
              <w:pStyle w:val="Compact"/>
              <w:jc w:val="left"/>
            </w:pPr>
            <w:r>
              <w:t xml:space="preserve">planned 120 people, phase 2, RCT</w:t>
            </w:r>
          </w:p>
        </w:tc>
        <w:tc>
          <w:tcPr/>
          <w:p>
            <w:pPr>
              <w:pStyle w:val="Compact"/>
              <w:jc w:val="left"/>
            </w:pPr>
            <w:r>
              <w:t xml:space="preserve">planned 12 weeks</w:t>
            </w:r>
          </w:p>
        </w:tc>
        <w:tc>
          <w:tcPr/>
          <w:p>
            <w:pPr>
              <w:pStyle w:val="Compact"/>
              <w:jc w:val="left"/>
            </w:pPr>
            <w:r>
              <w:t xml:space="preserve">terminated in 2006; no results published</w:t>
            </w:r>
          </w:p>
        </w:tc>
      </w:tr>
    </w:tbl>
    <w:bookmarkStart w:id="1323" w:name="X19b8a170af66b5147d87d3679df6ae742c7875e"/>
    <w:p>
      <w:pPr>
        <w:pStyle w:val="Heading4"/>
      </w:pPr>
      <w:r>
        <w:t xml:space="preserve">The terminated phase 2 trial and the reported death</w:t>
      </w:r>
    </w:p>
    <w:p>
      <w:pPr>
        <w:pStyle w:val="FirstParagraph"/>
      </w:pPr>
      <w:r>
        <w:t xml:space="preserve">At the end of 2005, ConjuChem started a randomized, placebo-controlled phase 2 trial with two doses of CJC-1295 in people with HIV and increased abdominal fat – that is, in the same indication for which tesamorelin was later approved</w:t>
      </w:r>
      <w:r>
        <w:rPr>
          <w:rStyle w:val="FootnoteReference"/>
        </w:rPr>
        <w:footnoteReference w:id="1322"/>
      </w:r>
      <w:r>
        <w:t xml:space="preserve">. The registry entry gives the status</w:t>
      </w:r>
      <w:r>
        <w:t xml:space="preserve"> </w:t>
      </w:r>
      <w:r>
        <w:t xml:space="preserve">“</w:t>
      </w:r>
      <w:r>
        <w:t xml:space="preserve">terminated</w:t>
      </w:r>
      <w:r>
        <w:t xml:space="preserve">”</w:t>
      </w:r>
      <w:r>
        <w:t xml:space="preserve"> </w:t>
      </w:r>
      <w:r>
        <w:t xml:space="preserve">(last updated October 2006), but no reason for termination and no results.</w:t>
      </w:r>
    </w:p>
    <w:p>
      <w:pPr>
        <w:pStyle w:val="BodyText"/>
      </w:pPr>
      <w:r>
        <w:t xml:space="preserve">Online forums and some reviews claim that the trial was stopped after the death of a participant.</w:t>
      </w:r>
      <w:r>
        <w:t xml:space="preserve"> </w:t>
      </w:r>
      <w:r>
        <w:rPr>
          <w:bCs/>
          <w:b/>
        </w:rPr>
        <w:t xml:space="preserve">This death is not documented in the sources reviewed for this book:</w:t>
      </w:r>
      <w:r>
        <w:t xml:space="preserve"> </w:t>
      </w:r>
      <w:r>
        <w:t xml:space="preserve">neither the registry entry nor any PubMed publication documents it. It is therefore neither possible to confirm that it occurred nor to judge whether it was related to the drug. All that is documented is that the trial ended early and that CJC-1295 was not developed further afterward.</w:t>
      </w:r>
    </w:p>
    <w:bookmarkEnd w:id="1323"/>
    <w:bookmarkEnd w:id="1324"/>
    <w:bookmarkStart w:id="1327" w:name="animal-and-laboratory-studies-25"/>
    <w:p>
      <w:pPr>
        <w:pStyle w:val="Heading3"/>
      </w:pPr>
      <w:r>
        <w:t xml:space="preserve">Animal and laboratory studies</w:t>
      </w:r>
    </w:p>
    <w:p>
      <w:pPr>
        <w:numPr>
          <w:ilvl w:val="0"/>
          <w:numId w:val="1156"/>
        </w:numPr>
        <w:pStyle w:val="Compact"/>
      </w:pPr>
      <w:r>
        <w:rPr>
          <w:bCs/>
          <w:b/>
        </w:rPr>
        <w:t xml:space="preserve">Rats:</w:t>
      </w:r>
      <w:r>
        <w:t xml:space="preserve"> </w:t>
      </w:r>
      <w:r>
        <w:t xml:space="preserve">Of three albumin-anchor variants tested, CJC-1295 released the most growth hormone – about four times as much over two hours as unmodified GRF(1-29) – and remained in the blood for over 72 hours</w:t>
      </w:r>
      <w:r>
        <w:rPr>
          <w:rStyle w:val="FootnoteReference"/>
        </w:rPr>
        <w:footnoteReference w:id="1325"/>
      </w:r>
      <w:r>
        <w:t xml:space="preserve">.</w:t>
      </w:r>
    </w:p>
    <w:p>
      <w:pPr>
        <w:numPr>
          <w:ilvl w:val="0"/>
          <w:numId w:val="1156"/>
        </w:numPr>
        <w:pStyle w:val="Compact"/>
      </w:pPr>
      <w:r>
        <w:rPr>
          <w:bCs/>
          <w:b/>
        </w:rPr>
        <w:t xml:space="preserve">Mice:</w:t>
      </w:r>
      <w:r>
        <w:t xml:space="preserve"> </w:t>
      </w:r>
      <w:r>
        <w:t xml:space="preserve">In mice lacking their own GHRH, daily administration normalized weight and length; administration every 48 or 72 hours was not fully sufficient for this. In the pituitary gland, the number of GH-producing cells increased</w:t>
      </w:r>
      <w:r>
        <w:rPr>
          <w:rStyle w:val="FootnoteReference"/>
        </w:rPr>
        <w:footnoteReference w:id="1326"/>
      </w:r>
      <w:r>
        <w:t xml:space="preserve">. An increase in pituitary cells is desirable when a deficiency is to be corrected – in healthy people, its long-term significance is unknown.</w:t>
      </w:r>
    </w:p>
    <w:bookmarkEnd w:id="1327"/>
    <w:bookmarkStart w:id="1332" w:name="risks-and-side-effects-25"/>
    <w:p>
      <w:pPr>
        <w:pStyle w:val="Heading3"/>
      </w:pPr>
      <w:r>
        <w:t xml:space="preserve">Risks and side effects</w:t>
      </w:r>
    </w:p>
    <w:p>
      <w:pPr>
        <w:pStyle w:val="FirstParagraph"/>
      </w:pPr>
      <w:r>
        <w:rPr>
          <w:bCs/>
          <w:b/>
        </w:rPr>
        <w:t xml:space="preserve">Established from the phase 1 studies:</w:t>
      </w:r>
      <w:r>
        <w:t xml:space="preserve"> </w:t>
      </w:r>
      <w:r>
        <w:t xml:space="preserve">no serious side effects in a small number of healthy people treated for a short time; tolerability was described as relatively good, especially at the lower doses</w:t>
      </w:r>
      <w:r>
        <w:rPr>
          <w:rStyle w:val="FootnoteReference"/>
        </w:rPr>
        <w:footnoteReference w:id="1328"/>
      </w:r>
      <w:r>
        <w:t xml:space="preserve">. This database is too small to detect rare or long-term risks.</w:t>
      </w:r>
    </w:p>
    <w:p>
      <w:pPr>
        <w:pStyle w:val="BodyText"/>
      </w:pPr>
      <w:r>
        <w:rPr>
          <w:bCs/>
          <w:b/>
        </w:rPr>
        <w:t xml:space="preserve">Plausible but not studied:</w:t>
      </w:r>
      <w:r>
        <w:t xml:space="preserve"> </w:t>
      </w:r>
      <w:r>
        <w:t xml:space="preserve">The DAC variant keeps growth hormone and IGF-1 continuously elevated for days. Typical consequences of elevated GH levels are fluid retention, joint pain, carpal tunnel symptoms and reduced insulin sensitivity. Whether a persistently elevated IGF-1 increases cancer risk in the long term has not been studied for CJC-1295; for the general evidence, see the introduction to this group and Part IV.</w:t>
      </w:r>
    </w:p>
    <w:p>
      <w:pPr>
        <w:pStyle w:val="BodyText"/>
      </w:pPr>
      <w:r>
        <w:rPr>
          <w:bCs/>
          <w:b/>
        </w:rPr>
        <w:t xml:space="preserve">Gray market:</w:t>
      </w:r>
      <w:r>
        <w:t xml:space="preserve"> </w:t>
      </w:r>
      <w:r>
        <w:t xml:space="preserve">As early as 2009, a Norwegian laboratory working on behalf of the police and customs analyzed an unknown preparation and found a peptide of 29 amino acids that matched the sequence sold as CJC-1295</w:t>
      </w:r>
      <w:r>
        <w:rPr>
          <w:rStyle w:val="FootnoteReference"/>
        </w:rPr>
        <w:footnoteReference w:id="1329"/>
      </w:r>
      <w:r>
        <w:t xml:space="preserve">. Danish customs samples contained</w:t>
      </w:r>
      <w:r>
        <w:t xml:space="preserve"> </w:t>
      </w:r>
      <w:r>
        <w:t xml:space="preserve">“</w:t>
      </w:r>
      <w:r>
        <w:t xml:space="preserve">modified GRF 1-29</w:t>
      </w:r>
      <w:r>
        <w:t xml:space="preserve">”</w:t>
      </w:r>
      <w:r>
        <w:t xml:space="preserve"> </w:t>
      </w:r>
      <w:r>
        <w:t xml:space="preserve">and ghrelin mimetics with an additional, undeclared amino acid, glycine</w:t>
      </w:r>
      <w:r>
        <w:rPr>
          <w:rStyle w:val="FootnoteReference"/>
        </w:rPr>
        <w:footnoteReference w:id="1330"/>
      </w:r>
      <w:r>
        <w:t xml:space="preserve">. Buyers therefore cannot know whether they are receiving the variant with or without DAC, a modified molecule, or something else entirely. An analysis of bodybuilding forums shows that women also use CJC-1295 for weight loss, for the skin or for sleep, relying on anecdotal reports rather than studies</w:t>
      </w:r>
      <w:r>
        <w:rPr>
          <w:rStyle w:val="FootnoteReference"/>
        </w:rPr>
        <w:footnoteReference w:id="1331"/>
      </w:r>
      <w:r>
        <w:t xml:space="preserve">.</w:t>
      </w:r>
    </w:p>
    <w:bookmarkEnd w:id="1332"/>
    <w:bookmarkStart w:id="1336" w:name="legal-status-25"/>
    <w:p>
      <w:pPr>
        <w:pStyle w:val="Heading3"/>
      </w:pPr>
      <w:r>
        <w:t xml:space="preserve">Legal status</w:t>
      </w:r>
    </w:p>
    <w:p>
      <w:pPr>
        <w:pStyle w:val="FirstParagraph"/>
      </w:pPr>
      <w:r>
        <w:rPr>
          <w:iCs/>
          <w:i/>
        </w:rPr>
        <w:t xml:space="preserve">As of 2026, please check for updates.</w:t>
      </w:r>
    </w:p>
    <w:p>
      <w:pPr>
        <w:numPr>
          <w:ilvl w:val="0"/>
          <w:numId w:val="1157"/>
        </w:numPr>
        <w:pStyle w:val="Compact"/>
      </w:pPr>
      <w:r>
        <w:rPr>
          <w:bCs/>
          <w:b/>
        </w:rPr>
        <w:t xml:space="preserve">EU, Germany, Austria:</w:t>
      </w:r>
      <w:r>
        <w:t xml:space="preserve"> </w:t>
      </w:r>
      <w:r>
        <w:t xml:space="preserve">no approval. CJC-1295 is an unapproved drug substance; supplying and trading it for use in humans is prohibited under medicines laws, even when products are labeled as</w:t>
      </w:r>
      <w:r>
        <w:t xml:space="preserve"> </w:t>
      </w:r>
      <w:r>
        <w:t xml:space="preserve">“</w:t>
      </w:r>
      <w:r>
        <w:t xml:space="preserve">research peptides.</w:t>
      </w:r>
      <w:r>
        <w:t xml:space="preserve">”</w:t>
      </w:r>
    </w:p>
    <w:p>
      <w:pPr>
        <w:numPr>
          <w:ilvl w:val="0"/>
          <w:numId w:val="1157"/>
        </w:numPr>
        <w:pStyle w:val="Compact"/>
      </w:pPr>
      <w:r>
        <w:rPr>
          <w:bCs/>
          <w:b/>
        </w:rPr>
        <w:t xml:space="preserve">USA:</w:t>
      </w:r>
      <w:r>
        <w:t xml:space="preserve"> </w:t>
      </w:r>
      <w:r>
        <w:t xml:space="preserve">no approval. The FDA has classified CJC-1295 – like several other peptides in this book – among the bulk drug substances for compounding pharmacies as a substance with safety concerns (Category 2). These classifications have since been debated controversially in the relevant advisory committee and in professional circles</w:t>
      </w:r>
      <w:r>
        <w:rPr>
          <w:rStyle w:val="FootnoteReference"/>
        </w:rPr>
        <w:footnoteReference w:id="1333"/>
      </w:r>
      <w:r>
        <w:t xml:space="preserve">; changes are possible.</w:t>
      </w:r>
    </w:p>
    <w:p>
      <w:pPr>
        <w:numPr>
          <w:ilvl w:val="0"/>
          <w:numId w:val="1157"/>
        </w:numPr>
        <w:pStyle w:val="Compact"/>
      </w:pPr>
      <w:r>
        <w:rPr>
          <w:bCs/>
          <w:b/>
        </w:rPr>
        <w:t xml:space="preserve">WADA:</w:t>
      </w:r>
      <w:r>
        <w:t xml:space="preserve"> </w:t>
      </w:r>
      <w:r>
        <w:t xml:space="preserve">prohibited (S2). Detection methods for CJC-1295 with and without DAC in urine have been described</w:t>
      </w:r>
      <w:r>
        <w:rPr>
          <w:rStyle w:val="FootnoteReference"/>
        </w:rPr>
        <w:footnoteReference w:id="1334"/>
      </w:r>
      <w:r>
        <w:t xml:space="preserve">; it is also screened for in equestrian sport</w:t>
      </w:r>
      <w:r>
        <w:rPr>
          <w:rStyle w:val="FootnoteReference"/>
        </w:rPr>
        <w:footnoteReference w:id="1335"/>
      </w:r>
      <w:r>
        <w:t xml:space="preserve">.</w:t>
      </w:r>
    </w:p>
    <w:bookmarkEnd w:id="1336"/>
    <w:bookmarkStart w:id="1337" w:name="ongoing-studies-and-outlook-25"/>
    <w:p>
      <w:pPr>
        <w:pStyle w:val="Heading3"/>
      </w:pPr>
      <w:r>
        <w:t xml:space="preserve">Ongoing studies and outlook</w:t>
      </w:r>
    </w:p>
    <w:p>
      <w:pPr>
        <w:pStyle w:val="FirstParagraph"/>
      </w:pPr>
      <w:r>
        <w:t xml:space="preserve">As of October 2026, ClinicalTrials.gov lists no entry for CJC-1295 other than the phase 2 trial terminated in 2006.</w:t>
      </w:r>
      <w:r>
        <w:t xml:space="preserve"> </w:t>
      </w:r>
      <w:r>
        <w:rPr>
          <w:iCs/>
          <w:i/>
        </w:rPr>
        <w:t xml:space="preserve">Author’s assessment:</w:t>
      </w:r>
      <w:r>
        <w:t xml:space="preserve"> </w:t>
      </w:r>
      <w:r>
        <w:t xml:space="preserve">No further clinical development is apparent. The principle of</w:t>
      </w:r>
      <w:r>
        <w:t xml:space="preserve"> </w:t>
      </w:r>
      <w:r>
        <w:t xml:space="preserve">“</w:t>
      </w:r>
      <w:r>
        <w:t xml:space="preserve">peptide with an albumin anchor for longer action,</w:t>
      </w:r>
      <w:r>
        <w:t xml:space="preserve">”</w:t>
      </w:r>
      <w:r>
        <w:t xml:space="preserve"> </w:t>
      </w:r>
      <w:r>
        <w:t xml:space="preserve">however, lives on in other drugs, for example in long-acting growth hormone preparations and GLP-1 medications.</w:t>
      </w:r>
    </w:p>
    <w:bookmarkEnd w:id="1337"/>
    <w:bookmarkStart w:id="1338" w:name="conclusion-25"/>
    <w:p>
      <w:pPr>
        <w:pStyle w:val="Heading3"/>
      </w:pPr>
      <w:r>
        <w:t xml:space="preserve">Conclusion</w:t>
      </w:r>
    </w:p>
    <w:p>
      <w:pPr>
        <w:pStyle w:val="FirstParagraph"/>
      </w:pPr>
      <w:r>
        <w:t xml:space="preserve">CJC-1295 with DAC raises growth hormone and IGF-1 in healthy people for one to two weeks after a single injection – nothing more has been studied in humans. The only patient trial was terminated in 2006 without a published reason; a frequently claimed death is not documented in the registry or in the scientific literature. For the variant without DAC, which is the one most often sold on the internet, there is not a single human study, and laboratory analyses show that the contents of gray-market products are uncertain.</w:t>
      </w:r>
    </w:p>
    <w:bookmarkEnd w:id="1338"/>
    <w:bookmarkEnd w:id="1339"/>
    <w:bookmarkStart w:id="1362" w:name="ipamorelin"/>
    <w:p>
      <w:pPr>
        <w:pStyle w:val="Heading2"/>
      </w:pPr>
      <w:r>
        <w:t xml:space="preserve">Ipamorelin</w:t>
      </w:r>
    </w:p>
    <w:p>
      <w:pPr>
        <w:pStyle w:val="FirstParagraph"/>
      </w:pPr>
      <w:r>
        <w:t xml:space="preserve">In fitness and anti-aging circles, ipamorelin is regarded as the</w:t>
      </w:r>
      <w:r>
        <w:t xml:space="preserve"> </w:t>
      </w:r>
      <w:r>
        <w:t xml:space="preserve">“</w:t>
      </w:r>
      <w:r>
        <w:t xml:space="preserve">clean</w:t>
      </w:r>
      <w:r>
        <w:t xml:space="preserve">”</w:t>
      </w:r>
      <w:r>
        <w:t xml:space="preserve"> </w:t>
      </w:r>
      <w:r>
        <w:t xml:space="preserve">growth hormone releaser: it is said to release growth hormone selectively without driving up stress hormones and appetite. This property comes from animal experiments in the 1990s. Ipamorelin has in fact been clinically tested in humans – but not for muscle building or rejuvenation, rather for something entirely different: bowel paralysis after abdominal surgery. There it showed no demonstrable benefit.</w:t>
      </w:r>
    </w:p>
    <w:bookmarkStart w:id="1341" w:name="profile-26"/>
    <w:p>
      <w:pPr>
        <w:pStyle w:val="Heading3"/>
      </w:pPr>
      <w:r>
        <w:t xml:space="preserve">Profile</w:t>
      </w:r>
    </w:p>
    <w:p>
      <w:pPr>
        <w:numPr>
          <w:ilvl w:val="0"/>
          <w:numId w:val="1158"/>
        </w:numPr>
        <w:pStyle w:val="Compact"/>
      </w:pPr>
      <w:r>
        <w:rPr>
          <w:bCs/>
          <w:b/>
        </w:rPr>
        <w:t xml:space="preserve">Type and structure:</w:t>
      </w:r>
      <w:r>
        <w:t xml:space="preserve"> </w:t>
      </w:r>
      <w:r>
        <w:t xml:space="preserve">synthetic pentapeptide (5 amino acids, some non-natural: Aib-His-D-2-Nal-D-Phe-Lys-NH2)</w:t>
      </w:r>
      <w:r>
        <w:rPr>
          <w:rStyle w:val="FootnoteReference"/>
        </w:rPr>
        <w:footnoteReference w:id="1340"/>
      </w:r>
      <w:r>
        <w:t xml:space="preserve">.</w:t>
      </w:r>
    </w:p>
    <w:p>
      <w:pPr>
        <w:numPr>
          <w:ilvl w:val="0"/>
          <w:numId w:val="1158"/>
        </w:numPr>
        <w:pStyle w:val="Compact"/>
      </w:pPr>
      <w:r>
        <w:rPr>
          <w:bCs/>
          <w:b/>
        </w:rPr>
        <w:t xml:space="preserve">Origin:</w:t>
      </w:r>
      <w:r>
        <w:t xml:space="preserve"> </w:t>
      </w:r>
      <w:r>
        <w:t xml:space="preserve">developed by Novo Nordisk (Denmark) from the family of growth hormone–releasing peptides (GHRP); later developed further by Helsinn for the gastrointestinal field.</w:t>
      </w:r>
    </w:p>
    <w:p>
      <w:pPr>
        <w:numPr>
          <w:ilvl w:val="0"/>
          <w:numId w:val="1158"/>
        </w:numPr>
        <w:pStyle w:val="Compact"/>
      </w:pPr>
      <w:r>
        <w:rPr>
          <w:bCs/>
          <w:b/>
        </w:rPr>
        <w:t xml:space="preserve">Mechanism of action:</w:t>
      </w:r>
      <w:r>
        <w:t xml:space="preserve"> </w:t>
      </w:r>
      <w:r>
        <w:t xml:space="preserve">binds to the ghrelin receptor (GHS-R1a) in the pituitary gland and hypothalamus as well as in the gastrointestinal tract; triggers a short burst of growth hormone and is said to stimulate bowel movement.</w:t>
      </w:r>
    </w:p>
    <w:p>
      <w:pPr>
        <w:numPr>
          <w:ilvl w:val="0"/>
          <w:numId w:val="1158"/>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58"/>
        </w:numPr>
        <w:pStyle w:val="Compact"/>
      </w:pPr>
      <w:r>
        <w:rPr>
          <w:bCs/>
          <w:b/>
        </w:rPr>
        <w:t xml:space="preserve">WADA:</w:t>
      </w:r>
      <w:r>
        <w:t xml:space="preserve"> </w:t>
      </w:r>
      <w:r>
        <w:t xml:space="preserve">prohibited, class S2 (growth hormone secretagogues; ipamorelin is explicitly named).</w:t>
      </w:r>
    </w:p>
    <w:p>
      <w:pPr>
        <w:numPr>
          <w:ilvl w:val="0"/>
          <w:numId w:val="1158"/>
        </w:numPr>
        <w:pStyle w:val="Compact"/>
      </w:pPr>
      <w:r>
        <w:rPr>
          <w:bCs/>
          <w:b/>
        </w:rPr>
        <w:t xml:space="preserve">Evidence level: B</w:t>
      </w:r>
      <w:r>
        <w:t xml:space="preserve"> </w:t>
      </w:r>
      <w:r>
        <w:t xml:space="preserve">– one randomized phase 2 trial with 117 people (without proof of efficacy) and a small pharmacological study in healthy people; a second phase 2 trial has been completed but is unpublished.</w:t>
      </w:r>
    </w:p>
    <w:bookmarkEnd w:id="1341"/>
    <w:bookmarkStart w:id="1344" w:name="how-it-is-supposed-to-work-26"/>
    <w:p>
      <w:pPr>
        <w:pStyle w:val="Heading3"/>
      </w:pPr>
      <w:r>
        <w:t xml:space="preserve">How it is supposed to work</w:t>
      </w:r>
    </w:p>
    <w:p>
      <w:pPr>
        <w:pStyle w:val="FirstParagraph"/>
      </w:pPr>
      <w:r>
        <w:t xml:space="preserve">The ghrelin receptor is the second major control lever for growth hormone secretion, alongside the GHRH receptor. Its natural key is ghrelin, a hormone from the stomach discovered in 1999</w:t>
      </w:r>
      <w:r>
        <w:rPr>
          <w:rStyle w:val="FootnoteReference"/>
        </w:rPr>
        <w:footnoteReference w:id="1342"/>
      </w:r>
      <w:r>
        <w:t xml:space="preserve">. Ghrelin increases not only growth hormone but also hunger, and it stimulates the movements of the stomach and intestines.</w:t>
      </w:r>
    </w:p>
    <w:p>
      <w:pPr>
        <w:pStyle w:val="BodyText"/>
      </w:pPr>
      <w:r>
        <w:t xml:space="preserve">Older synthetic releasers such as GHRP-6 or GHRP-2 release not only growth hormone but also the stress hormone system (ACTH and cortisol) and prolactin. Ipamorelin was specifically developed so that this side effect is absent: in pigs, it released growth hormone about as strongly as GHRP-6, whereas ACTH and cortisol did not rise more than under GHRH even at doses more than 200 times higher</w:t>
      </w:r>
      <w:r>
        <w:rPr>
          <w:rStyle w:val="FootnoteReference"/>
        </w:rPr>
        <w:footnoteReference w:id="1343"/>
      </w:r>
      <w:r>
        <w:t xml:space="preserve">. Whether this selectivity applies to the same extent in humans has not been systematically studied.</w:t>
      </w:r>
    </w:p>
    <w:p>
      <w:pPr>
        <w:pStyle w:val="BodyText"/>
      </w:pPr>
      <w:r>
        <w:t xml:space="preserve">Clinically, interest focused mainly on its effect on the gut: after abdominal surgery, bowel activity often comes to a standstill for days (postoperative ileus), which prolongs the hospital stay. A ghrelin mimetic that can be given intravenously seemed an elegant solution.</w:t>
      </w:r>
    </w:p>
    <w:bookmarkEnd w:id="1344"/>
    <w:bookmarkStart w:id="1349" w:name="human-studies-26"/>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w:t>
      </w:r>
      <w:r>
        <w:t xml:space="preserve"> </w:t>
      </w:r>
      <w:r>
        <w:t xml:space="preserve">human studies in PubMed (</w:t>
      </w:r>
      <w:r>
        <w:rPr>
          <w:rStyle w:val="VerbatimChar"/>
        </w:rPr>
        <w:t xml:space="preserve">humanstudien_alle</w:t>
      </w:r>
      <w:r>
        <w:t xml:space="preserve">) and</w:t>
      </w:r>
      <w:r>
        <w:t xml:space="preserve"> </w:t>
      </w:r>
      <w:r>
        <w:rPr>
          <w:bCs/>
          <w:b/>
        </w:rPr>
        <w:t xml:space="preserve">3</w:t>
      </w:r>
      <w:r>
        <w:t xml:space="preserve"> </w:t>
      </w:r>
      <w:r>
        <w:t xml:space="preserve">entries on ClinicalTrials.gov. One of these registry entries</w:t>
      </w:r>
      <w:r>
        <w:rPr>
          <w:rStyle w:val="FootnoteReference"/>
        </w:rPr>
        <w:footnoteReference w:id="1345"/>
      </w:r>
      <w:r>
        <w:t xml:space="preserve"> </w:t>
      </w:r>
      <w:r>
        <w:t xml:space="preserve">concerns an observational study on psychedelics in veterans and does not study ipamorelin as an investigational drug; it is merely listed there as one of several components of a</w:t>
      </w:r>
      <w:r>
        <w:t xml:space="preserve"> </w:t>
      </w:r>
      <w:r>
        <w:t xml:space="preserve">“</w:t>
      </w:r>
      <w:r>
        <w:t xml:space="preserve">physiological supplementation</w:t>
      </w:r>
      <w:r>
        <w:t xml:space="preserve">”</w:t>
      </w:r>
      <w:r>
        <w:t xml:space="preserve"> </w:t>
      </w:r>
      <w:r>
        <w:t xml:space="preserve">(alongside testosterone, fish oil and vitamins). Clinically relevant, therefore, are two trials on postoperative ileus.</w:t>
      </w:r>
    </w:p>
    <w:p>
      <w:pPr>
        <w:pStyle w:val="BodyText"/>
      </w:pPr>
      <w:r>
        <w:rPr>
          <w:bCs/>
          <w:b/>
        </w:rPr>
        <w:t xml:space="preserve">Pharmacology in healthy people:</w:t>
      </w:r>
      <w:r>
        <w:t xml:space="preserve"> </w:t>
      </w:r>
      <w:r>
        <w:t xml:space="preserve">In an ascending-dose study, eight healthy men per dose level each received a 15-minute infusion. Ipamorelin had a short half-life of about 2 hours and triggered a single GH pulse at all doses, which peaked after about 40 minutes and then fell rapidly</w:t>
      </w:r>
      <w:r>
        <w:rPr>
          <w:rStyle w:val="FootnoteReference"/>
        </w:rPr>
        <w:footnoteReference w:id="1346"/>
      </w:r>
      <w:r>
        <w:t xml:space="preserve">.</w:t>
      </w:r>
    </w:p>
    <w:p>
      <w:pPr>
        <w:pStyle w:val="BodyText"/>
      </w:pPr>
      <w:r>
        <w:rPr>
          <w:bCs/>
          <w:b/>
        </w:rPr>
        <w:t xml:space="preserve">Postoperative ileus, first phase 2 trial:</w:t>
      </w:r>
      <w:r>
        <w:t xml:space="preserve"> </w:t>
      </w:r>
      <w:r>
        <w:t xml:space="preserve">In a multicenter, double-blind, placebo-controlled trial, 117 adults received ipamorelin or placebo as an infusion twice daily for up to seven days after small or large bowel resection. The mean time to the first tolerated solid meal was 25.3 hours on ipamorelin and 32.6 hours on placebo – a difference that was not statistically significant (p = 0.15). The other efficacy endpoints did not differ either. Side effects occurred in 87.5% on ipamorelin and 94.8% on placebo, which is not unusual after major abdominal surgery</w:t>
      </w:r>
      <w:r>
        <w:rPr>
          <w:rStyle w:val="FootnoteReference"/>
        </w:rPr>
        <w:footnoteReference w:id="1347"/>
      </w:r>
      <w:r>
        <w:t xml:space="preserve">.</w:t>
      </w:r>
    </w:p>
    <w:p>
      <w:pPr>
        <w:pStyle w:val="BodyText"/>
      </w:pPr>
      <w:r>
        <w:rPr>
          <w:bCs/>
          <w:b/>
        </w:rPr>
        <w:t xml:space="preserve">Second phase 2 trial:</w:t>
      </w:r>
      <w:r>
        <w:t xml:space="preserve"> </w:t>
      </w:r>
      <w:r>
        <w:t xml:space="preserve">A larger follow-up trial with 320 participants on the recovery of gastrointestinal function was completed in 2014</w:t>
      </w:r>
      <w:r>
        <w:rPr>
          <w:rStyle w:val="FootnoteReference"/>
        </w:rPr>
        <w:footnoteReference w:id="1348"/>
      </w:r>
      <w:r>
        <w:t xml:space="preserve">. I have not found a publication of the results in PubMed, and the registry entry contains no results. Development was not continued thereafter.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Pharmacology (Gobburu 1999), PMID 10496658</w:t>
            </w:r>
          </w:p>
        </w:tc>
        <w:tc>
          <w:tcPr/>
          <w:p>
            <w:pPr>
              <w:pStyle w:val="Compact"/>
              <w:jc w:val="left"/>
            </w:pPr>
            <w:r>
              <w:t xml:space="preserve">healthy men, 5 dose levels of 8 people each</w:t>
            </w:r>
          </w:p>
        </w:tc>
        <w:tc>
          <w:tcPr/>
          <w:p>
            <w:pPr>
              <w:pStyle w:val="Compact"/>
              <w:jc w:val="left"/>
            </w:pPr>
            <w:r>
              <w:t xml:space="preserve">single infusion</w:t>
            </w:r>
          </w:p>
        </w:tc>
        <w:tc>
          <w:tcPr/>
          <w:p>
            <w:pPr>
              <w:pStyle w:val="Compact"/>
              <w:jc w:val="left"/>
            </w:pPr>
            <w:r>
              <w:t xml:space="preserve">half-life approx. 2 h; one GH pulse per dose</w:t>
            </w:r>
          </w:p>
        </w:tc>
      </w:tr>
      <w:tr>
        <w:tc>
          <w:tcPr/>
          <w:p>
            <w:pPr>
              <w:pStyle w:val="Compact"/>
              <w:jc w:val="left"/>
            </w:pPr>
            <w:r>
              <w:t xml:space="preserve">Ileus trial 1 (Beck 2014), PMID 25331030</w:t>
            </w:r>
          </w:p>
        </w:tc>
        <w:tc>
          <w:tcPr/>
          <w:p>
            <w:pPr>
              <w:pStyle w:val="Compact"/>
              <w:jc w:val="left"/>
            </w:pPr>
            <w:r>
              <w:t xml:space="preserve">117 adults after bowel resection, RCT vs. placebo</w:t>
            </w:r>
          </w:p>
        </w:tc>
        <w:tc>
          <w:tcPr/>
          <w:p>
            <w:pPr>
              <w:pStyle w:val="Compact"/>
              <w:jc w:val="left"/>
            </w:pPr>
            <w:r>
              <w:t xml:space="preserve">up to 7 days</w:t>
            </w:r>
          </w:p>
        </w:tc>
        <w:tc>
          <w:tcPr/>
          <w:p>
            <w:pPr>
              <w:pStyle w:val="Compact"/>
              <w:jc w:val="left"/>
            </w:pPr>
            <w:r>
              <w:t xml:space="preserve">25.3 vs. 32.6 h to first meal, not significant</w:t>
            </w:r>
          </w:p>
        </w:tc>
      </w:tr>
      <w:tr>
        <w:tc>
          <w:tcPr/>
          <w:p>
            <w:pPr>
              <w:pStyle w:val="Compact"/>
              <w:jc w:val="left"/>
            </w:pPr>
            <w:r>
              <w:t xml:space="preserve">Ileus trial 2, NCT01280344</w:t>
            </w:r>
          </w:p>
        </w:tc>
        <w:tc>
          <w:tcPr/>
          <w:p>
            <w:pPr>
              <w:pStyle w:val="Compact"/>
              <w:jc w:val="left"/>
            </w:pPr>
            <w:r>
              <w:t xml:space="preserve">320 adults, phase 2 vs. placebo</w:t>
            </w:r>
          </w:p>
        </w:tc>
        <w:tc>
          <w:tcPr/>
          <w:p>
            <w:pPr>
              <w:pStyle w:val="Compact"/>
              <w:jc w:val="left"/>
            </w:pPr>
            <w:r>
              <w:t xml:space="preserve">–</w:t>
            </w:r>
          </w:p>
        </w:tc>
        <w:tc>
          <w:tcPr/>
          <w:p>
            <w:pPr>
              <w:pStyle w:val="Compact"/>
              <w:jc w:val="left"/>
            </w:pPr>
            <w:r>
              <w:t xml:space="preserve">completed 2014, results not published</w:t>
            </w:r>
          </w:p>
        </w:tc>
      </w:tr>
    </w:tbl>
    <w:p>
      <w:pPr>
        <w:pStyle w:val="BodyText"/>
      </w:pPr>
      <w:r>
        <w:t xml:space="preserve">There is</w:t>
      </w:r>
      <w:r>
        <w:t xml:space="preserve"> </w:t>
      </w:r>
      <w:r>
        <w:rPr>
          <w:bCs/>
          <w:b/>
        </w:rPr>
        <w:t xml:space="preserve">no</w:t>
      </w:r>
      <w:r>
        <w:t xml:space="preserve"> </w:t>
      </w:r>
      <w:r>
        <w:t xml:space="preserve">published study that has examined ipamorelin in healthy adults, athletes or older people with regard to muscle mass, fat loss, sleep, skin or performance.</w:t>
      </w:r>
    </w:p>
    <w:bookmarkEnd w:id="1349"/>
    <w:bookmarkStart w:id="1353" w:name="animal-and-laboratory-studies-26"/>
    <w:p>
      <w:pPr>
        <w:pStyle w:val="Heading3"/>
      </w:pPr>
      <w:r>
        <w:t xml:space="preserve">Animal and laboratory studies</w:t>
      </w:r>
    </w:p>
    <w:p>
      <w:pPr>
        <w:numPr>
          <w:ilvl w:val="0"/>
          <w:numId w:val="1159"/>
        </w:numPr>
        <w:pStyle w:val="Compact"/>
      </w:pPr>
      <w:r>
        <w:rPr>
          <w:bCs/>
          <w:b/>
        </w:rPr>
        <w:t xml:space="preserve">Gut (rats):</w:t>
      </w:r>
      <w:r>
        <w:t xml:space="preserve"> </w:t>
      </w:r>
      <w:r>
        <w:t xml:space="preserve">In rats with surgically induced bowel paralysis, a single dose of ipamorelin shortened the time to the first bowel movement; repeated doses increased stool output, food intake and weight gain</w:t>
      </w:r>
      <w:r>
        <w:rPr>
          <w:rStyle w:val="FootnoteReference"/>
        </w:rPr>
        <w:footnoteReference w:id="1350"/>
      </w:r>
      <w:r>
        <w:t xml:space="preserve">. These results were the basis for the ileus trials in humans – which did not confirm the effect.</w:t>
      </w:r>
    </w:p>
    <w:p>
      <w:pPr>
        <w:numPr>
          <w:ilvl w:val="0"/>
          <w:numId w:val="1159"/>
        </w:numPr>
        <w:pStyle w:val="Compact"/>
      </w:pPr>
      <w:r>
        <w:rPr>
          <w:bCs/>
          <w:b/>
        </w:rPr>
        <w:t xml:space="preserve">Bone (rats):</w:t>
      </w:r>
      <w:r>
        <w:t xml:space="preserve"> </w:t>
      </w:r>
      <w:r>
        <w:t xml:space="preserve">In adult female rats, ipamorelin dose-dependently increased longitudinal bone growth and weight gain over 15 days without measurably raising IGF-1</w:t>
      </w:r>
      <w:r>
        <w:rPr>
          <w:rStyle w:val="FootnoteReference"/>
        </w:rPr>
        <w:footnoteReference w:id="1351"/>
      </w:r>
      <w:r>
        <w:t xml:space="preserve">.</w:t>
      </w:r>
    </w:p>
    <w:p>
      <w:pPr>
        <w:numPr>
          <w:ilvl w:val="0"/>
          <w:numId w:val="1159"/>
        </w:numPr>
        <w:pStyle w:val="Compact"/>
      </w:pPr>
      <w:r>
        <w:rPr>
          <w:bCs/>
          <w:b/>
        </w:rPr>
        <w:t xml:space="preserve">Selectivity (pigs, rat cells):</w:t>
      </w:r>
      <w:r>
        <w:t xml:space="preserve"> </w:t>
      </w:r>
      <w:r>
        <w:t xml:space="preserve">see above</w:t>
      </w:r>
      <w:r>
        <w:rPr>
          <w:rStyle w:val="FootnoteReference"/>
        </w:rPr>
        <w:footnoteReference w:id="1352"/>
      </w:r>
      <w:r>
        <w:t xml:space="preserve">.</w:t>
      </w:r>
    </w:p>
    <w:bookmarkEnd w:id="1353"/>
    <w:bookmarkStart w:id="1356" w:name="risks-and-side-effects-26"/>
    <w:p>
      <w:pPr>
        <w:pStyle w:val="Heading3"/>
      </w:pPr>
      <w:r>
        <w:t xml:space="preserve">Risks and side effects</w:t>
      </w:r>
    </w:p>
    <w:p>
      <w:pPr>
        <w:pStyle w:val="FirstParagraph"/>
      </w:pPr>
      <w:r>
        <w:rPr>
          <w:bCs/>
          <w:b/>
        </w:rPr>
        <w:t xml:space="preserve">Established:</w:t>
      </w:r>
      <w:r>
        <w:t xml:space="preserve"> </w:t>
      </w:r>
      <w:r>
        <w:t xml:space="preserve">In the ileus trial, ipamorelin was described as well tolerated over up to seven days, with no excess of side effects compared with placebo</w:t>
      </w:r>
      <w:r>
        <w:rPr>
          <w:rStyle w:val="FootnoteReference"/>
        </w:rPr>
        <w:footnoteReference w:id="1354"/>
      </w:r>
      <w:r>
        <w:t xml:space="preserve">. This was short-term use in hospital with intravenous administration.</w:t>
      </w:r>
    </w:p>
    <w:p>
      <w:pPr>
        <w:pStyle w:val="BodyText"/>
      </w:pPr>
      <w:r>
        <w:rPr>
          <w:bCs/>
          <w:b/>
        </w:rPr>
        <w:t xml:space="preserve">Unknown:</w:t>
      </w:r>
      <w:r>
        <w:t xml:space="preserve"> </w:t>
      </w:r>
      <w:r>
        <w:t xml:space="preserve">There are no data on repeated use over weeks or months, as described on the internet. Theoretically, the effects of elevated GH levels would be expected (fluid retention, joint complaints, reduced insulin sensitivity), as well as increased appetite via the ghrelin receptor. On the question of a cancer risk from persistently elevated IGF-1, see the introduction to this group and Part IV.</w:t>
      </w:r>
    </w:p>
    <w:p>
      <w:pPr>
        <w:pStyle w:val="BodyText"/>
      </w:pPr>
      <w:r>
        <w:rPr>
          <w:bCs/>
          <w:b/>
        </w:rPr>
        <w:t xml:space="preserve">Gray market:</w:t>
      </w:r>
      <w:r>
        <w:t xml:space="preserve"> </w:t>
      </w:r>
      <w:r>
        <w:t xml:space="preserve">Laboratory analyses of seized products found</w:t>
      </w:r>
      <w:r>
        <w:t xml:space="preserve"> </w:t>
      </w:r>
      <w:r>
        <w:t xml:space="preserve">“</w:t>
      </w:r>
      <w:r>
        <w:t xml:space="preserve">Gly-ipamorelin,</w:t>
      </w:r>
      <w:r>
        <w:t xml:space="preserve">”</w:t>
      </w:r>
      <w:r>
        <w:t xml:space="preserve"> </w:t>
      </w:r>
      <w:r>
        <w:t xml:space="preserve">that is, ipamorelin with an additional, undeclared amino acid at the beginning – presumably to evade doping tests</w:t>
      </w:r>
      <w:r>
        <w:rPr>
          <w:rStyle w:val="FootnoteReference"/>
        </w:rPr>
        <w:footnoteReference w:id="1355"/>
      </w:r>
      <w:r>
        <w:t xml:space="preserve">. How such modifications behave in the body is unknown.</w:t>
      </w:r>
    </w:p>
    <w:bookmarkEnd w:id="1356"/>
    <w:bookmarkStart w:id="1359" w:name="legal-status-26"/>
    <w:p>
      <w:pPr>
        <w:pStyle w:val="Heading3"/>
      </w:pPr>
      <w:r>
        <w:t xml:space="preserve">Legal status</w:t>
      </w:r>
    </w:p>
    <w:p>
      <w:pPr>
        <w:pStyle w:val="FirstParagraph"/>
      </w:pPr>
      <w:r>
        <w:rPr>
          <w:iCs/>
          <w:i/>
        </w:rPr>
        <w:t xml:space="preserve">As of 2026, please check for updates.</w:t>
      </w:r>
    </w:p>
    <w:p>
      <w:pPr>
        <w:numPr>
          <w:ilvl w:val="0"/>
          <w:numId w:val="1160"/>
        </w:numPr>
        <w:pStyle w:val="Compact"/>
      </w:pPr>
      <w:r>
        <w:rPr>
          <w:bCs/>
          <w:b/>
        </w:rPr>
        <w:t xml:space="preserve">EU, Germany, Austria:</w:t>
      </w:r>
      <w:r>
        <w:t xml:space="preserve"> </w:t>
      </w:r>
      <w:r>
        <w:t xml:space="preserve">no approval; supplying it for use in humans is prohibited.</w:t>
      </w:r>
    </w:p>
    <w:p>
      <w:pPr>
        <w:numPr>
          <w:ilvl w:val="0"/>
          <w:numId w:val="1160"/>
        </w:numPr>
        <w:pStyle w:val="Compact"/>
      </w:pPr>
      <w:r>
        <w:rPr>
          <w:bCs/>
          <w:b/>
        </w:rPr>
        <w:t xml:space="preserve">USA:</w:t>
      </w:r>
      <w:r>
        <w:t xml:space="preserve"> </w:t>
      </w:r>
      <w:r>
        <w:t xml:space="preserve">no approval. The FDA has classified ipamorelin among the bulk drug substances for compounding pharmacies as a substance with safety concerns (Category 2); the classification of peptides has since been debated controversially</w:t>
      </w:r>
      <w:r>
        <w:rPr>
          <w:rStyle w:val="FootnoteReference"/>
        </w:rPr>
        <w:footnoteReference w:id="1357"/>
      </w:r>
      <w:r>
        <w:t xml:space="preserve">.</w:t>
      </w:r>
    </w:p>
    <w:p>
      <w:pPr>
        <w:numPr>
          <w:ilvl w:val="0"/>
          <w:numId w:val="1160"/>
        </w:numPr>
        <w:pStyle w:val="Compact"/>
      </w:pPr>
      <w:r>
        <w:rPr>
          <w:bCs/>
          <w:b/>
        </w:rPr>
        <w:t xml:space="preserve">WADA:</w:t>
      </w:r>
      <w:r>
        <w:t xml:space="preserve"> </w:t>
      </w:r>
      <w:r>
        <w:t xml:space="preserve">prohibited (S2), in and out of competition. Ipamorelin and its metabolites can be detected in urine, including after use as a nasal spray</w:t>
      </w:r>
      <w:r>
        <w:rPr>
          <w:rStyle w:val="FootnoteReference"/>
        </w:rPr>
        <w:footnoteReference w:id="1358"/>
      </w:r>
      <w:r>
        <w:t xml:space="preserve">.</w:t>
      </w:r>
    </w:p>
    <w:bookmarkEnd w:id="1359"/>
    <w:bookmarkStart w:id="1360" w:name="ongoing-studies-and-outlook-26"/>
    <w:p>
      <w:pPr>
        <w:pStyle w:val="Heading3"/>
      </w:pPr>
      <w:r>
        <w:t xml:space="preserve">Ongoing studies and outlook</w:t>
      </w:r>
    </w:p>
    <w:p>
      <w:pPr>
        <w:pStyle w:val="FirstParagraph"/>
      </w:pPr>
      <w:r>
        <w:t xml:space="preserve">As of October 2026, ClinicalTrials.gov lists no ongoing study investigating ipamorelin as an investigational drug.</w:t>
      </w:r>
      <w:r>
        <w:t xml:space="preserve"> </w:t>
      </w:r>
      <w:r>
        <w:rPr>
          <w:iCs/>
          <w:i/>
        </w:rPr>
        <w:t xml:space="preserve">Author’s assessment:</w:t>
      </w:r>
      <w:r>
        <w:t xml:space="preserve"> </w:t>
      </w:r>
      <w:r>
        <w:t xml:space="preserve">After the negative result in postoperative ileus, there is no company developing the substance further. New data are most likely to come from case reports on gray-market use.</w:t>
      </w:r>
    </w:p>
    <w:bookmarkEnd w:id="1360"/>
    <w:bookmarkStart w:id="1361" w:name="conclusion-26"/>
    <w:p>
      <w:pPr>
        <w:pStyle w:val="Heading3"/>
      </w:pPr>
      <w:r>
        <w:t xml:space="preserve">Conclusion</w:t>
      </w:r>
    </w:p>
    <w:p>
      <w:pPr>
        <w:pStyle w:val="FirstParagraph"/>
      </w:pPr>
      <w:r>
        <w:t xml:space="preserve">Ipamorelin is a purpose-designed ghrelin receptor agonist that, in animals, releases growth hormone without appreciable stress hormone release. The only published efficacy trial in humans – 117 patients after bowel surgery – found no significant benefit; a larger follow-up trial remained unpublished. For the uses promoted on the internet (muscle building, fat loss, sleep, anti-aging), there are no human studies, and gray-market products have been shown to contain modified molecules as well.</w:t>
      </w:r>
    </w:p>
    <w:bookmarkEnd w:id="1361"/>
    <w:bookmarkEnd w:id="1362"/>
    <w:bookmarkStart w:id="1395" w:name="ghrp-2-pralmorelin"/>
    <w:p>
      <w:pPr>
        <w:pStyle w:val="Heading2"/>
      </w:pPr>
      <w:r>
        <w:t xml:space="preserve">GHRP-2 (Pralmorelin)</w:t>
      </w:r>
    </w:p>
    <w:p>
      <w:pPr>
        <w:pStyle w:val="FirstParagraph"/>
      </w:pPr>
      <w:r>
        <w:t xml:space="preserve">GHRP-2 is a small synthetic peptide of six amino acids that stimulates the pituitary gland to release growth hormone more powerfully than almost any other known stimulus. This potency has made it an approved medicine in Japan – not as a therapy but as a test substance: a single injection can determine whether an adult has growth hormone deficiency. On the gray market, the same peptide is sold as a</w:t>
      </w:r>
      <w:r>
        <w:t xml:space="preserve"> </w:t>
      </w:r>
      <w:r>
        <w:t xml:space="preserve">“</w:t>
      </w:r>
      <w:r>
        <w:t xml:space="preserve">muscle and anti-aging peptide.</w:t>
      </w:r>
      <w:r>
        <w:t xml:space="preserve">”</w:t>
      </w:r>
      <w:r>
        <w:t xml:space="preserve"> </w:t>
      </w:r>
      <w:r>
        <w:t xml:space="preserve">There is no evidence for that.</w:t>
      </w:r>
    </w:p>
    <w:bookmarkStart w:id="1365" w:name="profile-27"/>
    <w:p>
      <w:pPr>
        <w:pStyle w:val="Heading3"/>
      </w:pPr>
      <w:r>
        <w:t xml:space="preserve">Profile</w:t>
      </w:r>
    </w:p>
    <w:p>
      <w:pPr>
        <w:numPr>
          <w:ilvl w:val="0"/>
          <w:numId w:val="1161"/>
        </w:numPr>
        <w:pStyle w:val="Compact"/>
      </w:pPr>
      <w:r>
        <w:rPr>
          <w:bCs/>
          <w:b/>
        </w:rPr>
        <w:t xml:space="preserve">Type and structure:</w:t>
      </w:r>
      <w:r>
        <w:t xml:space="preserve"> </w:t>
      </w:r>
      <w:r>
        <w:t xml:space="preserve">synthetic hexapeptide (D-Ala-D-2-Nal-Ala-Trp-D-Phe-Lys-NH2) with several non-natural amino acids; development names KP-102 and GPA-748, international nonproprietary name pralmorelin</w:t>
      </w:r>
      <w:r>
        <w:rPr>
          <w:rStyle w:val="FootnoteReference"/>
        </w:rPr>
        <w:footnoteReference w:id="1363"/>
      </w:r>
      <w:r>
        <w:t xml:space="preserve">.</w:t>
      </w:r>
    </w:p>
    <w:p>
      <w:pPr>
        <w:numPr>
          <w:ilvl w:val="0"/>
          <w:numId w:val="1161"/>
        </w:numPr>
        <w:pStyle w:val="Compact"/>
      </w:pPr>
      <w:r>
        <w:rPr>
          <w:bCs/>
          <w:b/>
        </w:rPr>
        <w:t xml:space="preserve">Origin:</w:t>
      </w:r>
      <w:r>
        <w:t xml:space="preserve"> </w:t>
      </w:r>
      <w:r>
        <w:t xml:space="preserve">developed in the 1990s from the series of GH-releasing peptides founded by Cyril Bowers (Tulane University, USA); rights held by Kaken (Japan)</w:t>
      </w:r>
      <w:r>
        <w:rPr>
          <w:rStyle w:val="FootnoteReference"/>
        </w:rPr>
        <w:footnoteReference w:id="1364"/>
      </w:r>
      <w:r>
        <w:t xml:space="preserve">.</w:t>
      </w:r>
    </w:p>
    <w:p>
      <w:pPr>
        <w:numPr>
          <w:ilvl w:val="0"/>
          <w:numId w:val="1161"/>
        </w:numPr>
        <w:pStyle w:val="Compact"/>
      </w:pPr>
      <w:r>
        <w:rPr>
          <w:bCs/>
          <w:b/>
        </w:rPr>
        <w:t xml:space="preserve">Mechanism of action:</w:t>
      </w:r>
      <w:r>
        <w:t xml:space="preserve"> </w:t>
      </w:r>
      <w:r>
        <w:t xml:space="preserve">agonist at the ghrelin receptor (GHS-R1a) in the pituitary gland and hypothalamus; releases growth hormone and, to a lesser extent, ACTH, cortisol and prolactin; increases appetite.</w:t>
      </w:r>
    </w:p>
    <w:p>
      <w:pPr>
        <w:numPr>
          <w:ilvl w:val="0"/>
          <w:numId w:val="1161"/>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r>
        <w:t xml:space="preserve"> </w:t>
      </w:r>
      <w:r>
        <w:rPr>
          <w:bCs/>
          <w:b/>
        </w:rPr>
        <w:t xml:space="preserve">Japan:</w:t>
      </w:r>
      <w:r>
        <w:t xml:space="preserve"> </w:t>
      </w:r>
      <w:r>
        <w:t xml:space="preserve">approved as a diagnostic agent for pituitary function.</w:t>
      </w:r>
    </w:p>
    <w:p>
      <w:pPr>
        <w:numPr>
          <w:ilvl w:val="0"/>
          <w:numId w:val="1161"/>
        </w:numPr>
        <w:pStyle w:val="Compact"/>
      </w:pPr>
      <w:r>
        <w:rPr>
          <w:bCs/>
          <w:b/>
        </w:rPr>
        <w:t xml:space="preserve">WADA:</w:t>
      </w:r>
      <w:r>
        <w:t xml:space="preserve"> </w:t>
      </w:r>
      <w:r>
        <w:t xml:space="preserve">prohibited, class S2 – GHRP-2 (pralmorelin) is explicitly named as a growth hormone–releasing peptide.</w:t>
      </w:r>
    </w:p>
    <w:p>
      <w:pPr>
        <w:numPr>
          <w:ilvl w:val="0"/>
          <w:numId w:val="1161"/>
        </w:numPr>
        <w:pStyle w:val="Compact"/>
      </w:pPr>
      <w:r>
        <w:rPr>
          <w:bCs/>
          <w:b/>
        </w:rPr>
        <w:t xml:space="preserve">Evidence level: B</w:t>
      </w:r>
      <w:r>
        <w:t xml:space="preserve"> </w:t>
      </w:r>
      <w:r>
        <w:t xml:space="preserve">– numerous small randomized studies on hormone physiology and a validation study as a diagnostic agent; no randomized trial of a therapeutic benefit.</w:t>
      </w:r>
    </w:p>
    <w:bookmarkEnd w:id="1365"/>
    <w:bookmarkStart w:id="1368" w:name="how-it-is-supposed-to-work-27"/>
    <w:p>
      <w:pPr>
        <w:pStyle w:val="Heading3"/>
      </w:pPr>
      <w:r>
        <w:t xml:space="preserve">How it is supposed to work</w:t>
      </w:r>
    </w:p>
    <w:p>
      <w:pPr>
        <w:pStyle w:val="FirstParagraph"/>
      </w:pPr>
      <w:r>
        <w:t xml:space="preserve">GHRP-2 mimics ghrelin, the hunger hormone from the stomach that also controls growth hormone secretion</w:t>
      </w:r>
      <w:r>
        <w:rPr>
          <w:rStyle w:val="FootnoteReference"/>
        </w:rPr>
        <w:footnoteReference w:id="1366"/>
      </w:r>
      <w:r>
        <w:t xml:space="preserve">. Historically, the order was reversed: the synthetic GHRPs came first, their receptor was found, and only then was ghrelin discovered as its natural key.</w:t>
      </w:r>
    </w:p>
    <w:p>
      <w:pPr>
        <w:pStyle w:val="BodyText"/>
      </w:pPr>
      <w:r>
        <w:t xml:space="preserve">GHRP-2 acts on two levels: directly on the pituitary gland and indirectly via the hypothalamus, where it weakens the brake somatostatin and supports the body’s own GHRH. For its full effect it therefore requires an intact hypothalamus: in rats without a pituitary gland it had no effect at all, and in rats with a severed connection between the hypothalamus and pituitary only a weakened effect</w:t>
      </w:r>
      <w:r>
        <w:rPr>
          <w:rStyle w:val="FootnoteReference"/>
        </w:rPr>
        <w:footnoteReference w:id="1367"/>
      </w:r>
      <w:r>
        <w:t xml:space="preserve">. When GHRP-2 and GHRH are given together, the release is considerably greater than the sum of the individual effects.</w:t>
      </w:r>
    </w:p>
    <w:bookmarkEnd w:id="1368"/>
    <w:bookmarkStart w:id="1382" w:name="human-studies-27"/>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55</w:t>
      </w:r>
      <w:r>
        <w:t xml:space="preserve"> </w:t>
      </w:r>
      <w:r>
        <w:t xml:space="preserve">human studies in PubMed (</w:t>
      </w:r>
      <w:r>
        <w:rPr>
          <w:rStyle w:val="VerbatimChar"/>
        </w:rPr>
        <w:t xml:space="preserve">humanstudien_alle</w:t>
      </w:r>
      <w:r>
        <w:t xml:space="preserve">) and</w:t>
      </w:r>
      <w:r>
        <w:t xml:space="preserve"> </w:t>
      </w:r>
      <w:r>
        <w:rPr>
          <w:bCs/>
          <w:b/>
        </w:rPr>
        <w:t xml:space="preserve">no</w:t>
      </w:r>
      <w:r>
        <w:t xml:space="preserve"> </w:t>
      </w:r>
      <w:r>
        <w:t xml:space="preserve">entry on ClinicalTrials.gov. The large number is deceptive: most papers (especially from a research group at the Mayo Clinic) use GHRP-2 as a tool to study the regulation of growth hormone secretion in women and men, under sex hormones or in old age. They say nothing about a health benefit.</w:t>
      </w:r>
    </w:p>
    <w:bookmarkStart w:id="1373" w:name="diagnosis-of-growth-hormone-deficiency"/>
    <w:p>
      <w:pPr>
        <w:pStyle w:val="Heading4"/>
      </w:pPr>
      <w:r>
        <w:t xml:space="preserve">Diagnosis of growth hormone deficiency</w:t>
      </w:r>
    </w:p>
    <w:p>
      <w:pPr>
        <w:pStyle w:val="FirstParagraph"/>
      </w:pPr>
      <w:r>
        <w:t xml:space="preserve">The most important use is the GHRP-2 test. In a validation study, 77 healthy people and 58 patients with confirmed severe growth hormone deficiency received a single intravenous dose. The GH peak averaged 84.6 µg/L in the healthy people and 1.36 µg/L in those affected. The test was highly reproducible and was only slightly influenced by age and excess weight; a cutoff of 15 µg/L corresponded to the customary cutoff of the insulin hypoglycemia test</w:t>
      </w:r>
      <w:r>
        <w:rPr>
          <w:rStyle w:val="FootnoteReference"/>
        </w:rPr>
        <w:footnoteReference w:id="1369"/>
      </w:r>
      <w:r>
        <w:t xml:space="preserve">. In a comparison in 71 people with pituitary tumors, the GHRP-2 test achieved a sensitivity of 81.3% and a specificity of 94.5% relative to the insulin test</w:t>
      </w:r>
      <w:r>
        <w:rPr>
          <w:rStyle w:val="FootnoteReference"/>
        </w:rPr>
        <w:footnoteReference w:id="1370"/>
      </w:r>
      <w:r>
        <w:t xml:space="preserve">.</w:t>
      </w:r>
    </w:p>
    <w:p>
      <w:pPr>
        <w:pStyle w:val="BodyText"/>
      </w:pPr>
      <w:r>
        <w:t xml:space="preserve">Because GHRP-2 also releases ACTH, it was examined whether the test can additionally detect underactivity of the adrenal axis. The results are mixed: in a study of 47 people it achieved a sensitivity of 89.7%</w:t>
      </w:r>
      <w:r>
        <w:rPr>
          <w:rStyle w:val="FootnoteReference"/>
        </w:rPr>
        <w:footnoteReference w:id="1371"/>
      </w:r>
      <w:r>
        <w:t xml:space="preserve">; in a larger analysis of 254 people it was not sufficiently reliable overall (sensitivity 64%, specificity 79%), performing well only in men without a hormone-secreting tumor</w:t>
      </w:r>
      <w:r>
        <w:rPr>
          <w:rStyle w:val="FootnoteReference"/>
        </w:rPr>
        <w:footnoteReference w:id="1372"/>
      </w:r>
      <w:r>
        <w:t xml:space="preserve">.</w:t>
      </w:r>
    </w:p>
    <w:bookmarkEnd w:id="1373"/>
    <w:bookmarkStart w:id="1378" w:name="treatment-attempts-in-children"/>
    <w:p>
      <w:pPr>
        <w:pStyle w:val="Heading4"/>
      </w:pPr>
      <w:r>
        <w:t xml:space="preserve">Treatment attempts in children</w:t>
      </w:r>
    </w:p>
    <w:p>
      <w:pPr>
        <w:pStyle w:val="FirstParagraph"/>
      </w:pPr>
      <w:r>
        <w:t xml:space="preserve">In the 1990s, GHRP-2 was tested as a therapy for children of short stature. In six children with growth hormone deficiency, nighttime GH secretion rose dose-dependently, but IGF-1 did not; growth velocity was higher during treatment</w:t>
      </w:r>
      <w:r>
        <w:rPr>
          <w:rStyle w:val="FootnoteReference"/>
        </w:rPr>
        <w:footnoteReference w:id="1374"/>
      </w:r>
      <w:r>
        <w:t xml:space="preserve">. As a nasal spray, GHRP-2 increased growth velocity in 15 children from 3.7 to 6.1 cm per year, again without a rise in IGF-1</w:t>
      </w:r>
      <w:r>
        <w:rPr>
          <w:rStyle w:val="FootnoteReference"/>
        </w:rPr>
        <w:footnoteReference w:id="1375"/>
      </w:r>
      <w:r>
        <w:t xml:space="preserve">. Of ten children who received GHRP-2 as a tablet for twelve months, seven reported markedly increased appetite in the first months</w:t>
      </w:r>
      <w:r>
        <w:rPr>
          <w:rStyle w:val="FootnoteReference"/>
        </w:rPr>
        <w:footnoteReference w:id="1376"/>
      </w:r>
      <w:r>
        <w:t xml:space="preserve">. Further development as a therapy was discontinued in the United States</w:t>
      </w:r>
      <w:r>
        <w:rPr>
          <w:rStyle w:val="FootnoteReference"/>
        </w:rPr>
        <w:footnoteReference w:id="1377"/>
      </w:r>
      <w:r>
        <w:t xml:space="preserve">.</w:t>
      </w:r>
    </w:p>
    <w:bookmarkEnd w:id="1378"/>
    <w:bookmarkStart w:id="1381" w:name="appetite-and-intensive-care"/>
    <w:p>
      <w:pPr>
        <w:pStyle w:val="Heading4"/>
      </w:pPr>
      <w:r>
        <w:t xml:space="preserve">Appetite and intensive care</w:t>
      </w:r>
    </w:p>
    <w:p>
      <w:pPr>
        <w:pStyle w:val="FirstParagraph"/>
      </w:pPr>
      <w:r>
        <w:t xml:space="preserve">In 19 lean and overweight adults, an infusion of GHRP-2 dose-dependently increased freely chosen food intake by 10.2% and 33.5%, respectively, compared with placebo</w:t>
      </w:r>
      <w:r>
        <w:rPr>
          <w:rStyle w:val="FootnoteReference"/>
        </w:rPr>
        <w:footnoteReference w:id="1379"/>
      </w:r>
      <w:r>
        <w:t xml:space="preserve">. In 14 long-stay intensive care patients, a five-day infusion of GHRP-2 together with thyrotropin-releasing hormone (TRH) reactivated the suppressed GH and thyroid axes and shifted metabolic markers toward anabolism</w:t>
      </w:r>
      <w:r>
        <w:rPr>
          <w:rStyle w:val="FootnoteReference"/>
        </w:rPr>
        <w:footnoteReference w:id="1380"/>
      </w:r>
      <w:r>
        <w:t xml:space="preserve">. Whether this changes the chances of survival was never tested in an outcome trial.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Diagnosis (Chihara 2007), PMID 17609397</w:t>
            </w:r>
          </w:p>
        </w:tc>
        <w:tc>
          <w:tcPr/>
          <w:p>
            <w:pPr>
              <w:pStyle w:val="Compact"/>
              <w:jc w:val="left"/>
            </w:pPr>
            <w:r>
              <w:t xml:space="preserve">77 healthy people, 58 patients with GH deficiency, controlled validation</w:t>
            </w:r>
          </w:p>
        </w:tc>
        <w:tc>
          <w:tcPr/>
          <w:p>
            <w:pPr>
              <w:pStyle w:val="Compact"/>
              <w:jc w:val="left"/>
            </w:pPr>
            <w:r>
              <w:t xml:space="preserve">single test</w:t>
            </w:r>
          </w:p>
        </w:tc>
        <w:tc>
          <w:tcPr/>
          <w:p>
            <w:pPr>
              <w:pStyle w:val="Compact"/>
              <w:jc w:val="left"/>
            </w:pPr>
            <w:r>
              <w:t xml:space="preserve">GH peak 84.6 vs. 1.36 µg/L; cutoff 15 µg/L</w:t>
            </w:r>
          </w:p>
        </w:tc>
      </w:tr>
      <w:tr>
        <w:tc>
          <w:tcPr/>
          <w:p>
            <w:pPr>
              <w:pStyle w:val="Compact"/>
              <w:jc w:val="left"/>
            </w:pPr>
            <w:r>
              <w:t xml:space="preserve">Diagnosis (Kinoshita 2013), PMID 23079545</w:t>
            </w:r>
          </w:p>
        </w:tc>
        <w:tc>
          <w:tcPr/>
          <w:p>
            <w:pPr>
              <w:pStyle w:val="Compact"/>
              <w:jc w:val="left"/>
            </w:pPr>
            <w:r>
              <w:t xml:space="preserve">71 people with pituitary tumors, comparison with insulin test</w:t>
            </w:r>
          </w:p>
        </w:tc>
        <w:tc>
          <w:tcPr/>
          <w:p>
            <w:pPr>
              <w:pStyle w:val="Compact"/>
              <w:jc w:val="left"/>
            </w:pPr>
            <w:r>
              <w:t xml:space="preserve">single test</w:t>
            </w:r>
          </w:p>
        </w:tc>
        <w:tc>
          <w:tcPr/>
          <w:p>
            <w:pPr>
              <w:pStyle w:val="Compact"/>
              <w:jc w:val="left"/>
            </w:pPr>
            <w:r>
              <w:t xml:space="preserve">sensitivity 81.3%, specificity 94.5%</w:t>
            </w:r>
          </w:p>
        </w:tc>
      </w:tr>
      <w:tr>
        <w:tc>
          <w:tcPr/>
          <w:p>
            <w:pPr>
              <w:pStyle w:val="Compact"/>
              <w:jc w:val="left"/>
            </w:pPr>
            <w:r>
              <w:t xml:space="preserve">Children, nasal spray (Pihoker 1997), PMID 9390009</w:t>
            </w:r>
          </w:p>
        </w:tc>
        <w:tc>
          <w:tcPr/>
          <w:p>
            <w:pPr>
              <w:pStyle w:val="Compact"/>
              <w:jc w:val="left"/>
            </w:pPr>
            <w:r>
              <w:t xml:space="preserve">15 children of short stature, no control group</w:t>
            </w:r>
          </w:p>
        </w:tc>
        <w:tc>
          <w:tcPr/>
          <w:p>
            <w:pPr>
              <w:pStyle w:val="Compact"/>
              <w:jc w:val="left"/>
            </w:pPr>
            <w:r>
              <w:t xml:space="preserve">6–24 months</w:t>
            </w:r>
          </w:p>
        </w:tc>
        <w:tc>
          <w:tcPr/>
          <w:p>
            <w:pPr>
              <w:pStyle w:val="Compact"/>
              <w:jc w:val="left"/>
            </w:pPr>
            <w:r>
              <w:t xml:space="preserve">growth 3.7 → 6.1 cm/year</w:t>
            </w:r>
          </w:p>
        </w:tc>
      </w:tr>
      <w:tr>
        <w:tc>
          <w:tcPr/>
          <w:p>
            <w:pPr>
              <w:pStyle w:val="Compact"/>
              <w:jc w:val="left"/>
            </w:pPr>
            <w:r>
              <w:t xml:space="preserve">Appetite (Laferrère 2006), PMID 16861611</w:t>
            </w:r>
          </w:p>
        </w:tc>
        <w:tc>
          <w:tcPr/>
          <w:p>
            <w:pPr>
              <w:pStyle w:val="Compact"/>
              <w:jc w:val="left"/>
            </w:pPr>
            <w:r>
              <w:t xml:space="preserve">19 adults, RCT crossover design vs. placebo</w:t>
            </w:r>
          </w:p>
        </w:tc>
        <w:tc>
          <w:tcPr/>
          <w:p>
            <w:pPr>
              <w:pStyle w:val="Compact"/>
              <w:jc w:val="left"/>
            </w:pPr>
            <w:r>
              <w:t xml:space="preserve">3 single infusions</w:t>
            </w:r>
          </w:p>
        </w:tc>
        <w:tc>
          <w:tcPr/>
          <w:p>
            <w:pPr>
              <w:pStyle w:val="Compact"/>
              <w:jc w:val="left"/>
            </w:pPr>
            <w:r>
              <w:t xml:space="preserve">food intake +10.2% and +33.5%</w:t>
            </w:r>
          </w:p>
        </w:tc>
      </w:tr>
      <w:tr>
        <w:tc>
          <w:tcPr/>
          <w:p>
            <w:pPr>
              <w:pStyle w:val="Compact"/>
              <w:jc w:val="left"/>
            </w:pPr>
            <w:r>
              <w:t xml:space="preserve">Intensive care (Van den Berghe 1999), PMID 10199772</w:t>
            </w:r>
          </w:p>
        </w:tc>
        <w:tc>
          <w:tcPr/>
          <w:p>
            <w:pPr>
              <w:pStyle w:val="Compact"/>
              <w:jc w:val="left"/>
            </w:pPr>
            <w:r>
              <w:t xml:space="preserve">14 long-stay intensive care patients, randomized crossover design</w:t>
            </w:r>
          </w:p>
        </w:tc>
        <w:tc>
          <w:tcPr/>
          <w:p>
            <w:pPr>
              <w:pStyle w:val="Compact"/>
              <w:jc w:val="left"/>
            </w:pPr>
            <w:r>
              <w:t xml:space="preserve">5 days</w:t>
            </w:r>
          </w:p>
        </w:tc>
        <w:tc>
          <w:tcPr/>
          <w:p>
            <w:pPr>
              <w:pStyle w:val="Compact"/>
              <w:jc w:val="left"/>
            </w:pPr>
            <w:r>
              <w:t xml:space="preserve">GH and thyroid axes reactivated</w:t>
            </w:r>
          </w:p>
        </w:tc>
      </w:tr>
    </w:tbl>
    <w:bookmarkEnd w:id="1381"/>
    <w:bookmarkEnd w:id="1382"/>
    <w:bookmarkStart w:id="1385" w:name="animal-and-laboratory-studies-27"/>
    <w:p>
      <w:pPr>
        <w:pStyle w:val="Heading3"/>
      </w:pPr>
      <w:r>
        <w:t xml:space="preserve">Animal and laboratory studies</w:t>
      </w:r>
    </w:p>
    <w:p>
      <w:pPr>
        <w:pStyle w:val="FirstParagraph"/>
      </w:pPr>
      <w:r>
        <w:t xml:space="preserve">In conscious rats, GHRP-2 released more growth hormone than GHRH and was also effective in dogs, in which GHRH failed; in rats it increased ACTH and corticosterone but not prolactin, and accelerated growth over three weeks</w:t>
      </w:r>
      <w:r>
        <w:rPr>
          <w:rStyle w:val="FootnoteReference"/>
        </w:rPr>
        <w:footnoteReference w:id="1383"/>
      </w:r>
      <w:r>
        <w:t xml:space="preserve">. In pigs, GHRP-2 was particularly potent in a comparative study but, unlike ipamorelin, also released ACTH and cortisol</w:t>
      </w:r>
      <w:r>
        <w:rPr>
          <w:rStyle w:val="FootnoteReference"/>
        </w:rPr>
        <w:footnoteReference w:id="1384"/>
      </w:r>
      <w:r>
        <w:t xml:space="preserve">.</w:t>
      </w:r>
    </w:p>
    <w:bookmarkEnd w:id="1385"/>
    <w:bookmarkStart w:id="1390" w:name="risks-and-side-effects-27"/>
    <w:p>
      <w:pPr>
        <w:pStyle w:val="Heading3"/>
      </w:pPr>
      <w:r>
        <w:t xml:space="preserve">Risks and side effects</w:t>
      </w:r>
    </w:p>
    <w:p>
      <w:pPr>
        <w:pStyle w:val="FirstParagraph"/>
      </w:pPr>
      <w:r>
        <w:rPr>
          <w:bCs/>
          <w:b/>
        </w:rPr>
        <w:t xml:space="preserve">Established:</w:t>
      </w:r>
      <w:r>
        <w:t xml:space="preserve"> </w:t>
      </w:r>
      <w:r>
        <w:t xml:space="preserve">In the studies, GHRP-2 was well tolerated in the short term. Repeatedly described are increased appetite</w:t>
      </w:r>
      <w:r>
        <w:rPr>
          <w:rStyle w:val="FootnoteReference"/>
        </w:rPr>
        <w:footnoteReference w:id="1386"/>
      </w:r>
      <w:r>
        <w:t xml:space="preserve"> </w:t>
      </w:r>
      <w:r>
        <w:t xml:space="preserve">and the release of ACTH and cortisol</w:t>
      </w:r>
      <w:r>
        <w:rPr>
          <w:rStyle w:val="FootnoteReference"/>
        </w:rPr>
        <w:footnoteReference w:id="1387"/>
      </w:r>
      <w:r>
        <w:t xml:space="preserve">. A review of GH releasers also mentions a possible rise in blood glucose due to reduced insulin sensitivity and calls for long-term data on cancer and mortality</w:t>
      </w:r>
      <w:r>
        <w:rPr>
          <w:rStyle w:val="FootnoteReference"/>
        </w:rPr>
        <w:footnoteReference w:id="1388"/>
      </w:r>
      <w:r>
        <w:t xml:space="preserve">.</w:t>
      </w:r>
    </w:p>
    <w:p>
      <w:pPr>
        <w:pStyle w:val="BodyText"/>
      </w:pPr>
      <w:r>
        <w:rPr>
          <w:bCs/>
          <w:b/>
        </w:rPr>
        <w:t xml:space="preserve">Unknown:</w:t>
      </w:r>
      <w:r>
        <w:t xml:space="preserve"> </w:t>
      </w:r>
      <w:r>
        <w:t xml:space="preserve">There are no data on use over months or years in adults. On the question of whether persistently elevated growth hormone/IGF-1 increases cancer risk, see the introduction to this group and Part IV.</w:t>
      </w:r>
    </w:p>
    <w:p>
      <w:pPr>
        <w:pStyle w:val="BodyText"/>
      </w:pPr>
      <w:r>
        <w:rPr>
          <w:bCs/>
          <w:b/>
        </w:rPr>
        <w:t xml:space="preserve">Gray market:</w:t>
      </w:r>
      <w:r>
        <w:t xml:space="preserve"> </w:t>
      </w:r>
      <w:r>
        <w:t xml:space="preserve">“</w:t>
      </w:r>
      <w:r>
        <w:t xml:space="preserve">Gly-GHRP-2,</w:t>
      </w:r>
      <w:r>
        <w:t xml:space="preserve">”</w:t>
      </w:r>
      <w:r>
        <w:t xml:space="preserve"> </w:t>
      </w:r>
      <w:r>
        <w:t xml:space="preserve">that is, GHRP-2 with an additional, undeclared amino acid, has been found in seized products</w:t>
      </w:r>
      <w:r>
        <w:rPr>
          <w:rStyle w:val="FootnoteReference"/>
        </w:rPr>
        <w:footnoteReference w:id="1389"/>
      </w:r>
      <w:r>
        <w:t xml:space="preserve">.</w:t>
      </w:r>
    </w:p>
    <w:bookmarkEnd w:id="1390"/>
    <w:bookmarkStart w:id="1392" w:name="legal-status-27"/>
    <w:p>
      <w:pPr>
        <w:pStyle w:val="Heading3"/>
      </w:pPr>
      <w:r>
        <w:t xml:space="preserve">Legal status</w:t>
      </w:r>
    </w:p>
    <w:p>
      <w:pPr>
        <w:pStyle w:val="FirstParagraph"/>
      </w:pPr>
      <w:r>
        <w:rPr>
          <w:iCs/>
          <w:i/>
        </w:rPr>
        <w:t xml:space="preserve">As of 2026, please check for updates.</w:t>
      </w:r>
    </w:p>
    <w:p>
      <w:pPr>
        <w:numPr>
          <w:ilvl w:val="0"/>
          <w:numId w:val="1162"/>
        </w:numPr>
        <w:pStyle w:val="Compact"/>
      </w:pPr>
      <w:r>
        <w:rPr>
          <w:bCs/>
          <w:b/>
        </w:rPr>
        <w:t xml:space="preserve">Japan:</w:t>
      </w:r>
      <w:r>
        <w:t xml:space="preserve"> </w:t>
      </w:r>
      <w:r>
        <w:t xml:space="preserve">approved as a diagnostic agent; used exclusively in the context of medical function tests.</w:t>
      </w:r>
    </w:p>
    <w:p>
      <w:pPr>
        <w:numPr>
          <w:ilvl w:val="0"/>
          <w:numId w:val="1162"/>
        </w:numPr>
        <w:pStyle w:val="Compact"/>
      </w:pPr>
      <w:r>
        <w:rPr>
          <w:bCs/>
          <w:b/>
        </w:rPr>
        <w:t xml:space="preserve">EU, Germany, Austria:</w:t>
      </w:r>
      <w:r>
        <w:t xml:space="preserve"> </w:t>
      </w:r>
      <w:r>
        <w:t xml:space="preserve">no approval; supplying it for use in humans is prohibited.</w:t>
      </w:r>
    </w:p>
    <w:p>
      <w:pPr>
        <w:numPr>
          <w:ilvl w:val="0"/>
          <w:numId w:val="1162"/>
        </w:numPr>
        <w:pStyle w:val="Compact"/>
      </w:pPr>
      <w:r>
        <w:rPr>
          <w:bCs/>
          <w:b/>
        </w:rPr>
        <w:t xml:space="preserve">USA:</w:t>
      </w:r>
      <w:r>
        <w:t xml:space="preserve"> </w:t>
      </w:r>
      <w:r>
        <w:t xml:space="preserve">no approval.</w:t>
      </w:r>
    </w:p>
    <w:p>
      <w:pPr>
        <w:numPr>
          <w:ilvl w:val="0"/>
          <w:numId w:val="1162"/>
        </w:numPr>
        <w:pStyle w:val="Compact"/>
      </w:pPr>
      <w:r>
        <w:rPr>
          <w:bCs/>
          <w:b/>
        </w:rPr>
        <w:t xml:space="preserve">WADA:</w:t>
      </w:r>
      <w:r>
        <w:t xml:space="preserve"> </w:t>
      </w:r>
      <w:r>
        <w:t xml:space="preserve">prohibited (S2). After administration as a nasal spray to a volunteer, GHRP-2 and its metabolites were detectable in urine for up to 47 hours</w:t>
      </w:r>
      <w:r>
        <w:rPr>
          <w:rStyle w:val="FootnoteReference"/>
        </w:rPr>
        <w:footnoteReference w:id="1391"/>
      </w:r>
      <w:r>
        <w:t xml:space="preserve">.</w:t>
      </w:r>
    </w:p>
    <w:bookmarkEnd w:id="1392"/>
    <w:bookmarkStart w:id="1393" w:name="ongoing-studies-and-outlook-27"/>
    <w:p>
      <w:pPr>
        <w:pStyle w:val="Heading3"/>
      </w:pPr>
      <w:r>
        <w:t xml:space="preserve">Ongoing studies and outlook</w:t>
      </w:r>
    </w:p>
    <w:p>
      <w:pPr>
        <w:pStyle w:val="FirstParagraph"/>
      </w:pPr>
      <w:r>
        <w:t xml:space="preserve">As of October 2026, no study with GHRP-2 or pralmorelin is registered on ClinicalTrials.gov.</w:t>
      </w:r>
      <w:r>
        <w:t xml:space="preserve"> </w:t>
      </w:r>
      <w:r>
        <w:rPr>
          <w:iCs/>
          <w:i/>
        </w:rPr>
        <w:t xml:space="preserve">Author’s assessment:</w:t>
      </w:r>
      <w:r>
        <w:t xml:space="preserve"> </w:t>
      </w:r>
      <w:r>
        <w:t xml:space="preserve">GHRP-2 will remain a diagnostic tool in Japan and a tool of hormone research. In other countries, as a test substance it competes with macimorelin, which is available in oral form.</w:t>
      </w:r>
    </w:p>
    <w:bookmarkEnd w:id="1393"/>
    <w:bookmarkStart w:id="1394" w:name="conclusion-27"/>
    <w:p>
      <w:pPr>
        <w:pStyle w:val="Heading3"/>
      </w:pPr>
      <w:r>
        <w:t xml:space="preserve">Conclusion</w:t>
      </w:r>
    </w:p>
    <w:p>
      <w:pPr>
        <w:pStyle w:val="FirstParagraph"/>
      </w:pPr>
      <w:r>
        <w:t xml:space="preserve">GHRP-2 is one of the most potent known triggers of growth hormone secretion and is established in Japan as a diagnostic agent for growth hormone deficiency. Treatment attempts in children showed only modest effects and were not pursued further. For muscle building, fat loss or</w:t>
      </w:r>
      <w:r>
        <w:t xml:space="preserve"> </w:t>
      </w:r>
      <w:r>
        <w:t xml:space="preserve">“</w:t>
      </w:r>
      <w:r>
        <w:t xml:space="preserve">anti-aging</w:t>
      </w:r>
      <w:r>
        <w:t xml:space="preserve">”</w:t>
      </w:r>
      <w:r>
        <w:t xml:space="preserve"> </w:t>
      </w:r>
      <w:r>
        <w:t xml:space="preserve">in healthy people there are no studies; what is documented, by contrast, are side effects such as food cravings and activation of stress hormones.</w:t>
      </w:r>
    </w:p>
    <w:bookmarkEnd w:id="1394"/>
    <w:bookmarkEnd w:id="1395"/>
    <w:bookmarkStart w:id="1425" w:name="ghrp-6"/>
    <w:p>
      <w:pPr>
        <w:pStyle w:val="Heading2"/>
      </w:pPr>
      <w:r>
        <w:t xml:space="preserve">GHRP-6</w:t>
      </w:r>
    </w:p>
    <w:p>
      <w:pPr>
        <w:pStyle w:val="FirstParagraph"/>
      </w:pPr>
      <w:r>
        <w:t xml:space="preserve">GHRP-6 is the ancestor of all growth hormone–releasing peptides. In 1984, the US endocrinologist Cyril Bowers described an artificial hexapeptide that selectively releases growth hormone – 15 years before its natural counterpart, ghrelin, was known. In research, GHRP-6 became the standard tool for testing the growth hormone axis. In bodybuilding circles, by contrast, it is regarded as an inexpensive GH booster with the side effect of</w:t>
      </w:r>
      <w:r>
        <w:t xml:space="preserve"> </w:t>
      </w:r>
      <w:r>
        <w:t xml:space="preserve">“</w:t>
      </w:r>
      <w:r>
        <w:t xml:space="preserve">ravenous hunger.</w:t>
      </w:r>
      <w:r>
        <w:t xml:space="preserve">”</w:t>
      </w:r>
      <w:r>
        <w:t xml:space="preserve"> </w:t>
      </w:r>
      <w:r>
        <w:t xml:space="preserve">It never became a medicine.</w:t>
      </w:r>
    </w:p>
    <w:bookmarkStart w:id="1397" w:name="profile-28"/>
    <w:p>
      <w:pPr>
        <w:pStyle w:val="Heading3"/>
      </w:pPr>
      <w:r>
        <w:t xml:space="preserve">Profile</w:t>
      </w:r>
    </w:p>
    <w:p>
      <w:pPr>
        <w:numPr>
          <w:ilvl w:val="0"/>
          <w:numId w:val="1163"/>
        </w:numPr>
        <w:pStyle w:val="Compact"/>
      </w:pPr>
      <w:r>
        <w:rPr>
          <w:bCs/>
          <w:b/>
        </w:rPr>
        <w:t xml:space="preserve">Type and structure:</w:t>
      </w:r>
      <w:r>
        <w:t xml:space="preserve"> </w:t>
      </w:r>
      <w:r>
        <w:t xml:space="preserve">synthetic hexapeptide His-D-Trp-Ala-Trp-D-Phe-Lys-NH2 with two non-natural D-amino acids</w:t>
      </w:r>
      <w:r>
        <w:rPr>
          <w:rStyle w:val="FootnoteReference"/>
        </w:rPr>
        <w:footnoteReference w:id="1396"/>
      </w:r>
      <w:r>
        <w:t xml:space="preserve">.</w:t>
      </w:r>
    </w:p>
    <w:p>
      <w:pPr>
        <w:numPr>
          <w:ilvl w:val="0"/>
          <w:numId w:val="1163"/>
        </w:numPr>
        <w:pStyle w:val="Compact"/>
      </w:pPr>
      <w:r>
        <w:rPr>
          <w:bCs/>
          <w:b/>
        </w:rPr>
        <w:t xml:space="preserve">Origin:</w:t>
      </w:r>
      <w:r>
        <w:t xml:space="preserve"> </w:t>
      </w:r>
      <w:r>
        <w:t xml:space="preserve">Tulane University (USA), early 1980s.</w:t>
      </w:r>
    </w:p>
    <w:p>
      <w:pPr>
        <w:numPr>
          <w:ilvl w:val="0"/>
          <w:numId w:val="1163"/>
        </w:numPr>
        <w:pStyle w:val="Compact"/>
      </w:pPr>
      <w:r>
        <w:rPr>
          <w:bCs/>
          <w:b/>
        </w:rPr>
        <w:t xml:space="preserve">Mechanism of action:</w:t>
      </w:r>
      <w:r>
        <w:t xml:space="preserve"> </w:t>
      </w:r>
      <w:r>
        <w:t xml:space="preserve">agonist at the ghrelin receptor (GHS-R1a) in the pituitary gland and hypothalamus; releases growth hormone as well as ACTH, cortisol and prolactin; increases appetite.</w:t>
      </w:r>
    </w:p>
    <w:p>
      <w:pPr>
        <w:numPr>
          <w:ilvl w:val="0"/>
          <w:numId w:val="1163"/>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 Not approved as a medicine anywhere else either (as of 2026).</w:t>
      </w:r>
    </w:p>
    <w:p>
      <w:pPr>
        <w:numPr>
          <w:ilvl w:val="0"/>
          <w:numId w:val="1163"/>
        </w:numPr>
        <w:pStyle w:val="Compact"/>
      </w:pPr>
      <w:r>
        <w:rPr>
          <w:bCs/>
          <w:b/>
        </w:rPr>
        <w:t xml:space="preserve">WADA:</w:t>
      </w:r>
      <w:r>
        <w:t xml:space="preserve"> </w:t>
      </w:r>
      <w:r>
        <w:t xml:space="preserve">prohibited, class S2 – GHRP-6 is explicitly named as a growth hormone–releasing peptide.</w:t>
      </w:r>
    </w:p>
    <w:p>
      <w:pPr>
        <w:numPr>
          <w:ilvl w:val="0"/>
          <w:numId w:val="1163"/>
        </w:numPr>
        <w:pStyle w:val="Compact"/>
      </w:pPr>
      <w:r>
        <w:rPr>
          <w:bCs/>
          <w:b/>
        </w:rPr>
        <w:t xml:space="preserve">Evidence level: C</w:t>
      </w:r>
      <w:r>
        <w:t xml:space="preserve"> </w:t>
      </w:r>
      <w:r>
        <w:t xml:space="preserve">– many small studies on hormone physiology and diagnostics, each with 10 to 250 people, but not a single controlled trial of a therapeutic benefit.</w:t>
      </w:r>
    </w:p>
    <w:bookmarkEnd w:id="1397"/>
    <w:bookmarkStart w:id="1400" w:name="how-it-is-supposed-to-work-28"/>
    <w:p>
      <w:pPr>
        <w:pStyle w:val="Heading3"/>
      </w:pPr>
      <w:r>
        <w:t xml:space="preserve">How it is supposed to work</w:t>
      </w:r>
    </w:p>
    <w:p>
      <w:pPr>
        <w:pStyle w:val="FirstParagraph"/>
      </w:pPr>
      <w:r>
        <w:t xml:space="preserve">In 1984, Bowers and colleagues showed that the hexapeptide releases growth hormone within minutes in rats, monkeys, lambs and calves without affecting other pituitary hormones such as LH, FSH or TSH; rats that received it repeatedly gained more weight</w:t>
      </w:r>
      <w:r>
        <w:rPr>
          <w:rStyle w:val="FootnoteReference"/>
        </w:rPr>
        <w:footnoteReference w:id="1398"/>
      </w:r>
      <w:r>
        <w:t xml:space="preserve">. It later turned out that GHRP-6 acts at the same receptor as the stomach hormone ghrelin</w:t>
      </w:r>
      <w:r>
        <w:rPr>
          <w:rStyle w:val="FootnoteReference"/>
        </w:rPr>
        <w:footnoteReference w:id="1399"/>
      </w:r>
      <w:r>
        <w:t xml:space="preserve">.</w:t>
      </w:r>
    </w:p>
    <w:p>
      <w:pPr>
        <w:pStyle w:val="BodyText"/>
      </w:pPr>
      <w:r>
        <w:t xml:space="preserve">Like GHRP-2, GHRP-6 acts most strongly when the body’s own GHRH from the hypothalamus is involved. When both are combined, the release of growth hormone is greater than the sum of the individual effects. It was precisely this property that made GHRP-6 interesting as a diagnostic agent. Unlike ipamorelin, GHRP-6 also activates the stress hormone axis (ACTH and cortisol).</w:t>
      </w:r>
    </w:p>
    <w:bookmarkEnd w:id="1400"/>
    <w:bookmarkStart w:id="1411" w:name="human-studies-28"/>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40</w:t>
      </w:r>
      <w:r>
        <w:t xml:space="preserve"> </w:t>
      </w:r>
      <w:r>
        <w:t xml:space="preserve">human studies in PubMed (</w:t>
      </w:r>
      <w:r>
        <w:rPr>
          <w:rStyle w:val="VerbatimChar"/>
        </w:rPr>
        <w:t xml:space="preserve">humanstudien_alle</w:t>
      </w:r>
      <w:r>
        <w:t xml:space="preserve">) and</w:t>
      </w:r>
      <w:r>
        <w:t xml:space="preserve"> </w:t>
      </w:r>
      <w:r>
        <w:rPr>
          <w:bCs/>
          <w:b/>
        </w:rPr>
        <w:t xml:space="preserve">no</w:t>
      </w:r>
      <w:r>
        <w:t xml:space="preserve"> </w:t>
      </w:r>
      <w:r>
        <w:t xml:space="preserve">entry on ClinicalTrials.gov. Almost all papers use GHRP-6 as a single-dose test substance to study hormone regulation in diseases such as Cushing’s syndrome, hyperthyroidism, overweight or in old age. One study on this list was conducted in dogs.</w:t>
      </w:r>
    </w:p>
    <w:bookmarkStart w:id="1405" w:name="diagnosis-of-growth-hormone-deficiency-1"/>
    <w:p>
      <w:pPr>
        <w:pStyle w:val="Heading4"/>
      </w:pPr>
      <w:r>
        <w:t xml:space="preserve">Diagnosis of growth hormone deficiency</w:t>
      </w:r>
    </w:p>
    <w:p>
      <w:pPr>
        <w:pStyle w:val="FirstParagraph"/>
      </w:pPr>
      <w:r>
        <w:t xml:space="preserve">The best-known study was published in 2000 in the journal Lancet: 125 adults with diseases of the pituitary gland and 125 healthy people received GHRH plus GHRP-6 as a combination test. The mean GH peak was 59.2 µg/L in the healthy people and 4.1 µg/L in those affected; a cutoff of 15 µg/L reliably separated the two groups. No side effects occurred, and age, sex and body fat did not influence the result</w:t>
      </w:r>
      <w:r>
        <w:rPr>
          <w:rStyle w:val="FootnoteReference"/>
        </w:rPr>
        <w:footnoteReference w:id="1401"/>
      </w:r>
      <w:r>
        <w:t xml:space="preserve">. In a smaller study of 20 people, the test correctly identified all cases of growth hormone deficiency; the only side effect observed was a feeling of warmth (flushing)</w:t>
      </w:r>
      <w:r>
        <w:rPr>
          <w:rStyle w:val="FootnoteReference"/>
        </w:rPr>
        <w:footnoteReference w:id="1402"/>
      </w:r>
      <w:r>
        <w:t xml:space="preserve">. Of 21 adults in whom a deficiency had previously been diagnosed with conventional tests, about 40% did respond clearly to the combination after all</w:t>
      </w:r>
      <w:r>
        <w:rPr>
          <w:rStyle w:val="FootnoteReference"/>
        </w:rPr>
        <w:footnoteReference w:id="1403"/>
      </w:r>
      <w:r>
        <w:t xml:space="preserve"> </w:t>
      </w:r>
      <w:r>
        <w:t xml:space="preserve">– an indication that different tests answer different questions.</w:t>
      </w:r>
    </w:p>
    <w:p>
      <w:pPr>
        <w:pStyle w:val="BodyText"/>
      </w:pPr>
      <w:r>
        <w:t xml:space="preserve">As a test for underactivity of the adrenal axis, however, GHRP-6 was of only limited use: in 49 patients, compared with the insulin test, it achieved a sensitivity of 71.0% and a specificity of 77.8%</w:t>
      </w:r>
      <w:r>
        <w:rPr>
          <w:rStyle w:val="FootnoteReference"/>
        </w:rPr>
        <w:footnoteReference w:id="1404"/>
      </w:r>
      <w:r>
        <w:t xml:space="preserve">.</w:t>
      </w:r>
    </w:p>
    <w:bookmarkEnd w:id="1405"/>
    <w:bookmarkStart w:id="1410" w:name="pharmacology-sleep-age"/>
    <w:p>
      <w:pPr>
        <w:pStyle w:val="Heading4"/>
      </w:pPr>
      <w:r>
        <w:t xml:space="preserve">Pharmacology, sleep, age</w:t>
      </w:r>
    </w:p>
    <w:p>
      <w:pPr>
        <w:numPr>
          <w:ilvl w:val="0"/>
          <w:numId w:val="1164"/>
        </w:numPr>
        <w:pStyle w:val="Compact"/>
      </w:pPr>
      <w:r>
        <w:rPr>
          <w:bCs/>
          <w:b/>
        </w:rPr>
        <w:t xml:space="preserve">Pharmacokinetics:</w:t>
      </w:r>
      <w:r>
        <w:t xml:space="preserve"> </w:t>
      </w:r>
      <w:r>
        <w:t xml:space="preserve">In nine healthy men, the elimination half-life after intravenous administration averaged 2.5 hours</w:t>
      </w:r>
      <w:r>
        <w:rPr>
          <w:rStyle w:val="FootnoteReference"/>
        </w:rPr>
        <w:footnoteReference w:id="1406"/>
      </w:r>
      <w:r>
        <w:t xml:space="preserve">.</w:t>
      </w:r>
    </w:p>
    <w:p>
      <w:pPr>
        <w:numPr>
          <w:ilvl w:val="0"/>
          <w:numId w:val="1164"/>
        </w:numPr>
        <w:pStyle w:val="Compact"/>
      </w:pPr>
      <w:r>
        <w:rPr>
          <w:bCs/>
          <w:b/>
        </w:rPr>
        <w:t xml:space="preserve">Sleep:</w:t>
      </w:r>
      <w:r>
        <w:t xml:space="preserve"> </w:t>
      </w:r>
      <w:r>
        <w:t xml:space="preserve">In healthy men, GHRP-6 increased growth hormone, ACTH and cortisol at night and prolonged light sleep (stage 2), but not deep sleep</w:t>
      </w:r>
      <w:r>
        <w:rPr>
          <w:rStyle w:val="FootnoteReference"/>
        </w:rPr>
        <w:footnoteReference w:id="1407"/>
      </w:r>
      <w:r>
        <w:t xml:space="preserve">.</w:t>
      </w:r>
    </w:p>
    <w:p>
      <w:pPr>
        <w:numPr>
          <w:ilvl w:val="0"/>
          <w:numId w:val="1164"/>
        </w:numPr>
        <w:pStyle w:val="Compact"/>
      </w:pPr>
      <w:r>
        <w:rPr>
          <w:bCs/>
          <w:b/>
        </w:rPr>
        <w:t xml:space="preserve">Age:</w:t>
      </w:r>
      <w:r>
        <w:t xml:space="preserve"> </w:t>
      </w:r>
      <w:r>
        <w:t xml:space="preserve">In nine young and nine older adults, the pituitary gland in older age responded more weakly to GHRH, but not to GHRP-6</w:t>
      </w:r>
      <w:r>
        <w:rPr>
          <w:rStyle w:val="FootnoteReference"/>
        </w:rPr>
        <w:footnoteReference w:id="1408"/>
      </w:r>
      <w:r>
        <w:t xml:space="preserve">.</w:t>
      </w:r>
    </w:p>
    <w:p>
      <w:pPr>
        <w:numPr>
          <w:ilvl w:val="0"/>
          <w:numId w:val="1164"/>
        </w:numPr>
        <w:pStyle w:val="Compact"/>
      </w:pPr>
      <w:r>
        <w:rPr>
          <w:bCs/>
          <w:b/>
        </w:rPr>
        <w:t xml:space="preserve">Children:</w:t>
      </w:r>
      <w:r>
        <w:t xml:space="preserve"> </w:t>
      </w:r>
      <w:r>
        <w:t xml:space="preserve">As a tablet, GHRP-6 triggered a GH rise in children of short stature without hormone deficiency similar to that after GHRH injection</w:t>
      </w:r>
      <w:r>
        <w:rPr>
          <w:rStyle w:val="FootnoteReference"/>
        </w:rPr>
        <w:footnoteReference w:id="1409"/>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Diagnosis (Popovic 2000), PMID 11030292</w:t>
            </w:r>
          </w:p>
        </w:tc>
        <w:tc>
          <w:tcPr/>
          <w:p>
            <w:pPr>
              <w:pStyle w:val="Compact"/>
              <w:jc w:val="left"/>
            </w:pPr>
            <w:r>
              <w:t xml:space="preserve">125 patients, 125 healthy people; multicenter comparative study</w:t>
            </w:r>
          </w:p>
        </w:tc>
        <w:tc>
          <w:tcPr/>
          <w:p>
            <w:pPr>
              <w:pStyle w:val="Compact"/>
              <w:jc w:val="left"/>
            </w:pPr>
            <w:r>
              <w:t xml:space="preserve">single test</w:t>
            </w:r>
          </w:p>
        </w:tc>
        <w:tc>
          <w:tcPr/>
          <w:p>
            <w:pPr>
              <w:pStyle w:val="Compact"/>
              <w:jc w:val="left"/>
            </w:pPr>
            <w:r>
              <w:t xml:space="preserve">GH peak 59.2 vs. 4.1 µg/L; cutoff 15 µg/L</w:t>
            </w:r>
          </w:p>
        </w:tc>
      </w:tr>
      <w:tr>
        <w:tc>
          <w:tcPr/>
          <w:p>
            <w:pPr>
              <w:pStyle w:val="Compact"/>
              <w:jc w:val="left"/>
            </w:pPr>
            <w:r>
              <w:t xml:space="preserve">Diagnosis (Petersenn 2002), PMID 11980622</w:t>
            </w:r>
          </w:p>
        </w:tc>
        <w:tc>
          <w:tcPr/>
          <w:p>
            <w:pPr>
              <w:pStyle w:val="Compact"/>
              <w:jc w:val="left"/>
            </w:pPr>
            <w:r>
              <w:t xml:space="preserve">20 people, comparison with insulin test</w:t>
            </w:r>
          </w:p>
        </w:tc>
        <w:tc>
          <w:tcPr/>
          <w:p>
            <w:pPr>
              <w:pStyle w:val="Compact"/>
              <w:jc w:val="left"/>
            </w:pPr>
            <w:r>
              <w:t xml:space="preserve">single tests</w:t>
            </w:r>
          </w:p>
        </w:tc>
        <w:tc>
          <w:tcPr/>
          <w:p>
            <w:pPr>
              <w:pStyle w:val="Compact"/>
              <w:jc w:val="left"/>
            </w:pPr>
            <w:r>
              <w:t xml:space="preserve">all cases of GH deficiency detected</w:t>
            </w:r>
          </w:p>
        </w:tc>
      </w:tr>
      <w:tr>
        <w:tc>
          <w:tcPr/>
          <w:p>
            <w:pPr>
              <w:pStyle w:val="Compact"/>
              <w:jc w:val="left"/>
            </w:pPr>
            <w:r>
              <w:t xml:space="preserve">Adrenal test (Alaioubi 2010), PMID 19946832</w:t>
            </w:r>
          </w:p>
        </w:tc>
        <w:tc>
          <w:tcPr/>
          <w:p>
            <w:pPr>
              <w:pStyle w:val="Compact"/>
              <w:jc w:val="left"/>
            </w:pPr>
            <w:r>
              <w:t xml:space="preserve">49 patients, 20 healthy people</w:t>
            </w:r>
          </w:p>
        </w:tc>
        <w:tc>
          <w:tcPr/>
          <w:p>
            <w:pPr>
              <w:pStyle w:val="Compact"/>
              <w:jc w:val="left"/>
            </w:pPr>
            <w:r>
              <w:t xml:space="preserve">single test</w:t>
            </w:r>
          </w:p>
        </w:tc>
        <w:tc>
          <w:tcPr/>
          <w:p>
            <w:pPr>
              <w:pStyle w:val="Compact"/>
              <w:jc w:val="left"/>
            </w:pPr>
            <w:r>
              <w:t xml:space="preserve">sensitivity 71.0%, specificity 77.8%</w:t>
            </w:r>
          </w:p>
        </w:tc>
      </w:tr>
      <w:tr>
        <w:tc>
          <w:tcPr/>
          <w:p>
            <w:pPr>
              <w:pStyle w:val="Compact"/>
              <w:jc w:val="left"/>
            </w:pPr>
            <w:r>
              <w:t xml:space="preserve">Pharmacokinetics (Cabrales 2013), PMID 23099431</w:t>
            </w:r>
          </w:p>
        </w:tc>
        <w:tc>
          <w:tcPr/>
          <w:p>
            <w:pPr>
              <w:pStyle w:val="Compact"/>
              <w:jc w:val="left"/>
            </w:pPr>
            <w:r>
              <w:t xml:space="preserve">9 healthy men, phase 1</w:t>
            </w:r>
          </w:p>
        </w:tc>
        <w:tc>
          <w:tcPr/>
          <w:p>
            <w:pPr>
              <w:pStyle w:val="Compact"/>
              <w:jc w:val="left"/>
            </w:pPr>
            <w:r>
              <w:t xml:space="preserve">single doses</w:t>
            </w:r>
          </w:p>
        </w:tc>
        <w:tc>
          <w:tcPr/>
          <w:p>
            <w:pPr>
              <w:pStyle w:val="Compact"/>
              <w:jc w:val="left"/>
            </w:pPr>
            <w:r>
              <w:t xml:space="preserve">half-life 2.5 h</w:t>
            </w:r>
          </w:p>
        </w:tc>
      </w:tr>
      <w:tr>
        <w:tc>
          <w:tcPr/>
          <w:p>
            <w:pPr>
              <w:pStyle w:val="Compact"/>
              <w:jc w:val="left"/>
            </w:pPr>
            <w:r>
              <w:t xml:space="preserve">Sleep (Frieboes 1995), PMID 7617137</w:t>
            </w:r>
          </w:p>
        </w:tc>
        <w:tc>
          <w:tcPr/>
          <w:p>
            <w:pPr>
              <w:pStyle w:val="Compact"/>
              <w:jc w:val="left"/>
            </w:pPr>
            <w:r>
              <w:t xml:space="preserve">healthy men, comparison with placebo</w:t>
            </w:r>
          </w:p>
        </w:tc>
        <w:tc>
          <w:tcPr/>
          <w:p>
            <w:pPr>
              <w:pStyle w:val="Compact"/>
              <w:jc w:val="left"/>
            </w:pPr>
            <w:r>
              <w:t xml:space="preserve">1 night</w:t>
            </w:r>
          </w:p>
        </w:tc>
        <w:tc>
          <w:tcPr/>
          <w:p>
            <w:pPr>
              <w:pStyle w:val="Compact"/>
              <w:jc w:val="left"/>
            </w:pPr>
            <w:r>
              <w:t xml:space="preserve">GH, ACTH, cortisol ↑; deep sleep unchanged</w:t>
            </w:r>
          </w:p>
        </w:tc>
      </w:tr>
    </w:tbl>
    <w:bookmarkEnd w:id="1410"/>
    <w:bookmarkEnd w:id="1411"/>
    <w:bookmarkStart w:id="1415" w:name="animal-and-laboratory-studies-28"/>
    <w:p>
      <w:pPr>
        <w:pStyle w:val="Heading3"/>
      </w:pPr>
      <w:r>
        <w:t xml:space="preserve">Animal and laboratory studies</w:t>
      </w:r>
    </w:p>
    <w:p>
      <w:pPr>
        <w:pStyle w:val="FirstParagraph"/>
      </w:pPr>
      <w:r>
        <w:t xml:space="preserve">A large part of more recent research concerns the protection of organs:</w:t>
      </w:r>
    </w:p>
    <w:p>
      <w:pPr>
        <w:numPr>
          <w:ilvl w:val="0"/>
          <w:numId w:val="1165"/>
        </w:numPr>
        <w:pStyle w:val="Compact"/>
      </w:pPr>
      <w:r>
        <w:rPr>
          <w:bCs/>
          <w:b/>
        </w:rPr>
        <w:t xml:space="preserve">Heart (rats):</w:t>
      </w:r>
      <w:r>
        <w:t xml:space="preserve"> </w:t>
      </w:r>
      <w:r>
        <w:t xml:space="preserve">In rats receiving the cardiotoxic cancer drug doxorubicin, simultaneous administration of GHRP-6 prevented dilation of the heart chambers and preserved pumping function</w:t>
      </w:r>
      <w:r>
        <w:rPr>
          <w:rStyle w:val="FootnoteReference"/>
        </w:rPr>
        <w:footnoteReference w:id="1412"/>
      </w:r>
      <w:r>
        <w:t xml:space="preserve">.</w:t>
      </w:r>
    </w:p>
    <w:p>
      <w:pPr>
        <w:numPr>
          <w:ilvl w:val="0"/>
          <w:numId w:val="1165"/>
        </w:numPr>
        <w:pStyle w:val="Compact"/>
      </w:pPr>
      <w:r>
        <w:rPr>
          <w:bCs/>
          <w:b/>
        </w:rPr>
        <w:t xml:space="preserve">Multiple organ failure (rats, cell cultures):</w:t>
      </w:r>
      <w:r>
        <w:t xml:space="preserve"> </w:t>
      </w:r>
      <w:r>
        <w:t xml:space="preserve">After temporary interruption of blood flow to the liver, GHRP-6 reduced liver and intestinal damage; in cell cultures it accelerated the migration of intestinal cells</w:t>
      </w:r>
      <w:r>
        <w:rPr>
          <w:rStyle w:val="FootnoteReference"/>
        </w:rPr>
        <w:footnoteReference w:id="1413"/>
      </w:r>
      <w:r>
        <w:t xml:space="preserve">.</w:t>
      </w:r>
    </w:p>
    <w:p>
      <w:pPr>
        <w:numPr>
          <w:ilvl w:val="0"/>
          <w:numId w:val="1165"/>
        </w:numPr>
        <w:pStyle w:val="Compact"/>
      </w:pPr>
      <w:r>
        <w:rPr>
          <w:bCs/>
          <w:b/>
        </w:rPr>
        <w:t xml:space="preserve">Nervous system (rats, mice):</w:t>
      </w:r>
      <w:r>
        <w:t xml:space="preserve"> </w:t>
      </w:r>
      <w:r>
        <w:t xml:space="preserve">In an animal model of multiple sclerosis, only the combination of GHRP-6 with the growth factor EGF improved the course of the disease, not GHRP-6 alone</w:t>
      </w:r>
      <w:r>
        <w:rPr>
          <w:rStyle w:val="FootnoteReference"/>
        </w:rPr>
        <w:footnoteReference w:id="1414"/>
      </w:r>
      <w:r>
        <w:t xml:space="preserve">.</w:t>
      </w:r>
    </w:p>
    <w:p>
      <w:pPr>
        <w:pStyle w:val="FirstParagraph"/>
      </w:pPr>
      <w:r>
        <w:t xml:space="preserve">None of these approaches has so far led to a published controlled trial in humans.</w:t>
      </w:r>
    </w:p>
    <w:bookmarkEnd w:id="1415"/>
    <w:bookmarkStart w:id="1420" w:name="risks-and-side-effects-28"/>
    <w:p>
      <w:pPr>
        <w:pStyle w:val="Heading3"/>
      </w:pPr>
      <w:r>
        <w:t xml:space="preserve">Risks and side effects</w:t>
      </w:r>
    </w:p>
    <w:p>
      <w:pPr>
        <w:pStyle w:val="FirstParagraph"/>
      </w:pPr>
      <w:r>
        <w:rPr>
          <w:bCs/>
          <w:b/>
        </w:rPr>
        <w:t xml:space="preserve">Established from the short-term studies:</w:t>
      </w:r>
      <w:r>
        <w:t xml:space="preserve"> </w:t>
      </w:r>
      <w:r>
        <w:t xml:space="preserve">flushing</w:t>
      </w:r>
      <w:r>
        <w:rPr>
          <w:rStyle w:val="FootnoteReference"/>
        </w:rPr>
        <w:footnoteReference w:id="1416"/>
      </w:r>
      <w:r>
        <w:t xml:space="preserve">; rise in ACTH, cortisol and prolactin</w:t>
      </w:r>
      <w:r>
        <w:rPr>
          <w:rStyle w:val="FootnoteReference"/>
        </w:rPr>
        <w:footnoteReference w:id="1417"/>
      </w:r>
      <w:r>
        <w:t xml:space="preserve">; hunger as a known ghrelin effect. Otherwise, no relevant side effects occurred in the single-dose diagnostic studies.</w:t>
      </w:r>
    </w:p>
    <w:p>
      <w:pPr>
        <w:pStyle w:val="BodyText"/>
      </w:pPr>
      <w:r>
        <w:rPr>
          <w:bCs/>
          <w:b/>
        </w:rPr>
        <w:t xml:space="preserve">Unknown:</w:t>
      </w:r>
      <w:r>
        <w:t xml:space="preserve"> </w:t>
      </w:r>
      <w:r>
        <w:t xml:space="preserve">There are no human studies on repeated use over weeks or months. With continuous use, the known consequences of elevated growth hormone levels and repeated cortisol stimulation are conceivable, such as impaired blood glucose regulation. A case report describes a bodybuilder who used growth hormone and releasers – including a combination of sermorelin and GHRP-6 – for decades and developed a large bone spur on the cervical spine; a causal relationship has not been proven</w:t>
      </w:r>
      <w:r>
        <w:rPr>
          <w:rStyle w:val="FootnoteReference"/>
        </w:rPr>
        <w:footnoteReference w:id="1418"/>
      </w:r>
      <w:r>
        <w:t xml:space="preserve">. On the cancer question, see the introduction to this group and Part IV.</w:t>
      </w:r>
    </w:p>
    <w:p>
      <w:pPr>
        <w:pStyle w:val="BodyText"/>
      </w:pPr>
      <w:r>
        <w:rPr>
          <w:bCs/>
          <w:b/>
        </w:rPr>
        <w:t xml:space="preserve">Gray market:</w:t>
      </w:r>
      <w:r>
        <w:t xml:space="preserve"> </w:t>
      </w:r>
      <w:r>
        <w:t xml:space="preserve">“</w:t>
      </w:r>
      <w:r>
        <w:t xml:space="preserve">Gly-GHRP-6,</w:t>
      </w:r>
      <w:r>
        <w:t xml:space="preserve">”</w:t>
      </w:r>
      <w:r>
        <w:t xml:space="preserve"> </w:t>
      </w:r>
      <w:r>
        <w:t xml:space="preserve">an undeclared modification with an additional amino acid, has been detected in seized products</w:t>
      </w:r>
      <w:r>
        <w:rPr>
          <w:rStyle w:val="FootnoteReference"/>
        </w:rPr>
        <w:footnoteReference w:id="1419"/>
      </w:r>
      <w:r>
        <w:t xml:space="preserve">.</w:t>
      </w:r>
    </w:p>
    <w:bookmarkEnd w:id="1420"/>
    <w:bookmarkStart w:id="1422" w:name="legal-status-28"/>
    <w:p>
      <w:pPr>
        <w:pStyle w:val="Heading3"/>
      </w:pPr>
      <w:r>
        <w:t xml:space="preserve">Legal status</w:t>
      </w:r>
    </w:p>
    <w:p>
      <w:pPr>
        <w:pStyle w:val="FirstParagraph"/>
      </w:pPr>
      <w:r>
        <w:rPr>
          <w:iCs/>
          <w:i/>
        </w:rPr>
        <w:t xml:space="preserve">As of 2026, please check for updates.</w:t>
      </w:r>
    </w:p>
    <w:p>
      <w:pPr>
        <w:numPr>
          <w:ilvl w:val="0"/>
          <w:numId w:val="1166"/>
        </w:numPr>
        <w:pStyle w:val="Compact"/>
      </w:pPr>
      <w:r>
        <w:rPr>
          <w:bCs/>
          <w:b/>
        </w:rPr>
        <w:t xml:space="preserve">EU, Germany, Austria, USA:</w:t>
      </w:r>
      <w:r>
        <w:t xml:space="preserve"> </w:t>
      </w:r>
      <w:r>
        <w:t xml:space="preserve">no approval as a medicine; supplying it for use in humans is prohibited. In research, GHRP-6 is used within approved studies.</w:t>
      </w:r>
    </w:p>
    <w:p>
      <w:pPr>
        <w:numPr>
          <w:ilvl w:val="0"/>
          <w:numId w:val="1166"/>
        </w:numPr>
        <w:pStyle w:val="Compact"/>
      </w:pPr>
      <w:r>
        <w:rPr>
          <w:bCs/>
          <w:b/>
        </w:rPr>
        <w:t xml:space="preserve">WADA:</w:t>
      </w:r>
      <w:r>
        <w:t xml:space="preserve"> </w:t>
      </w:r>
      <w:r>
        <w:t xml:space="preserve">prohibited (S2). GHRP-6 is largely excreted unchanged in urine and, after administration as a nasal spray to a volunteer, was detectable for 23 hours</w:t>
      </w:r>
      <w:r>
        <w:rPr>
          <w:rStyle w:val="FootnoteReference"/>
        </w:rPr>
        <w:footnoteReference w:id="1421"/>
      </w:r>
      <w:r>
        <w:t xml:space="preserve">.</w:t>
      </w:r>
    </w:p>
    <w:bookmarkEnd w:id="1422"/>
    <w:bookmarkStart w:id="1423" w:name="ongoing-studies-and-outlook-28"/>
    <w:p>
      <w:pPr>
        <w:pStyle w:val="Heading3"/>
      </w:pPr>
      <w:r>
        <w:t xml:space="preserve">Ongoing studies and outlook</w:t>
      </w:r>
    </w:p>
    <w:p>
      <w:pPr>
        <w:pStyle w:val="FirstParagraph"/>
      </w:pPr>
      <w:r>
        <w:t xml:space="preserve">As of October 2026, no study with GHRP-6 is registered on ClinicalTrials.gov.</w:t>
      </w:r>
      <w:r>
        <w:t xml:space="preserve"> </w:t>
      </w:r>
      <w:r>
        <w:rPr>
          <w:iCs/>
          <w:i/>
        </w:rPr>
        <w:t xml:space="preserve">Author’s assessment:</w:t>
      </w:r>
      <w:r>
        <w:t xml:space="preserve"> </w:t>
      </w:r>
      <w:r>
        <w:t xml:space="preserve">The animal work on organ protection is the only recognizable line of development; whether it will lead to human studies is open. For diagnostics, GHRP-6 has largely been replaced by other tests.</w:t>
      </w:r>
    </w:p>
    <w:bookmarkEnd w:id="1423"/>
    <w:bookmarkStart w:id="1424" w:name="conclusion-28"/>
    <w:p>
      <w:pPr>
        <w:pStyle w:val="Heading3"/>
      </w:pPr>
      <w:r>
        <w:t xml:space="preserve">Conclusion</w:t>
      </w:r>
    </w:p>
    <w:p>
      <w:pPr>
        <w:pStyle w:val="FirstParagraph"/>
      </w:pPr>
      <w:r>
        <w:t xml:space="preserve">GHRP-6 was the first artificial peptide to selectively release growth hormone and contributed decisively to the discovery of the ghrelin system. In humans, it has been studied almost exclusively as a single-dose test substance, including in a large Lancet study on the diagnosis of growth hormone deficiency. There is no proven therapeutic benefit, and data on repeated use, as promoted on the gray market, are completely lacking.</w:t>
      </w:r>
    </w:p>
    <w:bookmarkEnd w:id="1424"/>
    <w:bookmarkEnd w:id="1425"/>
    <w:bookmarkStart w:id="1458" w:name="hexarelin"/>
    <w:p>
      <w:pPr>
        <w:pStyle w:val="Heading2"/>
      </w:pPr>
      <w:r>
        <w:t xml:space="preserve">Hexarelin</w:t>
      </w:r>
    </w:p>
    <w:p>
      <w:pPr>
        <w:pStyle w:val="FirstParagraph"/>
      </w:pPr>
      <w:r>
        <w:t xml:space="preserve">Hexarelin is a close relative of GHRP-6 – and one of the most potent artificial growth hormone releasers of all. In the 1990s it was studied intensively in humans, especially in Italy. In the process, something unexpected emerged: hexarelin appears to act directly on the heart, independently of growth hormone. Even so, no approval followed. One reason lay in a typical weakness of this class of substances: with continuous use, the effect wears off.</w:t>
      </w:r>
    </w:p>
    <w:bookmarkStart w:id="1428" w:name="profile-29"/>
    <w:p>
      <w:pPr>
        <w:pStyle w:val="Heading3"/>
      </w:pPr>
      <w:r>
        <w:t xml:space="preserve">Profile</w:t>
      </w:r>
    </w:p>
    <w:p>
      <w:pPr>
        <w:numPr>
          <w:ilvl w:val="0"/>
          <w:numId w:val="1167"/>
        </w:numPr>
        <w:pStyle w:val="Compact"/>
      </w:pPr>
      <w:r>
        <w:rPr>
          <w:bCs/>
          <w:b/>
        </w:rPr>
        <w:t xml:space="preserve">Type and structure:</w:t>
      </w:r>
      <w:r>
        <w:t xml:space="preserve"> </w:t>
      </w:r>
      <w:r>
        <w:t xml:space="preserve">synthetic hexapeptide His-D-2-methyl-Trp-Ala-Trp-D-Phe-Lys-NH2; it differs from GHRP-6 by an additional methyl group on the second building block</w:t>
      </w:r>
      <w:r>
        <w:rPr>
          <w:rStyle w:val="FootnoteReference"/>
        </w:rPr>
        <w:footnoteReference w:id="1426"/>
      </w:r>
      <w:r>
        <w:t xml:space="preserve">.</w:t>
      </w:r>
    </w:p>
    <w:p>
      <w:pPr>
        <w:numPr>
          <w:ilvl w:val="0"/>
          <w:numId w:val="1167"/>
        </w:numPr>
        <w:pStyle w:val="Compact"/>
      </w:pPr>
      <w:r>
        <w:rPr>
          <w:bCs/>
          <w:b/>
        </w:rPr>
        <w:t xml:space="preserve">Origin:</w:t>
      </w:r>
      <w:r>
        <w:t xml:space="preserve"> </w:t>
      </w:r>
      <w:r>
        <w:t xml:space="preserve">developed in the early 1990s as a modification of GHRP-6; a large part of the clinical research comes from Italian university centers.</w:t>
      </w:r>
    </w:p>
    <w:p>
      <w:pPr>
        <w:numPr>
          <w:ilvl w:val="0"/>
          <w:numId w:val="1167"/>
        </w:numPr>
        <w:pStyle w:val="Compact"/>
      </w:pPr>
      <w:r>
        <w:rPr>
          <w:bCs/>
          <w:b/>
        </w:rPr>
        <w:t xml:space="preserve">Mechanism of action:</w:t>
      </w:r>
      <w:r>
        <w:t xml:space="preserve"> </w:t>
      </w:r>
      <w:r>
        <w:t xml:space="preserve">agonist at the ghrelin receptor (GHS-R1a); releases growth hormone, ACTH, cortisol and prolactin. In addition, hexarelin binds to the receptor CD36 in heart tissue, through which GH-independent cardiac effects are suspected</w:t>
      </w:r>
      <w:r>
        <w:rPr>
          <w:rStyle w:val="FootnoteReference"/>
        </w:rPr>
        <w:footnoteReference w:id="1427"/>
      </w:r>
      <w:r>
        <w:t xml:space="preserve">.</w:t>
      </w:r>
    </w:p>
    <w:p>
      <w:pPr>
        <w:numPr>
          <w:ilvl w:val="0"/>
          <w:numId w:val="1167"/>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67"/>
        </w:numPr>
        <w:pStyle w:val="Compact"/>
      </w:pPr>
      <w:r>
        <w:rPr>
          <w:bCs/>
          <w:b/>
        </w:rPr>
        <w:t xml:space="preserve">WADA:</w:t>
      </w:r>
      <w:r>
        <w:t xml:space="preserve"> </w:t>
      </w:r>
      <w:r>
        <w:t xml:space="preserve">prohibited, class S2 – hexarelin is explicitly named as a growth hormone–releasing peptide.</w:t>
      </w:r>
    </w:p>
    <w:p>
      <w:pPr>
        <w:numPr>
          <w:ilvl w:val="0"/>
          <w:numId w:val="1167"/>
        </w:numPr>
        <w:pStyle w:val="Compact"/>
      </w:pPr>
      <w:r>
        <w:rPr>
          <w:bCs/>
          <w:b/>
        </w:rPr>
        <w:t xml:space="preserve">Evidence level: C</w:t>
      </w:r>
      <w:r>
        <w:t xml:space="preserve"> </w:t>
      </w:r>
      <w:r>
        <w:t xml:space="preserve">– numerous small studies, many of them randomized, but almost exclusively with single doses and hormonal or circulatory measures; no study of a clinical endpoint.</w:t>
      </w:r>
    </w:p>
    <w:bookmarkEnd w:id="1428"/>
    <w:bookmarkStart w:id="1430" w:name="how-it-is-supposed-to-work-29"/>
    <w:p>
      <w:pPr>
        <w:pStyle w:val="Heading3"/>
      </w:pPr>
      <w:r>
        <w:t xml:space="preserve">How it is supposed to work</w:t>
      </w:r>
    </w:p>
    <w:p>
      <w:pPr>
        <w:pStyle w:val="FirstParagraph"/>
      </w:pPr>
      <w:r>
        <w:t xml:space="preserve">Like GHRP-6 and GHRP-2, hexarelin mimics the stomach hormone ghrelin and thereby triggers growth hormone secretion. Its effect depends on an intact connection between the hypothalamus and the pituitary gland: in children and adults in whom this connection was anatomically interrupted, the GH response was absent or greatly weakened, whereas in idiopathic deficiency it was strong</w:t>
      </w:r>
      <w:r>
        <w:rPr>
          <w:rStyle w:val="FootnoteReference"/>
        </w:rPr>
        <w:footnoteReference w:id="1429"/>
      </w:r>
      <w:r>
        <w:t xml:space="preserve">.</w:t>
      </w:r>
    </w:p>
    <w:p>
      <w:pPr>
        <w:pStyle w:val="BodyText"/>
      </w:pPr>
      <w:r>
        <w:t xml:space="preserve">The second, independent idea concerns the heart. Ghrelin receptors and the scavenger molecule CD36 are also present in heart muscle. Hexarelin could therefore directly increase the pumping force of the heart – a possible approach in heart failure, independent of growth hormone.</w:t>
      </w:r>
    </w:p>
    <w:bookmarkEnd w:id="1430"/>
    <w:bookmarkStart w:id="1444" w:name="human-studies-29"/>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58</w:t>
      </w:r>
      <w:r>
        <w:t xml:space="preserve"> </w:t>
      </w:r>
      <w:r>
        <w:t xml:space="preserve">human studies in PubMed (</w:t>
      </w:r>
      <w:r>
        <w:rPr>
          <w:rStyle w:val="VerbatimChar"/>
        </w:rPr>
        <w:t xml:space="preserve">humanstudien_alle</w:t>
      </w:r>
      <w:r>
        <w:t xml:space="preserve">) and</w:t>
      </w:r>
      <w:r>
        <w:t xml:space="preserve"> </w:t>
      </w:r>
      <w:r>
        <w:rPr>
          <w:bCs/>
          <w:b/>
        </w:rPr>
        <w:t xml:space="preserve">no</w:t>
      </w:r>
      <w:r>
        <w:t xml:space="preserve"> </w:t>
      </w:r>
      <w:r>
        <w:t xml:space="preserve">entry on ClinicalTrials.gov. Most studies date from 1994 to 2004 and use single doses to examine how the hormone response depends on age, sex, nutrition, medications or diseases. Some entries on the list deal mainly with ghrelin or GHRP-6 and use hexarelin only as a comparator.</w:t>
      </w:r>
    </w:p>
    <w:bookmarkStart w:id="1434" w:name="hormonal-effect-and-dose"/>
    <w:p>
      <w:pPr>
        <w:pStyle w:val="Heading4"/>
      </w:pPr>
      <w:r>
        <w:t xml:space="preserve">Hormonal effect and dose</w:t>
      </w:r>
    </w:p>
    <w:p>
      <w:pPr>
        <w:pStyle w:val="FirstParagraph"/>
      </w:pPr>
      <w:r>
        <w:t xml:space="preserve">In a double-blind, placebo-controlled study with twelve healthy men, growth hormone rose dose-dependently after intravenous administration, peaking after about 30 minutes and returning to baseline within four hours</w:t>
      </w:r>
      <w:r>
        <w:rPr>
          <w:rStyle w:val="FootnoteReference"/>
        </w:rPr>
        <w:footnoteReference w:id="1431"/>
      </w:r>
      <w:r>
        <w:t xml:space="preserve">. Hexarelin also released prolactin and cortisol dose-dependently; combined with GHRH, a low dose of hexarelin was sufficient for a massive GH release without a rise in cortisol</w:t>
      </w:r>
      <w:r>
        <w:rPr>
          <w:rStyle w:val="FootnoteReference"/>
        </w:rPr>
        <w:footnoteReference w:id="1432"/>
      </w:r>
      <w:r>
        <w:t xml:space="preserve">. Activation of the stress hormone axis apparently runs via the hypothalamus; in a study with 15 young men, hexarelin also briefly increased appetite</w:t>
      </w:r>
      <w:r>
        <w:rPr>
          <w:rStyle w:val="FootnoteReference"/>
        </w:rPr>
        <w:footnoteReference w:id="1433"/>
      </w:r>
      <w:r>
        <w:t xml:space="preserve">.</w:t>
      </w:r>
    </w:p>
    <w:bookmarkEnd w:id="1434"/>
    <w:bookmarkStart w:id="1439" w:name="Xad86302ca3ba416775458fd8341a79a85492517"/>
    <w:p>
      <w:pPr>
        <w:pStyle w:val="Heading4"/>
      </w:pPr>
      <w:r>
        <w:t xml:space="preserve">Long-term administration: the effect wears off</w:t>
      </w:r>
    </w:p>
    <w:p>
      <w:pPr>
        <w:pStyle w:val="FirstParagraph"/>
      </w:pPr>
      <w:r>
        <w:t xml:space="preserve">What matters for a therapy is whether the effect persists with repeated administration. In adults who injected hexarelin subcutaneously twice daily for 16 weeks, the GH response declined markedly and recovered only four weeks after stopping. IGF-1, body fat, muscle mass and bone density did not change significantly</w:t>
      </w:r>
      <w:r>
        <w:rPr>
          <w:rStyle w:val="FootnoteReference"/>
        </w:rPr>
        <w:footnoteReference w:id="1435"/>
      </w:r>
      <w:r>
        <w:t xml:space="preserve">. The cortisol response also weakened temporarily in the same study</w:t>
      </w:r>
      <w:r>
        <w:rPr>
          <w:rStyle w:val="FootnoteReference"/>
        </w:rPr>
        <w:footnoteReference w:id="1436"/>
      </w:r>
      <w:r>
        <w:t xml:space="preserve">.</w:t>
      </w:r>
    </w:p>
    <w:p>
      <w:pPr>
        <w:pStyle w:val="BodyText"/>
      </w:pPr>
      <w:r>
        <w:t xml:space="preserve">In children of short stature, the picture was somewhat more favorable: with a nasal spray, growth velocity in eight children rose from 5.3 to 8.3 cm per year, and IGF-1 increased</w:t>
      </w:r>
      <w:r>
        <w:rPr>
          <w:rStyle w:val="FootnoteReference"/>
        </w:rPr>
        <w:footnoteReference w:id="1437"/>
      </w:r>
      <w:r>
        <w:t xml:space="preserve">. A follow-up study with seven children showed that the GH response of the pituitary gland was already roughly halved after seven days, yet the faster growth nevertheless continued</w:t>
      </w:r>
      <w:r>
        <w:rPr>
          <w:rStyle w:val="FootnoteReference"/>
        </w:rPr>
        <w:footnoteReference w:id="1438"/>
      </w:r>
      <w:r>
        <w:t xml:space="preserve">.</w:t>
      </w:r>
    </w:p>
    <w:bookmarkEnd w:id="1439"/>
    <w:bookmarkStart w:id="1443" w:name="cardiac-effects"/>
    <w:p>
      <w:pPr>
        <w:pStyle w:val="Heading4"/>
      </w:pPr>
      <w:r>
        <w:t xml:space="preserve">Cardiac effects</w:t>
      </w:r>
    </w:p>
    <w:p>
      <w:pPr>
        <w:pStyle w:val="FirstParagraph"/>
      </w:pPr>
      <w:r>
        <w:t xml:space="preserve">Several small studies by an Italian research group examined the heart:</w:t>
      </w:r>
    </w:p>
    <w:p>
      <w:pPr>
        <w:numPr>
          <w:ilvl w:val="0"/>
          <w:numId w:val="1168"/>
        </w:numPr>
        <w:pStyle w:val="Compact"/>
      </w:pPr>
      <w:r>
        <w:t xml:space="preserve">In seven men with growth hormone deficiency and nine healthy controls, the left ventricular ejection fraction (the proportion of blood the left ventricle ejects per beat) rose after a single dose of hexarelin in both groups, even though those affected released hardly any growth hormone. The authors conclude that there is a GH-independent effect</w:t>
      </w:r>
      <w:r>
        <w:rPr>
          <w:rStyle w:val="FootnoteReference"/>
        </w:rPr>
        <w:footnoteReference w:id="1440"/>
      </w:r>
      <w:r>
        <w:t xml:space="preserve">.</w:t>
      </w:r>
    </w:p>
    <w:p>
      <w:pPr>
        <w:numPr>
          <w:ilvl w:val="0"/>
          <w:numId w:val="1168"/>
        </w:numPr>
        <w:pStyle w:val="Compact"/>
      </w:pPr>
      <w:r>
        <w:t xml:space="preserve">In patients with severe dilated heart muscle disease (dilated cardiomyopathy), however, this effect was absent</w:t>
      </w:r>
      <w:r>
        <w:rPr>
          <w:rStyle w:val="FootnoteReference"/>
        </w:rPr>
        <w:footnoteReference w:id="1441"/>
      </w:r>
      <w:r>
        <w:t xml:space="preserve">.</w:t>
      </w:r>
    </w:p>
    <w:p>
      <w:pPr>
        <w:numPr>
          <w:ilvl w:val="0"/>
          <w:numId w:val="1168"/>
        </w:numPr>
        <w:pStyle w:val="Compact"/>
      </w:pPr>
      <w:r>
        <w:t xml:space="preserve">In 24 men with coronary artery disease during bypass surgery, hexarelin increased ejection fraction and cardiac output for up to 90 minutes, whereas GHRH, growth hormone and placebo had no effect</w:t>
      </w:r>
      <w:r>
        <w:rPr>
          <w:rStyle w:val="FootnoteReference"/>
        </w:rPr>
        <w:footnoteReference w:id="144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Dose finding (Imbimbo 1994), PMID 7957536</w:t>
            </w:r>
          </w:p>
        </w:tc>
        <w:tc>
          <w:tcPr/>
          <w:p>
            <w:pPr>
              <w:pStyle w:val="Compact"/>
              <w:jc w:val="left"/>
            </w:pPr>
            <w:r>
              <w:t xml:space="preserve">12 healthy men, double-blind, placebo, ascending doses</w:t>
            </w:r>
          </w:p>
        </w:tc>
        <w:tc>
          <w:tcPr/>
          <w:p>
            <w:pPr>
              <w:pStyle w:val="Compact"/>
              <w:jc w:val="left"/>
            </w:pPr>
            <w:r>
              <w:t xml:space="preserve">single doses</w:t>
            </w:r>
          </w:p>
        </w:tc>
        <w:tc>
          <w:tcPr/>
          <w:p>
            <w:pPr>
              <w:pStyle w:val="Compact"/>
              <w:jc w:val="left"/>
            </w:pPr>
            <w:r>
              <w:t xml:space="preserve">GH peak after approx. 30 min, dose-dependent</w:t>
            </w:r>
          </w:p>
        </w:tc>
      </w:tr>
      <w:tr>
        <w:tc>
          <w:tcPr/>
          <w:p>
            <w:pPr>
              <w:pStyle w:val="Compact"/>
              <w:jc w:val="left"/>
            </w:pPr>
            <w:r>
              <w:t xml:space="preserve">Long-term administration (Rahim 1998), PMID 9589671</w:t>
            </w:r>
          </w:p>
        </w:tc>
        <w:tc>
          <w:tcPr/>
          <w:p>
            <w:pPr>
              <w:pStyle w:val="Compact"/>
              <w:jc w:val="left"/>
            </w:pPr>
            <w:r>
              <w:t xml:space="preserve">adults, no control group</w:t>
            </w:r>
          </w:p>
        </w:tc>
        <w:tc>
          <w:tcPr/>
          <w:p>
            <w:pPr>
              <w:pStyle w:val="Compact"/>
              <w:jc w:val="left"/>
            </w:pPr>
            <w:r>
              <w:t xml:space="preserve">16 weeks</w:t>
            </w:r>
          </w:p>
        </w:tc>
        <w:tc>
          <w:tcPr/>
          <w:p>
            <w:pPr>
              <w:pStyle w:val="Compact"/>
              <w:jc w:val="left"/>
            </w:pPr>
            <w:r>
              <w:t xml:space="preserve">GH response weakened; IGF-1 and body composition unchanged</w:t>
            </w:r>
          </w:p>
        </w:tc>
      </w:tr>
      <w:tr>
        <w:tc>
          <w:tcPr/>
          <w:p>
            <w:pPr>
              <w:pStyle w:val="Compact"/>
              <w:jc w:val="left"/>
            </w:pPr>
            <w:r>
              <w:t xml:space="preserve">Children, nasal spray (Laron 1995), PMID 8548949</w:t>
            </w:r>
          </w:p>
        </w:tc>
        <w:tc>
          <w:tcPr/>
          <w:p>
            <w:pPr>
              <w:pStyle w:val="Compact"/>
              <w:jc w:val="left"/>
            </w:pPr>
            <w:r>
              <w:t xml:space="preserve">8 children of short stature, no control group</w:t>
            </w:r>
          </w:p>
        </w:tc>
        <w:tc>
          <w:tcPr/>
          <w:p>
            <w:pPr>
              <w:pStyle w:val="Compact"/>
              <w:jc w:val="left"/>
            </w:pPr>
            <w:r>
              <w:t xml:space="preserve">up to 8 months</w:t>
            </w:r>
          </w:p>
        </w:tc>
        <w:tc>
          <w:tcPr/>
          <w:p>
            <w:pPr>
              <w:pStyle w:val="Compact"/>
              <w:jc w:val="left"/>
            </w:pPr>
            <w:r>
              <w:t xml:space="preserve">growth 5.3 → 8.3 cm/year</w:t>
            </w:r>
          </w:p>
        </w:tc>
      </w:tr>
      <w:tr>
        <w:tc>
          <w:tcPr/>
          <w:p>
            <w:pPr>
              <w:pStyle w:val="Compact"/>
              <w:jc w:val="left"/>
            </w:pPr>
            <w:r>
              <w:t xml:space="preserve">Heart, GH deficiency (Bisi 1999), PMID 10528131</w:t>
            </w:r>
          </w:p>
        </w:tc>
        <w:tc>
          <w:tcPr/>
          <w:p>
            <w:pPr>
              <w:pStyle w:val="Compact"/>
              <w:jc w:val="left"/>
            </w:pPr>
            <w:r>
              <w:t xml:space="preserve">7 men with GH deficiency, 9 healthy people</w:t>
            </w:r>
          </w:p>
        </w:tc>
        <w:tc>
          <w:tcPr/>
          <w:p>
            <w:pPr>
              <w:pStyle w:val="Compact"/>
              <w:jc w:val="left"/>
            </w:pPr>
            <w:r>
              <w:t xml:space="preserve">single dose</w:t>
            </w:r>
          </w:p>
        </w:tc>
        <w:tc>
          <w:tcPr/>
          <w:p>
            <w:pPr>
              <w:pStyle w:val="Compact"/>
              <w:jc w:val="left"/>
            </w:pPr>
            <w:r>
              <w:t xml:space="preserve">ejection fraction 50 → 57% and 63 → 70%</w:t>
            </w:r>
          </w:p>
        </w:tc>
      </w:tr>
      <w:tr>
        <w:tc>
          <w:tcPr/>
          <w:p>
            <w:pPr>
              <w:pStyle w:val="Compact"/>
              <w:jc w:val="left"/>
            </w:pPr>
            <w:r>
              <w:t xml:space="preserve">Heart, bypass surgery (Broglio 2002), PMID 12144941</w:t>
            </w:r>
          </w:p>
        </w:tc>
        <w:tc>
          <w:tcPr/>
          <w:p>
            <w:pPr>
              <w:pStyle w:val="Compact"/>
              <w:jc w:val="left"/>
            </w:pPr>
            <w:r>
              <w:t xml:space="preserve">24 men with CAD, comparison with GHRH, GH, placebo</w:t>
            </w:r>
          </w:p>
        </w:tc>
        <w:tc>
          <w:tcPr/>
          <w:p>
            <w:pPr>
              <w:pStyle w:val="Compact"/>
              <w:jc w:val="left"/>
            </w:pPr>
            <w:r>
              <w:t xml:space="preserve">single dose</w:t>
            </w:r>
          </w:p>
        </w:tc>
        <w:tc>
          <w:tcPr/>
          <w:p>
            <w:pPr>
              <w:pStyle w:val="Compact"/>
              <w:jc w:val="left"/>
            </w:pPr>
            <w:r>
              <w:t xml:space="preserve">ejection fraction and cardiac output ↑</w:t>
            </w:r>
          </w:p>
        </w:tc>
      </w:tr>
    </w:tbl>
    <w:bookmarkEnd w:id="1443"/>
    <w:bookmarkEnd w:id="1444"/>
    <w:bookmarkStart w:id="1448" w:name="animal-and-laboratory-studies-29"/>
    <w:p>
      <w:pPr>
        <w:pStyle w:val="Heading3"/>
      </w:pPr>
      <w:r>
        <w:t xml:space="preserve">Animal and laboratory studies</w:t>
      </w:r>
    </w:p>
    <w:p>
      <w:pPr>
        <w:numPr>
          <w:ilvl w:val="0"/>
          <w:numId w:val="1169"/>
        </w:numPr>
        <w:pStyle w:val="Compact"/>
      </w:pPr>
      <w:r>
        <w:rPr>
          <w:bCs/>
          <w:b/>
        </w:rPr>
        <w:t xml:space="preserve">Heart attack (rats, mice):</w:t>
      </w:r>
      <w:r>
        <w:t xml:space="preserve"> </w:t>
      </w:r>
      <w:r>
        <w:t xml:space="preserve">In rats four weeks after an experimentally induced heart attack, hexarelin improved stroke volume and lowered vascular resistance over two weeks, similarly to growth hormone</w:t>
      </w:r>
      <w:r>
        <w:rPr>
          <w:rStyle w:val="FootnoteReference"/>
        </w:rPr>
        <w:footnoteReference w:id="1445"/>
      </w:r>
      <w:r>
        <w:t xml:space="preserve">. In mice after a heart attack, it preserved pumping function and reduced scarring of the heart muscle</w:t>
      </w:r>
      <w:r>
        <w:rPr>
          <w:rStyle w:val="FootnoteReference"/>
        </w:rPr>
        <w:footnoteReference w:id="1446"/>
      </w:r>
      <w:r>
        <w:t xml:space="preserve">.</w:t>
      </w:r>
    </w:p>
    <w:p>
      <w:pPr>
        <w:numPr>
          <w:ilvl w:val="0"/>
          <w:numId w:val="1169"/>
        </w:numPr>
        <w:pStyle w:val="Compact"/>
      </w:pPr>
      <w:r>
        <w:rPr>
          <w:bCs/>
          <w:b/>
        </w:rPr>
        <w:t xml:space="preserve">Mechanism:</w:t>
      </w:r>
      <w:r>
        <w:t xml:space="preserve"> </w:t>
      </w:r>
      <w:r>
        <w:t xml:space="preserve">A review describes CD36 as a specific cardiac receptor for hexarelin that is thought to mediate the protective effects</w:t>
      </w:r>
      <w:r>
        <w:rPr>
          <w:rStyle w:val="FootnoteReference"/>
        </w:rPr>
        <w:footnoteReference w:id="1447"/>
      </w:r>
      <w:r>
        <w:t xml:space="preserve">.</w:t>
      </w:r>
    </w:p>
    <w:bookmarkEnd w:id="1448"/>
    <w:bookmarkStart w:id="1453" w:name="risks-and-side-effects-29"/>
    <w:p>
      <w:pPr>
        <w:pStyle w:val="Heading3"/>
      </w:pPr>
      <w:r>
        <w:t xml:space="preserve">Risks and side effects</w:t>
      </w:r>
    </w:p>
    <w:p>
      <w:pPr>
        <w:pStyle w:val="FirstParagraph"/>
      </w:pPr>
      <w:r>
        <w:rPr>
          <w:bCs/>
          <w:b/>
        </w:rPr>
        <w:t xml:space="preserve">Established:</w:t>
      </w:r>
      <w:r>
        <w:t xml:space="preserve"> </w:t>
      </w:r>
      <w:r>
        <w:t xml:space="preserve">rise in cortisol, ACTH and prolactin</w:t>
      </w:r>
      <w:r>
        <w:rPr>
          <w:rStyle w:val="FootnoteReference"/>
        </w:rPr>
        <w:footnoteReference w:id="1449"/>
      </w:r>
      <w:r>
        <w:t xml:space="preserve">; briefly increased appetite</w:t>
      </w:r>
      <w:r>
        <w:rPr>
          <w:rStyle w:val="FootnoteReference"/>
        </w:rPr>
        <w:footnoteReference w:id="1450"/>
      </w:r>
      <w:r>
        <w:t xml:space="preserve">; waning effect with continuous administration</w:t>
      </w:r>
      <w:r>
        <w:rPr>
          <w:rStyle w:val="FootnoteReference"/>
        </w:rPr>
        <w:footnoteReference w:id="1451"/>
      </w:r>
      <w:r>
        <w:t xml:space="preserve">. No serious side effects were reported in the small studies; in children, the authors found no adverse effects</w:t>
      </w:r>
      <w:r>
        <w:rPr>
          <w:rStyle w:val="FootnoteReference"/>
        </w:rPr>
        <w:footnoteReference w:id="1452"/>
      </w:r>
      <w:r>
        <w:t xml:space="preserve">.</w:t>
      </w:r>
    </w:p>
    <w:p>
      <w:pPr>
        <w:pStyle w:val="BodyText"/>
      </w:pPr>
      <w:r>
        <w:rPr>
          <w:bCs/>
          <w:b/>
        </w:rPr>
        <w:t xml:space="preserve">Unknown:</w:t>
      </w:r>
      <w:r>
        <w:t xml:space="preserve"> </w:t>
      </w:r>
      <w:r>
        <w:t xml:space="preserve">Long-term safety data, especially regarding the heart, are lacking. The fact that a substance acutely increases pumping force says nothing about whether it helps or harms in the long term in heart failure – that could only be clarified in dedicated long-term studies with clinical endpoints, which do not exist. On the question of a cancer risk with persistently elevated growth hormone, see the introduction to this group and Part IV.</w:t>
      </w:r>
    </w:p>
    <w:bookmarkEnd w:id="1453"/>
    <w:bookmarkStart w:id="1455" w:name="legal-status-29"/>
    <w:p>
      <w:pPr>
        <w:pStyle w:val="Heading3"/>
      </w:pPr>
      <w:r>
        <w:t xml:space="preserve">Legal status</w:t>
      </w:r>
    </w:p>
    <w:p>
      <w:pPr>
        <w:pStyle w:val="FirstParagraph"/>
      </w:pPr>
      <w:r>
        <w:rPr>
          <w:iCs/>
          <w:i/>
        </w:rPr>
        <w:t xml:space="preserve">As of 2026, please check for updates.</w:t>
      </w:r>
    </w:p>
    <w:p>
      <w:pPr>
        <w:numPr>
          <w:ilvl w:val="0"/>
          <w:numId w:val="1170"/>
        </w:numPr>
        <w:pStyle w:val="Compact"/>
      </w:pPr>
      <w:r>
        <w:rPr>
          <w:bCs/>
          <w:b/>
        </w:rPr>
        <w:t xml:space="preserve">EU, Germany, Austria, USA:</w:t>
      </w:r>
      <w:r>
        <w:t xml:space="preserve"> </w:t>
      </w:r>
      <w:r>
        <w:t xml:space="preserve">no approval as a medicine; supplying it for use in humans is prohibited.</w:t>
      </w:r>
    </w:p>
    <w:p>
      <w:pPr>
        <w:numPr>
          <w:ilvl w:val="0"/>
          <w:numId w:val="1170"/>
        </w:numPr>
        <w:pStyle w:val="Compact"/>
      </w:pPr>
      <w:r>
        <w:rPr>
          <w:bCs/>
          <w:b/>
        </w:rPr>
        <w:t xml:space="preserve">WADA:</w:t>
      </w:r>
      <w:r>
        <w:t xml:space="preserve"> </w:t>
      </w:r>
      <w:r>
        <w:t xml:space="preserve">prohibited (S2). Hexarelin is extensively metabolized in the body; metabolites remain detectable in urine after the parent substance has disappeared</w:t>
      </w:r>
      <w:r>
        <w:rPr>
          <w:rStyle w:val="FootnoteReference"/>
        </w:rPr>
        <w:footnoteReference w:id="1454"/>
      </w:r>
      <w:r>
        <w:t xml:space="preserve">.</w:t>
      </w:r>
    </w:p>
    <w:bookmarkEnd w:id="1455"/>
    <w:bookmarkStart w:id="1456" w:name="ongoing-studies-and-outlook-29"/>
    <w:p>
      <w:pPr>
        <w:pStyle w:val="Heading3"/>
      </w:pPr>
      <w:r>
        <w:t xml:space="preserve">Ongoing studies and outlook</w:t>
      </w:r>
    </w:p>
    <w:p>
      <w:pPr>
        <w:pStyle w:val="FirstParagraph"/>
      </w:pPr>
      <w:r>
        <w:t xml:space="preserve">As of October 2026, no study with hexarelin is registered on ClinicalTrials.gov.</w:t>
      </w:r>
      <w:r>
        <w:t xml:space="preserve"> </w:t>
      </w:r>
      <w:r>
        <w:rPr>
          <w:iCs/>
          <w:i/>
        </w:rPr>
        <w:t xml:space="preserve">Author’s assessment:</w:t>
      </w:r>
      <w:r>
        <w:t xml:space="preserve"> </w:t>
      </w:r>
      <w:r>
        <w:t xml:space="preserve">Cardiac research continues, but only in animal models. Clinical development would require a company that holds the rights and funds trials – no such company is currently apparent.</w:t>
      </w:r>
    </w:p>
    <w:bookmarkEnd w:id="1456"/>
    <w:bookmarkStart w:id="1457" w:name="conclusion-29"/>
    <w:p>
      <w:pPr>
        <w:pStyle w:val="Heading3"/>
      </w:pPr>
      <w:r>
        <w:t xml:space="preserve">Conclusion</w:t>
      </w:r>
    </w:p>
    <w:p>
      <w:pPr>
        <w:pStyle w:val="FirstParagraph"/>
      </w:pPr>
      <w:r>
        <w:t xml:space="preserve">In humans, hexarelin strongly releases growth hormone, but also stress hormones and prolactin, and with continuous administration the effect wears off markedly; IGF-1 and body composition did not change in a 16-week study. Of interest are small studies in which a single dose increased the pumping force of the heart, apparently independently of growth hormone. Whether this will ever lead to a benefit for people with heart disease is completely open; for muscle building or rejuvenation, there is no evidence.</w:t>
      </w:r>
    </w:p>
    <w:bookmarkEnd w:id="1457"/>
    <w:bookmarkEnd w:id="1458"/>
    <w:bookmarkStart w:id="1490" w:name="macimorelin"/>
    <w:p>
      <w:pPr>
        <w:pStyle w:val="Heading2"/>
      </w:pPr>
      <w:r>
        <w:t xml:space="preserve">Macimorelin</w:t>
      </w:r>
    </w:p>
    <w:p>
      <w:pPr>
        <w:pStyle w:val="FirstParagraph"/>
      </w:pPr>
      <w:r>
        <w:t xml:space="preserve">Macimorelin is the most sober member of this group – and precisely for that reason a good counterexample to the gray-market peptides. It is not used for treatment but as a test: a person drinks a solution containing macimorelin, after which blood is drawn several times. If growth hormone barely rises, this suggests growth hormone deficiency. Macimorelin is approved for this purpose in the United States and the EU. It is an example of how a ghrelin mimetic can become a genuine medicine through clean comparative studies.</w:t>
      </w:r>
    </w:p>
    <w:bookmarkStart w:id="1460" w:name="profile-30"/>
    <w:p>
      <w:pPr>
        <w:pStyle w:val="Heading3"/>
      </w:pPr>
      <w:r>
        <w:t xml:space="preserve">Profile</w:t>
      </w:r>
    </w:p>
    <w:p>
      <w:pPr>
        <w:numPr>
          <w:ilvl w:val="0"/>
          <w:numId w:val="1171"/>
        </w:numPr>
        <w:pStyle w:val="Compact"/>
      </w:pPr>
      <w:r>
        <w:rPr>
          <w:bCs/>
          <w:b/>
        </w:rPr>
        <w:t xml:space="preserve">Type and structure:</w:t>
      </w:r>
      <w:r>
        <w:t xml:space="preserve"> </w:t>
      </w:r>
      <w:r>
        <w:t xml:space="preserve">small peptide-like molecule (peptidomimetic) that is active when swallowed</w:t>
      </w:r>
      <w:r>
        <w:rPr>
          <w:rStyle w:val="FootnoteReference"/>
        </w:rPr>
        <w:footnoteReference w:id="1459"/>
      </w:r>
      <w:r>
        <w:t xml:space="preserve">. Earlier designations: EP01572, ARD-07, AEZS-130.</w:t>
      </w:r>
    </w:p>
    <w:p>
      <w:pPr>
        <w:numPr>
          <w:ilvl w:val="0"/>
          <w:numId w:val="1171"/>
        </w:numPr>
        <w:pStyle w:val="Compact"/>
      </w:pPr>
      <w:r>
        <w:rPr>
          <w:bCs/>
          <w:b/>
        </w:rPr>
        <w:t xml:space="preserve">Origin:</w:t>
      </w:r>
      <w:r>
        <w:t xml:space="preserve"> </w:t>
      </w:r>
      <w:r>
        <w:t xml:space="preserve">developed from research on orally active growth hormone releasers; approved on the application of Aeterna Zentaris.</w:t>
      </w:r>
    </w:p>
    <w:p>
      <w:pPr>
        <w:numPr>
          <w:ilvl w:val="0"/>
          <w:numId w:val="1171"/>
        </w:numPr>
        <w:pStyle w:val="Compact"/>
      </w:pPr>
      <w:r>
        <w:rPr>
          <w:bCs/>
          <w:b/>
        </w:rPr>
        <w:t xml:space="preserve">Mechanism of action:</w:t>
      </w:r>
      <w:r>
        <w:t xml:space="preserve"> </w:t>
      </w:r>
      <w:r>
        <w:t xml:space="preserve">agonist at the ghrelin receptor (GHS-R1a); triggers a single release of growth hormone whose magnitude reflects the functional capacity of the pituitary gland.</w:t>
      </w:r>
    </w:p>
    <w:p>
      <w:pPr>
        <w:numPr>
          <w:ilvl w:val="0"/>
          <w:numId w:val="1171"/>
        </w:numPr>
        <w:pStyle w:val="Compact"/>
      </w:pPr>
      <w:r>
        <w:rPr>
          <w:bCs/>
          <w:b/>
        </w:rPr>
        <w:t xml:space="preserve">US approval:</w:t>
      </w:r>
      <w:r>
        <w:t xml:space="preserve"> </w:t>
      </w:r>
      <w:r>
        <w:t xml:space="preserve">yes (Macrilen, since 2017) for the diagnosis of growth hormone deficiency in adults.</w:t>
      </w:r>
      <w:r>
        <w:t xml:space="preserve"> </w:t>
      </w:r>
      <w:r>
        <w:rPr>
          <w:bCs/>
          <w:b/>
        </w:rPr>
        <w:t xml:space="preserve">EU approval:</w:t>
      </w:r>
      <w:r>
        <w:t xml:space="preserve"> </w:t>
      </w:r>
      <w:r>
        <w:t xml:space="preserve">yes (centrally authorized in 2019) for the same indication. For current availability in individual countries, see below.</w:t>
      </w:r>
    </w:p>
    <w:p>
      <w:pPr>
        <w:numPr>
          <w:ilvl w:val="0"/>
          <w:numId w:val="1171"/>
        </w:numPr>
        <w:pStyle w:val="Compact"/>
      </w:pPr>
      <w:r>
        <w:rPr>
          <w:bCs/>
          <w:b/>
        </w:rPr>
        <w:t xml:space="preserve">WADA:</w:t>
      </w:r>
      <w:r>
        <w:t xml:space="preserve"> </w:t>
      </w:r>
      <w:r>
        <w:t xml:space="preserve">prohibited, class S2 (growth hormone secretagogues; macimorelin is explicitly named).</w:t>
      </w:r>
    </w:p>
    <w:p>
      <w:pPr>
        <w:numPr>
          <w:ilvl w:val="0"/>
          <w:numId w:val="1171"/>
        </w:numPr>
        <w:pStyle w:val="Compact"/>
      </w:pPr>
      <w:r>
        <w:rPr>
          <w:bCs/>
          <w:b/>
        </w:rPr>
        <w:t xml:space="preserve">Evidence level: A</w:t>
      </w:r>
      <w:r>
        <w:t xml:space="preserve"> </w:t>
      </w:r>
      <w:r>
        <w:t xml:space="preserve">– two phase 3 trials on diagnostic accuracy, approval in the USA and EU. Limitation: it is a diagnostic agent, not a therapy.</w:t>
      </w:r>
    </w:p>
    <w:bookmarkEnd w:id="1460"/>
    <w:bookmarkStart w:id="1461" w:name="how-it-is-supposed-to-work-30"/>
    <w:p>
      <w:pPr>
        <w:pStyle w:val="Heading3"/>
      </w:pPr>
      <w:r>
        <w:t xml:space="preserve">How it is supposed to work</w:t>
      </w:r>
    </w:p>
    <w:p>
      <w:pPr>
        <w:pStyle w:val="FirstParagraph"/>
      </w:pPr>
      <w:r>
        <w:t xml:space="preserve">Diagnosing growth hormone deficiency in adults is difficult. A single blood value is not enough, because growth hormone is released in bursts. A stimulation test is needed: the pituitary gland is deliberately stimulated, and one measures how much growth hormone it releases.</w:t>
      </w:r>
    </w:p>
    <w:p>
      <w:pPr>
        <w:pStyle w:val="BodyText"/>
      </w:pPr>
      <w:r>
        <w:t xml:space="preserve">The reference test is the insulin hypoglycemia test (insulin tolerance test, ITT). In this test, blood glucose is deliberately lowered sharply with insulin – which is unpleasant, requires medical supervision and is not permitted in people with heart disease or seizures. Macimorelin offers an alternative: it activates the ghrelin receptor, which directly triggers growth hormone release, without lowering blood glucose. Because it is swallowed, no infusion is needed either.</w:t>
      </w:r>
    </w:p>
    <w:bookmarkEnd w:id="1461"/>
    <w:bookmarkStart w:id="1475" w:name="human-studies-30"/>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4</w:t>
      </w:r>
      <w:r>
        <w:t xml:space="preserve"> </w:t>
      </w:r>
      <w:r>
        <w:t xml:space="preserve">human studies in PubMed (</w:t>
      </w:r>
      <w:r>
        <w:rPr>
          <w:rStyle w:val="VerbatimChar"/>
        </w:rPr>
        <w:t xml:space="preserve">humanstudien_alle</w:t>
      </w:r>
      <w:r>
        <w:t xml:space="preserve">) and</w:t>
      </w:r>
      <w:r>
        <w:t xml:space="preserve"> </w:t>
      </w:r>
      <w:r>
        <w:rPr>
          <w:bCs/>
          <w:b/>
        </w:rPr>
        <w:t xml:space="preserve">6</w:t>
      </w:r>
      <w:r>
        <w:t xml:space="preserve"> </w:t>
      </w:r>
      <w:r>
        <w:t xml:space="preserve">entries on ClinicalTrials.gov. A targeted follow-up search yielded further studies, including the first phase 3 trial, a pediatric study, several studies in healthy people and a real-world analysis.</w:t>
      </w:r>
    </w:p>
    <w:bookmarkStart w:id="1464" w:name="early-pharmacology"/>
    <w:p>
      <w:pPr>
        <w:pStyle w:val="Heading4"/>
      </w:pPr>
      <w:r>
        <w:t xml:space="preserve">Early pharmacology</w:t>
      </w:r>
    </w:p>
    <w:p>
      <w:pPr>
        <w:pStyle w:val="FirstParagraph"/>
      </w:pPr>
      <w:r>
        <w:t xml:space="preserve">As early as 2007, a study with 36 healthy men showed that the substance (then EP01572) enters the blood rapidly and dose-dependently after being swallowed and strongly releases growth hormone</w:t>
      </w:r>
      <w:r>
        <w:rPr>
          <w:rStyle w:val="FootnoteReference"/>
        </w:rPr>
        <w:footnoteReference w:id="1462"/>
      </w:r>
      <w:r>
        <w:t xml:space="preserve">. In a randomized phase 1 study with 28 healthy people, the half-life was 3.5 hours for the two lower doses; the GH peak occurred after 45 to 60 minutes. ACTH, cortisol and prolactin rose temporarily</w:t>
      </w:r>
      <w:r>
        <w:rPr>
          <w:rStyle w:val="FootnoteReference"/>
        </w:rPr>
        <w:footnoteReference w:id="1463"/>
      </w:r>
      <w:r>
        <w:t xml:space="preserve">.</w:t>
      </w:r>
    </w:p>
    <w:bookmarkEnd w:id="1464"/>
    <w:bookmarkStart w:id="1468" w:name="the-approval-trials-1"/>
    <w:p>
      <w:pPr>
        <w:pStyle w:val="Heading4"/>
      </w:pPr>
      <w:r>
        <w:t xml:space="preserve">The approval trials</w:t>
      </w:r>
    </w:p>
    <w:p>
      <w:pPr>
        <w:pStyle w:val="FirstParagraph"/>
      </w:pPr>
      <w:r>
        <w:rPr>
          <w:bCs/>
          <w:b/>
        </w:rPr>
        <w:t xml:space="preserve">First phase 3 trial:</w:t>
      </w:r>
      <w:r>
        <w:t xml:space="preserve"> </w:t>
      </w:r>
      <w:r>
        <w:t xml:space="preserve">In an open-label multicenter trial, macimorelin was compared with the combination test of arginine and GHRH that was customary at the time. The analysis included 50 adults with growth hormone deficiency and 48 healthy people. The GH peak averaged 2.36 ng/mL in those affected and 17.71 ng/mL in the healthy people. With a cutoff of 2.7 ng/mL, the test achieved a sensitivity of 82% and a specificity of 92%. The only serious drug-related adverse event reported was an asymptomatic prolongation of the QT interval on the ECG. During the trial, the GHRH preparation (sermorelin) was withdrawn from the US market, so some participants were tested with macimorelin only</w:t>
      </w:r>
      <w:r>
        <w:rPr>
          <w:rStyle w:val="FootnoteReference"/>
        </w:rPr>
        <w:footnoteReference w:id="1465"/>
      </w:r>
      <w:r>
        <w:t xml:space="preserve">.</w:t>
      </w:r>
    </w:p>
    <w:p>
      <w:pPr>
        <w:pStyle w:val="BodyText"/>
      </w:pPr>
      <w:r>
        <w:rPr>
          <w:bCs/>
          <w:b/>
        </w:rPr>
        <w:t xml:space="preserve">Second phase 3 trial (basis for approval):</w:t>
      </w:r>
      <w:r>
        <w:t xml:space="preserve"> </w:t>
      </w:r>
      <w:r>
        <w:t xml:space="preserve">In a randomized crossover trial, adults with a high, intermediate and low likelihood of growth hormone deficiency as well as healthy controls received both the macimorelin test and the insulin test. 99% of the macimorelin tests but only 82% of the insulin tests were evaluable. With cutoffs of 2.8 ng/mL (macimorelin) and 5.1 ng/mL (ITT), sensitivity was 87% and specificity 96%; on repetition, the result was the same in 97%. No serious adverse events due to macimorelin occurred. A uniform cutoff of 5.1 ng/mL for both tests yielded 92% sensitivity with 96% specificity in a post hoc analysis</w:t>
      </w:r>
      <w:r>
        <w:rPr>
          <w:rStyle w:val="FootnoteReference"/>
        </w:rPr>
        <w:footnoteReference w:id="1466"/>
      </w:r>
      <w:r>
        <w:t xml:space="preserve">. Further analyses showed that age, body weight and sex did not substantially affect test accuracy</w:t>
      </w:r>
      <w:r>
        <w:rPr>
          <w:rStyle w:val="FootnoteReference"/>
        </w:rPr>
        <w:footnoteReference w:id="1467"/>
      </w:r>
      <w:r>
        <w:t xml:space="preserve">.</w:t>
      </w:r>
    </w:p>
    <w:bookmarkEnd w:id="1468"/>
    <w:bookmarkStart w:id="1470" w:name="real-world-experience"/>
    <w:p>
      <w:pPr>
        <w:pStyle w:val="Heading4"/>
      </w:pPr>
      <w:r>
        <w:t xml:space="preserve">Real-world experience</w:t>
      </w:r>
    </w:p>
    <w:p>
      <w:pPr>
        <w:pStyle w:val="FirstParagraph"/>
      </w:pPr>
      <w:r>
        <w:t xml:space="preserve">A retrospective analysis of 37 patients at one clinic found that with the cutoff of 2.8 ng/mL approved in the United States, 40.5% were classified as having growth hormone deficiency, whereas with 5.1 ng/mL it was 54.0%. The discordant classifications mainly concerned people with severe obesity and a low pretest probability</w:t>
      </w:r>
      <w:r>
        <w:rPr>
          <w:rStyle w:val="FootnoteReference"/>
        </w:rPr>
        <w:footnoteReference w:id="1469"/>
      </w:r>
      <w:r>
        <w:t xml:space="preserve">. This shows that the cutoff is not trivial and that caution is needed in interpretation in people with severe obesity.</w:t>
      </w:r>
    </w:p>
    <w:bookmarkEnd w:id="1470"/>
    <w:bookmarkStart w:id="1474" w:name="children-and-other-uses"/>
    <w:p>
      <w:pPr>
        <w:pStyle w:val="Heading4"/>
      </w:pPr>
      <w:r>
        <w:t xml:space="preserve">Children and other uses</w:t>
      </w:r>
    </w:p>
    <w:p>
      <w:pPr>
        <w:numPr>
          <w:ilvl w:val="0"/>
          <w:numId w:val="1172"/>
        </w:numPr>
        <w:pStyle w:val="Compact"/>
      </w:pPr>
      <w:r>
        <w:rPr>
          <w:bCs/>
          <w:b/>
        </w:rPr>
        <w:t xml:space="preserve">Children:</w:t>
      </w:r>
      <w:r>
        <w:t xml:space="preserve"> </w:t>
      </w:r>
      <w:r>
        <w:t xml:space="preserve">An open-label dose-finding study with 24 children and adolescents with suspected growth hormone deficiency found no macimorelin-related adverse effects</w:t>
      </w:r>
      <w:r>
        <w:rPr>
          <w:rStyle w:val="FootnoteReference"/>
        </w:rPr>
        <w:footnoteReference w:id="1471"/>
      </w:r>
      <w:r>
        <w:t xml:space="preserve">. The subsequent phase 3 trial DETECT with 101 children</w:t>
      </w:r>
      <w:r>
        <w:rPr>
          <w:rStyle w:val="FootnoteReference"/>
        </w:rPr>
        <w:footnoteReference w:id="1472"/>
      </w:r>
      <w:r>
        <w:t xml:space="preserve"> </w:t>
      </w:r>
      <w:r>
        <w:t xml:space="preserve">was completed in June 2024; results have not been posted in the registry, and I have not found a publication in PubMed.</w:t>
      </w:r>
    </w:p>
    <w:p>
      <w:pPr>
        <w:numPr>
          <w:ilvl w:val="0"/>
          <w:numId w:val="1172"/>
        </w:numPr>
        <w:pStyle w:val="Compact"/>
      </w:pPr>
      <w:r>
        <w:rPr>
          <w:bCs/>
          <w:b/>
        </w:rPr>
        <w:t xml:space="preserve">Cancer cachexia:</w:t>
      </w:r>
      <w:r>
        <w:t xml:space="preserve"> </w:t>
      </w:r>
      <w:r>
        <w:t xml:space="preserve">In a pilot study with 15 cancer patients with pathological weight loss, macimorelin was well tolerated over one week; weight and quality of life improved numerically, but without a significant difference from placebo</w:t>
      </w:r>
      <w:r>
        <w:rPr>
          <w:rStyle w:val="FootnoteReference"/>
        </w:rPr>
        <w:footnoteReference w:id="14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3, trial 1 (Garcia 2013), PMID 23559086</w:t>
            </w:r>
          </w:p>
        </w:tc>
        <w:tc>
          <w:tcPr/>
          <w:p>
            <w:pPr>
              <w:pStyle w:val="Compact"/>
              <w:jc w:val="left"/>
            </w:pPr>
            <w:r>
              <w:t xml:space="preserve">50 adults with GH deficiency, 48 healthy people; comparison with arginine+GHRH</w:t>
            </w:r>
          </w:p>
        </w:tc>
        <w:tc>
          <w:tcPr/>
          <w:p>
            <w:pPr>
              <w:pStyle w:val="Compact"/>
              <w:jc w:val="left"/>
            </w:pPr>
            <w:r>
              <w:t xml:space="preserve">single test</w:t>
            </w:r>
          </w:p>
        </w:tc>
        <w:tc>
          <w:tcPr/>
          <w:p>
            <w:pPr>
              <w:pStyle w:val="Compact"/>
              <w:jc w:val="left"/>
            </w:pPr>
            <w:r>
              <w:t xml:space="preserve">sensitivity 82%, specificity 92%</w:t>
            </w:r>
          </w:p>
        </w:tc>
      </w:tr>
      <w:tr>
        <w:tc>
          <w:tcPr/>
          <w:p>
            <w:pPr>
              <w:pStyle w:val="Compact"/>
              <w:jc w:val="left"/>
            </w:pPr>
            <w:r>
              <w:t xml:space="preserve">Phase 3, trial 2 (Garcia 2018), PMID 29860473</w:t>
            </w:r>
          </w:p>
        </w:tc>
        <w:tc>
          <w:tcPr/>
          <w:p>
            <w:pPr>
              <w:pStyle w:val="Compact"/>
              <w:jc w:val="left"/>
            </w:pPr>
            <w:r>
              <w:t xml:space="preserve">adults with varying pretest probability and healthy people; randomized crossover trial vs. ITT</w:t>
            </w:r>
          </w:p>
        </w:tc>
        <w:tc>
          <w:tcPr/>
          <w:p>
            <w:pPr>
              <w:pStyle w:val="Compact"/>
              <w:jc w:val="left"/>
            </w:pPr>
            <w:r>
              <w:t xml:space="preserve">single tests</w:t>
            </w:r>
          </w:p>
        </w:tc>
        <w:tc>
          <w:tcPr/>
          <w:p>
            <w:pPr>
              <w:pStyle w:val="Compact"/>
              <w:jc w:val="left"/>
            </w:pPr>
            <w:r>
              <w:t xml:space="preserve">sensitivity 87%, specificity 96%; reproducibility 97%</w:t>
            </w:r>
          </w:p>
        </w:tc>
      </w:tr>
      <w:tr>
        <w:tc>
          <w:tcPr/>
          <w:p>
            <w:pPr>
              <w:pStyle w:val="Compact"/>
              <w:jc w:val="left"/>
            </w:pPr>
            <w:r>
              <w:t xml:space="preserve">QT study (Lissy 2021), PMID 32961034</w:t>
            </w:r>
          </w:p>
        </w:tc>
        <w:tc>
          <w:tcPr/>
          <w:p>
            <w:pPr>
              <w:pStyle w:val="Compact"/>
              <w:jc w:val="left"/>
            </w:pPr>
            <w:r>
              <w:t xml:space="preserve">60 healthy people, randomized, placebo and moxifloxacin</w:t>
            </w:r>
          </w:p>
        </w:tc>
        <w:tc>
          <w:tcPr/>
          <w:p>
            <w:pPr>
              <w:pStyle w:val="Compact"/>
              <w:jc w:val="left"/>
            </w:pPr>
            <w:r>
              <w:t xml:space="preserve">single doses</w:t>
            </w:r>
          </w:p>
        </w:tc>
        <w:tc>
          <w:tcPr/>
          <w:p>
            <w:pPr>
              <w:pStyle w:val="Compact"/>
              <w:jc w:val="left"/>
            </w:pPr>
            <w:r>
              <w:t xml:space="preserve">QT prolongation up to 9.61 ms at supratherapeutic dose</w:t>
            </w:r>
          </w:p>
        </w:tc>
      </w:tr>
      <w:tr>
        <w:tc>
          <w:tcPr/>
          <w:p>
            <w:pPr>
              <w:pStyle w:val="Compact"/>
              <w:jc w:val="left"/>
            </w:pPr>
            <w:r>
              <w:t xml:space="preserve">Real-world data (Yadav 2026), PMID 41793495</w:t>
            </w:r>
          </w:p>
        </w:tc>
        <w:tc>
          <w:tcPr/>
          <w:p>
            <w:pPr>
              <w:pStyle w:val="Compact"/>
              <w:jc w:val="left"/>
            </w:pPr>
            <w:r>
              <w:t xml:space="preserve">37 people, retrospective</w:t>
            </w:r>
          </w:p>
        </w:tc>
        <w:tc>
          <w:tcPr/>
          <w:p>
            <w:pPr>
              <w:pStyle w:val="Compact"/>
              <w:jc w:val="left"/>
            </w:pPr>
            <w:r>
              <w:t xml:space="preserve">single test</w:t>
            </w:r>
          </w:p>
        </w:tc>
        <w:tc>
          <w:tcPr/>
          <w:p>
            <w:pPr>
              <w:pStyle w:val="Compact"/>
              <w:jc w:val="left"/>
            </w:pPr>
            <w:r>
              <w:t xml:space="preserve">cutoff affects diagnosis, especially in obesity</w:t>
            </w:r>
          </w:p>
        </w:tc>
      </w:tr>
      <w:tr>
        <w:tc>
          <w:tcPr/>
          <w:p>
            <w:pPr>
              <w:pStyle w:val="Compact"/>
              <w:jc w:val="left"/>
            </w:pPr>
            <w:r>
              <w:t xml:space="preserve">Cachexia (Herodes 2023), PMID 36860137</w:t>
            </w:r>
          </w:p>
        </w:tc>
        <w:tc>
          <w:tcPr/>
          <w:p>
            <w:pPr>
              <w:pStyle w:val="Compact"/>
              <w:jc w:val="left"/>
            </w:pPr>
            <w:r>
              <w:t xml:space="preserve">15 cancer patients, RCT pilot study</w:t>
            </w:r>
          </w:p>
        </w:tc>
        <w:tc>
          <w:tcPr/>
          <w:p>
            <w:pPr>
              <w:pStyle w:val="Compact"/>
              <w:jc w:val="left"/>
            </w:pPr>
            <w:r>
              <w:t xml:space="preserve">1 week</w:t>
            </w:r>
          </w:p>
        </w:tc>
        <w:tc>
          <w:tcPr/>
          <w:p>
            <w:pPr>
              <w:pStyle w:val="Compact"/>
              <w:jc w:val="left"/>
            </w:pPr>
            <w:r>
              <w:t xml:space="preserve">well tolerated, no significant effect</w:t>
            </w:r>
          </w:p>
        </w:tc>
      </w:tr>
    </w:tbl>
    <w:bookmarkEnd w:id="1474"/>
    <w:bookmarkEnd w:id="1475"/>
    <w:bookmarkStart w:id="1478" w:name="animal-and-laboratory-studies-30"/>
    <w:p>
      <w:pPr>
        <w:pStyle w:val="Heading3"/>
      </w:pPr>
      <w:r>
        <w:t xml:space="preserve">Animal and laboratory studies</w:t>
      </w:r>
    </w:p>
    <w:p>
      <w:pPr>
        <w:pStyle w:val="FirstParagraph"/>
      </w:pPr>
      <w:r>
        <w:t xml:space="preserve">In mice with treatment-resistant epilepsy, macimorelin reduced the number and duration of seizures during the two-week treatment but did not alter the course of the disease</w:t>
      </w:r>
      <w:r>
        <w:rPr>
          <w:rStyle w:val="FootnoteReference"/>
        </w:rPr>
        <w:footnoteReference w:id="1476"/>
      </w:r>
      <w:r>
        <w:t xml:space="preserve">. Structural studies show how macimorelin binds in the ghrelin receptor</w:t>
      </w:r>
      <w:r>
        <w:rPr>
          <w:rStyle w:val="FootnoteReference"/>
        </w:rPr>
        <w:footnoteReference w:id="1477"/>
      </w:r>
      <w:r>
        <w:t xml:space="preserve">. These studies are not relevant to the approved use.</w:t>
      </w:r>
    </w:p>
    <w:bookmarkEnd w:id="1478"/>
    <w:bookmarkStart w:id="1483" w:name="risks-and-side-effects-30"/>
    <w:p>
      <w:pPr>
        <w:pStyle w:val="Heading3"/>
      </w:pPr>
      <w:r>
        <w:t xml:space="preserve">Risks and side effects</w:t>
      </w:r>
    </w:p>
    <w:p>
      <w:pPr>
        <w:pStyle w:val="FirstParagraph"/>
      </w:pPr>
      <w:r>
        <w:rPr>
          <w:bCs/>
          <w:b/>
        </w:rPr>
        <w:t xml:space="preserve">Established:</w:t>
      </w:r>
      <w:r>
        <w:t xml:space="preserve"> </w:t>
      </w:r>
      <w:r>
        <w:t xml:space="preserve">Macimorelin is taken only once per test; side effects are correspondingly limited. In the approval trial, no serious adverse events due to macimorelin occurred</w:t>
      </w:r>
      <w:r>
        <w:rPr>
          <w:rStyle w:val="FootnoteReference"/>
        </w:rPr>
        <w:footnoteReference w:id="1479"/>
      </w:r>
      <w:r>
        <w:t xml:space="preserve">. ACTH, cortisol and prolactin rise temporarily</w:t>
      </w:r>
      <w:r>
        <w:rPr>
          <w:rStyle w:val="FootnoteReference"/>
        </w:rPr>
        <w:footnoteReference w:id="1480"/>
      </w:r>
      <w:r>
        <w:t xml:space="preserve">.</w:t>
      </w:r>
    </w:p>
    <w:p>
      <w:pPr>
        <w:pStyle w:val="BodyText"/>
      </w:pPr>
      <w:r>
        <w:rPr>
          <w:bCs/>
          <w:b/>
        </w:rPr>
        <w:t xml:space="preserve">QT prolongation:</w:t>
      </w:r>
      <w:r>
        <w:t xml:space="preserve"> </w:t>
      </w:r>
      <w:r>
        <w:t xml:space="preserve">In a thorough ECG study with 60 healthy people, a deliberately excessive (supratherapeutic) single dose prolonged the QT interval – a measure of the heart’s electrical recovery – by up to 9.61 milliseconds on average; the upper limit of the confidence interval exceeded the regulatory threshold of 10 milliseconds</w:t>
      </w:r>
      <w:r>
        <w:rPr>
          <w:rStyle w:val="FootnoteReference"/>
        </w:rPr>
        <w:footnoteReference w:id="1481"/>
      </w:r>
      <w:r>
        <w:t xml:space="preserve">. Caution is therefore advised in people taking other QT-prolonging medications. Details on contraindications and interactions are governed by the prescribing information; the test is performed by a physician.</w:t>
      </w:r>
    </w:p>
    <w:p>
      <w:pPr>
        <w:pStyle w:val="BodyText"/>
      </w:pPr>
      <w:r>
        <w:rPr>
          <w:bCs/>
          <w:b/>
        </w:rPr>
        <w:t xml:space="preserve">Misdiagnosis:</w:t>
      </w:r>
      <w:r>
        <w:t xml:space="preserve"> </w:t>
      </w:r>
      <w:r>
        <w:t xml:space="preserve">Like any stimulation test, the macimorelin test can produce false-positive and false-negative results, especially in people with severe obesity</w:t>
      </w:r>
      <w:r>
        <w:rPr>
          <w:rStyle w:val="FootnoteReference"/>
        </w:rPr>
        <w:footnoteReference w:id="1482"/>
      </w:r>
      <w:r>
        <w:t xml:space="preserve">.</w:t>
      </w:r>
    </w:p>
    <w:p>
      <w:pPr>
        <w:pStyle w:val="BodyText"/>
      </w:pPr>
      <w:r>
        <w:t xml:space="preserve">A cancer risk is not to be expected from a single dose; the discussion about persistently elevated IGF-1 (see the introduction to this group) therefore does not apply to macimorelin.</w:t>
      </w:r>
    </w:p>
    <w:bookmarkEnd w:id="1483"/>
    <w:bookmarkStart w:id="1485" w:name="legal-status-30"/>
    <w:p>
      <w:pPr>
        <w:pStyle w:val="Heading3"/>
      </w:pPr>
      <w:r>
        <w:t xml:space="preserve">Legal status</w:t>
      </w:r>
    </w:p>
    <w:p>
      <w:pPr>
        <w:pStyle w:val="FirstParagraph"/>
      </w:pPr>
      <w:r>
        <w:rPr>
          <w:iCs/>
          <w:i/>
        </w:rPr>
        <w:t xml:space="preserve">As of 2026, please check for updates.</w:t>
      </w:r>
    </w:p>
    <w:p>
      <w:pPr>
        <w:numPr>
          <w:ilvl w:val="0"/>
          <w:numId w:val="1173"/>
        </w:numPr>
        <w:pStyle w:val="Compact"/>
      </w:pPr>
      <w:r>
        <w:rPr>
          <w:bCs/>
          <w:b/>
        </w:rPr>
        <w:t xml:space="preserve">EU:</w:t>
      </w:r>
      <w:r>
        <w:t xml:space="preserve"> </w:t>
      </w:r>
      <w:r>
        <w:t xml:space="preserve">centrally authorized for the diagnosis of growth hormone deficiency in adults. Whether the product is actually marketed in Germany and Austria depends on the marketing decisions of the marketing authorization holder and should be checked for updates.</w:t>
      </w:r>
    </w:p>
    <w:p>
      <w:pPr>
        <w:numPr>
          <w:ilvl w:val="0"/>
          <w:numId w:val="1173"/>
        </w:numPr>
        <w:pStyle w:val="Compact"/>
      </w:pPr>
      <w:r>
        <w:rPr>
          <w:bCs/>
          <w:b/>
        </w:rPr>
        <w:t xml:space="preserve">USA:</w:t>
      </w:r>
      <w:r>
        <w:t xml:space="preserve"> </w:t>
      </w:r>
      <w:r>
        <w:t xml:space="preserve">approved (Macrilen) for the same indication; the distribution rights have changed hands in recent years.</w:t>
      </w:r>
    </w:p>
    <w:p>
      <w:pPr>
        <w:numPr>
          <w:ilvl w:val="0"/>
          <w:numId w:val="1173"/>
        </w:numPr>
        <w:pStyle w:val="Compact"/>
      </w:pPr>
      <w:r>
        <w:rPr>
          <w:bCs/>
          <w:b/>
        </w:rPr>
        <w:t xml:space="preserve">Use:</w:t>
      </w:r>
      <w:r>
        <w:t xml:space="preserve"> </w:t>
      </w:r>
      <w:r>
        <w:t xml:space="preserve">exclusively as a physician-performed function test according to the prescribing information; no therapeutic approval.</w:t>
      </w:r>
    </w:p>
    <w:p>
      <w:pPr>
        <w:numPr>
          <w:ilvl w:val="0"/>
          <w:numId w:val="1173"/>
        </w:numPr>
        <w:pStyle w:val="Compact"/>
      </w:pPr>
      <w:r>
        <w:rPr>
          <w:bCs/>
          <w:b/>
        </w:rPr>
        <w:t xml:space="preserve">WADA:</w:t>
      </w:r>
      <w:r>
        <w:t xml:space="preserve"> </w:t>
      </w:r>
      <w:r>
        <w:t xml:space="preserve">prohibited (S2). For doping controls, metabolites of macimorelin and related ghrelin mimetics have been characterized</w:t>
      </w:r>
      <w:r>
        <w:rPr>
          <w:rStyle w:val="FootnoteReference"/>
        </w:rPr>
        <w:footnoteReference w:id="1484"/>
      </w:r>
      <w:r>
        <w:t xml:space="preserve">.</w:t>
      </w:r>
    </w:p>
    <w:bookmarkEnd w:id="1485"/>
    <w:bookmarkStart w:id="1488" w:name="ongoing-studies-and-outlook-30"/>
    <w:p>
      <w:pPr>
        <w:pStyle w:val="Heading3"/>
      </w:pPr>
      <w:r>
        <w:t xml:space="preserve">Ongoing studies and outlook</w:t>
      </w:r>
    </w:p>
    <w:p>
      <w:pPr>
        <w:pStyle w:val="FirstParagraph"/>
      </w:pPr>
      <w:r>
        <w:rPr>
          <w:iCs/>
          <w:i/>
        </w:rPr>
        <w:t xml:space="preserve">Established:</w:t>
      </w:r>
      <w:r>
        <w:t xml:space="preserve"> </w:t>
      </w:r>
      <w:r>
        <w:t xml:space="preserve">The pediatric trial DETECT</w:t>
      </w:r>
      <w:r>
        <w:rPr>
          <w:rStyle w:val="FootnoteReference"/>
        </w:rPr>
        <w:footnoteReference w:id="1486"/>
      </w:r>
      <w:r>
        <w:t xml:space="preserve"> </w:t>
      </w:r>
      <w:r>
        <w:t xml:space="preserve">has been completed; the results are pending. Another study examined how macimorelin affects the hormone copeptin</w:t>
      </w:r>
      <w:r>
        <w:rPr>
          <w:rStyle w:val="FootnoteReference"/>
        </w:rPr>
        <w:footnoteReference w:id="1487"/>
      </w:r>
      <w:r>
        <w:t xml:space="preserve">.</w:t>
      </w:r>
      <w:r>
        <w:t xml:space="preserve"> </w:t>
      </w:r>
      <w:r>
        <w:rPr>
          <w:iCs/>
          <w:i/>
        </w:rPr>
        <w:t xml:space="preserve">Author’s assessment:</w:t>
      </w:r>
      <w:r>
        <w:t xml:space="preserve"> </w:t>
      </w:r>
      <w:r>
        <w:t xml:space="preserve">Extending the approval to children would be the logical next step but depends on the outcome of the DETECT trial. A therapeutic use, for example in cachexia, is not foreseeable based on the data so far.</w:t>
      </w:r>
    </w:p>
    <w:bookmarkEnd w:id="1488"/>
    <w:bookmarkStart w:id="1489" w:name="conclusion-30"/>
    <w:p>
      <w:pPr>
        <w:pStyle w:val="Heading3"/>
      </w:pPr>
      <w:r>
        <w:t xml:space="preserve">Conclusion</w:t>
      </w:r>
    </w:p>
    <w:p>
      <w:pPr>
        <w:pStyle w:val="FirstParagraph"/>
      </w:pPr>
      <w:r>
        <w:t xml:space="preserve">Macimorelin is a diagnostic agent approved in the United States and the EU: a single oral test detects growth hormone deficiency in adults about as reliably as the burdensome insulin test, with 87% sensitivity and 96% specificity in the approval trial. The most important known side effect is a slight prolongation of the QT interval at a supratherapeutic dose. Macimorelin is neither intended nor studied for treatment, muscle building or</w:t>
      </w:r>
      <w:r>
        <w:t xml:space="preserve"> </w:t>
      </w:r>
      <w:r>
        <w:t xml:space="preserve">“</w:t>
      </w:r>
      <w:r>
        <w:t xml:space="preserve">anti-aging.</w:t>
      </w:r>
      <w:r>
        <w:t xml:space="preserve">”</w:t>
      </w:r>
    </w:p>
    <w:bookmarkEnd w:id="1489"/>
    <w:bookmarkEnd w:id="1490"/>
    <w:bookmarkStart w:id="1530" w:name="mecasermin-igf-1"/>
    <w:p>
      <w:pPr>
        <w:pStyle w:val="Heading2"/>
      </w:pPr>
      <w:r>
        <w:t xml:space="preserve">Mecasermin (IGF-1)</w:t>
      </w:r>
    </w:p>
    <w:p>
      <w:pPr>
        <w:pStyle w:val="FirstParagraph"/>
      </w:pPr>
      <w:r>
        <w:t xml:space="preserve">Mecasermin is genetically engineered human IGF-1 – that is, the messenger through which growth hormone exerts much of its effect. As a medicine (Increlex), it is approved for a very rare group of children: children whose bodies produce enough growth hormone but do not respond to it and therefore produce hardly any IGF-1. Mecasermin is thus a rare example of an approved peptide in this group – and at the same time the drug in which the question of hypoglycemia and cancer risk from IGF-1 arises most clearly.</w:t>
      </w:r>
    </w:p>
    <w:bookmarkStart w:id="1491" w:name="profile-31"/>
    <w:p>
      <w:pPr>
        <w:pStyle w:val="Heading3"/>
      </w:pPr>
      <w:r>
        <w:t xml:space="preserve">Profile</w:t>
      </w:r>
    </w:p>
    <w:p>
      <w:pPr>
        <w:numPr>
          <w:ilvl w:val="0"/>
          <w:numId w:val="1174"/>
        </w:numPr>
        <w:pStyle w:val="Compact"/>
      </w:pPr>
      <w:r>
        <w:rPr>
          <w:bCs/>
          <w:b/>
        </w:rPr>
        <w:t xml:space="preserve">Type and structure:</w:t>
      </w:r>
      <w:r>
        <w:t xml:space="preserve"> </w:t>
      </w:r>
      <w:r>
        <w:t xml:space="preserve">recombinant (genetically engineered in bacteria) human IGF-1 of 70 amino acids, identical to the endogenous hormone.</w:t>
      </w:r>
    </w:p>
    <w:p>
      <w:pPr>
        <w:numPr>
          <w:ilvl w:val="0"/>
          <w:numId w:val="1174"/>
        </w:numPr>
        <w:pStyle w:val="Compact"/>
      </w:pPr>
      <w:r>
        <w:rPr>
          <w:bCs/>
          <w:b/>
        </w:rPr>
        <w:t xml:space="preserve">Origin:</w:t>
      </w:r>
      <w:r>
        <w:t xml:space="preserve"> </w:t>
      </w:r>
      <w:r>
        <w:t xml:space="preserve">IGF-1 was described as</w:t>
      </w:r>
      <w:r>
        <w:t xml:space="preserve"> </w:t>
      </w:r>
      <w:r>
        <w:t xml:space="preserve">“</w:t>
      </w:r>
      <w:r>
        <w:t xml:space="preserve">somatomedin</w:t>
      </w:r>
      <w:r>
        <w:t xml:space="preserve">”</w:t>
      </w:r>
      <w:r>
        <w:t xml:space="preserve"> </w:t>
      </w:r>
      <w:r>
        <w:t xml:space="preserve">in the 1970s; mecasermin was developed by Tercica and marketed by Ipsen, now by another marketing authorization holder.</w:t>
      </w:r>
    </w:p>
    <w:p>
      <w:pPr>
        <w:numPr>
          <w:ilvl w:val="0"/>
          <w:numId w:val="1174"/>
        </w:numPr>
        <w:pStyle w:val="Compact"/>
      </w:pPr>
      <w:r>
        <w:rPr>
          <w:bCs/>
          <w:b/>
        </w:rPr>
        <w:t xml:space="preserve">Mechanism of action:</w:t>
      </w:r>
      <w:r>
        <w:t xml:space="preserve"> </w:t>
      </w:r>
      <w:r>
        <w:t xml:space="preserve">binds to the IGF-1 receptor and directly replaces the missing IGF-1; promotes growth, is anabolic and – at higher doses – lowers blood glucose in a manner similar to insulin.</w:t>
      </w:r>
    </w:p>
    <w:p>
      <w:pPr>
        <w:numPr>
          <w:ilvl w:val="0"/>
          <w:numId w:val="1174"/>
        </w:numPr>
        <w:pStyle w:val="Compact"/>
      </w:pPr>
      <w:r>
        <w:rPr>
          <w:bCs/>
          <w:b/>
        </w:rPr>
        <w:t xml:space="preserve">EU approval:</w:t>
      </w:r>
      <w:r>
        <w:t xml:space="preserve"> </w:t>
      </w:r>
      <w:r>
        <w:t xml:space="preserve">yes (Increlex) for the long-term treatment of growth failure in children and adolescents with severe primary IGF-1 deficiency.</w:t>
      </w:r>
      <w:r>
        <w:t xml:space="preserve"> </w:t>
      </w:r>
      <w:r>
        <w:rPr>
          <w:bCs/>
          <w:b/>
        </w:rPr>
        <w:t xml:space="preserve">US approval:</w:t>
      </w:r>
      <w:r>
        <w:t xml:space="preserve"> </w:t>
      </w:r>
      <w:r>
        <w:t xml:space="preserve">yes (Increlex), same indication.</w:t>
      </w:r>
    </w:p>
    <w:p>
      <w:pPr>
        <w:numPr>
          <w:ilvl w:val="0"/>
          <w:numId w:val="1174"/>
        </w:numPr>
        <w:pStyle w:val="Compact"/>
      </w:pPr>
      <w:r>
        <w:rPr>
          <w:bCs/>
          <w:b/>
        </w:rPr>
        <w:t xml:space="preserve">WADA:</w:t>
      </w:r>
      <w:r>
        <w:t xml:space="preserve"> </w:t>
      </w:r>
      <w:r>
        <w:t xml:space="preserve">prohibited, class S2 (IGF-1 and its analogs as growth factors).</w:t>
      </w:r>
    </w:p>
    <w:p>
      <w:pPr>
        <w:numPr>
          <w:ilvl w:val="0"/>
          <w:numId w:val="1174"/>
        </w:numPr>
        <w:pStyle w:val="Compact"/>
      </w:pPr>
      <w:r>
        <w:rPr>
          <w:bCs/>
          <w:b/>
        </w:rPr>
        <w:t xml:space="preserve">Evidence level: A</w:t>
      </w:r>
      <w:r>
        <w:t xml:space="preserve"> </w:t>
      </w:r>
      <w:r>
        <w:t xml:space="preserve">– approved in the EU and USA. Limitation: because of the rarity of the disease, approval is based on open-label long-term studies and registries, not on large randomized trials. Randomized trials exist for other uses, such as ALS (negative).</w:t>
      </w:r>
    </w:p>
    <w:bookmarkEnd w:id="1491"/>
    <w:bookmarkStart w:id="1493" w:name="how-it-is-supposed-to-work-31"/>
    <w:p>
      <w:pPr>
        <w:pStyle w:val="Heading3"/>
      </w:pPr>
      <w:r>
        <w:t xml:space="preserve">How it is supposed to work</w:t>
      </w:r>
    </w:p>
    <w:p>
      <w:pPr>
        <w:pStyle w:val="FirstParagraph"/>
      </w:pPr>
      <w:r>
        <w:t xml:space="preserve">Growth hormone from the pituitary gland acts mainly on the liver, which then produces IGF-1. IGF-1 in turn makes bones grow in length and promotes the building of muscle and other tissue. In some children this chain is interrupted: their growth hormone receptor is nonfunctional due to a genetic variant, or signal transmission is disrupted. The classic example is Laron syndrome. These children have plenty of growth hormone but hardly any IGF-1, and growth hormone injections do not help them. Without treatment, they often reach only 120 to 130 cm as adults</w:t>
      </w:r>
      <w:r>
        <w:rPr>
          <w:rStyle w:val="FootnoteReference"/>
        </w:rPr>
        <w:footnoteReference w:id="1492"/>
      </w:r>
      <w:r>
        <w:t xml:space="preserve">.</w:t>
      </w:r>
    </w:p>
    <w:p>
      <w:pPr>
        <w:pStyle w:val="BodyText"/>
      </w:pPr>
      <w:r>
        <w:t xml:space="preserve">Mecasermin bypasses the defective step and supplies IGF-1 directly. Because IGF-1 resembles insulin, it can lower blood glucose – the most important side effect.</w:t>
      </w:r>
    </w:p>
    <w:bookmarkEnd w:id="1493"/>
    <w:bookmarkStart w:id="1509" w:name="human-studies-31"/>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21</w:t>
      </w:r>
      <w:r>
        <w:t xml:space="preserve"> </w:t>
      </w:r>
      <w:r>
        <w:t xml:space="preserve">human studies in PubMed (</w:t>
      </w:r>
      <w:r>
        <w:rPr>
          <w:rStyle w:val="VerbatimChar"/>
        </w:rPr>
        <w:t xml:space="preserve">humanstudien_alle</w:t>
      </w:r>
      <w:r>
        <w:t xml:space="preserve">) and</w:t>
      </w:r>
      <w:r>
        <w:t xml:space="preserve"> </w:t>
      </w:r>
      <w:r>
        <w:rPr>
          <w:bCs/>
          <w:b/>
        </w:rPr>
        <w:t xml:space="preserve">37</w:t>
      </w:r>
      <w:r>
        <w:t xml:space="preserve"> </w:t>
      </w:r>
      <w:r>
        <w:t xml:space="preserve">entries on ClinicalTrials.gov; some of these registry entries concern other topics and appear only because of the search term. In addition, there are three systematic reviews. A targeted follow-up search yielded the important long-term studies and registry analyses for the approved indication.</w:t>
      </w:r>
    </w:p>
    <w:bookmarkStart w:id="1499" w:name="X7d02f7767a0f82a621ad910d5610b4df5864bf6"/>
    <w:p>
      <w:pPr>
        <w:pStyle w:val="Heading4"/>
      </w:pPr>
      <w:r>
        <w:t xml:space="preserve">Severe primary IGF-1 deficiency in children</w:t>
      </w:r>
    </w:p>
    <w:p>
      <w:pPr>
        <w:pStyle w:val="FirstParagraph"/>
      </w:pPr>
      <w:r>
        <w:t xml:space="preserve">The basis for approval is a mostly open-label study running for up to twelve years with 76 children with IGF-1 deficiency due to growth hormone resistance. Growth velocity rose from an average of 2.8 cm per year before treatment to 8.0 cm in the first year of treatment; in subsequent years it declined but remained above baseline for up to eight years. The most common side effect was hypoglycemia (in 49% of the children, although it was also observed before the start of therapy), followed by changes in fatty tissue at the injection site (32%) and enlargement of the tonsils and adenoids (22%)</w:t>
      </w:r>
      <w:r>
        <w:rPr>
          <w:rStyle w:val="FootnoteReference"/>
        </w:rPr>
        <w:footnoteReference w:id="1494"/>
      </w:r>
      <w:r>
        <w:t xml:space="preserve">.</w:t>
      </w:r>
    </w:p>
    <w:p>
      <w:pPr>
        <w:pStyle w:val="BodyText"/>
      </w:pPr>
      <w:r>
        <w:t xml:space="preserve">Since 2008, a European, now global, registry has been collecting real-world data</w:t>
      </w:r>
      <w:r>
        <w:rPr>
          <w:rStyle w:val="FootnoteReference"/>
        </w:rPr>
        <w:footnoteReference w:id="1495"/>
      </w:r>
      <w:r>
        <w:t xml:space="preserve">. In 138 previously untreated prepubertal children, height improved in the first year; children with Laron syndrome responded somewhat better, and among the others 56% were considered responders. 65.3% of the children had at least one adverse effect, most commonly hypoglycemia</w:t>
      </w:r>
      <w:r>
        <w:rPr>
          <w:rStyle w:val="FootnoteReference"/>
        </w:rPr>
        <w:footnoteReference w:id="1496"/>
      </w:r>
      <w:r>
        <w:t xml:space="preserve">. 102 children and adolescents who had already reached near-final height gained an average of 0.9 standard deviations in height, and 1.4 when treatment started before puberty. Almost half of these early-treated children reached a height in the normal range, but only 10.5% of those with Laron syndrome</w:t>
      </w:r>
      <w:r>
        <w:rPr>
          <w:rStyle w:val="FootnoteReference"/>
        </w:rPr>
        <w:footnoteReference w:id="1497"/>
      </w:r>
      <w:r>
        <w:t xml:space="preserve">. Severe hypoglycemia was rare at 0.01 events per patient per treatment year; children with Laron syndrome or previous hypoglycemia were particularly at risk</w:t>
      </w:r>
      <w:r>
        <w:rPr>
          <w:rStyle w:val="FootnoteReference"/>
        </w:rPr>
        <w:footnoteReference w:id="1498"/>
      </w:r>
      <w:r>
        <w:t xml:space="preserve">.</w:t>
      </w:r>
    </w:p>
    <w:bookmarkEnd w:id="1499"/>
    <w:bookmarkStart w:id="1508" w:name="other-uses-1"/>
    <w:p>
      <w:pPr>
        <w:pStyle w:val="Heading4"/>
      </w:pPr>
      <w:r>
        <w:t xml:space="preserve">Other uses</w:t>
      </w:r>
    </w:p>
    <w:p>
      <w:pPr>
        <w:numPr>
          <w:ilvl w:val="0"/>
          <w:numId w:val="1175"/>
        </w:numPr>
        <w:pStyle w:val="Compact"/>
      </w:pPr>
      <w:r>
        <w:rPr>
          <w:bCs/>
          <w:b/>
        </w:rPr>
        <w:t xml:space="preserve">ALS:</w:t>
      </w:r>
      <w:r>
        <w:t xml:space="preserve"> </w:t>
      </w:r>
      <w:r>
        <w:t xml:space="preserve">In a phase 3 trial with 330 people with amyotrophic lateral sclerosis, IGF-1 made no difference compared with placebo over two years – neither in muscle strength nor in survival without tracheostomy</w:t>
      </w:r>
      <w:r>
        <w:rPr>
          <w:rStyle w:val="FootnoteReference"/>
        </w:rPr>
        <w:footnoteReference w:id="1500"/>
      </w:r>
      <w:r>
        <w:t xml:space="preserve">.</w:t>
      </w:r>
    </w:p>
    <w:p>
      <w:pPr>
        <w:numPr>
          <w:ilvl w:val="0"/>
          <w:numId w:val="1175"/>
        </w:numPr>
        <w:pStyle w:val="Compact"/>
      </w:pPr>
      <w:r>
        <w:rPr>
          <w:bCs/>
          <w:b/>
        </w:rPr>
        <w:t xml:space="preserve">Duchenne muscular dystrophy:</w:t>
      </w:r>
      <w:r>
        <w:t xml:space="preserve"> </w:t>
      </w:r>
      <w:r>
        <w:t xml:space="preserve">In 17 treated boys compared with 21 controls, the boys grew faster over six months (6.5 vs. 3.3 cm per year), but walking distance in the 6-minute test did not change</w:t>
      </w:r>
      <w:r>
        <w:rPr>
          <w:rStyle w:val="FootnoteReference"/>
        </w:rPr>
        <w:footnoteReference w:id="1501"/>
      </w:r>
      <w:r>
        <w:t xml:space="preserve">.</w:t>
      </w:r>
    </w:p>
    <w:p>
      <w:pPr>
        <w:numPr>
          <w:ilvl w:val="0"/>
          <w:numId w:val="1175"/>
        </w:numPr>
        <w:pStyle w:val="Compact"/>
      </w:pPr>
      <w:r>
        <w:rPr>
          <w:bCs/>
          <w:b/>
        </w:rPr>
        <w:t xml:space="preserve">Rett syndrome:</w:t>
      </w:r>
      <w:r>
        <w:t xml:space="preserve"> </w:t>
      </w:r>
      <w:r>
        <w:t xml:space="preserve">A systematic review describes indications of preserved social and cognitive abilities, but inconsistent results, and calls for larger studies</w:t>
      </w:r>
      <w:r>
        <w:rPr>
          <w:rStyle w:val="FootnoteReference"/>
        </w:rPr>
        <w:footnoteReference w:id="1502"/>
      </w:r>
      <w:r>
        <w:t xml:space="preserve">.</w:t>
      </w:r>
    </w:p>
    <w:p>
      <w:pPr>
        <w:numPr>
          <w:ilvl w:val="0"/>
          <w:numId w:val="1175"/>
        </w:numPr>
        <w:pStyle w:val="Compact"/>
      </w:pPr>
      <w:r>
        <w:rPr>
          <w:bCs/>
          <w:b/>
        </w:rPr>
        <w:t xml:space="preserve">Preterm infants:</w:t>
      </w:r>
      <w:r>
        <w:t xml:space="preserve"> </w:t>
      </w:r>
      <w:r>
        <w:t xml:space="preserve">IGF-1 together with its binding protein IGFBP-3 did not prevent retinopathy of prematurity in 121 extremely preterm infants, but reduced severe bronchopulmonary dysplasia (21.3% vs. 44.9%). Fatal serious events occurred in 19.7% of treated and 11.7% of control infants</w:t>
      </w:r>
      <w:r>
        <w:rPr>
          <w:rStyle w:val="FootnoteReference"/>
        </w:rPr>
        <w:footnoteReference w:id="1503"/>
      </w:r>
      <w:r>
        <w:t xml:space="preserve">. A follow-up trial on lung development is ongoing</w:t>
      </w:r>
      <w:r>
        <w:rPr>
          <w:rStyle w:val="FootnoteReference"/>
        </w:rPr>
        <w:footnoteReference w:id="1504"/>
      </w:r>
      <w:r>
        <w:t xml:space="preserve">.</w:t>
      </w:r>
    </w:p>
    <w:p>
      <w:pPr>
        <w:numPr>
          <w:ilvl w:val="0"/>
          <w:numId w:val="1175"/>
        </w:numPr>
        <w:pStyle w:val="Compact"/>
      </w:pPr>
      <w:r>
        <w:rPr>
          <w:bCs/>
          <w:b/>
        </w:rPr>
        <w:t xml:space="preserve">Anorexia:</w:t>
      </w:r>
      <w:r>
        <w:t xml:space="preserve"> </w:t>
      </w:r>
      <w:r>
        <w:t xml:space="preserve">In 90 women with anorexia nervosa, six months of IGF-1 treatment followed by a bone medication increased spinal bone density more than placebo</w:t>
      </w:r>
      <w:r>
        <w:rPr>
          <w:rStyle w:val="FootnoteReference"/>
        </w:rPr>
        <w:footnoteReference w:id="1505"/>
      </w:r>
      <w:r>
        <w:t xml:space="preserve">.</w:t>
      </w:r>
    </w:p>
    <w:p>
      <w:pPr>
        <w:numPr>
          <w:ilvl w:val="0"/>
          <w:numId w:val="1175"/>
        </w:numPr>
        <w:pStyle w:val="Compact"/>
      </w:pPr>
      <w:r>
        <w:rPr>
          <w:bCs/>
          <w:b/>
        </w:rPr>
        <w:t xml:space="preserve">Adults with Laron syndrome:</w:t>
      </w:r>
      <w:r>
        <w:t xml:space="preserve"> </w:t>
      </w:r>
      <w:r>
        <w:t xml:space="preserve">In ten adults, eight weeks of IGF-1 reduced the fat fraction and increased lean mass</w:t>
      </w:r>
      <w:r>
        <w:rPr>
          <w:rStyle w:val="FootnoteReference"/>
        </w:rPr>
        <w:footnoteReference w:id="1506"/>
      </w:r>
      <w:r>
        <w:t xml:space="preserve">.</w:t>
      </w:r>
    </w:p>
    <w:p>
      <w:pPr>
        <w:numPr>
          <w:ilvl w:val="0"/>
          <w:numId w:val="1175"/>
        </w:numPr>
        <w:pStyle w:val="Compact"/>
      </w:pPr>
      <w:r>
        <w:rPr>
          <w:bCs/>
          <w:b/>
        </w:rPr>
        <w:t xml:space="preserve">Athletes:</w:t>
      </w:r>
      <w:r>
        <w:t xml:space="preserve"> </w:t>
      </w:r>
      <w:r>
        <w:t xml:space="preserve">In a randomized, double-blind study with 56 recreational athletes over 28 days, blood lipids and insulin levels changed on IGF-1/IGFBP-3</w:t>
      </w:r>
      <w:r>
        <w:rPr>
          <w:rStyle w:val="FootnoteReference"/>
        </w:rPr>
        <w:footnoteReference w:id="1507"/>
      </w:r>
      <w:r>
        <w:t xml:space="preserve">. This study provides no performance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Long-term study (Chernausek 2007), PMID 17192294</w:t>
            </w:r>
          </w:p>
        </w:tc>
        <w:tc>
          <w:tcPr/>
          <w:p>
            <w:pPr>
              <w:pStyle w:val="Compact"/>
              <w:jc w:val="left"/>
            </w:pPr>
            <w:r>
              <w:t xml:space="preserve">76 children with GH resistance, mostly open-label</w:t>
            </w:r>
          </w:p>
        </w:tc>
        <w:tc>
          <w:tcPr/>
          <w:p>
            <w:pPr>
              <w:pStyle w:val="Compact"/>
              <w:jc w:val="left"/>
            </w:pPr>
            <w:r>
              <w:t xml:space="preserve">up to 12 years</w:t>
            </w:r>
          </w:p>
        </w:tc>
        <w:tc>
          <w:tcPr/>
          <w:p>
            <w:pPr>
              <w:pStyle w:val="Compact"/>
              <w:jc w:val="left"/>
            </w:pPr>
            <w:r>
              <w:t xml:space="preserve">growth 2.8 → 8.0 cm/year in year 1; hypoglycemia in 49%</w:t>
            </w:r>
          </w:p>
        </w:tc>
      </w:tr>
      <w:tr>
        <w:tc>
          <w:tcPr/>
          <w:p>
            <w:pPr>
              <w:pStyle w:val="Compact"/>
              <w:jc w:val="left"/>
            </w:pPr>
            <w:r>
              <w:t xml:space="preserve">Registry (Bang 2021), PMID 33434161</w:t>
            </w:r>
          </w:p>
        </w:tc>
        <w:tc>
          <w:tcPr/>
          <w:p>
            <w:pPr>
              <w:pStyle w:val="Compact"/>
              <w:jc w:val="left"/>
            </w:pPr>
            <w:r>
              <w:t xml:space="preserve">242 children, 138 of them untreated and prepubertal; observational</w:t>
            </w:r>
          </w:p>
        </w:tc>
        <w:tc>
          <w:tcPr/>
          <w:p>
            <w:pPr>
              <w:pStyle w:val="Compact"/>
              <w:jc w:val="left"/>
            </w:pPr>
            <w:r>
              <w:t xml:space="preserve">up to 5 years</w:t>
            </w:r>
          </w:p>
        </w:tc>
        <w:tc>
          <w:tcPr/>
          <w:p>
            <w:pPr>
              <w:pStyle w:val="Compact"/>
              <w:jc w:val="left"/>
            </w:pPr>
            <w:r>
              <w:t xml:space="preserve">height gain; 65.3% with side effects</w:t>
            </w:r>
          </w:p>
        </w:tc>
      </w:tr>
      <w:tr>
        <w:tc>
          <w:tcPr/>
          <w:p>
            <w:pPr>
              <w:pStyle w:val="Compact"/>
              <w:jc w:val="left"/>
            </w:pPr>
            <w:r>
              <w:t xml:space="preserve">Registry final height (Ramon-Krauel 2026), PMID 40626687</w:t>
            </w:r>
          </w:p>
        </w:tc>
        <w:tc>
          <w:tcPr/>
          <w:p>
            <w:pPr>
              <w:pStyle w:val="Compact"/>
              <w:jc w:val="left"/>
            </w:pPr>
            <w:r>
              <w:t xml:space="preserve">102 adolescents with near-final height</w:t>
            </w:r>
          </w:p>
        </w:tc>
        <w:tc>
          <w:tcPr/>
          <w:p>
            <w:pPr>
              <w:pStyle w:val="Compact"/>
              <w:jc w:val="left"/>
            </w:pPr>
            <w:r>
              <w:t xml:space="preserve">median 3.9 years</w:t>
            </w:r>
          </w:p>
        </w:tc>
        <w:tc>
          <w:tcPr/>
          <w:p>
            <w:pPr>
              <w:pStyle w:val="Compact"/>
              <w:jc w:val="left"/>
            </w:pPr>
            <w:r>
              <w:t xml:space="preserve">+0.9 SD (early-treated +1.4 SD)</w:t>
            </w:r>
          </w:p>
        </w:tc>
      </w:tr>
      <w:tr>
        <w:tc>
          <w:tcPr/>
          <w:p>
            <w:pPr>
              <w:pStyle w:val="Compact"/>
              <w:jc w:val="left"/>
            </w:pPr>
            <w:r>
              <w:t xml:space="preserve">ALS (Sorenson 2008), PMID 19029516</w:t>
            </w:r>
          </w:p>
        </w:tc>
        <w:tc>
          <w:tcPr/>
          <w:p>
            <w:pPr>
              <w:pStyle w:val="Compact"/>
              <w:jc w:val="left"/>
            </w:pPr>
            <w:r>
              <w:t xml:space="preserve">330 people with ALS, RCT vs. placebo</w:t>
            </w:r>
          </w:p>
        </w:tc>
        <w:tc>
          <w:tcPr/>
          <w:p>
            <w:pPr>
              <w:pStyle w:val="Compact"/>
              <w:jc w:val="left"/>
            </w:pPr>
            <w:r>
              <w:t xml:space="preserve">2 years</w:t>
            </w:r>
          </w:p>
        </w:tc>
        <w:tc>
          <w:tcPr/>
          <w:p>
            <w:pPr>
              <w:pStyle w:val="Compact"/>
              <w:jc w:val="left"/>
            </w:pPr>
            <w:r>
              <w:t xml:space="preserve">no benefit</w:t>
            </w:r>
          </w:p>
        </w:tc>
      </w:tr>
      <w:tr>
        <w:tc>
          <w:tcPr/>
          <w:p>
            <w:pPr>
              <w:pStyle w:val="Compact"/>
              <w:jc w:val="left"/>
            </w:pPr>
            <w:r>
              <w:t xml:space="preserve">Preterm infants (Ley 2019), PMID 30471715</w:t>
            </w:r>
          </w:p>
        </w:tc>
        <w:tc>
          <w:tcPr/>
          <w:p>
            <w:pPr>
              <w:pStyle w:val="Compact"/>
              <w:jc w:val="left"/>
            </w:pPr>
            <w:r>
              <w:t xml:space="preserve">121 extremely preterm infants, RCT vs. standard care</w:t>
            </w:r>
          </w:p>
        </w:tc>
        <w:tc>
          <w:tcPr/>
          <w:p>
            <w:pPr>
              <w:pStyle w:val="Compact"/>
              <w:jc w:val="left"/>
            </w:pPr>
            <w:r>
              <w:t xml:space="preserve">up to week 40</w:t>
            </w:r>
          </w:p>
        </w:tc>
        <w:tc>
          <w:tcPr/>
          <w:p>
            <w:pPr>
              <w:pStyle w:val="Compact"/>
              <w:jc w:val="left"/>
            </w:pPr>
            <w:r>
              <w:t xml:space="preserve">no effect on retina; less severe BPD</w:t>
            </w:r>
          </w:p>
        </w:tc>
      </w:tr>
    </w:tbl>
    <w:bookmarkEnd w:id="1508"/>
    <w:bookmarkEnd w:id="1509"/>
    <w:bookmarkStart w:id="1512" w:name="animal-and-laboratory-studies-31"/>
    <w:p>
      <w:pPr>
        <w:pStyle w:val="Heading3"/>
      </w:pPr>
      <w:r>
        <w:t xml:space="preserve">Animal and laboratory studies</w:t>
      </w:r>
    </w:p>
    <w:p>
      <w:pPr>
        <w:pStyle w:val="FirstParagraph"/>
      </w:pPr>
      <w:r>
        <w:t xml:space="preserve">The effects of IGF-1 on growth, muscle and metabolism have been studied very extensively in animal and cell studies and form the basis of the therapy. Important for the safety question are cell experiments with blood serum from people with Laron syndrome: cells treated with this IGF-1-poor serum and then exposed to oxidative stress had fewer DNA breaks, and damaged cells died more often</w:t>
      </w:r>
      <w:r>
        <w:rPr>
          <w:rStyle w:val="FootnoteReference"/>
        </w:rPr>
        <w:footnoteReference w:id="1510"/>
      </w:r>
      <w:r>
        <w:t xml:space="preserve">. When IGF-1 was added to the serum, these differences disappeared</w:t>
      </w:r>
      <w:r>
        <w:rPr>
          <w:rStyle w:val="FootnoteReference"/>
        </w:rPr>
        <w:footnoteReference w:id="1511"/>
      </w:r>
      <w:r>
        <w:t xml:space="preserve">. IGF-1 thus tends to keep even damaged cells alive – a possible mechanism for a cancer risk.</w:t>
      </w:r>
    </w:p>
    <w:bookmarkEnd w:id="1512"/>
    <w:bookmarkStart w:id="1523" w:name="risks-and-side-effects-31"/>
    <w:p>
      <w:pPr>
        <w:pStyle w:val="Heading3"/>
      </w:pPr>
      <w:r>
        <w:t xml:space="preserve">Risks and side effects</w:t>
      </w:r>
    </w:p>
    <w:p>
      <w:pPr>
        <w:pStyle w:val="FirstParagraph"/>
      </w:pPr>
      <w:r>
        <w:rPr>
          <w:bCs/>
          <w:b/>
        </w:rPr>
        <w:t xml:space="preserve">Established:</w:t>
      </w:r>
    </w:p>
    <w:p>
      <w:pPr>
        <w:numPr>
          <w:ilvl w:val="0"/>
          <w:numId w:val="1176"/>
        </w:numPr>
        <w:pStyle w:val="Compact"/>
      </w:pPr>
      <w:r>
        <w:rPr>
          <w:bCs/>
          <w:b/>
        </w:rPr>
        <w:t xml:space="preserve">Hypoglycemia (low blood sugar)</w:t>
      </w:r>
      <w:r>
        <w:t xml:space="preserve"> </w:t>
      </w:r>
      <w:r>
        <w:t xml:space="preserve">– the most common and most important side effect, especially in young children, in Laron syndrome and after previous hypoglycemia</w:t>
      </w:r>
      <w:r>
        <w:rPr>
          <w:rStyle w:val="FootnoteReference"/>
        </w:rPr>
        <w:footnoteReference w:id="1513"/>
      </w:r>
      <w:r>
        <w:t xml:space="preserve">. The prescribing information therefore requires a close temporal link with meals; it governs the details itself.</w:t>
      </w:r>
    </w:p>
    <w:p>
      <w:pPr>
        <w:numPr>
          <w:ilvl w:val="0"/>
          <w:numId w:val="1176"/>
        </w:numPr>
        <w:pStyle w:val="Compact"/>
      </w:pPr>
      <w:r>
        <w:rPr>
          <w:bCs/>
          <w:b/>
        </w:rPr>
        <w:t xml:space="preserve">Enlargement of the tonsils and adenoids</w:t>
      </w:r>
      <w:r>
        <w:t xml:space="preserve"> </w:t>
      </w:r>
      <w:r>
        <w:t xml:space="preserve">(22%) and changes in fatty tissue at the injection site (32%)</w:t>
      </w:r>
      <w:r>
        <w:rPr>
          <w:rStyle w:val="FootnoteReference"/>
        </w:rPr>
        <w:footnoteReference w:id="1514"/>
      </w:r>
      <w:r>
        <w:t xml:space="preserve">.</w:t>
      </w:r>
    </w:p>
    <w:p>
      <w:pPr>
        <w:numPr>
          <w:ilvl w:val="0"/>
          <w:numId w:val="1176"/>
        </w:numPr>
        <w:pStyle w:val="Compact"/>
      </w:pPr>
      <w:r>
        <w:t xml:space="preserve">In the preterm infant trial, numerically more fatal serious events occurred on IGF-1/IGFBP-3 than on standard care</w:t>
      </w:r>
      <w:r>
        <w:rPr>
          <w:rStyle w:val="FootnoteReference"/>
        </w:rPr>
        <w:footnoteReference w:id="1515"/>
      </w:r>
      <w:r>
        <w:t xml:space="preserve">; the trial was not designed to evaluate this difference.</w:t>
      </w:r>
    </w:p>
    <w:p>
      <w:pPr>
        <w:pStyle w:val="FirstParagraph"/>
      </w:pPr>
      <w:r>
        <w:rPr>
          <w:bCs/>
          <w:b/>
        </w:rPr>
        <w:t xml:space="preserve">Cancer risk – what is established and what is not:</w:t>
      </w:r>
    </w:p>
    <w:p>
      <w:pPr>
        <w:pStyle w:val="BodyText"/>
      </w:pPr>
      <w:r>
        <w:t xml:space="preserve">IGF-1 is a growth and survival signal for cells. The concern that more IGF-1 increases cancer risk is therefore biologically plausible and is supported by several types of findings:</w:t>
      </w:r>
    </w:p>
    <w:p>
      <w:pPr>
        <w:numPr>
          <w:ilvl w:val="0"/>
          <w:numId w:val="1177"/>
        </w:numPr>
        <w:pStyle w:val="Compact"/>
      </w:pPr>
      <w:r>
        <w:rPr>
          <w:iCs/>
          <w:i/>
        </w:rPr>
        <w:t xml:space="preserve">Observational studies:</w:t>
      </w:r>
      <w:r>
        <w:t xml:space="preserve"> </w:t>
      </w:r>
      <w:r>
        <w:t xml:space="preserve">People with higher IGF-1 levels in the blood are somewhat more likely to develop prostate cancer and premenopausal breast cancer</w:t>
      </w:r>
      <w:r>
        <w:rPr>
          <w:rStyle w:val="FootnoteReference"/>
        </w:rPr>
        <w:footnoteReference w:id="1516"/>
      </w:r>
      <w:r>
        <w:t xml:space="preserve">. In the UK Biobank, each increase of 5 nmol/L was associated with an 11% higher breast cancer risk</w:t>
      </w:r>
      <w:r>
        <w:rPr>
          <w:rStyle w:val="FootnoteReference"/>
        </w:rPr>
        <w:footnoteReference w:id="1517"/>
      </w:r>
      <w:r>
        <w:t xml:space="preserve">; similar associations are seen for colorectal cancer</w:t>
      </w:r>
      <w:r>
        <w:rPr>
          <w:rStyle w:val="FootnoteReference"/>
        </w:rPr>
        <w:footnoteReference w:id="1518"/>
      </w:r>
      <w:r>
        <w:t xml:space="preserve"> </w:t>
      </w:r>
      <w:r>
        <w:t xml:space="preserve">and prostate cancer</w:t>
      </w:r>
      <w:r>
        <w:rPr>
          <w:rStyle w:val="FootnoteReference"/>
        </w:rPr>
        <w:footnoteReference w:id="1519"/>
      </w:r>
      <w:r>
        <w:t xml:space="preserve">.</w:t>
      </w:r>
    </w:p>
    <w:p>
      <w:pPr>
        <w:numPr>
          <w:ilvl w:val="0"/>
          <w:numId w:val="1177"/>
        </w:numPr>
        <w:pStyle w:val="Compact"/>
      </w:pPr>
      <w:r>
        <w:rPr>
          <w:iCs/>
          <w:i/>
        </w:rPr>
        <w:t xml:space="preserve">Genetic analyses (Mendelian randomization):</w:t>
      </w:r>
      <w:r>
        <w:t xml:space="preserve"> </w:t>
      </w:r>
      <w:r>
        <w:t xml:space="preserve">People who have genetically determined higher IGF-1 levels are also somewhat more likely to develop breast and colorectal cancer – an indication that the association could be causal</w:t>
      </w:r>
      <w:r>
        <w:rPr>
          <w:rStyle w:val="FootnoteReference"/>
        </w:rPr>
        <w:footnoteReference w:id="1520"/>
      </w:r>
      <w:r>
        <w:t xml:space="preserve">.</w:t>
      </w:r>
    </w:p>
    <w:p>
      <w:pPr>
        <w:numPr>
          <w:ilvl w:val="0"/>
          <w:numId w:val="1177"/>
        </w:numPr>
        <w:pStyle w:val="Compact"/>
      </w:pPr>
      <w:r>
        <w:rPr>
          <w:iCs/>
          <w:i/>
        </w:rPr>
        <w:t xml:space="preserve">The counterpart:</w:t>
      </w:r>
      <w:r>
        <w:t xml:space="preserve"> </w:t>
      </w:r>
      <w:r>
        <w:t xml:space="preserve">In an Ecuadorian group with Laron syndrome, that is, lifelong IGF-1 deficiency, only a single, nonfatal cancer occurred over 22 years of observation, compared with 17% in unaffected relatives</w:t>
      </w:r>
      <w:r>
        <w:rPr>
          <w:rStyle w:val="FootnoteReference"/>
        </w:rPr>
        <w:footnoteReference w:id="1521"/>
      </w:r>
      <w:r>
        <w:t xml:space="preserve">.</w:t>
      </w:r>
    </w:p>
    <w:p>
      <w:pPr>
        <w:pStyle w:val="FirstParagraph"/>
      </w:pPr>
      <w:r>
        <w:t xml:space="preserve">The magnitude is important: the measured risk increases with naturally higher IGF-1 are moderate (depending on the comparison and type of cancer, mostly between about 5 and 65% in relative terms). For the children for whom mecasermin is approved, a missing hormone is being replaced, not a normal level being raised. Nevertheless, after market launch, cases of benign and malignant neoplasms were reported in treated children; the prescribing information in the EU and USA was subsequently supplemented with corresponding warnings, and mecasermin must not be used in active or suspected cancer (as of 2026, see the current prescribing information for details). Whether there is a causal relationship cannot be determined from individual reports; the long-term registry</w:t>
      </w:r>
      <w:r>
        <w:rPr>
          <w:rStyle w:val="FootnoteReference"/>
        </w:rPr>
        <w:footnoteReference w:id="1522"/>
      </w:r>
      <w:r>
        <w:t xml:space="preserve"> </w:t>
      </w:r>
      <w:r>
        <w:t xml:space="preserve">is intended to provide data on this.</w:t>
      </w:r>
    </w:p>
    <w:p>
      <w:pPr>
        <w:pStyle w:val="BodyText"/>
      </w:pPr>
      <w:r>
        <w:t xml:space="preserve">For adults who use IGF-1 without a deficiency to enhance performance or for</w:t>
      </w:r>
      <w:r>
        <w:t xml:space="preserve"> </w:t>
      </w:r>
      <w:r>
        <w:t xml:space="preserve">“</w:t>
      </w:r>
      <w:r>
        <w:t xml:space="preserve">rejuvenation,</w:t>
      </w:r>
      <w:r>
        <w:t xml:space="preserve">”</w:t>
      </w:r>
      <w:r>
        <w:t xml:space="preserve"> </w:t>
      </w:r>
      <w:r>
        <w:t xml:space="preserve">these considerations should be taken much more seriously: here a normal level would be permanently raised – exactly the situation that is associated with a higher risk in the observational studies. The topic is discussed in detail in Part IV.</w:t>
      </w:r>
    </w:p>
    <w:bookmarkEnd w:id="1523"/>
    <w:bookmarkStart w:id="1526" w:name="legal-status-31"/>
    <w:p>
      <w:pPr>
        <w:pStyle w:val="Heading3"/>
      </w:pPr>
      <w:r>
        <w:t xml:space="preserve">Legal status</w:t>
      </w:r>
    </w:p>
    <w:p>
      <w:pPr>
        <w:pStyle w:val="FirstParagraph"/>
      </w:pPr>
      <w:r>
        <w:rPr>
          <w:iCs/>
          <w:i/>
        </w:rPr>
        <w:t xml:space="preserve">As of 2026, please check for updates.</w:t>
      </w:r>
    </w:p>
    <w:p>
      <w:pPr>
        <w:numPr>
          <w:ilvl w:val="0"/>
          <w:numId w:val="1178"/>
        </w:numPr>
        <w:pStyle w:val="Compact"/>
      </w:pPr>
      <w:r>
        <w:rPr>
          <w:bCs/>
          <w:b/>
        </w:rPr>
        <w:t xml:space="preserve">EU, Germany, Austria:</w:t>
      </w:r>
      <w:r>
        <w:t xml:space="preserve"> </w:t>
      </w:r>
      <w:r>
        <w:t xml:space="preserve">approved (Increlex) exclusively for children and adolescents with severe primary IGF-1 deficiency; prescription only, treatment by physicians experienced in pediatric endocrinology according to the prescribing information. The EU approval is tied to data collection in the long-term registry</w:t>
      </w:r>
      <w:r>
        <w:rPr>
          <w:rStyle w:val="FootnoteReference"/>
        </w:rPr>
        <w:footnoteReference w:id="1524"/>
      </w:r>
      <w:r>
        <w:t xml:space="preserve">.</w:t>
      </w:r>
    </w:p>
    <w:p>
      <w:pPr>
        <w:numPr>
          <w:ilvl w:val="0"/>
          <w:numId w:val="1178"/>
        </w:numPr>
        <w:pStyle w:val="Compact"/>
      </w:pPr>
      <w:r>
        <w:rPr>
          <w:bCs/>
          <w:b/>
        </w:rPr>
        <w:t xml:space="preserve">USA:</w:t>
      </w:r>
      <w:r>
        <w:t xml:space="preserve"> </w:t>
      </w:r>
      <w:r>
        <w:t xml:space="preserve">approved (Increlex) for the same indication.</w:t>
      </w:r>
    </w:p>
    <w:p>
      <w:pPr>
        <w:numPr>
          <w:ilvl w:val="0"/>
          <w:numId w:val="1178"/>
        </w:numPr>
        <w:pStyle w:val="Compact"/>
      </w:pPr>
      <w:r>
        <w:rPr>
          <w:bCs/>
          <w:b/>
        </w:rPr>
        <w:t xml:space="preserve">Other uses</w:t>
      </w:r>
      <w:r>
        <w:t xml:space="preserve"> </w:t>
      </w:r>
      <w:r>
        <w:t xml:space="preserve">(adults, sport, anti-aging) are not approved.</w:t>
      </w:r>
    </w:p>
    <w:p>
      <w:pPr>
        <w:numPr>
          <w:ilvl w:val="0"/>
          <w:numId w:val="1178"/>
        </w:numPr>
        <w:pStyle w:val="Compact"/>
      </w:pPr>
      <w:r>
        <w:rPr>
          <w:bCs/>
          <w:b/>
        </w:rPr>
        <w:t xml:space="preserve">WADA:</w:t>
      </w:r>
      <w:r>
        <w:t xml:space="preserve"> </w:t>
      </w:r>
      <w:r>
        <w:t xml:space="preserve">prohibited (S2). For detecting IGF-1 misuse, marker methods similar to those of the growth hormone test are being developed</w:t>
      </w:r>
      <w:r>
        <w:rPr>
          <w:rStyle w:val="FootnoteReference"/>
        </w:rPr>
        <w:footnoteReference w:id="1525"/>
      </w:r>
      <w:r>
        <w:t xml:space="preserve">.</w:t>
      </w:r>
    </w:p>
    <w:bookmarkEnd w:id="1526"/>
    <w:bookmarkStart w:id="1528" w:name="ongoing-studies-and-outlook-31"/>
    <w:p>
      <w:pPr>
        <w:pStyle w:val="Heading3"/>
      </w:pPr>
      <w:r>
        <w:t xml:space="preserve">Ongoing studies and outlook</w:t>
      </w:r>
    </w:p>
    <w:p>
      <w:pPr>
        <w:pStyle w:val="FirstParagraph"/>
      </w:pPr>
      <w:r>
        <w:rPr>
          <w:iCs/>
          <w:i/>
        </w:rPr>
        <w:t xml:space="preserve">Established:</w:t>
      </w:r>
      <w:r>
        <w:t xml:space="preserve"> </w:t>
      </w:r>
      <w:r>
        <w:t xml:space="preserve">The global Increlex registry</w:t>
      </w:r>
      <w:r>
        <w:rPr>
          <w:rStyle w:val="FootnoteReference"/>
        </w:rPr>
        <w:footnoteReference w:id="1527"/>
      </w:r>
      <w:r>
        <w:t xml:space="preserve"> </w:t>
      </w:r>
      <w:r>
        <w:t xml:space="preserve">is scheduled to run until the end of 2027 according to its entry. A phase 2 trial of IGF-1/IGFBP-3 for the prevention of bronchopulmonary dysplasia in extremely preterm infants (NCT03253263, 295 infants) is active but no longer recruiting.</w:t>
      </w:r>
      <w:r>
        <w:t xml:space="preserve"> </w:t>
      </w:r>
      <w:r>
        <w:rPr>
          <w:iCs/>
          <w:i/>
        </w:rPr>
        <w:t xml:space="preserve">Author’s assessment:</w:t>
      </w:r>
      <w:r>
        <w:t xml:space="preserve"> </w:t>
      </w:r>
      <w:r>
        <w:t xml:space="preserve">New approvals for adults are not in sight; the significance of mecasermin will remain limited to rare growth disorders and possibly neonatal medicine for preterm infants.</w:t>
      </w:r>
    </w:p>
    <w:bookmarkEnd w:id="1528"/>
    <w:bookmarkStart w:id="1529" w:name="conclusion-31"/>
    <w:p>
      <w:pPr>
        <w:pStyle w:val="Heading3"/>
      </w:pPr>
      <w:r>
        <w:t xml:space="preserve">Conclusion</w:t>
      </w:r>
    </w:p>
    <w:p>
      <w:pPr>
        <w:pStyle w:val="FirstParagraph"/>
      </w:pPr>
      <w:r>
        <w:t xml:space="preserve">Mecasermin replaces the missing IGF-1 in children with severe primary IGF-1 deficiency and markedly improves their growth, especially when treatment starts early. The most common side effect is hypoglycemia; after reports of neoplasms, the warnings were strengthened. In other uses, such as ALS, IGF-1 brought no benefit. For healthy people, its use is neither supported by evidence nor justifiable, because persistently elevated IGF-1 is associated with a somewhat higher cancer risk in large observational and genetic studies.</w:t>
      </w:r>
    </w:p>
    <w:bookmarkEnd w:id="1529"/>
    <w:bookmarkEnd w:id="1530"/>
    <w:bookmarkStart w:id="1560" w:name="igf-1-lr3"/>
    <w:p>
      <w:pPr>
        <w:pStyle w:val="Heading2"/>
      </w:pPr>
      <w:r>
        <w:t xml:space="preserve">IGF-1 LR3</w:t>
      </w:r>
    </w:p>
    <w:p>
      <w:pPr>
        <w:pStyle w:val="FirstParagraph"/>
      </w:pPr>
      <w:r>
        <w:t xml:space="preserve">IGF-1 LR3 (in full,</w:t>
      </w:r>
      <w:r>
        <w:t xml:space="preserve"> </w:t>
      </w:r>
      <w:r>
        <w:t xml:space="preserve">“</w:t>
      </w:r>
      <w:r>
        <w:t xml:space="preserve">Long-R3-IGF-I</w:t>
      </w:r>
      <w:r>
        <w:t xml:space="preserve">”</w:t>
      </w:r>
      <w:r>
        <w:t xml:space="preserve">) is not a medicine but a laboratory reagent. It was developed to help cell cultures grow better in biotechnology and is used in animal experiments. The fact that it is sold on the internet in vials for injection is a prime example of the</w:t>
      </w:r>
      <w:r>
        <w:t xml:space="preserve"> </w:t>
      </w:r>
      <w:r>
        <w:t xml:space="preserve">“</w:t>
      </w:r>
      <w:r>
        <w:t xml:space="preserve">research peptide</w:t>
      </w:r>
      <w:r>
        <w:t xml:space="preserve">”</w:t>
      </w:r>
      <w:r>
        <w:t xml:space="preserve"> </w:t>
      </w:r>
      <w:r>
        <w:t xml:space="preserve">market: a substance that was never intended for humans, has never been tested in humans, and whose properties amplify precisely the risks that are a concern with natural IGF-1.</w:t>
      </w:r>
    </w:p>
    <w:bookmarkStart w:id="1532" w:name="profile-32"/>
    <w:p>
      <w:pPr>
        <w:pStyle w:val="Heading3"/>
      </w:pPr>
      <w:r>
        <w:t xml:space="preserve">Profile</w:t>
      </w:r>
    </w:p>
    <w:p>
      <w:pPr>
        <w:numPr>
          <w:ilvl w:val="0"/>
          <w:numId w:val="1179"/>
        </w:numPr>
        <w:pStyle w:val="Compact"/>
      </w:pPr>
      <w:r>
        <w:rPr>
          <w:bCs/>
          <w:b/>
        </w:rPr>
        <w:t xml:space="preserve">Type and structure:</w:t>
      </w:r>
      <w:r>
        <w:t xml:space="preserve"> </w:t>
      </w:r>
      <w:r>
        <w:t xml:space="preserve">modified human IGF-1: position 3 carries the amino acid arginine (</w:t>
      </w:r>
      <w:r>
        <w:t xml:space="preserve">“</w:t>
      </w:r>
      <w:r>
        <w:t xml:space="preserve">R3</w:t>
      </w:r>
      <w:r>
        <w:t xml:space="preserve">”</w:t>
      </w:r>
      <w:r>
        <w:t xml:space="preserve">), and an additional amino acid chain has been attached at the beginning (</w:t>
      </w:r>
      <w:r>
        <w:t xml:space="preserve">“</w:t>
      </w:r>
      <w:r>
        <w:t xml:space="preserve">Long</w:t>
      </w:r>
      <w:r>
        <w:t xml:space="preserve">”</w:t>
      </w:r>
      <w:r>
        <w:t xml:space="preserve">). Both greatly reduce binding to the IGF-binding proteins</w:t>
      </w:r>
      <w:r>
        <w:rPr>
          <w:rStyle w:val="FootnoteReference"/>
        </w:rPr>
        <w:footnoteReference w:id="1531"/>
      </w:r>
      <w:r>
        <w:t xml:space="preserve">.</w:t>
      </w:r>
    </w:p>
    <w:p>
      <w:pPr>
        <w:numPr>
          <w:ilvl w:val="0"/>
          <w:numId w:val="1179"/>
        </w:numPr>
        <w:pStyle w:val="Compact"/>
      </w:pPr>
      <w:r>
        <w:rPr>
          <w:bCs/>
          <w:b/>
        </w:rPr>
        <w:t xml:space="preserve">Origin:</w:t>
      </w:r>
      <w:r>
        <w:t xml:space="preserve"> </w:t>
      </w:r>
      <w:r>
        <w:t xml:space="preserve">described as a research tool in the early 1990s; today commercially available as an additive for cell culture media.</w:t>
      </w:r>
    </w:p>
    <w:p>
      <w:pPr>
        <w:numPr>
          <w:ilvl w:val="0"/>
          <w:numId w:val="1179"/>
        </w:numPr>
        <w:pStyle w:val="Compact"/>
      </w:pPr>
      <w:r>
        <w:rPr>
          <w:bCs/>
          <w:b/>
        </w:rPr>
        <w:t xml:space="preserve">Mechanism of action:</w:t>
      </w:r>
      <w:r>
        <w:t xml:space="preserve"> </w:t>
      </w:r>
      <w:r>
        <w:t xml:space="preserve">binds to the IGF-1 receptor like IGF-1; because it is hardly captured by binding proteins, it circulates in the blood mostly free and therefore directly active.</w:t>
      </w:r>
    </w:p>
    <w:p>
      <w:pPr>
        <w:numPr>
          <w:ilvl w:val="0"/>
          <w:numId w:val="1179"/>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 Not approved as a medicine anywhere, nor ever applied for.</w:t>
      </w:r>
    </w:p>
    <w:p>
      <w:pPr>
        <w:numPr>
          <w:ilvl w:val="0"/>
          <w:numId w:val="1179"/>
        </w:numPr>
        <w:pStyle w:val="Compact"/>
      </w:pPr>
      <w:r>
        <w:rPr>
          <w:bCs/>
          <w:b/>
        </w:rPr>
        <w:t xml:space="preserve">WADA:</w:t>
      </w:r>
      <w:r>
        <w:t xml:space="preserve"> </w:t>
      </w:r>
      <w:r>
        <w:t xml:space="preserve">prohibited, class S2 (IGF-1 analogs as growth factors).</w:t>
      </w:r>
    </w:p>
    <w:p>
      <w:pPr>
        <w:numPr>
          <w:ilvl w:val="0"/>
          <w:numId w:val="1179"/>
        </w:numPr>
        <w:pStyle w:val="Compact"/>
      </w:pPr>
      <w:r>
        <w:rPr>
          <w:bCs/>
          <w:b/>
        </w:rPr>
        <w:t xml:space="preserve">Evidence level: D</w:t>
      </w:r>
      <w:r>
        <w:t xml:space="preserve"> </w:t>
      </w:r>
      <w:r>
        <w:t xml:space="preserve">– not a single study in humans; only animal and laboratory studies.</w:t>
      </w:r>
    </w:p>
    <w:bookmarkEnd w:id="1532"/>
    <w:bookmarkStart w:id="1536" w:name="how-it-is-supposed-to-work-32"/>
    <w:p>
      <w:pPr>
        <w:pStyle w:val="Heading3"/>
      </w:pPr>
      <w:r>
        <w:t xml:space="preserve">How it is supposed to work</w:t>
      </w:r>
    </w:p>
    <w:p>
      <w:pPr>
        <w:pStyle w:val="FirstParagraph"/>
      </w:pPr>
      <w:r>
        <w:t xml:space="preserve">In the blood, almost all IGF-1 is coupled to binding proteins, mainly IGFBP-3. These proteins act like a buffer: they extend the lifespan of IGF-1 but also keep it away from cells and thus dampen its effect. In cell experiments, IGFBP-3 inhibited the activation of the IGF-1 receptor by IGF-1 and also by Long-R3-IGF-I by capturing the messengers</w:t>
      </w:r>
      <w:r>
        <w:rPr>
          <w:rStyle w:val="FootnoteReference"/>
        </w:rPr>
        <w:footnoteReference w:id="1533"/>
      </w:r>
      <w:r>
        <w:t xml:space="preserve">.</w:t>
      </w:r>
    </w:p>
    <w:p>
      <w:pPr>
        <w:pStyle w:val="BodyText"/>
      </w:pPr>
      <w:r>
        <w:t xml:space="preserve">LR3 was modified so that it largely escapes this buffer. In rats, it was present in the blood mostly as free peptide and – in nonpregnant animals – was removed from the blood about ten times faster than IGF-1, meaning it disappears rapidly into the tissues</w:t>
      </w:r>
      <w:r>
        <w:rPr>
          <w:rStyle w:val="FootnoteReference"/>
        </w:rPr>
        <w:footnoteReference w:id="1534"/>
      </w:r>
      <w:r>
        <w:t xml:space="preserve">. In diabetic rats, it was 2.5 to 3 times as effective as IGF-1 in restoring growth</w:t>
      </w:r>
      <w:r>
        <w:rPr>
          <w:rStyle w:val="FootnoteReference"/>
        </w:rPr>
        <w:footnoteReference w:id="1535"/>
      </w:r>
      <w:r>
        <w:t xml:space="preserve">. On the gray market, this gives rise to the expectation that LR3 builds more muscle in humans than natural IGF-1. There is no evidence for this.</w:t>
      </w:r>
    </w:p>
    <w:bookmarkEnd w:id="1536"/>
    <w:bookmarkStart w:id="1540" w:name="human-studies-32"/>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no</w:t>
      </w:r>
      <w:r>
        <w:t xml:space="preserve"> </w:t>
      </w:r>
      <w:r>
        <w:t xml:space="preserve">human study in PubMed (</w:t>
      </w:r>
      <w:r>
        <w:rPr>
          <w:rStyle w:val="VerbatimChar"/>
        </w:rPr>
        <w:t xml:space="preserve">humanstudien_alle</w:t>
      </w:r>
      <w:r>
        <w:t xml:space="preserve">: 0) and</w:t>
      </w:r>
      <w:r>
        <w:t xml:space="preserve"> </w:t>
      </w:r>
      <w:r>
        <w:rPr>
          <w:bCs/>
          <w:b/>
        </w:rPr>
        <w:t xml:space="preserve">no</w:t>
      </w:r>
      <w:r>
        <w:t xml:space="preserve"> </w:t>
      </w:r>
      <w:r>
        <w:t xml:space="preserve">entry on ClinicalTrials.gov. A targeted follow-up search for pilot studies or case reports of poisoning or side effects also found no publication in which humans received IGF-1 LR3.</w:t>
      </w:r>
    </w:p>
    <w:p>
      <w:pPr>
        <w:pStyle w:val="BodyText"/>
      </w:pPr>
      <w:r>
        <w:t xml:space="preserve">All that was found were:</w:t>
      </w:r>
    </w:p>
    <w:p>
      <w:pPr>
        <w:numPr>
          <w:ilvl w:val="0"/>
          <w:numId w:val="1180"/>
        </w:numPr>
        <w:pStyle w:val="Compact"/>
      </w:pPr>
      <w:r>
        <w:rPr>
          <w:bCs/>
          <w:b/>
        </w:rPr>
        <w:t xml:space="preserve">Gray-market analyses:</w:t>
      </w:r>
      <w:r>
        <w:t xml:space="preserve"> </w:t>
      </w:r>
      <w:r>
        <w:t xml:space="preserve">A doping laboratory found Long-R3-IGF-I with a so-called His-tag in an injection vial from the black market – an appendage of six histidine building blocks used for purification in the production of laboratory proteins. The authors suspect that it was a by-product from biochemical research, not a preparation made for injection; the effect of this variant in humans is completely unknown</w:t>
      </w:r>
      <w:r>
        <w:rPr>
          <w:rStyle w:val="FootnoteReference"/>
        </w:rPr>
        <w:footnoteReference w:id="1537"/>
      </w:r>
      <w:r>
        <w:t xml:space="preserve">. Another research group found numerous signs of low-quality, oxidized peptide forms in black-market products</w:t>
      </w:r>
      <w:r>
        <w:rPr>
          <w:rStyle w:val="FootnoteReference"/>
        </w:rPr>
        <w:footnoteReference w:id="1538"/>
      </w:r>
      <w:r>
        <w:t xml:space="preserve">.</w:t>
      </w:r>
    </w:p>
    <w:p>
      <w:pPr>
        <w:numPr>
          <w:ilvl w:val="0"/>
          <w:numId w:val="1180"/>
        </w:numPr>
        <w:pStyle w:val="Compact"/>
      </w:pPr>
      <w:r>
        <w:rPr>
          <w:bCs/>
          <w:b/>
        </w:rPr>
        <w:t xml:space="preserve">Doping reviews:</w:t>
      </w:r>
      <w:r>
        <w:t xml:space="preserve"> </w:t>
      </w:r>
      <w:r>
        <w:t xml:space="preserve">IGF-1 and its analogs are advertised on the internet and have been available on the black market for years</w:t>
      </w:r>
      <w:r>
        <w:rPr>
          <w:rStyle w:val="FootnoteReference"/>
        </w:rPr>
        <w:footnoteReference w:id="1539"/>
      </w:r>
      <w:r>
        <w:t xml:space="preserve">.</w:t>
      </w:r>
    </w:p>
    <w:bookmarkEnd w:id="1540"/>
    <w:bookmarkStart w:id="1548" w:name="animal-and-laboratory-studies-32"/>
    <w:p>
      <w:pPr>
        <w:pStyle w:val="Heading3"/>
      </w:pPr>
      <w:r>
        <w:t xml:space="preserve">Animal and laboratory studies</w:t>
      </w:r>
    </w:p>
    <w:p>
      <w:pPr>
        <w:pStyle w:val="FirstParagraph"/>
      </w:pPr>
      <w:r>
        <w:t xml:space="preserve">Almost all research on LR3 comes from livestock and developmental biology:</w:t>
      </w:r>
    </w:p>
    <w:p>
      <w:pPr>
        <w:numPr>
          <w:ilvl w:val="0"/>
          <w:numId w:val="1181"/>
        </w:numPr>
        <w:pStyle w:val="Compact"/>
      </w:pPr>
      <w:r>
        <w:rPr>
          <w:bCs/>
          <w:b/>
        </w:rPr>
        <w:t xml:space="preserve">Rats:</w:t>
      </w:r>
      <w:r>
        <w:t xml:space="preserve"> </w:t>
      </w:r>
      <w:r>
        <w:t xml:space="preserve">rapid distribution into tissue, mostly as free peptide</w:t>
      </w:r>
      <w:r>
        <w:rPr>
          <w:rStyle w:val="FootnoteReference"/>
        </w:rPr>
        <w:footnoteReference w:id="1541"/>
      </w:r>
      <w:r>
        <w:t xml:space="preserve">; stronger growth effect than IGF-1 in diabetic rats, without reducing glucose excretion in urine</w:t>
      </w:r>
      <w:r>
        <w:rPr>
          <w:rStyle w:val="FootnoteReference"/>
        </w:rPr>
        <w:footnoteReference w:id="1542"/>
      </w:r>
      <w:r>
        <w:t xml:space="preserve">.</w:t>
      </w:r>
    </w:p>
    <w:p>
      <w:pPr>
        <w:numPr>
          <w:ilvl w:val="0"/>
          <w:numId w:val="1181"/>
        </w:numPr>
        <w:pStyle w:val="Compact"/>
      </w:pPr>
      <w:r>
        <w:rPr>
          <w:bCs/>
          <w:b/>
        </w:rPr>
        <w:t xml:space="preserve">Pigs:</w:t>
      </w:r>
      <w:r>
        <w:t xml:space="preserve"> </w:t>
      </w:r>
      <w:r>
        <w:t xml:space="preserve">A four-day infusion</w:t>
      </w:r>
      <w:r>
        <w:t xml:space="preserve"> </w:t>
      </w:r>
      <w:r>
        <w:rPr>
          <w:bCs/>
          <w:b/>
        </w:rPr>
        <w:t xml:space="preserve">reduced</w:t>
      </w:r>
      <w:r>
        <w:t xml:space="preserve"> </w:t>
      </w:r>
      <w:r>
        <w:t xml:space="preserve">weight gain and feed intake in fattening pigs and suppressed the endogenous levels of growth hormone, IGF-1, IGFBP-3 and insulin</w:t>
      </w:r>
      <w:r>
        <w:rPr>
          <w:rStyle w:val="FootnoteReference"/>
        </w:rPr>
        <w:footnoteReference w:id="1543"/>
      </w:r>
      <w:r>
        <w:t xml:space="preserve">.</w:t>
      </w:r>
    </w:p>
    <w:p>
      <w:pPr>
        <w:numPr>
          <w:ilvl w:val="0"/>
          <w:numId w:val="1181"/>
        </w:numPr>
        <w:pStyle w:val="Compact"/>
      </w:pPr>
      <w:r>
        <w:rPr>
          <w:bCs/>
          <w:b/>
        </w:rPr>
        <w:t xml:space="preserve">Guinea pigs:</w:t>
      </w:r>
      <w:r>
        <w:t xml:space="preserve"> </w:t>
      </w:r>
      <w:r>
        <w:t xml:space="preserve">Organs such as the intestine, kidneys, spleen and adrenal glands became heavier, but overall body growth did not increase</w:t>
      </w:r>
      <w:r>
        <w:rPr>
          <w:rStyle w:val="FootnoteReference"/>
        </w:rPr>
        <w:footnoteReference w:id="1544"/>
      </w:r>
      <w:r>
        <w:t xml:space="preserve">.</w:t>
      </w:r>
    </w:p>
    <w:p>
      <w:pPr>
        <w:numPr>
          <w:ilvl w:val="0"/>
          <w:numId w:val="1181"/>
        </w:numPr>
        <w:pStyle w:val="Compact"/>
      </w:pPr>
      <w:r>
        <w:rPr>
          <w:bCs/>
          <w:b/>
        </w:rPr>
        <w:t xml:space="preserve">Sheep fetuses:</w:t>
      </w:r>
      <w:r>
        <w:t xml:space="preserve"> </w:t>
      </w:r>
      <w:r>
        <w:t xml:space="preserve">In normally growing fetuses, LR3 lowered insulin secretion; a short infusion reduced insulin levels during a glucose challenge by 66%</w:t>
      </w:r>
      <w:r>
        <w:rPr>
          <w:rStyle w:val="FootnoteReference"/>
        </w:rPr>
        <w:footnoteReference w:id="1545"/>
      </w:r>
      <w:r>
        <w:t xml:space="preserve">. In growth-restricted fetuses, a one-week treatment did not improve growth</w:t>
      </w:r>
      <w:r>
        <w:rPr>
          <w:rStyle w:val="FootnoteReference"/>
        </w:rPr>
        <w:footnoteReference w:id="1546"/>
      </w:r>
      <w:r>
        <w:t xml:space="preserve">.</w:t>
      </w:r>
    </w:p>
    <w:p>
      <w:pPr>
        <w:numPr>
          <w:ilvl w:val="0"/>
          <w:numId w:val="1181"/>
        </w:numPr>
        <w:pStyle w:val="Compact"/>
      </w:pPr>
      <w:r>
        <w:rPr>
          <w:bCs/>
          <w:b/>
        </w:rPr>
        <w:t xml:space="preserve">Mice:</w:t>
      </w:r>
      <w:r>
        <w:t xml:space="preserve"> </w:t>
      </w:r>
      <w:r>
        <w:t xml:space="preserve">In an Alzheimer’s model, LR3 given as a nasal spray altered amyloid deposits but did not prevent memory loss</w:t>
      </w:r>
      <w:r>
        <w:rPr>
          <w:rStyle w:val="FootnoteReference"/>
        </w:rPr>
        <w:footnoteReference w:id="1547"/>
      </w:r>
      <w:r>
        <w:t xml:space="preserve">.</w:t>
      </w:r>
    </w:p>
    <w:p>
      <w:pPr>
        <w:pStyle w:val="FirstParagraph"/>
      </w:pPr>
      <w:r>
        <w:t xml:space="preserve">The animal data are contradictory: depending on the species, LR3 promoted growth, had no effect, or even inhibited growth. Extrapolation to humans is not possible.</w:t>
      </w:r>
    </w:p>
    <w:bookmarkEnd w:id="1548"/>
    <w:bookmarkStart w:id="1555" w:name="risks-and-side-effects-32"/>
    <w:p>
      <w:pPr>
        <w:pStyle w:val="Heading3"/>
      </w:pPr>
      <w:r>
        <w:t xml:space="preserve">Risks and side effects</w:t>
      </w:r>
    </w:p>
    <w:p>
      <w:pPr>
        <w:pStyle w:val="FirstParagraph"/>
      </w:pPr>
      <w:r>
        <w:t xml:space="preserve">Because there are no human studies, the risks can only be inferred from biology and from experience with natural IGF-1 (mecasermin). These inferences are</w:t>
      </w:r>
      <w:r>
        <w:t xml:space="preserve"> </w:t>
      </w:r>
      <w:r>
        <w:rPr>
          <w:bCs/>
          <w:b/>
        </w:rPr>
        <w:t xml:space="preserve">theoretical</w:t>
      </w:r>
      <w:r>
        <w:t xml:space="preserve"> </w:t>
      </w:r>
      <w:r>
        <w:t xml:space="preserve">but well founded:</w:t>
      </w:r>
    </w:p>
    <w:p>
      <w:pPr>
        <w:numPr>
          <w:ilvl w:val="0"/>
          <w:numId w:val="1182"/>
        </w:numPr>
        <w:pStyle w:val="Compact"/>
      </w:pPr>
      <w:r>
        <w:rPr>
          <w:bCs/>
          <w:b/>
        </w:rPr>
        <w:t xml:space="preserve">Hypoglycemia (low blood sugar):</w:t>
      </w:r>
      <w:r>
        <w:t xml:space="preserve"> </w:t>
      </w:r>
      <w:r>
        <w:t xml:space="preserve">At higher doses, IGF-1 acts similarly to insulin. With the approved mecasermin, hypoglycemia is the most common side effect, even though the buffer of the binding proteins is largely preserved there</w:t>
      </w:r>
      <w:r>
        <w:rPr>
          <w:rStyle w:val="FootnoteReference"/>
        </w:rPr>
        <w:footnoteReference w:id="1549"/>
      </w:r>
      <w:r>
        <w:t xml:space="preserve">. An analog that specifically escapes this buffer could act more strongly and less predictably. This has not been measured in humans. In the animal experiments, insulin levels sometimes fell</w:t>
      </w:r>
      <w:r>
        <w:rPr>
          <w:rStyle w:val="FootnoteReference"/>
        </w:rPr>
        <w:footnoteReference w:id="1550"/>
      </w:r>
      <w:r>
        <w:t xml:space="preserve">, which could further alter blood glucose regulation.</w:t>
      </w:r>
    </w:p>
    <w:p>
      <w:pPr>
        <w:numPr>
          <w:ilvl w:val="0"/>
          <w:numId w:val="1182"/>
        </w:numPr>
        <w:pStyle w:val="Compact"/>
      </w:pPr>
      <w:r>
        <w:rPr>
          <w:bCs/>
          <w:b/>
        </w:rPr>
        <w:t xml:space="preserve">Growth of organs and tissue:</w:t>
      </w:r>
      <w:r>
        <w:t xml:space="preserve"> </w:t>
      </w:r>
      <w:r>
        <w:t xml:space="preserve">In guinea pigs, internal organs enlarged</w:t>
      </w:r>
      <w:r>
        <w:rPr>
          <w:rStyle w:val="FootnoteReference"/>
        </w:rPr>
        <w:footnoteReference w:id="1551"/>
      </w:r>
      <w:r>
        <w:t xml:space="preserve">. In humans it is unclear whether something similar happens.</w:t>
      </w:r>
    </w:p>
    <w:p>
      <w:pPr>
        <w:numPr>
          <w:ilvl w:val="0"/>
          <w:numId w:val="1182"/>
        </w:numPr>
        <w:pStyle w:val="Compact"/>
      </w:pPr>
      <w:r>
        <w:rPr>
          <w:bCs/>
          <w:b/>
        </w:rPr>
        <w:t xml:space="preserve">Cancer theory:</w:t>
      </w:r>
      <w:r>
        <w:t xml:space="preserve"> </w:t>
      </w:r>
      <w:r>
        <w:t xml:space="preserve">IGF-1 promotes cell division and cell survival. Higher IGF-1 levels are associated in large observational and genetic studies with a somewhat higher risk of breast and prostate cancer</w:t>
      </w:r>
      <w:r>
        <w:rPr>
          <w:rStyle w:val="FootnoteReference"/>
        </w:rPr>
        <w:footnoteReference w:id="1552"/>
      </w:r>
      <w:r>
        <w:t xml:space="preserve">, and people with congenital IGF-1 deficiency develop cancer strikingly rarely</w:t>
      </w:r>
      <w:r>
        <w:rPr>
          <w:rStyle w:val="FootnoteReference"/>
        </w:rPr>
        <w:footnoteReference w:id="1553"/>
      </w:r>
      <w:r>
        <w:t xml:space="preserve">. An analog that acts more strongly and without buffering at the IGF-1 receptor amplifies precisely this signaling pathway. Whether this measurably increases cancer risk in humans has not been studied – and, given the lack of studies, will not be. The concern is based on plausibility, not on case reports.</w:t>
      </w:r>
    </w:p>
    <w:p>
      <w:pPr>
        <w:numPr>
          <w:ilvl w:val="0"/>
          <w:numId w:val="1182"/>
        </w:numPr>
        <w:pStyle w:val="Compact"/>
      </w:pPr>
      <w:r>
        <w:rPr>
          <w:bCs/>
          <w:b/>
        </w:rPr>
        <w:t xml:space="preserve">Product quality:</w:t>
      </w:r>
      <w:r>
        <w:t xml:space="preserve"> </w:t>
      </w:r>
      <w:r>
        <w:t xml:space="preserve">The black-market preparations found contained laboratory variants with a purification tag and oxidized peptides</w:t>
      </w:r>
      <w:r>
        <w:rPr>
          <w:rStyle w:val="FootnoteReference"/>
        </w:rPr>
        <w:footnoteReference w:id="1554"/>
      </w:r>
      <w:r>
        <w:t xml:space="preserve">. Added to this are the general risks of nonsterile injections. Cell culture reagents are not subject to drug quality control.</w:t>
      </w:r>
    </w:p>
    <w:bookmarkEnd w:id="1555"/>
    <w:bookmarkStart w:id="1557" w:name="legal-status-32"/>
    <w:p>
      <w:pPr>
        <w:pStyle w:val="Heading3"/>
      </w:pPr>
      <w:r>
        <w:t xml:space="preserve">Legal status</w:t>
      </w:r>
    </w:p>
    <w:p>
      <w:pPr>
        <w:pStyle w:val="FirstParagraph"/>
      </w:pPr>
      <w:r>
        <w:rPr>
          <w:iCs/>
          <w:i/>
        </w:rPr>
        <w:t xml:space="preserve">As of 2026, please check for updates.</w:t>
      </w:r>
    </w:p>
    <w:p>
      <w:pPr>
        <w:numPr>
          <w:ilvl w:val="0"/>
          <w:numId w:val="1183"/>
        </w:numPr>
        <w:pStyle w:val="Compact"/>
      </w:pPr>
      <w:r>
        <w:rPr>
          <w:bCs/>
          <w:b/>
        </w:rPr>
        <w:t xml:space="preserve">EU, Germany, Austria:</w:t>
      </w:r>
      <w:r>
        <w:t xml:space="preserve"> </w:t>
      </w:r>
      <w:r>
        <w:t xml:space="preserve">not a medicine, no approval, not applied for either. It may be sold as a laboratory reagent for research; supplying it for use in humans is prohibited under medicines laws.</w:t>
      </w:r>
    </w:p>
    <w:p>
      <w:pPr>
        <w:numPr>
          <w:ilvl w:val="0"/>
          <w:numId w:val="1183"/>
        </w:numPr>
        <w:pStyle w:val="Compact"/>
      </w:pPr>
      <w:r>
        <w:rPr>
          <w:bCs/>
          <w:b/>
        </w:rPr>
        <w:t xml:space="preserve">USA:</w:t>
      </w:r>
      <w:r>
        <w:t xml:space="preserve"> </w:t>
      </w:r>
      <w:r>
        <w:t xml:space="preserve">no approval; distributed only as a research chemical.</w:t>
      </w:r>
    </w:p>
    <w:p>
      <w:pPr>
        <w:numPr>
          <w:ilvl w:val="0"/>
          <w:numId w:val="1183"/>
        </w:numPr>
        <w:pStyle w:val="Compact"/>
      </w:pPr>
      <w:r>
        <w:rPr>
          <w:bCs/>
          <w:b/>
        </w:rPr>
        <w:t xml:space="preserve">WADA:</w:t>
      </w:r>
      <w:r>
        <w:t xml:space="preserve"> </w:t>
      </w:r>
      <w:r>
        <w:t xml:space="preserve">prohibited (S2). A detection method for LR3 and related IGF-1 analogs in blood has been developed; in rats, unchanged LR3 disappeared after only about 4 hours, while metabolites were detectable for up to 16 hours</w:t>
      </w:r>
      <w:r>
        <w:rPr>
          <w:rStyle w:val="FootnoteReference"/>
        </w:rPr>
        <w:footnoteReference w:id="1556"/>
      </w:r>
      <w:r>
        <w:t xml:space="preserve">.</w:t>
      </w:r>
    </w:p>
    <w:bookmarkEnd w:id="1557"/>
    <w:bookmarkStart w:id="1558" w:name="ongoing-studies-and-outlook-32"/>
    <w:p>
      <w:pPr>
        <w:pStyle w:val="Heading3"/>
      </w:pPr>
      <w:r>
        <w:t xml:space="preserve">Ongoing studies and outlook</w:t>
      </w:r>
    </w:p>
    <w:p>
      <w:pPr>
        <w:pStyle w:val="FirstParagraph"/>
      </w:pPr>
      <w:r>
        <w:t xml:space="preserve">As of October 2026, no study with IGF-1 LR3 is registered on ClinicalTrials.gov.</w:t>
      </w:r>
      <w:r>
        <w:t xml:space="preserve"> </w:t>
      </w:r>
      <w:r>
        <w:rPr>
          <w:iCs/>
          <w:i/>
        </w:rPr>
        <w:t xml:space="preserve">Author’s assessment:</w:t>
      </w:r>
      <w:r>
        <w:t xml:space="preserve"> </w:t>
      </w:r>
      <w:r>
        <w:t xml:space="preserve">Development into a medicine is not to be expected. LR3 will remain a tool for cell culture and animal research.</w:t>
      </w:r>
    </w:p>
    <w:bookmarkEnd w:id="1558"/>
    <w:bookmarkStart w:id="1559" w:name="conclusion-32"/>
    <w:p>
      <w:pPr>
        <w:pStyle w:val="Heading3"/>
      </w:pPr>
      <w:r>
        <w:t xml:space="preserve">Conclusion</w:t>
      </w:r>
    </w:p>
    <w:p>
      <w:pPr>
        <w:pStyle w:val="FirstParagraph"/>
      </w:pPr>
      <w:r>
        <w:t xml:space="preserve">IGF-1 LR3 is a laboratory reagent that has never been studied in humans. In animal experiments, depending on the species, it promoted growth, had no effect, or even inhibited growth. Its special property – the lack of binding to the buffering binding proteins – suggests a higher risk of hypoglycemia and amplified growth signaling. Black-market products have been shown to contain laboratory variants that were never intended for injection.</w:t>
      </w:r>
    </w:p>
    <w:bookmarkEnd w:id="1559"/>
    <w:bookmarkEnd w:id="1560"/>
    <w:bookmarkStart w:id="1602" w:name="ibutamoren-mk-677"/>
    <w:p>
      <w:pPr>
        <w:pStyle w:val="Heading2"/>
      </w:pPr>
      <w:r>
        <w:t xml:space="preserve">Ibutamoren (MK-677)</w:t>
      </w:r>
    </w:p>
    <w:p>
      <w:pPr>
        <w:pStyle w:val="FirstParagraph"/>
      </w:pPr>
      <w:r>
        <w:rPr>
          <w:iCs/>
          <w:i/>
        </w:rPr>
        <w:t xml:space="preserve">Comparison chapter:</w:t>
      </w:r>
      <w:r>
        <w:t xml:space="preserve"> </w:t>
      </w:r>
      <w:r>
        <w:t xml:space="preserve">Ibutamoren is not a peptide. It is a small, synthetic molecule that is swallowed as a tablet or liquid – and that is precisely why it is in this book: as a point of comparison. It acts at the same receptor as ipamorelin, GHRP-2 or hexarelin, namely the ghrelin receptor, and raises growth hormone and IGF-1 for months. In the 1990s and 2000s, ibutamoren was tested by the pharmaceutical company Merck in several larger randomized trials. These trials show quite precisely what sustained stimulation of the growth hormone axis achieves in older people – and where the risks lie. On the gray market, ibutamoren is today usually sold as a</w:t>
      </w:r>
      <w:r>
        <w:t xml:space="preserve"> </w:t>
      </w:r>
      <w:r>
        <w:t xml:space="preserve">“</w:t>
      </w:r>
      <w:r>
        <w:t xml:space="preserve">SARM-like supplement.</w:t>
      </w:r>
      <w:r>
        <w:t xml:space="preserve">”</w:t>
      </w:r>
    </w:p>
    <w:bookmarkStart w:id="1562" w:name="profile-33"/>
    <w:p>
      <w:pPr>
        <w:pStyle w:val="Heading3"/>
      </w:pPr>
      <w:r>
        <w:t xml:space="preserve">Profile</w:t>
      </w:r>
    </w:p>
    <w:p>
      <w:pPr>
        <w:numPr>
          <w:ilvl w:val="0"/>
          <w:numId w:val="1184"/>
        </w:numPr>
        <w:pStyle w:val="Compact"/>
      </w:pPr>
      <w:r>
        <w:rPr>
          <w:bCs/>
          <w:b/>
        </w:rPr>
        <w:t xml:space="preserve">Type and structure:</w:t>
      </w:r>
      <w:r>
        <w:t xml:space="preserve"> </w:t>
      </w:r>
      <w:r>
        <w:t xml:space="preserve">small synthetic molecule, not a peptide (</w:t>
      </w:r>
      <w:r>
        <w:t xml:space="preserve">“</w:t>
      </w:r>
      <w:r>
        <w:t xml:space="preserve">non-peptide agonist</w:t>
      </w:r>
      <w:r>
        <w:t xml:space="preserve">”</w:t>
      </w:r>
      <w:r>
        <w:t xml:space="preserve">; Liu 2021, PMID 34737341); orally active. Development names MK-677 and MK-0677, currently in development as LUM-201</w:t>
      </w:r>
      <w:r>
        <w:rPr>
          <w:rStyle w:val="FootnoteReference"/>
        </w:rPr>
        <w:footnoteReference w:id="1561"/>
      </w:r>
      <w:r>
        <w:t xml:space="preserve">.</w:t>
      </w:r>
    </w:p>
    <w:p>
      <w:pPr>
        <w:numPr>
          <w:ilvl w:val="0"/>
          <w:numId w:val="1184"/>
        </w:numPr>
        <w:pStyle w:val="Compact"/>
      </w:pPr>
      <w:r>
        <w:rPr>
          <w:bCs/>
          <w:b/>
        </w:rPr>
        <w:t xml:space="preserve">Origin:</w:t>
      </w:r>
      <w:r>
        <w:t xml:space="preserve"> </w:t>
      </w:r>
      <w:r>
        <w:t xml:space="preserve">developed by Merck (USA) in the 1990s as a</w:t>
      </w:r>
      <w:r>
        <w:t xml:space="preserve"> </w:t>
      </w:r>
      <w:r>
        <w:t xml:space="preserve">“</w:t>
      </w:r>
      <w:r>
        <w:t xml:space="preserve">peptide mimetic</w:t>
      </w:r>
      <w:r>
        <w:t xml:space="preserve">”</w:t>
      </w:r>
      <w:r>
        <w:t xml:space="preserve"> </w:t>
      </w:r>
      <w:r>
        <w:t xml:space="preserve">of the growth hormone–releasing peptides.</w:t>
      </w:r>
    </w:p>
    <w:p>
      <w:pPr>
        <w:numPr>
          <w:ilvl w:val="0"/>
          <w:numId w:val="1184"/>
        </w:numPr>
        <w:pStyle w:val="Compact"/>
      </w:pPr>
      <w:r>
        <w:rPr>
          <w:bCs/>
          <w:b/>
        </w:rPr>
        <w:t xml:space="preserve">Mechanism of action:</w:t>
      </w:r>
      <w:r>
        <w:t xml:space="preserve"> </w:t>
      </w:r>
      <w:r>
        <w:t xml:space="preserve">agonist at the ghrelin receptor (GHS-R1a); amplifies existing GH pulses and raises IGF-1 persistently; increases appetite.</w:t>
      </w:r>
    </w:p>
    <w:p>
      <w:pPr>
        <w:numPr>
          <w:ilvl w:val="0"/>
          <w:numId w:val="1184"/>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84"/>
        </w:numPr>
        <w:pStyle w:val="Compact"/>
      </w:pPr>
      <w:r>
        <w:rPr>
          <w:bCs/>
          <w:b/>
        </w:rPr>
        <w:t xml:space="preserve">WADA:</w:t>
      </w:r>
      <w:r>
        <w:t xml:space="preserve"> </w:t>
      </w:r>
      <w:r>
        <w:t xml:space="preserve">prohibited, class S2 (growth hormone secretagogues; ibutamoren is explicitly named).</w:t>
      </w:r>
    </w:p>
    <w:p>
      <w:pPr>
        <w:numPr>
          <w:ilvl w:val="0"/>
          <w:numId w:val="1184"/>
        </w:numPr>
        <w:pStyle w:val="Compact"/>
      </w:pPr>
      <w:r>
        <w:rPr>
          <w:bCs/>
          <w:b/>
        </w:rPr>
        <w:t xml:space="preserve">Evidence level: B</w:t>
      </w:r>
      <w:r>
        <w:t xml:space="preserve"> </w:t>
      </w:r>
      <w:r>
        <w:t xml:space="preserve">– several randomized, placebo-controlled trials with up to 563 participants, but no approval and no trial with a positive primary clinical outcome.</w:t>
      </w:r>
    </w:p>
    <w:bookmarkEnd w:id="1562"/>
    <w:bookmarkStart w:id="1564" w:name="how-it-is-supposed-to-work-33"/>
    <w:p>
      <w:pPr>
        <w:pStyle w:val="Heading3"/>
      </w:pPr>
      <w:r>
        <w:t xml:space="preserve">How it is supposed to work</w:t>
      </w:r>
    </w:p>
    <w:p>
      <w:pPr>
        <w:pStyle w:val="FirstParagraph"/>
      </w:pPr>
      <w:r>
        <w:t xml:space="preserve">Ibutamoren mimics ghrelin. Unlike the peptides in the group, it is not destroyed in the stomach and acts long enough to amplify growth hormone secretion around the clock with once-daily intake. In healthy older people, it nearly doubled the mean 24-hour concentration of growth hormone in one study; the number of GH pulses remained the same, but their height increased. After four weeks, IGF-1 reached levels like those of young adults</w:t>
      </w:r>
      <w:r>
        <w:rPr>
          <w:rStyle w:val="FootnoteReference"/>
        </w:rPr>
        <w:footnoteReference w:id="1563"/>
      </w:r>
      <w:r>
        <w:t xml:space="preserve">.</w:t>
      </w:r>
    </w:p>
    <w:p>
      <w:pPr>
        <w:pStyle w:val="BodyText"/>
      </w:pPr>
      <w:r>
        <w:t xml:space="preserve">Merck’s hope was thereby to compensate for the age-related decline of the growth hormone axis known as</w:t>
      </w:r>
      <w:r>
        <w:t xml:space="preserve"> </w:t>
      </w:r>
      <w:r>
        <w:t xml:space="preserve">“</w:t>
      </w:r>
      <w:r>
        <w:t xml:space="preserve">somatopause</w:t>
      </w:r>
      <w:r>
        <w:t xml:space="preserve">”</w:t>
      </w:r>
      <w:r>
        <w:t xml:space="preserve">: muscle wasting (sarcopenia), frailty, bone loss and slow recovery after injuries.</w:t>
      </w:r>
    </w:p>
    <w:bookmarkEnd w:id="1564"/>
    <w:bookmarkStart w:id="1579" w:name="human-studies-33"/>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19</w:t>
      </w:r>
      <w:r>
        <w:t xml:space="preserve"> </w:t>
      </w:r>
      <w:r>
        <w:t xml:space="preserve">human studies in PubMed (</w:t>
      </w:r>
      <w:r>
        <w:rPr>
          <w:rStyle w:val="VerbatimChar"/>
        </w:rPr>
        <w:t xml:space="preserve">humanstudien_alle</w:t>
      </w:r>
      <w:r>
        <w:t xml:space="preserve">) and</w:t>
      </w:r>
      <w:r>
        <w:t xml:space="preserve"> </w:t>
      </w:r>
      <w:r>
        <w:rPr>
          <w:bCs/>
          <w:b/>
        </w:rPr>
        <w:t xml:space="preserve">8</w:t>
      </w:r>
      <w:r>
        <w:t xml:space="preserve"> </w:t>
      </w:r>
      <w:r>
        <w:t xml:space="preserve">entries on ClinicalTrials.gov.</w:t>
      </w:r>
    </w:p>
    <w:bookmarkStart w:id="1566" w:name="healthy-older-adults"/>
    <w:p>
      <w:pPr>
        <w:pStyle w:val="Heading4"/>
      </w:pPr>
      <w:r>
        <w:t xml:space="preserve">Healthy older adults</w:t>
      </w:r>
    </w:p>
    <w:p>
      <w:pPr>
        <w:pStyle w:val="FirstParagraph"/>
      </w:pPr>
      <w:r>
        <w:t xml:space="preserve">The most important trial ran for two years: 65 healthy women and men between 60 and 81 years of age received ibutamoren or placebo daily. Growth hormone and IGF-1 rose to the levels of young adults. Lean mass increased by 1.1 kg on ibutamoren and decreased by 0.5 kg on placebo. Abdominal fat did not change, body weight rose by 2.7 kg (placebo: 0.8 kg), and fat on the arms and legs increased more. The increase in lean mass did</w:t>
      </w:r>
      <w:r>
        <w:t xml:space="preserve"> </w:t>
      </w:r>
      <w:r>
        <w:rPr>
          <w:bCs/>
          <w:b/>
        </w:rPr>
        <w:t xml:space="preserve">not</w:t>
      </w:r>
      <w:r>
        <w:t xml:space="preserve"> </w:t>
      </w:r>
      <w:r>
        <w:t xml:space="preserve">lead to more strength or better function; the authors acknowledge that the trial was too small for that. Fasting glucose rose by an average of 0.3 mmol/L (5 mg/dL), and insulin sensitivity decreased. The most common side effects were initially increased appetite, mild fluid retention in the legs and muscle pain</w:t>
      </w:r>
      <w:r>
        <w:rPr>
          <w:rStyle w:val="FootnoteReference"/>
        </w:rPr>
        <w:footnoteReference w:id="1565"/>
      </w:r>
      <w:r>
        <w:t xml:space="preserve">.</w:t>
      </w:r>
    </w:p>
    <w:bookmarkEnd w:id="1566"/>
    <w:bookmarkStart w:id="1569" w:name="hip-fracture"/>
    <w:p>
      <w:pPr>
        <w:pStyle w:val="Heading4"/>
      </w:pPr>
      <w:r>
        <w:t xml:space="preserve">Hip fracture</w:t>
      </w:r>
    </w:p>
    <w:p>
      <w:pPr>
        <w:pStyle w:val="FirstParagraph"/>
      </w:pPr>
      <w:r>
        <w:t xml:space="preserve">Two trials tested whether ibutamoren helps older people get back on their feet after a hip fracture:</w:t>
      </w:r>
    </w:p>
    <w:p>
      <w:pPr>
        <w:numPr>
          <w:ilvl w:val="0"/>
          <w:numId w:val="1185"/>
        </w:numPr>
        <w:pStyle w:val="Compact"/>
      </w:pPr>
      <w:r>
        <w:t xml:space="preserve">In the first trial, with 161 patients from 13 centers, IGF-1 rose by 84% (placebo: 17%). The functional tests showed some favorable trends but no statistically significant differences</w:t>
      </w:r>
      <w:r>
        <w:rPr>
          <w:rStyle w:val="FootnoteReference"/>
        </w:rPr>
        <w:footnoteReference w:id="1567"/>
      </w:r>
      <w:r>
        <w:t xml:space="preserve">.</w:t>
      </w:r>
    </w:p>
    <w:p>
      <w:pPr>
        <w:numPr>
          <w:ilvl w:val="0"/>
          <w:numId w:val="1185"/>
        </w:numPr>
        <w:pStyle w:val="Compact"/>
      </w:pPr>
      <w:r>
        <w:t xml:space="preserve">The second trial, with 123 patients, was</w:t>
      </w:r>
      <w:r>
        <w:t xml:space="preserve"> </w:t>
      </w:r>
      <w:r>
        <w:rPr>
          <w:bCs/>
          <w:b/>
        </w:rPr>
        <w:t xml:space="preserve">terminated early because heart failure occurred in a limited number of treated patients</w:t>
      </w:r>
      <w:r>
        <w:t xml:space="preserve">. Gait speed had improved slightly, but most other functional measures had not; the authors judged the safety profile in this patient group to be unfavorable</w:t>
      </w:r>
      <w:r>
        <w:rPr>
          <w:rStyle w:val="FootnoteReference"/>
        </w:rPr>
        <w:footnoteReference w:id="1568"/>
      </w:r>
      <w:r>
        <w:t xml:space="preserve">.</w:t>
      </w:r>
    </w:p>
    <w:p>
      <w:pPr>
        <w:pStyle w:val="FirstParagraph"/>
      </w:pPr>
      <w:r>
        <w:t xml:space="preserve">Another Merck entry on sarcopenia after hip fracture (NCT00128115, 83 people) is listed as terminated, with no reasons or results given.</w:t>
      </w:r>
    </w:p>
    <w:bookmarkEnd w:id="1569"/>
    <w:bookmarkStart w:id="1571" w:name="alzheimers-disease"/>
    <w:p>
      <w:pPr>
        <w:pStyle w:val="Heading4"/>
      </w:pPr>
      <w:r>
        <w:t xml:space="preserve">Alzheimer’s disease</w:t>
      </w:r>
    </w:p>
    <w:p>
      <w:pPr>
        <w:pStyle w:val="FirstParagraph"/>
      </w:pPr>
      <w:r>
        <w:t xml:space="preserve">In a large trial, 563 people with mild to moderate Alzheimer’s dementia received ibutamoren or placebo for one year. IGF-1 rose by 60.1% after six weeks and by 72.9% after twelve months. On none of the four scales for cognitive performance, activities of daily living and global impression did the course differ from placebo</w:t>
      </w:r>
      <w:r>
        <w:rPr>
          <w:rStyle w:val="FootnoteReference"/>
        </w:rPr>
        <w:footnoteReference w:id="1570"/>
      </w:r>
      <w:r>
        <w:t xml:space="preserve">.</w:t>
      </w:r>
    </w:p>
    <w:bookmarkEnd w:id="1571"/>
    <w:bookmarkStart w:id="1578" w:name="other-studies-1"/>
    <w:p>
      <w:pPr>
        <w:pStyle w:val="Heading4"/>
      </w:pPr>
      <w:r>
        <w:t xml:space="preserve">Other studies</w:t>
      </w:r>
    </w:p>
    <w:p>
      <w:pPr>
        <w:numPr>
          <w:ilvl w:val="0"/>
          <w:numId w:val="1186"/>
        </w:numPr>
        <w:pStyle w:val="Compact"/>
      </w:pPr>
      <w:r>
        <w:rPr>
          <w:bCs/>
          <w:b/>
        </w:rPr>
        <w:t xml:space="preserve">Overweight men:</w:t>
      </w:r>
      <w:r>
        <w:t xml:space="preserve"> </w:t>
      </w:r>
      <w:r>
        <w:t xml:space="preserve">In 24 men, lean mass increased over eight weeks, while total and abdominal fat did not change; blood glucose regulation worsened in the glucose tolerance test</w:t>
      </w:r>
      <w:r>
        <w:rPr>
          <w:rStyle w:val="FootnoteReference"/>
        </w:rPr>
        <w:footnoteReference w:id="1572"/>
      </w:r>
      <w:r>
        <w:t xml:space="preserve">.</w:t>
      </w:r>
    </w:p>
    <w:p>
      <w:pPr>
        <w:numPr>
          <w:ilvl w:val="0"/>
          <w:numId w:val="1186"/>
        </w:numPr>
        <w:pStyle w:val="Compact"/>
      </w:pPr>
      <w:r>
        <w:rPr>
          <w:bCs/>
          <w:b/>
        </w:rPr>
        <w:t xml:space="preserve">Osteoporosis:</w:t>
      </w:r>
      <w:r>
        <w:t xml:space="preserve"> </w:t>
      </w:r>
      <w:r>
        <w:t xml:space="preserve">In 292 postmenopausal women, ibutamoren together with the bone drug alendronate increased bone density more than alendronate alone only at the femoral neck, not at the spine or total hip</w:t>
      </w:r>
      <w:r>
        <w:rPr>
          <w:rStyle w:val="FootnoteReference"/>
        </w:rPr>
        <w:footnoteReference w:id="1573"/>
      </w:r>
      <w:r>
        <w:t xml:space="preserve">.</w:t>
      </w:r>
    </w:p>
    <w:p>
      <w:pPr>
        <w:numPr>
          <w:ilvl w:val="0"/>
          <w:numId w:val="1186"/>
        </w:numPr>
        <w:pStyle w:val="Compact"/>
      </w:pPr>
      <w:r>
        <w:rPr>
          <w:bCs/>
          <w:b/>
        </w:rPr>
        <w:t xml:space="preserve">Sleep:</w:t>
      </w:r>
      <w:r>
        <w:t xml:space="preserve"> </w:t>
      </w:r>
      <w:r>
        <w:t xml:space="preserve">In small studies with eight young and six older people, deep sleep and REM sleep, respectively, were prolonged</w:t>
      </w:r>
      <w:r>
        <w:rPr>
          <w:rStyle w:val="FootnoteReference"/>
        </w:rPr>
        <w:footnoteReference w:id="1574"/>
      </w:r>
      <w:r>
        <w:t xml:space="preserve">.</w:t>
      </w:r>
    </w:p>
    <w:p>
      <w:pPr>
        <w:numPr>
          <w:ilvl w:val="0"/>
          <w:numId w:val="1186"/>
        </w:numPr>
        <w:pStyle w:val="Compact"/>
      </w:pPr>
      <w:r>
        <w:rPr>
          <w:bCs/>
          <w:b/>
        </w:rPr>
        <w:t xml:space="preserve">Dialysis:</w:t>
      </w:r>
      <w:r>
        <w:t xml:space="preserve"> </w:t>
      </w:r>
      <w:r>
        <w:t xml:space="preserve">In 22 dialysis patients, IGF-1 rose 65% more than with placebo, without serious side effects</w:t>
      </w:r>
      <w:r>
        <w:rPr>
          <w:rStyle w:val="FootnoteReference"/>
        </w:rPr>
        <w:footnoteReference w:id="1575"/>
      </w:r>
      <w:r>
        <w:t xml:space="preserve">.</w:t>
      </w:r>
    </w:p>
    <w:p>
      <w:pPr>
        <w:numPr>
          <w:ilvl w:val="0"/>
          <w:numId w:val="1186"/>
        </w:numPr>
        <w:pStyle w:val="Compact"/>
      </w:pPr>
      <w:r>
        <w:rPr>
          <w:bCs/>
          <w:b/>
        </w:rPr>
        <w:t xml:space="preserve">Children with growth hormone deficiency:</w:t>
      </w:r>
      <w:r>
        <w:t xml:space="preserve"> </w:t>
      </w:r>
      <w:r>
        <w:t xml:space="preserve">As early as 2001, ibutamoren increased growth hormone and IGF-1 in 18 children</w:t>
      </w:r>
      <w:r>
        <w:rPr>
          <w:rStyle w:val="FootnoteReference"/>
        </w:rPr>
        <w:footnoteReference w:id="1576"/>
      </w:r>
      <w:r>
        <w:t xml:space="preserve">. Under the name LUM-201, in a study with 68 children it triggered higher GH responses than the usual stimulation tests</w:t>
      </w:r>
      <w:r>
        <w:rPr>
          <w:rStyle w:val="FootnoteReference"/>
        </w:rPr>
        <w:footnoteReference w:id="1577"/>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Healthy older adults (Nass 2008), PMID 18981485</w:t>
            </w:r>
          </w:p>
        </w:tc>
        <w:tc>
          <w:tcPr/>
          <w:p>
            <w:pPr>
              <w:pStyle w:val="Compact"/>
              <w:jc w:val="left"/>
            </w:pPr>
            <w:r>
              <w:t xml:space="preserve">65 people aged 60–81 years, RCT vs. placebo</w:t>
            </w:r>
          </w:p>
        </w:tc>
        <w:tc>
          <w:tcPr/>
          <w:p>
            <w:pPr>
              <w:pStyle w:val="Compact"/>
              <w:jc w:val="left"/>
            </w:pPr>
            <w:r>
              <w:t xml:space="preserve">2 years</w:t>
            </w:r>
          </w:p>
        </w:tc>
        <w:tc>
          <w:tcPr/>
          <w:p>
            <w:pPr>
              <w:pStyle w:val="Compact"/>
              <w:jc w:val="left"/>
            </w:pPr>
            <w:r>
              <w:t xml:space="preserve">lean mass +1.1 vs. −0.5 kg; strength and function unchanged; fasting glucose ↑</w:t>
            </w:r>
          </w:p>
        </w:tc>
      </w:tr>
      <w:tr>
        <w:tc>
          <w:tcPr/>
          <w:p>
            <w:pPr>
              <w:pStyle w:val="Compact"/>
              <w:jc w:val="left"/>
            </w:pPr>
            <w:r>
              <w:t xml:space="preserve">Hip fracture 1 (Bach 2004), PMID 15066065</w:t>
            </w:r>
          </w:p>
        </w:tc>
        <w:tc>
          <w:tcPr/>
          <w:p>
            <w:pPr>
              <w:pStyle w:val="Compact"/>
              <w:jc w:val="left"/>
            </w:pPr>
            <w:r>
              <w:t xml:space="preserve">161 older adults after hip fracture, RCT</w:t>
            </w:r>
          </w:p>
        </w:tc>
        <w:tc>
          <w:tcPr/>
          <w:p>
            <w:pPr>
              <w:pStyle w:val="Compact"/>
              <w:jc w:val="left"/>
            </w:pPr>
            <w:r>
              <w:t xml:space="preserve">6 months</w:t>
            </w:r>
          </w:p>
        </w:tc>
        <w:tc>
          <w:tcPr/>
          <w:p>
            <w:pPr>
              <w:pStyle w:val="Compact"/>
              <w:jc w:val="left"/>
            </w:pPr>
            <w:r>
              <w:t xml:space="preserve">IGF-1 +84%; function not significantly better</w:t>
            </w:r>
          </w:p>
        </w:tc>
      </w:tr>
      <w:tr>
        <w:tc>
          <w:tcPr/>
          <w:p>
            <w:pPr>
              <w:pStyle w:val="Compact"/>
              <w:jc w:val="left"/>
            </w:pPr>
            <w:r>
              <w:t xml:space="preserve">Hip fracture 2 (Adunsky 2011), PMID 21067829</w:t>
            </w:r>
          </w:p>
        </w:tc>
        <w:tc>
          <w:tcPr/>
          <w:p>
            <w:pPr>
              <w:pStyle w:val="Compact"/>
              <w:jc w:val="left"/>
            </w:pPr>
            <w:r>
              <w:t xml:space="preserve">123 older adults after hip fracture, RCT</w:t>
            </w:r>
          </w:p>
        </w:tc>
        <w:tc>
          <w:tcPr/>
          <w:p>
            <w:pPr>
              <w:pStyle w:val="Compact"/>
              <w:jc w:val="left"/>
            </w:pPr>
            <w:r>
              <w:t xml:space="preserve">planned 24 weeks</w:t>
            </w:r>
          </w:p>
        </w:tc>
        <w:tc>
          <w:tcPr/>
          <w:p>
            <w:pPr>
              <w:pStyle w:val="Compact"/>
              <w:jc w:val="left"/>
            </w:pPr>
            <w:r>
              <w:t xml:space="preserve">terminated due to heart failure signal</w:t>
            </w:r>
          </w:p>
        </w:tc>
      </w:tr>
      <w:tr>
        <w:tc>
          <w:tcPr/>
          <w:p>
            <w:pPr>
              <w:pStyle w:val="Compact"/>
              <w:jc w:val="left"/>
            </w:pPr>
            <w:r>
              <w:t xml:space="preserve">Alzheimer’s (Sevigny 2008), PMID 19015485</w:t>
            </w:r>
          </w:p>
        </w:tc>
        <w:tc>
          <w:tcPr/>
          <w:p>
            <w:pPr>
              <w:pStyle w:val="Compact"/>
              <w:jc w:val="left"/>
            </w:pPr>
            <w:r>
              <w:t xml:space="preserve">563 people with Alzheimer’s, RCT</w:t>
            </w:r>
          </w:p>
        </w:tc>
        <w:tc>
          <w:tcPr/>
          <w:p>
            <w:pPr>
              <w:pStyle w:val="Compact"/>
              <w:jc w:val="left"/>
            </w:pPr>
            <w:r>
              <w:t xml:space="preserve">12 months</w:t>
            </w:r>
          </w:p>
        </w:tc>
        <w:tc>
          <w:tcPr/>
          <w:p>
            <w:pPr>
              <w:pStyle w:val="Compact"/>
              <w:jc w:val="left"/>
            </w:pPr>
            <w:r>
              <w:t xml:space="preserve">IGF-1 +72.9%; no effect on disease course</w:t>
            </w:r>
          </w:p>
        </w:tc>
      </w:tr>
      <w:tr>
        <w:tc>
          <w:tcPr/>
          <w:p>
            <w:pPr>
              <w:pStyle w:val="Compact"/>
              <w:jc w:val="left"/>
            </w:pPr>
            <w:r>
              <w:t xml:space="preserve">Osteoporosis (Murphy 2001), PMID 11238495</w:t>
            </w:r>
          </w:p>
        </w:tc>
        <w:tc>
          <w:tcPr/>
          <w:p>
            <w:pPr>
              <w:pStyle w:val="Compact"/>
              <w:jc w:val="left"/>
            </w:pPr>
            <w:r>
              <w:t xml:space="preserve">292 women, RCT with alendronate</w:t>
            </w:r>
          </w:p>
        </w:tc>
        <w:tc>
          <w:tcPr/>
          <w:p>
            <w:pPr>
              <w:pStyle w:val="Compact"/>
              <w:jc w:val="left"/>
            </w:pPr>
            <w:r>
              <w:t xml:space="preserve">12–18 months</w:t>
            </w:r>
          </w:p>
        </w:tc>
        <w:tc>
          <w:tcPr/>
          <w:p>
            <w:pPr>
              <w:pStyle w:val="Compact"/>
              <w:jc w:val="left"/>
            </w:pPr>
            <w:r>
              <w:t xml:space="preserve">only femoral neck bone density somewhat higher</w:t>
            </w:r>
          </w:p>
        </w:tc>
      </w:tr>
    </w:tbl>
    <w:bookmarkEnd w:id="1578"/>
    <w:bookmarkEnd w:id="1579"/>
    <w:bookmarkStart w:id="1582" w:name="animal-and-laboratory-studies-33"/>
    <w:p>
      <w:pPr>
        <w:pStyle w:val="Heading3"/>
      </w:pPr>
      <w:r>
        <w:t xml:space="preserve">Animal and laboratory studies</w:t>
      </w:r>
    </w:p>
    <w:p>
      <w:pPr>
        <w:pStyle w:val="FirstParagraph"/>
      </w:pPr>
      <w:r>
        <w:t xml:space="preserve">In mice with an Alzheimer’s model, ibutamoren reduced amyloid deposits and nerve cell loss in the brain</w:t>
      </w:r>
      <w:r>
        <w:rPr>
          <w:rStyle w:val="FootnoteReference"/>
        </w:rPr>
        <w:footnoteReference w:id="1580"/>
      </w:r>
      <w:r>
        <w:t xml:space="preserve"> </w:t>
      </w:r>
      <w:r>
        <w:t xml:space="preserve">– a finding that did not translate into a clinical benefit in the large Alzheimer’s trial in humans. The structure of the ghrelin receptor with bound ibutamoren was solved in 2021</w:t>
      </w:r>
      <w:r>
        <w:rPr>
          <w:rStyle w:val="FootnoteReference"/>
        </w:rPr>
        <w:footnoteReference w:id="1581"/>
      </w:r>
      <w:r>
        <w:t xml:space="preserve">.</w:t>
      </w:r>
    </w:p>
    <w:bookmarkEnd w:id="1582"/>
    <w:bookmarkStart w:id="1593" w:name="risks-and-side-effects-33"/>
    <w:p>
      <w:pPr>
        <w:pStyle w:val="Heading3"/>
      </w:pPr>
      <w:r>
        <w:t xml:space="preserve">Risks and side effects</w:t>
      </w:r>
    </w:p>
    <w:p>
      <w:pPr>
        <w:pStyle w:val="FirstParagraph"/>
      </w:pPr>
      <w:r>
        <w:rPr>
          <w:bCs/>
          <w:b/>
        </w:rPr>
        <w:t xml:space="preserve">Established from randomized trials:</w:t>
      </w:r>
    </w:p>
    <w:p>
      <w:pPr>
        <w:numPr>
          <w:ilvl w:val="0"/>
          <w:numId w:val="1187"/>
        </w:numPr>
        <w:pStyle w:val="Compact"/>
      </w:pPr>
      <w:r>
        <w:rPr>
          <w:bCs/>
          <w:b/>
        </w:rPr>
        <w:t xml:space="preserve">Heart failure signal:</w:t>
      </w:r>
      <w:r>
        <w:t xml:space="preserve"> </w:t>
      </w:r>
      <w:r>
        <w:t xml:space="preserve">termination of a trial in older people after hip fracture because of cases of heart failure</w:t>
      </w:r>
      <w:r>
        <w:rPr>
          <w:rStyle w:val="FootnoteReference"/>
        </w:rPr>
        <w:footnoteReference w:id="1583"/>
      </w:r>
      <w:r>
        <w:t xml:space="preserve">. The abstract does not state how many cases there were. Fluid retention is among the known effects of elevated growth hormone levels and places a strain on a previously damaged heart.</w:t>
      </w:r>
    </w:p>
    <w:p>
      <w:pPr>
        <w:numPr>
          <w:ilvl w:val="0"/>
          <w:numId w:val="1187"/>
        </w:numPr>
        <w:pStyle w:val="Compact"/>
      </w:pPr>
      <w:r>
        <w:rPr>
          <w:bCs/>
          <w:b/>
        </w:rPr>
        <w:t xml:space="preserve">Blood glucose:</w:t>
      </w:r>
      <w:r>
        <w:t xml:space="preserve"> </w:t>
      </w:r>
      <w:r>
        <w:t xml:space="preserve">rise in fasting glucose and reduced insulin sensitivity</w:t>
      </w:r>
      <w:r>
        <w:rPr>
          <w:rStyle w:val="FootnoteReference"/>
        </w:rPr>
        <w:footnoteReference w:id="1584"/>
      </w:r>
      <w:r>
        <w:t xml:space="preserve">; impaired glucose tolerance in overweight men</w:t>
      </w:r>
      <w:r>
        <w:rPr>
          <w:rStyle w:val="FootnoteReference"/>
        </w:rPr>
        <w:footnoteReference w:id="1585"/>
      </w:r>
      <w:r>
        <w:t xml:space="preserve">.</w:t>
      </w:r>
    </w:p>
    <w:p>
      <w:pPr>
        <w:numPr>
          <w:ilvl w:val="0"/>
          <w:numId w:val="1187"/>
        </w:numPr>
        <w:pStyle w:val="Compact"/>
      </w:pPr>
      <w:r>
        <w:rPr>
          <w:bCs/>
          <w:b/>
        </w:rPr>
        <w:t xml:space="preserve">Weight gain and appetite:</w:t>
      </w:r>
      <w:r>
        <w:t xml:space="preserve"> </w:t>
      </w:r>
      <w:r>
        <w:t xml:space="preserve">more body weight, more fat on the arms and legs, increased hunger</w:t>
      </w:r>
      <w:r>
        <w:rPr>
          <w:rStyle w:val="FootnoteReference"/>
        </w:rPr>
        <w:footnoteReference w:id="1586"/>
      </w:r>
      <w:r>
        <w:t xml:space="preserve">.</w:t>
      </w:r>
    </w:p>
    <w:p>
      <w:pPr>
        <w:numPr>
          <w:ilvl w:val="0"/>
          <w:numId w:val="1187"/>
        </w:numPr>
        <w:pStyle w:val="Compact"/>
      </w:pPr>
      <w:r>
        <w:rPr>
          <w:bCs/>
          <w:b/>
        </w:rPr>
        <w:t xml:space="preserve">Fluid retention and muscle pain</w:t>
      </w:r>
      <w:r>
        <w:rPr>
          <w:rStyle w:val="FootnoteReference"/>
        </w:rPr>
        <w:footnoteReference w:id="1587"/>
      </w:r>
      <w:r>
        <w:t xml:space="preserve">.</w:t>
      </w:r>
    </w:p>
    <w:p>
      <w:pPr>
        <w:pStyle w:val="FirstParagraph"/>
      </w:pPr>
      <w:r>
        <w:rPr>
          <w:bCs/>
          <w:b/>
        </w:rPr>
        <w:t xml:space="preserve">Case reports from gray-market use:</w:t>
      </w:r>
      <w:r>
        <w:t xml:space="preserve"> </w:t>
      </w:r>
      <w:r>
        <w:t xml:space="preserve">A man in his early 30s developed elevated liver values after taking MK-677 for two months, which normalized after stopping</w:t>
      </w:r>
      <w:r>
        <w:rPr>
          <w:rStyle w:val="FootnoteReference"/>
        </w:rPr>
        <w:footnoteReference w:id="1588"/>
      </w:r>
      <w:r>
        <w:t xml:space="preserve">. A 40-year-old developed breast growth and testosterone deficiency; his fitness supplements contained, in addition to MK-677, a SARM, cardarine and undeclared hormones</w:t>
      </w:r>
      <w:r>
        <w:rPr>
          <w:rStyle w:val="FootnoteReference"/>
        </w:rPr>
        <w:footnoteReference w:id="1589"/>
      </w:r>
      <w:r>
        <w:t xml:space="preserve">.</w:t>
      </w:r>
    </w:p>
    <w:p>
      <w:pPr>
        <w:pStyle w:val="BodyText"/>
      </w:pPr>
      <w:r>
        <w:rPr>
          <w:bCs/>
          <w:b/>
        </w:rPr>
        <w:t xml:space="preserve">Cancer:</w:t>
      </w:r>
      <w:r>
        <w:t xml:space="preserve"> </w:t>
      </w:r>
      <w:r>
        <w:t xml:space="preserve">Ibutamoren raises IGF-1 to the level of young adults for months to years. No cancer signal was reported in the trials, but they were neither large nor long enough for that. A review of GH releasers explicitly calls for long-term data on cancer and mortality</w:t>
      </w:r>
      <w:r>
        <w:rPr>
          <w:rStyle w:val="FootnoteReference"/>
        </w:rPr>
        <w:footnoteReference w:id="1590"/>
      </w:r>
      <w:r>
        <w:t xml:space="preserve">. For the general evidence, see the introduction to this group and Part IV.</w:t>
      </w:r>
    </w:p>
    <w:p>
      <w:pPr>
        <w:pStyle w:val="BodyText"/>
      </w:pPr>
      <w:r>
        <w:rPr>
          <w:bCs/>
          <w:b/>
        </w:rPr>
        <w:t xml:space="preserve">Gray-market quality:</w:t>
      </w:r>
      <w:r>
        <w:t xml:space="preserve"> </w:t>
      </w:r>
      <w:r>
        <w:t xml:space="preserve">In a US analysis of 44 products sold online as SARMs, 39% contained other unapproved substances instead of or in addition to the stated one, including ibutamoren; only 41% contained the stated amount of the active ingredient</w:t>
      </w:r>
      <w:r>
        <w:rPr>
          <w:rStyle w:val="FootnoteReference"/>
        </w:rPr>
        <w:footnoteReference w:id="1591"/>
      </w:r>
      <w:r>
        <w:t xml:space="preserve">. A European market surveillance study of 324 samples from 13 countries found ibutamoren to be the most common active ingredient among the muscle-building preparations examined; 24% of the products were presented as dietary supplements</w:t>
      </w:r>
      <w:r>
        <w:rPr>
          <w:rStyle w:val="FootnoteReference"/>
        </w:rPr>
        <w:footnoteReference w:id="1592"/>
      </w:r>
      <w:r>
        <w:t xml:space="preserve">.</w:t>
      </w:r>
    </w:p>
    <w:bookmarkEnd w:id="1593"/>
    <w:bookmarkStart w:id="1595" w:name="legal-status-33"/>
    <w:p>
      <w:pPr>
        <w:pStyle w:val="Heading3"/>
      </w:pPr>
      <w:r>
        <w:t xml:space="preserve">Legal status</w:t>
      </w:r>
    </w:p>
    <w:p>
      <w:pPr>
        <w:pStyle w:val="FirstParagraph"/>
      </w:pPr>
      <w:r>
        <w:rPr>
          <w:iCs/>
          <w:i/>
        </w:rPr>
        <w:t xml:space="preserve">As of 2026, please check for updates.</w:t>
      </w:r>
    </w:p>
    <w:p>
      <w:pPr>
        <w:numPr>
          <w:ilvl w:val="0"/>
          <w:numId w:val="1188"/>
        </w:numPr>
        <w:pStyle w:val="Compact"/>
      </w:pPr>
      <w:r>
        <w:rPr>
          <w:bCs/>
          <w:b/>
        </w:rPr>
        <w:t xml:space="preserve">EU, Germany, Austria:</w:t>
      </w:r>
      <w:r>
        <w:t xml:space="preserve"> </w:t>
      </w:r>
      <w:r>
        <w:t xml:space="preserve">no approval. Ibutamoren is an unapproved drug substance; it may not be marketed as a dietary supplement. Anyone offering it for use in humans violates medicines law.</w:t>
      </w:r>
    </w:p>
    <w:p>
      <w:pPr>
        <w:numPr>
          <w:ilvl w:val="0"/>
          <w:numId w:val="1188"/>
        </w:numPr>
        <w:pStyle w:val="Compact"/>
      </w:pPr>
      <w:r>
        <w:rPr>
          <w:bCs/>
          <w:b/>
        </w:rPr>
        <w:t xml:space="preserve">USA:</w:t>
      </w:r>
      <w:r>
        <w:t xml:space="preserve"> </w:t>
      </w:r>
      <w:r>
        <w:t xml:space="preserve">no approval; nevertheless sold as a</w:t>
      </w:r>
      <w:r>
        <w:t xml:space="preserve"> </w:t>
      </w:r>
      <w:r>
        <w:t xml:space="preserve">“</w:t>
      </w:r>
      <w:r>
        <w:t xml:space="preserve">research chemical</w:t>
      </w:r>
      <w:r>
        <w:t xml:space="preserve">”</w:t>
      </w:r>
      <w:r>
        <w:t xml:space="preserve"> </w:t>
      </w:r>
      <w:r>
        <w:t xml:space="preserve">or in supplements.</w:t>
      </w:r>
    </w:p>
    <w:p>
      <w:pPr>
        <w:numPr>
          <w:ilvl w:val="0"/>
          <w:numId w:val="1188"/>
        </w:numPr>
        <w:pStyle w:val="Compact"/>
      </w:pPr>
      <w:r>
        <w:rPr>
          <w:bCs/>
          <w:b/>
        </w:rPr>
        <w:t xml:space="preserve">WADA:</w:t>
      </w:r>
      <w:r>
        <w:t xml:space="preserve"> </w:t>
      </w:r>
      <w:r>
        <w:t xml:space="preserve">prohibited (S2). It is also controlled in equestrian sport, for example through hair analysis</w:t>
      </w:r>
      <w:r>
        <w:rPr>
          <w:rStyle w:val="FootnoteReference"/>
        </w:rPr>
        <w:footnoteReference w:id="1594"/>
      </w:r>
      <w:r>
        <w:t xml:space="preserve">.</w:t>
      </w:r>
    </w:p>
    <w:bookmarkEnd w:id="1595"/>
    <w:bookmarkStart w:id="1600" w:name="ongoing-studies-and-outlook-33"/>
    <w:p>
      <w:pPr>
        <w:pStyle w:val="Heading3"/>
      </w:pPr>
      <w:r>
        <w:t xml:space="preserve">Ongoing studies and outlook</w:t>
      </w:r>
    </w:p>
    <w:p>
      <w:pPr>
        <w:pStyle w:val="FirstParagraph"/>
      </w:pPr>
      <w:r>
        <w:rPr>
          <w:iCs/>
          <w:i/>
        </w:rPr>
        <w:t xml:space="preserve">Established:</w:t>
      </w:r>
      <w:r>
        <w:t xml:space="preserve"> </w:t>
      </w:r>
      <w:r>
        <w:t xml:space="preserve">Under the name LUM-201, ibutamoren is being developed as a tablet for children with growth hormone deficiency. A phase 2 trial with 104 children</w:t>
      </w:r>
      <w:r>
        <w:rPr>
          <w:rStyle w:val="FootnoteReference"/>
        </w:rPr>
        <w:footnoteReference w:id="1596"/>
      </w:r>
      <w:r>
        <w:t xml:space="preserve"> </w:t>
      </w:r>
      <w:r>
        <w:t xml:space="preserve">has been completed; a phase 3 trial with a planned 150 children has been recruiting since 2026</w:t>
      </w:r>
      <w:r>
        <w:rPr>
          <w:rStyle w:val="FootnoteReference"/>
        </w:rPr>
        <w:footnoteReference w:id="1597"/>
      </w:r>
      <w:r>
        <w:t xml:space="preserve">, and a long-term safety study is planned</w:t>
      </w:r>
      <w:r>
        <w:rPr>
          <w:rStyle w:val="FootnoteReference"/>
        </w:rPr>
        <w:footnoteReference w:id="1598"/>
      </w:r>
      <w:r>
        <w:t xml:space="preserve">. Another phase 2 trial is to study LUM-201 from 2027 in addition to semaglutide in older people with obesity, in order to limit muscle loss during weight loss</w:t>
      </w:r>
      <w:r>
        <w:rPr>
          <w:rStyle w:val="FootnoteReference"/>
        </w:rPr>
        <w:footnoteReference w:id="1599"/>
      </w:r>
      <w:r>
        <w:t xml:space="preserve">.</w:t>
      </w:r>
    </w:p>
    <w:p>
      <w:pPr>
        <w:pStyle w:val="BodyText"/>
      </w:pPr>
      <w:r>
        <w:rPr>
          <w:iCs/>
          <w:i/>
        </w:rPr>
        <w:t xml:space="preserve">Author’s assessment:</w:t>
      </w:r>
      <w:r>
        <w:t xml:space="preserve"> </w:t>
      </w:r>
      <w:r>
        <w:t xml:space="preserve">Approval for children is conceivable at the earliest after completion of the phase 3 trial, that is, not before the end of the 2020s. Approval for older adults is not in sight after the heart failure signal and the lack of functional improvements.</w:t>
      </w:r>
    </w:p>
    <w:bookmarkEnd w:id="1600"/>
    <w:bookmarkStart w:id="1601" w:name="conclusion-33"/>
    <w:p>
      <w:pPr>
        <w:pStyle w:val="Heading3"/>
      </w:pPr>
      <w:r>
        <w:t xml:space="preserve">Conclusion</w:t>
      </w:r>
    </w:p>
    <w:p>
      <w:pPr>
        <w:pStyle w:val="FirstParagraph"/>
      </w:pPr>
      <w:r>
        <w:t xml:space="preserve">Ibutamoren is the most thoroughly studied orally active agent that persistently stimulates the growth hormone axis. The trials show the basic pattern of the whole group: IGF-1 and lean mass rise, but strength, function and disease course – in aging, hip fracture and Alzheimer’s – did not improve. Instead, blood glucose and weight rose, and one trial in older people was terminated because of heart failure. Gray-market products labeled</w:t>
      </w:r>
      <w:r>
        <w:t xml:space="preserve"> </w:t>
      </w:r>
      <w:r>
        <w:t xml:space="preserve">“</w:t>
      </w:r>
      <w:r>
        <w:t xml:space="preserve">MK-677</w:t>
      </w:r>
      <w:r>
        <w:t xml:space="preserve">”</w:t>
      </w:r>
      <w:r>
        <w:t xml:space="preserve"> </w:t>
      </w:r>
      <w:r>
        <w:t xml:space="preserve">are frequently mislabeled.</w:t>
      </w:r>
    </w:p>
    <w:bookmarkEnd w:id="1601"/>
    <w:bookmarkEnd w:id="1602"/>
    <w:bookmarkEnd w:id="1603"/>
    <w:bookmarkStart w:id="1958" w:name="part-ii-d-brain-sleep-and-longevity"/>
    <w:p>
      <w:pPr>
        <w:pStyle w:val="Heading1"/>
      </w:pPr>
      <w:r>
        <w:t xml:space="preserve">Part II · D – Brain, Sleep and Longevity</w:t>
      </w:r>
    </w:p>
    <w:p>
      <w:pPr>
        <w:pStyle w:val="FirstParagraph"/>
      </w:pPr>
      <w:r>
        <w:t xml:space="preserve">Hardly any group of peptides is promoted on the internet as promisingly as this one: agents for better concentration and memory (</w:t>
      </w:r>
      <w:r>
        <w:t xml:space="preserve">“</w:t>
      </w:r>
      <w:r>
        <w:t xml:space="preserve">nootropics</w:t>
      </w:r>
      <w:r>
        <w:t xml:space="preserve">”</w:t>
      </w:r>
      <w:r>
        <w:t xml:space="preserve">), for deeper sleep, for longer telomeres and</w:t>
      </w:r>
      <w:r>
        <w:t xml:space="preserve"> </w:t>
      </w:r>
      <w:r>
        <w:t xml:space="preserve">“</w:t>
      </w:r>
      <w:r>
        <w:t xml:space="preserve">younger mitochondria.</w:t>
      </w:r>
      <w:r>
        <w:t xml:space="preserve">”</w:t>
      </w:r>
      <w:r>
        <w:t xml:space="preserve"> </w:t>
      </w:r>
      <w:r>
        <w:t xml:space="preserve">What the twelve substances in this section have in common is that they target the brain, cellular aging or energy metabolism – and that the gap between promise and evidence is particularly wide here.</w:t>
      </w:r>
    </w:p>
    <w:bookmarkStart w:id="1604" w:name="what-these-peptides-have-in-common-1"/>
    <w:p>
      <w:pPr>
        <w:pStyle w:val="Heading3"/>
      </w:pPr>
      <w:r>
        <w:t xml:space="preserve">What these peptides have in common</w:t>
      </w:r>
    </w:p>
    <w:p>
      <w:pPr>
        <w:pStyle w:val="FirstParagraph"/>
      </w:pPr>
      <w:r>
        <w:t xml:space="preserve">The group can be roughly divided into three families:</w:t>
      </w:r>
    </w:p>
    <w:p>
      <w:pPr>
        <w:numPr>
          <w:ilvl w:val="0"/>
          <w:numId w:val="1189"/>
        </w:numPr>
        <w:pStyle w:val="Compact"/>
      </w:pPr>
      <w:r>
        <w:rPr>
          <w:bCs/>
          <w:b/>
        </w:rPr>
        <w:t xml:space="preserve">Russian neuropeptides and</w:t>
      </w:r>
      <w:r>
        <w:rPr>
          <w:bCs/>
          <w:b/>
        </w:rPr>
        <w:t xml:space="preserve"> </w:t>
      </w:r>
      <w:r>
        <w:rPr>
          <w:bCs/>
          <w:b/>
        </w:rPr>
        <w:t xml:space="preserve">“</w:t>
      </w:r>
      <w:r>
        <w:rPr>
          <w:bCs/>
          <w:b/>
        </w:rPr>
        <w:t xml:space="preserve">bioregulators</w:t>
      </w:r>
      <w:r>
        <w:rPr>
          <w:bCs/>
          <w:b/>
        </w:rPr>
        <w:t xml:space="preserve">”</w:t>
      </w:r>
      <w:r>
        <w:rPr>
          <w:bCs/>
          <w:b/>
        </w:rPr>
        <w:t xml:space="preserve">:</w:t>
      </w:r>
      <w:r>
        <w:t xml:space="preserve"> </w:t>
      </w:r>
      <w:r>
        <w:t xml:space="preserve">Semax, Selank, DSIP, Epitalon and Pinealon come from Soviet and Russian research. Cerebrolysin, a peptide mixture from pig brain, comes from Austria but is used mainly in Eastern Europe and Asia.</w:t>
      </w:r>
    </w:p>
    <w:p>
      <w:pPr>
        <w:numPr>
          <w:ilvl w:val="0"/>
          <w:numId w:val="1189"/>
        </w:numPr>
        <w:pStyle w:val="Compact"/>
      </w:pPr>
      <w:r>
        <w:rPr>
          <w:bCs/>
          <w:b/>
        </w:rPr>
        <w:t xml:space="preserve">Mitochondrial peptides:</w:t>
      </w:r>
      <w:r>
        <w:t xml:space="preserve"> </w:t>
      </w:r>
      <w:r>
        <w:t xml:space="preserve">MOTS-c and humanin are endogenous signaling molecules encoded in the genome of the mitochondria. SS-31 (elamipretide) is an artificial peptide that binds specifically to the mitochondrial membrane.</w:t>
      </w:r>
    </w:p>
    <w:p>
      <w:pPr>
        <w:numPr>
          <w:ilvl w:val="0"/>
          <w:numId w:val="1189"/>
        </w:numPr>
        <w:pStyle w:val="Compact"/>
      </w:pPr>
      <w:r>
        <w:rPr>
          <w:bCs/>
          <w:b/>
        </w:rPr>
        <w:t xml:space="preserve">Experimental</w:t>
      </w:r>
      <w:r>
        <w:rPr>
          <w:bCs/>
          <w:b/>
        </w:rPr>
        <w:t xml:space="preserve"> </w:t>
      </w:r>
      <w:r>
        <w:rPr>
          <w:bCs/>
          <w:b/>
        </w:rPr>
        <w:t xml:space="preserve">“</w:t>
      </w:r>
      <w:r>
        <w:rPr>
          <w:bCs/>
          <w:b/>
        </w:rPr>
        <w:t xml:space="preserve">anti-aging</w:t>
      </w:r>
      <w:r>
        <w:rPr>
          <w:bCs/>
          <w:b/>
        </w:rPr>
        <w:t xml:space="preserve">”</w:t>
      </w:r>
      <w:r>
        <w:rPr>
          <w:bCs/>
          <w:b/>
        </w:rPr>
        <w:t xml:space="preserve"> </w:t>
      </w:r>
      <w:r>
        <w:rPr>
          <w:bCs/>
          <w:b/>
        </w:rPr>
        <w:t xml:space="preserve">molecules:</w:t>
      </w:r>
      <w:r>
        <w:t xml:space="preserve"> </w:t>
      </w:r>
      <w:r>
        <w:t xml:space="preserve">Dihexa (a derivative of angiotensin IV) and FOXO4-DRI (a senolytic intended to eliminate aged cells) have never been studied in humans. Glutathione, finally, is an endogenous tripeptide sold as a dietary supplement and as an infusion.</w:t>
      </w:r>
    </w:p>
    <w:bookmarkEnd w:id="1604"/>
    <w:bookmarkStart w:id="1605" w:name="the-nootropics-and-longevity-scene"/>
    <w:p>
      <w:pPr>
        <w:pStyle w:val="Heading3"/>
      </w:pPr>
      <w:r>
        <w:t xml:space="preserve">The nootropics and longevity scene</w:t>
      </w:r>
    </w:p>
    <w:p>
      <w:pPr>
        <w:pStyle w:val="FirstParagraph"/>
      </w:pPr>
      <w:r>
        <w:t xml:space="preserve">Anyone searching the internet for these substances quickly ends up in forums, with influencers and at</w:t>
      </w:r>
      <w:r>
        <w:t xml:space="preserve"> </w:t>
      </w:r>
      <w:r>
        <w:t xml:space="preserve">“</w:t>
      </w:r>
      <w:r>
        <w:t xml:space="preserve">longevity clinics.</w:t>
      </w:r>
      <w:r>
        <w:t xml:space="preserve">”</w:t>
      </w:r>
      <w:r>
        <w:t xml:space="preserve"> </w:t>
      </w:r>
      <w:r>
        <w:t xml:space="preserve">Three fallacies are typical, and you will encounter them again and again in the following chapters:</w:t>
      </w:r>
    </w:p>
    <w:p>
      <w:pPr>
        <w:numPr>
          <w:ilvl w:val="0"/>
          <w:numId w:val="1190"/>
        </w:numPr>
        <w:pStyle w:val="Compact"/>
      </w:pPr>
      <w:r>
        <w:rPr>
          <w:bCs/>
          <w:b/>
        </w:rPr>
        <w:t xml:space="preserve">From animal to human:</w:t>
      </w:r>
      <w:r>
        <w:t xml:space="preserve"> </w:t>
      </w:r>
      <w:r>
        <w:t xml:space="preserve">The fact that a peptide improves memory or lifespan in mice says little about whether it works in humans. In stroke and Alzheimer’s research, hundreds of agents that were successful in animals have failed in humans.</w:t>
      </w:r>
    </w:p>
    <w:p>
      <w:pPr>
        <w:numPr>
          <w:ilvl w:val="0"/>
          <w:numId w:val="1190"/>
        </w:numPr>
        <w:pStyle w:val="Compact"/>
      </w:pPr>
      <w:r>
        <w:rPr>
          <w:bCs/>
          <w:b/>
        </w:rPr>
        <w:t xml:space="preserve">From level to injection:</w:t>
      </w:r>
      <w:r>
        <w:t xml:space="preserve"> </w:t>
      </w:r>
      <w:r>
        <w:t xml:space="preserve">The fact that people with low MOTS-c or humanin levels are more often ill does not prove that supplementing them makes people healthy.</w:t>
      </w:r>
    </w:p>
    <w:p>
      <w:pPr>
        <w:numPr>
          <w:ilvl w:val="0"/>
          <w:numId w:val="1190"/>
        </w:numPr>
        <w:pStyle w:val="Compact"/>
      </w:pPr>
      <w:r>
        <w:rPr>
          <w:bCs/>
          <w:b/>
        </w:rPr>
        <w:t xml:space="preserve">From mechanism to benefit:</w:t>
      </w:r>
      <w:r>
        <w:t xml:space="preserve"> </w:t>
      </w:r>
      <w:r>
        <w:t xml:space="preserve">A coherent mechanism –</w:t>
      </w:r>
      <w:r>
        <w:t xml:space="preserve"> </w:t>
      </w:r>
      <w:r>
        <w:t xml:space="preserve">“</w:t>
      </w:r>
      <w:r>
        <w:t xml:space="preserve">protects the mitochondria,</w:t>
      </w:r>
      <w:r>
        <w:t xml:space="preserve">”</w:t>
      </w:r>
      <w:r>
        <w:t xml:space="preserve"> </w:t>
      </w:r>
      <w:r>
        <w:t xml:space="preserve">“</w:t>
      </w:r>
      <w:r>
        <w:t xml:space="preserve">lengthens telomeres</w:t>
      </w:r>
      <w:r>
        <w:t xml:space="preserve">”</w:t>
      </w:r>
      <w:r>
        <w:t xml:space="preserve"> </w:t>
      </w:r>
      <w:r>
        <w:t xml:space="preserve">– is not efficacy. SS-31 is the best example of this: it was tested in several large trials and missed its primary endpoints in heart attack, heart failure and mitochondrial myopathy.</w:t>
      </w:r>
    </w:p>
    <w:p>
      <w:pPr>
        <w:pStyle w:val="FirstParagraph"/>
      </w:pPr>
      <w:r>
        <w:t xml:space="preserve">On top of this, almost all of these substances are sold on the gray market as</w:t>
      </w:r>
      <w:r>
        <w:t xml:space="preserve"> </w:t>
      </w:r>
      <w:r>
        <w:t xml:space="preserve">“</w:t>
      </w:r>
      <w:r>
        <w:t xml:space="preserve">research peptides</w:t>
      </w:r>
      <w:r>
        <w:t xml:space="preserve">”</w:t>
      </w:r>
      <w:r>
        <w:t xml:space="preserve"> </w:t>
      </w:r>
      <w:r>
        <w:t xml:space="preserve">– without quality control (see Part I and Part IV).</w:t>
      </w:r>
    </w:p>
    <w:bookmarkEnd w:id="1605"/>
    <w:bookmarkStart w:id="1606" w:name="X6e2cf81bff86aebdd6fe6c6182971ac389537b5"/>
    <w:p>
      <w:pPr>
        <w:pStyle w:val="Heading3"/>
      </w:pPr>
      <w:r>
        <w:t xml:space="preserve">Russian peptide research and its publication record</w:t>
      </w:r>
    </w:p>
    <w:p>
      <w:pPr>
        <w:pStyle w:val="FirstParagraph"/>
      </w:pPr>
      <w:r>
        <w:t xml:space="preserve">A large part of the literature on Semax, Selank, DSIP, Epitalon and Pinealon comes from a few institutes in Moscow and St. Petersburg. That is no reason to reject the research wholesale – but it is a reason for caution:</w:t>
      </w:r>
    </w:p>
    <w:p>
      <w:pPr>
        <w:numPr>
          <w:ilvl w:val="0"/>
          <w:numId w:val="1191"/>
        </w:numPr>
        <w:pStyle w:val="Compact"/>
      </w:pPr>
      <w:r>
        <w:rPr>
          <w:bCs/>
          <w:b/>
        </w:rPr>
        <w:t xml:space="preserve">Approval without international standards:</w:t>
      </w:r>
      <w:r>
        <w:t xml:space="preserve"> </w:t>
      </w:r>
      <w:r>
        <w:t xml:space="preserve">Some peptides are registered as medicines in Russia without large, blinded, preregistered trials having been published of the kind required by the EU or the USA.</w:t>
      </w:r>
    </w:p>
    <w:p>
      <w:pPr>
        <w:numPr>
          <w:ilvl w:val="0"/>
          <w:numId w:val="1191"/>
        </w:numPr>
        <w:pStyle w:val="Compact"/>
      </w:pPr>
      <w:r>
        <w:rPr>
          <w:bCs/>
          <w:b/>
        </w:rPr>
        <w:t xml:space="preserve">Small, uncontrolled studies:</w:t>
      </w:r>
      <w:r>
        <w:t xml:space="preserve"> </w:t>
      </w:r>
      <w:r>
        <w:t xml:space="preserve">Many clinical papers have no placebo group, no randomization, or give no figures in the abstract.</w:t>
      </w:r>
    </w:p>
    <w:p>
      <w:pPr>
        <w:numPr>
          <w:ilvl w:val="0"/>
          <w:numId w:val="1191"/>
        </w:numPr>
        <w:pStyle w:val="Compact"/>
      </w:pPr>
      <w:r>
        <w:rPr>
          <w:bCs/>
          <w:b/>
        </w:rPr>
        <w:t xml:space="preserve">Language and access:</w:t>
      </w:r>
      <w:r>
        <w:t xml:space="preserve"> </w:t>
      </w:r>
      <w:r>
        <w:t xml:space="preserve">Many papers appear only in Russian, often in journals in which the author groups themselves frequently publish.</w:t>
      </w:r>
    </w:p>
    <w:p>
      <w:pPr>
        <w:numPr>
          <w:ilvl w:val="0"/>
          <w:numId w:val="1191"/>
        </w:numPr>
        <w:pStyle w:val="Compact"/>
      </w:pPr>
      <w:r>
        <w:rPr>
          <w:bCs/>
          <w:b/>
        </w:rPr>
        <w:t xml:space="preserve">Lack of replication:</w:t>
      </w:r>
      <w:r>
        <w:t xml:space="preserve"> </w:t>
      </w:r>
      <w:r>
        <w:t xml:space="preserve">Independent groups outside Russia have rarely re-examined the results – and when they have, often with sobering results, as with DSIP.</w:t>
      </w:r>
    </w:p>
    <w:p>
      <w:pPr>
        <w:numPr>
          <w:ilvl w:val="0"/>
          <w:numId w:val="1191"/>
        </w:numPr>
        <w:pStyle w:val="Compact"/>
      </w:pPr>
      <w:r>
        <w:rPr>
          <w:bCs/>
          <w:b/>
        </w:rPr>
        <w:t xml:space="preserve">No registry entries:</w:t>
      </w:r>
      <w:r>
        <w:t xml:space="preserve"> </w:t>
      </w:r>
      <w:r>
        <w:t xml:space="preserve">For Semax, Selank, DSIP and Pinealon, not a single study can be found on ClinicalTrials.gov.</w:t>
      </w:r>
    </w:p>
    <w:bookmarkEnd w:id="1606"/>
    <w:bookmarkStart w:id="1607" w:name="overview-2"/>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Russia only</w:t>
            </w:r>
          </w:p>
        </w:tc>
        <w:tc>
          <w:tcPr/>
          <w:p>
            <w:pPr>
              <w:pStyle w:val="Compact"/>
              <w:jc w:val="left"/>
            </w:pPr>
            <w:r>
              <w:t xml:space="preserve">ACTH fragment; small stroke studies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Russia only</w:t>
            </w:r>
          </w:p>
        </w:tc>
        <w:tc>
          <w:tcPr/>
          <w:p>
            <w:pPr>
              <w:pStyle w:val="Compact"/>
              <w:jc w:val="left"/>
            </w:pPr>
            <w:r>
              <w:t xml:space="preserve">anxiolytic; no placebo-controlled studies</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including Austria</w:t>
            </w:r>
          </w:p>
        </w:tc>
        <w:tc>
          <w:tcPr/>
          <w:p>
            <w:pPr>
              <w:pStyle w:val="Compact"/>
              <w:jc w:val="left"/>
            </w:pPr>
            <w:r>
              <w:t xml:space="preserve">many RCTs, Cochrane cautious</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w:t>
            </w:r>
          </w:p>
        </w:tc>
        <w:tc>
          <w:tcPr/>
          <w:p>
            <w:pPr>
              <w:pStyle w:val="Compact"/>
              <w:jc w:val="left"/>
            </w:pPr>
            <w:r>
              <w:t xml:space="preserve">animal data only; cancer question open</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w:t>
            </w:r>
          </w:p>
        </w:tc>
        <w:tc>
          <w:tcPr/>
          <w:p>
            <w:pPr>
              <w:pStyle w:val="Compact"/>
              <w:jc w:val="left"/>
            </w:pPr>
            <w:r>
              <w:t xml:space="preserve">“</w:t>
            </w:r>
            <w:r>
              <w:t xml:space="preserve">sleep peptide</w:t>
            </w:r>
            <w:r>
              <w:t xml:space="preserve">”</w:t>
            </w:r>
            <w:r>
              <w:t xml:space="preserve"> </w:t>
            </w:r>
            <w:r>
              <w:t xml:space="preserve">without confirmed benefit</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telomere promise only in the lab</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small Russian observations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w:t>
            </w:r>
          </w:p>
        </w:tc>
        <w:tc>
          <w:tcPr/>
          <w:p>
            <w:pPr>
              <w:pStyle w:val="Compact"/>
              <w:jc w:val="left"/>
            </w:pPr>
            <w:r>
              <w:t xml:space="preserve">mice yes, humans only levels</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no</w:t>
            </w:r>
          </w:p>
        </w:tc>
        <w:tc>
          <w:tcPr/>
          <w:p>
            <w:pPr>
              <w:pStyle w:val="Compact"/>
              <w:jc w:val="left"/>
            </w:pPr>
            <w:r>
              <w:t xml:space="preserve">biomarker; tumor-promoting in animals</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USA (Barth syndrome)</w:t>
            </w:r>
          </w:p>
        </w:tc>
        <w:tc>
          <w:tcPr/>
          <w:p>
            <w:pPr>
              <w:pStyle w:val="Compact"/>
              <w:jc w:val="left"/>
            </w:pPr>
            <w:r>
              <w:t xml:space="preserve">large trials mostly negative</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w:t>
            </w:r>
          </w:p>
        </w:tc>
        <w:tc>
          <w:tcPr/>
          <w:p>
            <w:pPr>
              <w:pStyle w:val="Compact"/>
              <w:jc w:val="left"/>
            </w:pPr>
            <w:r>
              <w:t xml:space="preserve">senolytic, animal data only</w:t>
            </w:r>
          </w:p>
        </w:tc>
      </w:tr>
      <w:tr>
        <w:tc>
          <w:tcPr/>
          <w:p>
            <w:pPr>
              <w:pStyle w:val="Compact"/>
              <w:jc w:val="left"/>
            </w:pPr>
            <w:r>
              <w:t xml:space="preserve">Glutathione</w:t>
            </w:r>
          </w:p>
        </w:tc>
        <w:tc>
          <w:tcPr/>
          <w:p>
            <w:pPr>
              <w:pStyle w:val="Compact"/>
              <w:jc w:val="left"/>
            </w:pPr>
            <w:r>
              <w:t xml:space="preserve">B</w:t>
            </w:r>
          </w:p>
        </w:tc>
        <w:tc>
          <w:tcPr/>
          <w:p>
            <w:pPr>
              <w:pStyle w:val="Compact"/>
              <w:jc w:val="left"/>
            </w:pPr>
            <w:r>
              <w:t xml:space="preserve">dietary supplement</w:t>
            </w:r>
          </w:p>
        </w:tc>
        <w:tc>
          <w:tcPr/>
          <w:p>
            <w:pPr>
              <w:pStyle w:val="Compact"/>
              <w:jc w:val="left"/>
            </w:pPr>
            <w:r>
              <w:t xml:space="preserve">infusions for skin lightening risky</w:t>
            </w:r>
          </w:p>
        </w:tc>
      </w:tr>
    </w:tbl>
    <w:bookmarkEnd w:id="1607"/>
    <w:bookmarkStart w:id="1608" w:name="reading-guide-3"/>
    <w:p>
      <w:pPr>
        <w:pStyle w:val="Heading3"/>
      </w:pPr>
      <w:r>
        <w:t xml:space="preserve">Reading guide</w:t>
      </w:r>
    </w:p>
    <w:p>
      <w:pPr>
        <w:pStyle w:val="FirstParagraph"/>
      </w:pPr>
      <w:r>
        <w:t xml:space="preserve">The chapters follow the uniform structure of this book. In each chapter, pay particular attention to the section</w:t>
      </w:r>
      <w:r>
        <w:t xml:space="preserve"> </w:t>
      </w:r>
      <w:r>
        <w:t xml:space="preserve">“</w:t>
      </w:r>
      <w:r>
        <w:t xml:space="preserve">Human studies</w:t>
      </w:r>
      <w:r>
        <w:t xml:space="preserve">”</w:t>
      </w:r>
      <w:r>
        <w:t xml:space="preserve"> </w:t>
      </w:r>
      <w:r>
        <w:t xml:space="preserve">and, within it, to the scope of the evidence: for nine of the twelve peptides, there is either no study in which humans received the substance or only very small, methodologically weak studies. The legal situation and FDA status changed several times in 2026; the information reflects the situation as of October 2026 and should be checked for updates.</w:t>
      </w:r>
    </w:p>
    <w:bookmarkEnd w:id="1608"/>
    <w:bookmarkStart w:id="1637" w:name="semax"/>
    <w:p>
      <w:pPr>
        <w:pStyle w:val="Heading2"/>
      </w:pPr>
      <w:r>
        <w:t xml:space="preserve">Semax</w:t>
      </w:r>
    </w:p>
    <w:bookmarkStart w:id="1609" w:name="profile-34"/>
    <w:p>
      <w:pPr>
        <w:pStyle w:val="Heading3"/>
      </w:pPr>
      <w:r>
        <w:t xml:space="preserve">Profile</w:t>
      </w:r>
    </w:p>
    <w:p>
      <w:pPr>
        <w:numPr>
          <w:ilvl w:val="0"/>
          <w:numId w:val="1192"/>
        </w:numPr>
        <w:pStyle w:val="Compact"/>
      </w:pPr>
      <w:r>
        <w:rPr>
          <w:bCs/>
          <w:b/>
        </w:rPr>
        <w:t xml:space="preserve">Type and structure:</w:t>
      </w:r>
      <w:r>
        <w:t xml:space="preserve"> </w:t>
      </w:r>
      <w:r>
        <w:t xml:space="preserve">synthetic heptapeptide (seven amino acids: Met-Glu-His-Phe-Pro-Gly-Pro). The first four building blocks correspond to a fragment of the stress hormone ACTH (adrenocorticotropic hormone, segment 4–7), to which the tripeptide Pro-Gly-Pro is attached, which is intended to slow its breakdown.</w:t>
      </w:r>
    </w:p>
    <w:p>
      <w:pPr>
        <w:numPr>
          <w:ilvl w:val="0"/>
          <w:numId w:val="1192"/>
        </w:numPr>
        <w:pStyle w:val="Compact"/>
      </w:pPr>
      <w:r>
        <w:rPr>
          <w:bCs/>
          <w:b/>
        </w:rPr>
        <w:t xml:space="preserve">Origin:</w:t>
      </w:r>
      <w:r>
        <w:t xml:space="preserve"> </w:t>
      </w:r>
      <w:r>
        <w:t xml:space="preserve">developed from the 1980s onward at the Institute of Molecular Genetics of the Russian Academy of Sciences in Moscow.</w:t>
      </w:r>
    </w:p>
    <w:p>
      <w:pPr>
        <w:numPr>
          <w:ilvl w:val="0"/>
          <w:numId w:val="1192"/>
        </w:numPr>
        <w:pStyle w:val="Compact"/>
      </w:pPr>
      <w:r>
        <w:rPr>
          <w:bCs/>
          <w:b/>
        </w:rPr>
        <w:t xml:space="preserve">Mechanism of action:</w:t>
      </w:r>
      <w:r>
        <w:t xml:space="preserve"> </w:t>
      </w:r>
      <w:r>
        <w:t xml:space="preserve">said to stimulate the production of nerve growth factors (especially BDNF) and to protect nerve cells during oxygen deprivation; unlike ACTH, it does not stimulate the adrenal gland to release cortisol. It is administered as nasal drops.</w:t>
      </w:r>
    </w:p>
    <w:p>
      <w:pPr>
        <w:numPr>
          <w:ilvl w:val="0"/>
          <w:numId w:val="1192"/>
        </w:numPr>
        <w:pStyle w:val="Compact"/>
      </w:pPr>
      <w:r>
        <w:rPr>
          <w:bCs/>
          <w:b/>
        </w:rPr>
        <w:t xml:space="preserve">EU approval:</w:t>
      </w:r>
      <w:r>
        <w:t xml:space="preserve"> </w:t>
      </w:r>
      <w:r>
        <w:t xml:space="preserve">no.</w:t>
      </w:r>
    </w:p>
    <w:p>
      <w:pPr>
        <w:numPr>
          <w:ilvl w:val="0"/>
          <w:numId w:val="1192"/>
        </w:numPr>
        <w:pStyle w:val="Compact"/>
      </w:pPr>
      <w:r>
        <w:rPr>
          <w:bCs/>
          <w:b/>
        </w:rPr>
        <w:t xml:space="preserve">US approval:</w:t>
      </w:r>
      <w:r>
        <w:t xml:space="preserve"> </w:t>
      </w:r>
      <w:r>
        <w:t xml:space="preserve">no. From 2023, Semax was on the FDA list of substances with potential safety risks for pharmacy compounding (</w:t>
      </w:r>
      <w:r>
        <w:t xml:space="preserve">“</w:t>
      </w:r>
      <w:r>
        <w:t xml:space="preserve">Category 2</w:t>
      </w:r>
      <w:r>
        <w:t xml:space="preserve">”</w:t>
      </w:r>
      <w:r>
        <w:t xml:space="preserve">); it was removed from that list in April 2026, and in July 2026 the advisory committee PCAC narrowly recommended its inclusion in the list of permitted bulk substances for compounding. That is not approval as a medicine.</w:t>
      </w:r>
    </w:p>
    <w:p>
      <w:pPr>
        <w:numPr>
          <w:ilvl w:val="0"/>
          <w:numId w:val="1192"/>
        </w:numPr>
        <w:pStyle w:val="Compact"/>
      </w:pPr>
      <w:r>
        <w:rPr>
          <w:bCs/>
          <w:b/>
        </w:rPr>
        <w:t xml:space="preserve">Russia and some neighboring countries:</w:t>
      </w:r>
      <w:r>
        <w:t xml:space="preserve"> </w:t>
      </w:r>
      <w:r>
        <w:t xml:space="preserve">registered as a medicine (nasal drops; 0.1% solution as a nootropic, 1% solution for stroke).</w:t>
      </w:r>
    </w:p>
    <w:p>
      <w:pPr>
        <w:numPr>
          <w:ilvl w:val="0"/>
          <w:numId w:val="1192"/>
        </w:numPr>
        <w:pStyle w:val="Compact"/>
      </w:pPr>
      <w:r>
        <w:rPr>
          <w:bCs/>
          <w:b/>
        </w:rPr>
        <w:t xml:space="preserve">WADA:</w:t>
      </w:r>
      <w:r>
        <w:t xml:space="preserve"> </w:t>
      </w:r>
      <w:r>
        <w:t xml:space="preserve">not listed by name. Since Semax is approved in Russia, it does not clearly fall under the catch-all category S0 for non-approved substances.</w:t>
      </w:r>
    </w:p>
    <w:p>
      <w:pPr>
        <w:numPr>
          <w:ilvl w:val="0"/>
          <w:numId w:val="1192"/>
        </w:numPr>
        <w:pStyle w:val="Compact"/>
      </w:pPr>
      <w:r>
        <w:rPr>
          <w:bCs/>
          <w:b/>
        </w:rPr>
        <w:t xml:space="preserve">Evidence level:</w:t>
      </w:r>
      <w:r>
        <w:t xml:space="preserve"> </w:t>
      </w:r>
      <w:r>
        <w:rPr>
          <w:bCs/>
          <w:b/>
        </w:rPr>
        <w:t xml:space="preserve">C</w:t>
      </w:r>
      <w:r>
        <w:t xml:space="preserve"> </w:t>
      </w:r>
      <w:r>
        <w:t xml:space="preserve">– a few small, mostly nonrandomized studies from Russian centers.</w:t>
      </w:r>
    </w:p>
    <w:bookmarkEnd w:id="1609"/>
    <w:bookmarkStart w:id="1612" w:name="how-it-is-supposed-to-work-34"/>
    <w:p>
      <w:pPr>
        <w:pStyle w:val="Heading3"/>
      </w:pPr>
      <w:r>
        <w:t xml:space="preserve">How it is supposed to work</w:t>
      </w:r>
    </w:p>
    <w:p>
      <w:pPr>
        <w:pStyle w:val="FirstParagraph"/>
      </w:pPr>
      <w:r>
        <w:t xml:space="preserve">ACTH is a hormone of the pituitary gland that stimulates the adrenal gland to produce cortisol. As early as the 1970s, it was noticed that short fragments of this hormone – without the effect on the adrenal gland – influence attention and learning in animals. Such fragments, however, are broken down in the body within minutes. The developers of Semax therefore extended the fragment ACTH(4–7) with the sequence Pro-Gly-Pro, which is more stable against protein-cleaving enzymes.</w:t>
      </w:r>
    </w:p>
    <w:p>
      <w:pPr>
        <w:pStyle w:val="BodyText"/>
      </w:pPr>
      <w:r>
        <w:t xml:space="preserve">For the mechanism of action, the developers rely mainly on animal data:</w:t>
      </w:r>
    </w:p>
    <w:p>
      <w:pPr>
        <w:numPr>
          <w:ilvl w:val="0"/>
          <w:numId w:val="1193"/>
        </w:numPr>
        <w:pStyle w:val="Compact"/>
      </w:pPr>
      <w:r>
        <w:rPr>
          <w:bCs/>
          <w:b/>
        </w:rPr>
        <w:t xml:space="preserve">Nerve growth factors:</w:t>
      </w:r>
      <w:r>
        <w:t xml:space="preserve"> </w:t>
      </w:r>
      <w:r>
        <w:t xml:space="preserve">In rats, specific binding sites for labeled Semax were found in the basal forebrain; after intranasal administration, the content of BDNF (brain-derived neurotrophic factor), a protein that promotes the adaptability of nerve connections, rose there within three hours. This was not the case in the cerebellum</w:t>
      </w:r>
      <w:r>
        <w:rPr>
          <w:rStyle w:val="FootnoteReference"/>
        </w:rPr>
        <w:footnoteReference w:id="1610"/>
      </w:r>
      <w:r>
        <w:t xml:space="preserve">.</w:t>
      </w:r>
    </w:p>
    <w:p>
      <w:pPr>
        <w:numPr>
          <w:ilvl w:val="0"/>
          <w:numId w:val="1193"/>
        </w:numPr>
        <w:pStyle w:val="Compact"/>
      </w:pPr>
      <w:r>
        <w:rPr>
          <w:bCs/>
          <w:b/>
        </w:rPr>
        <w:t xml:space="preserve">Gene activity after stroke:</w:t>
      </w:r>
      <w:r>
        <w:t xml:space="preserve"> </w:t>
      </w:r>
      <w:r>
        <w:t xml:space="preserve">In a rat stroke model, Semax altered the activity of numerous genes, especially those of the immune system and blood vessel formation</w:t>
      </w:r>
      <w:r>
        <w:rPr>
          <w:rStyle w:val="FootnoteReference"/>
        </w:rPr>
        <w:footnoteReference w:id="1611"/>
      </w:r>
      <w:r>
        <w:t xml:space="preserve">.</w:t>
      </w:r>
    </w:p>
    <w:p>
      <w:pPr>
        <w:pStyle w:val="FirstParagraph"/>
      </w:pPr>
      <w:r>
        <w:t xml:space="preserve">A dedicated receptor for Semax has not been identified. Whether the BDNF increases measured in rats occur in comparable form in humans and whether they are sufficient for a benefit is open.</w:t>
      </w:r>
    </w:p>
    <w:bookmarkEnd w:id="1612"/>
    <w:bookmarkStart w:id="1624" w:name="human-studies-34"/>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only 4 publications classified as human studies; in total, PubMed lists around 210 papers with</w:t>
      </w:r>
      <w:r>
        <w:t xml:space="preserve"> </w:t>
      </w:r>
      <w:r>
        <w:t xml:space="preserve">“</w:t>
      </w:r>
      <w:r>
        <w:t xml:space="preserve">Semax</w:t>
      </w:r>
      <w:r>
        <w:t xml:space="preserve">”</w:t>
      </w:r>
      <w:r>
        <w:t xml:space="preserve"> </w:t>
      </w:r>
      <w:r>
        <w:t xml:space="preserve">in the title or abstract, the vast majority of them animal and laboratory studies. Not a single study is registered on ClinicalTrials.gov. A targeted follow-up search found a few further small clinical papers. Virtually all come from Russian institutions, many from the developers’ circle, and have been published only in Russian with an English abstract.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Gusev 1997, PMID 11517472</w:t>
            </w:r>
          </w:p>
        </w:tc>
        <w:tc>
          <w:tcPr/>
          <w:p>
            <w:pPr>
              <w:pStyle w:val="Compact"/>
              <w:jc w:val="left"/>
            </w:pPr>
            <w:r>
              <w:t xml:space="preserve">30 people with acute ischemic stroke, compared with 80 people on standard therapy, nonrandomized</w:t>
            </w:r>
          </w:p>
        </w:tc>
        <w:tc>
          <w:tcPr/>
          <w:p>
            <w:pPr>
              <w:pStyle w:val="Compact"/>
              <w:jc w:val="left"/>
            </w:pPr>
            <w:r>
              <w:t xml:space="preserve">5–10 days of treatment</w:t>
            </w:r>
          </w:p>
        </w:tc>
        <w:tc>
          <w:tcPr/>
          <w:p>
            <w:pPr>
              <w:pStyle w:val="Compact"/>
              <w:jc w:val="left"/>
            </w:pPr>
            <w:r>
              <w:t xml:space="preserve">“</w:t>
            </w:r>
            <w:r>
              <w:t xml:space="preserve">some influence</w:t>
            </w:r>
            <w:r>
              <w:t xml:space="preserve">”</w:t>
            </w:r>
            <w:r>
              <w:t xml:space="preserve"> </w:t>
            </w:r>
            <w:r>
              <w:t xml:space="preserve">on the speed of recovery of neurological deficits, no effect sizes in the abstract</w:t>
            </w:r>
          </w:p>
        </w:tc>
      </w:tr>
      <w:tr>
        <w:tc>
          <w:tcPr/>
          <w:p>
            <w:pPr>
              <w:pStyle w:val="Compact"/>
              <w:jc w:val="left"/>
            </w:pPr>
            <w:r>
              <w:t xml:space="preserve">Gusev 2005, PMID 15792140</w:t>
            </w:r>
          </w:p>
        </w:tc>
        <w:tc>
          <w:tcPr/>
          <w:p>
            <w:pPr>
              <w:pStyle w:val="Compact"/>
              <w:jc w:val="left"/>
            </w:pPr>
            <w:r>
              <w:t xml:space="preserve">187 people with chronic cerebrovascular insufficiency</w:t>
            </w:r>
          </w:p>
        </w:tc>
        <w:tc>
          <w:tcPr/>
          <w:p>
            <w:pPr>
              <w:pStyle w:val="Compact"/>
              <w:jc w:val="left"/>
            </w:pPr>
            <w:r>
              <w:t xml:space="preserve">not stated</w:t>
            </w:r>
          </w:p>
        </w:tc>
        <w:tc>
          <w:tcPr/>
          <w:p>
            <w:pPr>
              <w:pStyle w:val="Compact"/>
              <w:jc w:val="left"/>
            </w:pPr>
            <w:r>
              <w:t xml:space="preserve">according to the authors, clinical improvement and fewer strokes; design and figures not in the abstract</w:t>
            </w:r>
          </w:p>
        </w:tc>
      </w:tr>
      <w:tr>
        <w:tc>
          <w:tcPr/>
          <w:p>
            <w:pPr>
              <w:pStyle w:val="Compact"/>
              <w:jc w:val="left"/>
            </w:pPr>
            <w:r>
              <w:t xml:space="preserve">Gusev 2018, PMID 29798983</w:t>
            </w:r>
          </w:p>
        </w:tc>
        <w:tc>
          <w:tcPr/>
          <w:p>
            <w:pPr>
              <w:pStyle w:val="Compact"/>
              <w:jc w:val="left"/>
            </w:pPr>
            <w:r>
              <w:t xml:space="preserve">110 people after stroke, early or late rehabilitation, each with or without Semax</w:t>
            </w:r>
          </w:p>
        </w:tc>
        <w:tc>
          <w:tcPr/>
          <w:p>
            <w:pPr>
              <w:pStyle w:val="Compact"/>
              <w:jc w:val="left"/>
            </w:pPr>
            <w:r>
              <w:t xml:space="preserve">about 5 months</w:t>
            </w:r>
          </w:p>
        </w:tc>
        <w:tc>
          <w:tcPr/>
          <w:p>
            <w:pPr>
              <w:pStyle w:val="Compact"/>
              <w:jc w:val="left"/>
            </w:pPr>
            <w:r>
              <w:t xml:space="preserve">higher BDNF level in the blood, faster improvement in the Barthel index</w:t>
            </w:r>
          </w:p>
        </w:tc>
      </w:tr>
      <w:tr>
        <w:tc>
          <w:tcPr/>
          <w:p>
            <w:pPr>
              <w:pStyle w:val="Compact"/>
              <w:jc w:val="left"/>
            </w:pPr>
            <w:r>
              <w:t xml:space="preserve">Serdiuk 2007, PMID 18379501</w:t>
            </w:r>
          </w:p>
        </w:tc>
        <w:tc>
          <w:tcPr/>
          <w:p>
            <w:pPr>
              <w:pStyle w:val="Compact"/>
              <w:jc w:val="left"/>
            </w:pPr>
            <w:r>
              <w:t xml:space="preserve">27 people with motor neuron disease (e.g., ALS), open-label</w:t>
            </w:r>
          </w:p>
        </w:tc>
        <w:tc>
          <w:tcPr/>
          <w:p>
            <w:pPr>
              <w:pStyle w:val="Compact"/>
              <w:jc w:val="left"/>
            </w:pPr>
            <w:r>
              <w:t xml:space="preserve">48 days</w:t>
            </w:r>
          </w:p>
        </w:tc>
        <w:tc>
          <w:tcPr/>
          <w:p>
            <w:pPr>
              <w:pStyle w:val="Compact"/>
              <w:jc w:val="left"/>
            </w:pPr>
            <w:r>
              <w:t xml:space="preserve">no influence on disease course and muscle findings; better quality-of-life scores</w:t>
            </w:r>
          </w:p>
        </w:tc>
      </w:tr>
      <w:tr>
        <w:tc>
          <w:tcPr/>
          <w:p>
            <w:pPr>
              <w:pStyle w:val="Compact"/>
              <w:jc w:val="left"/>
            </w:pPr>
            <w:r>
              <w:t xml:space="preserve">Polunin 2000, PMID 10741256</w:t>
            </w:r>
          </w:p>
        </w:tc>
        <w:tc>
          <w:tcPr/>
          <w:p>
            <w:pPr>
              <w:pStyle w:val="Compact"/>
              <w:jc w:val="left"/>
            </w:pPr>
            <w:r>
              <w:t xml:space="preserve">people with optic nerve diseases, three groups including control</w:t>
            </w:r>
          </w:p>
        </w:tc>
        <w:tc>
          <w:tcPr/>
          <w:p>
            <w:pPr>
              <w:pStyle w:val="Compact"/>
              <w:jc w:val="left"/>
            </w:pPr>
            <w:r>
              <w:t xml:space="preserve">not stated</w:t>
            </w:r>
          </w:p>
        </w:tc>
        <w:tc>
          <w:tcPr/>
          <w:p>
            <w:pPr>
              <w:pStyle w:val="Compact"/>
              <w:jc w:val="left"/>
            </w:pPr>
            <w:r>
              <w:t xml:space="preserve">according to the authors, better visual acuity and visual field; no figures in the abstract</w:t>
            </w:r>
          </w:p>
        </w:tc>
      </w:tr>
      <w:tr>
        <w:tc>
          <w:tcPr/>
          <w:p>
            <w:pPr>
              <w:pStyle w:val="Compact"/>
              <w:jc w:val="left"/>
            </w:pPr>
            <w:r>
              <w:t xml:space="preserve">Lebedeva 2018, PMID 30225715</w:t>
            </w:r>
          </w:p>
        </w:tc>
        <w:tc>
          <w:tcPr/>
          <w:p>
            <w:pPr>
              <w:pStyle w:val="Compact"/>
              <w:jc w:val="left"/>
            </w:pPr>
            <w:r>
              <w:t xml:space="preserve">24 healthy people, Semax (14) or placebo (10)</w:t>
            </w:r>
          </w:p>
        </w:tc>
        <w:tc>
          <w:tcPr/>
          <w:p>
            <w:pPr>
              <w:pStyle w:val="Compact"/>
              <w:jc w:val="left"/>
            </w:pPr>
            <w:r>
              <w:t xml:space="preserve">single dose, measurement after 20 minutes</w:t>
            </w:r>
          </w:p>
        </w:tc>
        <w:tc>
          <w:tcPr/>
          <w:p>
            <w:pPr>
              <w:pStyle w:val="Compact"/>
              <w:jc w:val="left"/>
            </w:pPr>
            <w:r>
              <w:t xml:space="preserve">altered resting-state network activity on functional MRI</w:t>
            </w:r>
          </w:p>
        </w:tc>
      </w:tr>
    </w:tbl>
    <w:bookmarkStart w:id="1616" w:name="stroke"/>
    <w:p>
      <w:pPr>
        <w:pStyle w:val="Heading4"/>
      </w:pPr>
      <w:r>
        <w:t xml:space="preserve">Stroke</w:t>
      </w:r>
    </w:p>
    <w:p>
      <w:pPr>
        <w:pStyle w:val="FirstParagraph"/>
      </w:pPr>
      <w:r>
        <w:t xml:space="preserve">Stroke is the main indication for which Semax is registered in Russia. The basis for this is thin. In the first clinical study, 30 people with acute stroke received Semax in addition to standard treatment; 80 people who received only standard treatment served as the comparison. The groups were not assigned by randomization. The authors report</w:t>
      </w:r>
      <w:r>
        <w:t xml:space="preserve"> </w:t>
      </w:r>
      <w:r>
        <w:t xml:space="preserve">“</w:t>
      </w:r>
      <w:r>
        <w:t xml:space="preserve">some influence</w:t>
      </w:r>
      <w:r>
        <w:t xml:space="preserve">”</w:t>
      </w:r>
      <w:r>
        <w:t xml:space="preserve"> </w:t>
      </w:r>
      <w:r>
        <w:t xml:space="preserve">on the regression of deficits, especially paralysis</w:t>
      </w:r>
      <w:r>
        <w:rPr>
          <w:rStyle w:val="FootnoteReference"/>
        </w:rPr>
        <w:footnoteReference w:id="1613"/>
      </w:r>
      <w:r>
        <w:t xml:space="preserve">. A follow-up paper by the same group examined inflammatory messengers in the blood and was explicitly a retrospective analysis</w:t>
      </w:r>
      <w:r>
        <w:rPr>
          <w:rStyle w:val="FootnoteReference"/>
        </w:rPr>
        <w:footnoteReference w:id="1614"/>
      </w:r>
      <w:r>
        <w:t xml:space="preserve">.</w:t>
      </w:r>
    </w:p>
    <w:p>
      <w:pPr>
        <w:pStyle w:val="BodyText"/>
      </w:pPr>
      <w:r>
        <w:t xml:space="preserve">The largest study to date, with 110 people after a stroke, compared early and late rehabilitation, each with or without Semax. On Semax, the BDNF level in blood plasma rose and remained elevated during the observation period; the Barthel index, a measure of independence in daily life, improved faster</w:t>
      </w:r>
      <w:r>
        <w:rPr>
          <w:rStyle w:val="FootnoteReference"/>
        </w:rPr>
        <w:footnoteReference w:id="1615"/>
      </w:r>
      <w:r>
        <w:t xml:space="preserve">. The abstract mentions neither randomization nor blinding, and the differences between groups are not given as effect sizes. That is not sufficient to prove a benefit.</w:t>
      </w:r>
    </w:p>
    <w:p>
      <w:pPr>
        <w:pStyle w:val="BodyText"/>
      </w:pPr>
      <w:r>
        <w:t xml:space="preserve">For comparison: among other agents intended to</w:t>
      </w:r>
      <w:r>
        <w:t xml:space="preserve"> </w:t>
      </w:r>
      <w:r>
        <w:t xml:space="preserve">“</w:t>
      </w:r>
      <w:r>
        <w:t xml:space="preserve">protect nerve cells,</w:t>
      </w:r>
      <w:r>
        <w:t xml:space="preserve">”</w:t>
      </w:r>
      <w:r>
        <w:t xml:space="preserve"> </w:t>
      </w:r>
      <w:r>
        <w:t xml:space="preserve">almost all have so far failed in stroke in large, blinded international trials. No such trial exists for Semax.</w:t>
      </w:r>
    </w:p>
    <w:bookmarkEnd w:id="1616"/>
    <w:bookmarkStart w:id="1621" w:name="other-uses-2"/>
    <w:p>
      <w:pPr>
        <w:pStyle w:val="Heading4"/>
      </w:pPr>
      <w:r>
        <w:t xml:space="preserve">Other uses</w:t>
      </w:r>
    </w:p>
    <w:p>
      <w:pPr>
        <w:numPr>
          <w:ilvl w:val="0"/>
          <w:numId w:val="1194"/>
        </w:numPr>
        <w:pStyle w:val="Compact"/>
      </w:pPr>
      <w:r>
        <w:rPr>
          <w:bCs/>
          <w:b/>
        </w:rPr>
        <w:t xml:space="preserve">Motor neuron diseases:</w:t>
      </w:r>
      <w:r>
        <w:t xml:space="preserve"> </w:t>
      </w:r>
      <w:r>
        <w:t xml:space="preserve">In an open-label study with 27 people, Semax changed neither the course of nerve damage on electromyography nor the clinical rating scales. Quality-of-life scores improved, especially mood and motivation, most strongly on day ten</w:t>
      </w:r>
      <w:r>
        <w:rPr>
          <w:rStyle w:val="FootnoteReference"/>
        </w:rPr>
        <w:footnoteReference w:id="1617"/>
      </w:r>
      <w:r>
        <w:t xml:space="preserve">. Without a placebo group, an expectation effect cannot be ruled out.</w:t>
      </w:r>
    </w:p>
    <w:p>
      <w:pPr>
        <w:numPr>
          <w:ilvl w:val="0"/>
          <w:numId w:val="1194"/>
        </w:numPr>
        <w:pStyle w:val="Compact"/>
      </w:pPr>
      <w:r>
        <w:rPr>
          <w:bCs/>
          <w:b/>
        </w:rPr>
        <w:t xml:space="preserve">Optic nerve diseases:</w:t>
      </w:r>
      <w:r>
        <w:t xml:space="preserve"> </w:t>
      </w:r>
      <w:r>
        <w:t xml:space="preserve">A controlled study reports better visual function with add-on Semax treatment, without figures in the abstract</w:t>
      </w:r>
      <w:r>
        <w:rPr>
          <w:rStyle w:val="FootnoteReference"/>
        </w:rPr>
        <w:footnoteReference w:id="1618"/>
      </w:r>
      <w:r>
        <w:t xml:space="preserve">.</w:t>
      </w:r>
    </w:p>
    <w:p>
      <w:pPr>
        <w:numPr>
          <w:ilvl w:val="0"/>
          <w:numId w:val="1194"/>
        </w:numPr>
        <w:pStyle w:val="Compact"/>
      </w:pPr>
      <w:r>
        <w:rPr>
          <w:bCs/>
          <w:b/>
        </w:rPr>
        <w:t xml:space="preserve">Sequelae of oxygen deprivation:</w:t>
      </w:r>
      <w:r>
        <w:t xml:space="preserve"> </w:t>
      </w:r>
      <w:r>
        <w:t xml:space="preserve">In 73 people with brain damage after oxygen deprivation, the authors describe an effect on memory disorders. In some, episodes of seizure-like activity appeared on the EEG after administration; the authors therefore advise giving the first dose under EEG monitoring</w:t>
      </w:r>
      <w:r>
        <w:rPr>
          <w:rStyle w:val="FootnoteReference"/>
        </w:rPr>
        <w:footnoteReference w:id="1619"/>
      </w:r>
      <w:r>
        <w:t xml:space="preserve">.</w:t>
      </w:r>
    </w:p>
    <w:p>
      <w:pPr>
        <w:numPr>
          <w:ilvl w:val="0"/>
          <w:numId w:val="1194"/>
        </w:numPr>
        <w:pStyle w:val="Compact"/>
      </w:pPr>
      <w:r>
        <w:rPr>
          <w:bCs/>
          <w:b/>
        </w:rPr>
        <w:t xml:space="preserve">Stomach ulcer:</w:t>
      </w:r>
      <w:r>
        <w:t xml:space="preserve"> </w:t>
      </w:r>
      <w:r>
        <w:t xml:space="preserve">In a paper on treatment-resistant stomach ulcers, 89.5% of ulcers healed after 14 days with Semax in addition to standard therapy, compared with 30.8% in the control group</w:t>
      </w:r>
      <w:r>
        <w:rPr>
          <w:rStyle w:val="FootnoteReference"/>
        </w:rPr>
        <w:footnoteReference w:id="1620"/>
      </w:r>
      <w:r>
        <w:t xml:space="preserve">. The abstract does not state group size or allocation; the authors themselves call for further studies.</w:t>
      </w:r>
    </w:p>
    <w:bookmarkEnd w:id="1621"/>
    <w:bookmarkStart w:id="1623" w:name="healthy-people-and-nootropic"/>
    <w:p>
      <w:pPr>
        <w:pStyle w:val="Heading4"/>
      </w:pPr>
      <w:r>
        <w:t xml:space="preserve">Healthy people and</w:t>
      </w:r>
      <w:r>
        <w:t xml:space="preserve"> </w:t>
      </w:r>
      <w:r>
        <w:t xml:space="preserve">“</w:t>
      </w:r>
      <w:r>
        <w:t xml:space="preserve">nootropic</w:t>
      </w:r>
      <w:r>
        <w:t xml:space="preserve">”</w:t>
      </w:r>
    </w:p>
    <w:p>
      <w:pPr>
        <w:pStyle w:val="FirstParagraph"/>
      </w:pPr>
      <w:r>
        <w:t xml:space="preserve">On the internet, Semax is offered mainly as an agent to enhance concentration and memory in healthy people. Robust studies on this are lacking. A review by the developers from the 1990s reports that Semax improves memory and attention in healthy men</w:t>
      </w:r>
      <w:r>
        <w:t xml:space="preserve"> </w:t>
      </w:r>
      <w:r>
        <w:t xml:space="preserve">“</w:t>
      </w:r>
      <w:r>
        <w:t xml:space="preserve">under extreme conditions</w:t>
      </w:r>
      <w:r>
        <w:t xml:space="preserve">”</w:t>
      </w:r>
      <w:r>
        <w:t xml:space="preserve"> </w:t>
      </w:r>
      <w:r>
        <w:t xml:space="preserve">but gives no study data in the abstract</w:t>
      </w:r>
      <w:r>
        <w:rPr>
          <w:rStyle w:val="FootnoteReference"/>
        </w:rPr>
        <w:footnoteReference w:id="1622"/>
      </w:r>
      <w:r>
        <w:t xml:space="preserve">. Two small imaging studies in healthy people showed altered activity patterns on functional MRI after a single dose (Lebedeva 2018, PMID 30225715; Panikratova 2020, PMID 32342318, 52 healthy people with Semax, Selank or placebo). Altered brain activity in the scanner, however, is not proof of better performance in everyday life.</w:t>
      </w:r>
    </w:p>
    <w:bookmarkEnd w:id="1623"/>
    <w:bookmarkEnd w:id="1624"/>
    <w:bookmarkStart w:id="1629" w:name="animal-and-laboratory-studies-34"/>
    <w:p>
      <w:pPr>
        <w:pStyle w:val="Heading3"/>
      </w:pPr>
      <w:r>
        <w:t xml:space="preserve">Animal and laboratory studies</w:t>
      </w:r>
    </w:p>
    <w:p>
      <w:pPr>
        <w:pStyle w:val="FirstParagraph"/>
      </w:pPr>
      <w:r>
        <w:t xml:space="preserve">The preclinical literature is extensive and likewise comes mainly from Moscow:</w:t>
      </w:r>
    </w:p>
    <w:p>
      <w:pPr>
        <w:numPr>
          <w:ilvl w:val="0"/>
          <w:numId w:val="1195"/>
        </w:numPr>
        <w:pStyle w:val="Compact"/>
      </w:pPr>
      <w:r>
        <w:t xml:space="preserve">In rats with experimentally induced stroke, Semax altered the activity of genes of the immune and vascular systems</w:t>
      </w:r>
      <w:r>
        <w:rPr>
          <w:rStyle w:val="FootnoteReference"/>
        </w:rPr>
        <w:footnoteReference w:id="1625"/>
      </w:r>
      <w:r>
        <w:t xml:space="preserve">.</w:t>
      </w:r>
    </w:p>
    <w:p>
      <w:pPr>
        <w:numPr>
          <w:ilvl w:val="0"/>
          <w:numId w:val="1195"/>
        </w:numPr>
        <w:pStyle w:val="Compact"/>
      </w:pPr>
      <w:r>
        <w:t xml:space="preserve">In rats whose dopamine system had been damaged with the neurotoxin MPTP, Semax reduced movement and anxiety disorders</w:t>
      </w:r>
      <w:r>
        <w:rPr>
          <w:rStyle w:val="FootnoteReference"/>
        </w:rPr>
        <w:footnoteReference w:id="1626"/>
      </w:r>
      <w:r>
        <w:t xml:space="preserve">.</w:t>
      </w:r>
    </w:p>
    <w:p>
      <w:pPr>
        <w:numPr>
          <w:ilvl w:val="0"/>
          <w:numId w:val="1195"/>
        </w:numPr>
        <w:pStyle w:val="Compact"/>
      </w:pPr>
      <w:r>
        <w:t xml:space="preserve">In genetically modified mice with Alzheimer-like deposits, Semax and a derivative improved behavior in memory tests and reduced the number of amyloid deposits</w:t>
      </w:r>
      <w:r>
        <w:rPr>
          <w:rStyle w:val="FootnoteReference"/>
        </w:rPr>
        <w:footnoteReference w:id="1627"/>
      </w:r>
      <w:r>
        <w:t xml:space="preserve">.</w:t>
      </w:r>
    </w:p>
    <w:p>
      <w:pPr>
        <w:numPr>
          <w:ilvl w:val="0"/>
          <w:numId w:val="1195"/>
        </w:numPr>
        <w:pStyle w:val="Compact"/>
      </w:pPr>
      <w:r>
        <w:t xml:space="preserve">In laboratory experiments, Semax binds copper ions, which dampened the formation of harmful oxygen radicals by amyloid-copper complexes</w:t>
      </w:r>
      <w:r>
        <w:rPr>
          <w:rStyle w:val="FootnoteReference"/>
        </w:rPr>
        <w:footnoteReference w:id="1628"/>
      </w:r>
      <w:r>
        <w:t xml:space="preserve">.</w:t>
      </w:r>
    </w:p>
    <w:p>
      <w:pPr>
        <w:pStyle w:val="FirstParagraph"/>
      </w:pPr>
      <w:r>
        <w:t xml:space="preserve">These results are animal and laboratory findings. Many agents that were protective in such models later failed in humans.</w:t>
      </w:r>
    </w:p>
    <w:bookmarkEnd w:id="1629"/>
    <w:bookmarkStart w:id="1633" w:name="risks-and-side-effects-34"/>
    <w:p>
      <w:pPr>
        <w:pStyle w:val="Heading3"/>
      </w:pPr>
      <w:r>
        <w:t xml:space="preserve">Risks and side effects</w:t>
      </w:r>
    </w:p>
    <w:p>
      <w:pPr>
        <w:pStyle w:val="FirstParagraph"/>
      </w:pPr>
      <w:r>
        <w:rPr>
          <w:bCs/>
          <w:b/>
        </w:rPr>
        <w:t xml:space="preserve">Established:</w:t>
      </w:r>
      <w:r>
        <w:t xml:space="preserve"> </w:t>
      </w:r>
      <w:r>
        <w:t xml:space="preserve">Systematically collected safety data from larger studies do not exist. The Russian papers describe Semax as well tolerated, in some cases explicitly also in older people</w:t>
      </w:r>
      <w:r>
        <w:rPr>
          <w:rStyle w:val="FootnoteReference"/>
        </w:rPr>
        <w:footnoteReference w:id="1630"/>
      </w:r>
      <w:r>
        <w:t xml:space="preserve">. A signal to be taken seriously is the observation of seizure-like EEG changes after administration in individual people with preexisting brain damage</w:t>
      </w:r>
      <w:r>
        <w:rPr>
          <w:rStyle w:val="FootnoteReference"/>
        </w:rPr>
        <w:footnoteReference w:id="1631"/>
      </w:r>
      <w:r>
        <w:t xml:space="preserve">.</w:t>
      </w:r>
    </w:p>
    <w:p>
      <w:pPr>
        <w:pStyle w:val="BodyText"/>
      </w:pPr>
      <w:r>
        <w:rPr>
          <w:bCs/>
          <w:b/>
        </w:rPr>
        <w:t xml:space="preserve">Theoretical:</w:t>
      </w:r>
      <w:r>
        <w:t xml:space="preserve"> </w:t>
      </w:r>
      <w:r>
        <w:t xml:space="preserve">Semax is said to influence growth factors and immune genes; the long-term consequences of such interventions have not been studied. Data are lacking for pregnancy, breastfeeding, children, epilepsy and mental illness.</w:t>
      </w:r>
    </w:p>
    <w:p>
      <w:pPr>
        <w:pStyle w:val="BodyText"/>
      </w:pPr>
      <w:r>
        <w:rPr>
          <w:bCs/>
          <w:b/>
        </w:rPr>
        <w:t xml:space="preserve">Gray market:</w:t>
      </w:r>
      <w:r>
        <w:t xml:space="preserve"> </w:t>
      </w:r>
      <w:r>
        <w:t xml:space="preserve">Outside Russia, Semax is mostly sold as a</w:t>
      </w:r>
      <w:r>
        <w:t xml:space="preserve"> </w:t>
      </w:r>
      <w:r>
        <w:t xml:space="preserve">“</w:t>
      </w:r>
      <w:r>
        <w:t xml:space="preserve">research peptide</w:t>
      </w:r>
      <w:r>
        <w:t xml:space="preserve">”</w:t>
      </w:r>
      <w:r>
        <w:t xml:space="preserve"> </w:t>
      </w:r>
      <w:r>
        <w:t xml:space="preserve">or as a self-mixed nasal solution. The content, purity and sterility of such products are unverified. In 2017 and 2018, a medicines control laboratory identified Semax and Selank in seized, unknown preparations and found through an online search that such</w:t>
      </w:r>
      <w:r>
        <w:t xml:space="preserve"> </w:t>
      </w:r>
      <w:r>
        <w:t xml:space="preserve">“</w:t>
      </w:r>
      <w:r>
        <w:t xml:space="preserve">nootropic peptides</w:t>
      </w:r>
      <w:r>
        <w:t xml:space="preserve">”</w:t>
      </w:r>
      <w:r>
        <w:t xml:space="preserve"> </w:t>
      </w:r>
      <w:r>
        <w:t xml:space="preserve">are freely offered as powder for injection or as nasal spray</w:t>
      </w:r>
      <w:r>
        <w:rPr>
          <w:rStyle w:val="FootnoteReference"/>
        </w:rPr>
        <w:footnoteReference w:id="1632"/>
      </w:r>
      <w:r>
        <w:t xml:space="preserve">. More on this in Part I and Part IV.</w:t>
      </w:r>
    </w:p>
    <w:bookmarkEnd w:id="1633"/>
    <w:bookmarkStart w:id="1634" w:name="legal-status-34"/>
    <w:p>
      <w:pPr>
        <w:pStyle w:val="Heading3"/>
      </w:pPr>
      <w:r>
        <w:t xml:space="preserve">Legal status</w:t>
      </w:r>
    </w:p>
    <w:p>
      <w:pPr>
        <w:numPr>
          <w:ilvl w:val="0"/>
          <w:numId w:val="1196"/>
        </w:numPr>
        <w:pStyle w:val="Compact"/>
      </w:pPr>
      <w:r>
        <w:rPr>
          <w:bCs/>
          <w:b/>
        </w:rPr>
        <w:t xml:space="preserve">EU / Austria / Germany:</w:t>
      </w:r>
      <w:r>
        <w:t xml:space="preserve"> </w:t>
      </w:r>
      <w:r>
        <w:t xml:space="preserve">Semax is not approved. As a substance with an intended effect on bodily functions, it is considered a medicine; sale and advertising without approval are not permitted. Importing it from Russia as a medicine is subject to the rules for individual imports.</w:t>
      </w:r>
    </w:p>
    <w:p>
      <w:pPr>
        <w:numPr>
          <w:ilvl w:val="0"/>
          <w:numId w:val="1196"/>
        </w:numPr>
        <w:pStyle w:val="Compact"/>
      </w:pPr>
      <w:r>
        <w:rPr>
          <w:bCs/>
          <w:b/>
        </w:rPr>
        <w:t xml:space="preserve">USA:</w:t>
      </w:r>
      <w:r>
        <w:t xml:space="preserve"> </w:t>
      </w:r>
      <w:r>
        <w:t xml:space="preserve">not approved. In April 2026, the FDA removed Semax from its</w:t>
      </w:r>
      <w:r>
        <w:t xml:space="preserve"> </w:t>
      </w:r>
      <w:r>
        <w:t xml:space="preserve">“</w:t>
      </w:r>
      <w:r>
        <w:t xml:space="preserve">Category 2</w:t>
      </w:r>
      <w:r>
        <w:t xml:space="preserve">”</w:t>
      </w:r>
      <w:r>
        <w:t xml:space="preserve"> </w:t>
      </w:r>
      <w:r>
        <w:t xml:space="preserve">list; in July 2026, the advisory committee PCAC voted 8 to 5 to add Semax to the list of substances that pharmacies may use for compounding. FDA staff had advised against it; the agency’s decision was pending at the time of going to press (as of October 2026, please check for updates).</w:t>
      </w:r>
    </w:p>
    <w:p>
      <w:pPr>
        <w:numPr>
          <w:ilvl w:val="0"/>
          <w:numId w:val="1196"/>
        </w:numPr>
        <w:pStyle w:val="Compact"/>
      </w:pPr>
      <w:r>
        <w:rPr>
          <w:bCs/>
          <w:b/>
        </w:rPr>
        <w:t xml:space="preserve">Russia:</w:t>
      </w:r>
      <w:r>
        <w:t xml:space="preserve"> </w:t>
      </w:r>
      <w:r>
        <w:t xml:space="preserve">registered as a medicine and available in pharmacies.</w:t>
      </w:r>
    </w:p>
    <w:p>
      <w:pPr>
        <w:numPr>
          <w:ilvl w:val="0"/>
          <w:numId w:val="1196"/>
        </w:numPr>
        <w:pStyle w:val="Compact"/>
      </w:pPr>
      <w:r>
        <w:rPr>
          <w:bCs/>
          <w:b/>
        </w:rPr>
        <w:t xml:space="preserve">Sport:</w:t>
      </w:r>
      <w:r>
        <w:t xml:space="preserve"> </w:t>
      </w:r>
      <w:r>
        <w:t xml:space="preserve">not listed by name on the WADA list (as of 2026, please check for updates).</w:t>
      </w:r>
    </w:p>
    <w:bookmarkEnd w:id="1634"/>
    <w:bookmarkStart w:id="1635" w:name="ongoing-studies-and-outlook-34"/>
    <w:p>
      <w:pPr>
        <w:pStyle w:val="Heading3"/>
      </w:pPr>
      <w:r>
        <w:t xml:space="preserve">Ongoing studies and outlook</w:t>
      </w:r>
    </w:p>
    <w:p>
      <w:pPr>
        <w:pStyle w:val="FirstParagraph"/>
      </w:pPr>
      <w:r>
        <w:rPr>
          <w:bCs/>
          <w:b/>
        </w:rPr>
        <w:t xml:space="preserve">Established:</w:t>
      </w:r>
      <w:r>
        <w:t xml:space="preserve"> </w:t>
      </w:r>
      <w:r>
        <w:t xml:space="preserve">No study with Semax is registered on ClinicalTrials.gov (search October 2026). Research in Russia continues to focus on animal models, for example on gene activity after stroke and on Alzheimer’s models.</w:t>
      </w:r>
    </w:p>
    <w:p>
      <w:pPr>
        <w:pStyle w:val="BodyText"/>
      </w:pPr>
      <w:r>
        <w:rPr>
          <w:bCs/>
          <w:b/>
        </w:rPr>
        <w:t xml:space="preserve">Assessment:</w:t>
      </w:r>
      <w:r>
        <w:t xml:space="preserve"> </w:t>
      </w:r>
      <w:r>
        <w:t xml:space="preserve">Without a sufficiently large, blinded, internationally registered trial, Semax is unlikely to achieve approval outside Russia. The discussion in the USA revolves around pharmacy compounding, not around proof of efficacy.</w:t>
      </w:r>
    </w:p>
    <w:bookmarkEnd w:id="1635"/>
    <w:bookmarkStart w:id="1636" w:name="conclusion-34"/>
    <w:p>
      <w:pPr>
        <w:pStyle w:val="Heading3"/>
      </w:pPr>
      <w:r>
        <w:t xml:space="preserve">Conclusion</w:t>
      </w:r>
    </w:p>
    <w:p>
      <w:pPr>
        <w:pStyle w:val="FirstParagraph"/>
      </w:pPr>
      <w:r>
        <w:t xml:space="preserve">Semax is a peptide derived from an ACTH fragment that has been used in Russia for decades and increased nerve growth factors in rats. The human studies are small, mostly nonrandomized and come almost exclusively from the developers’ circle; in stroke, they report faster recovery and higher BDNF levels, without effect sizes of international standard. For performance enhancement in healthy people, there are no meaningful data. The data are not sufficient to assess a benefit or long-term safety.</w:t>
      </w:r>
    </w:p>
    <w:bookmarkEnd w:id="1636"/>
    <w:bookmarkEnd w:id="1637"/>
    <w:bookmarkStart w:id="1660" w:name="selank"/>
    <w:p>
      <w:pPr>
        <w:pStyle w:val="Heading2"/>
      </w:pPr>
      <w:r>
        <w:t xml:space="preserve">Selank</w:t>
      </w:r>
    </w:p>
    <w:bookmarkStart w:id="1638" w:name="profile-35"/>
    <w:p>
      <w:pPr>
        <w:pStyle w:val="Heading3"/>
      </w:pPr>
      <w:r>
        <w:t xml:space="preserve">Profile</w:t>
      </w:r>
    </w:p>
    <w:p>
      <w:pPr>
        <w:numPr>
          <w:ilvl w:val="0"/>
          <w:numId w:val="1197"/>
        </w:numPr>
        <w:pStyle w:val="Compact"/>
      </w:pPr>
      <w:r>
        <w:rPr>
          <w:bCs/>
          <w:b/>
        </w:rPr>
        <w:t xml:space="preserve">Type and structure:</w:t>
      </w:r>
      <w:r>
        <w:t xml:space="preserve"> </w:t>
      </w:r>
      <w:r>
        <w:t xml:space="preserve">synthetic heptapeptide (Thr-Lys-Pro-Arg-Pro-Gly-Pro). The first four amino acids correspond to tuftsin, an endogenous peptide that is cleaved from an antibody fragment and stimulates immune cells; attached to it – as with Semax – is the stabilizing sequence Pro-Gly-Pro.</w:t>
      </w:r>
    </w:p>
    <w:p>
      <w:pPr>
        <w:numPr>
          <w:ilvl w:val="0"/>
          <w:numId w:val="1197"/>
        </w:numPr>
        <w:pStyle w:val="Compact"/>
      </w:pPr>
      <w:r>
        <w:rPr>
          <w:bCs/>
          <w:b/>
        </w:rPr>
        <w:t xml:space="preserve">Origin:</w:t>
      </w:r>
      <w:r>
        <w:t xml:space="preserve"> </w:t>
      </w:r>
      <w:r>
        <w:t xml:space="preserve">developed in Moscow at the Institute of Molecular Genetics and the Zakusov Institute of Pharmacology.</w:t>
      </w:r>
    </w:p>
    <w:p>
      <w:pPr>
        <w:numPr>
          <w:ilvl w:val="0"/>
          <w:numId w:val="1197"/>
        </w:numPr>
        <w:pStyle w:val="Compact"/>
      </w:pPr>
      <w:r>
        <w:rPr>
          <w:bCs/>
          <w:b/>
        </w:rPr>
        <w:t xml:space="preserve">Mechanism of action:</w:t>
      </w:r>
      <w:r>
        <w:t xml:space="preserve"> </w:t>
      </w:r>
      <w:r>
        <w:t xml:space="preserve">said to relieve anxiety without causing drowsiness or dependence as benzodiazepines do. Proposed mechanisms include inhibition of the breakdown of endogenous enkephalins (messengers that dampen pain and stress), effects on the GABA system and on immune messengers. It is administered as nasal drops.</w:t>
      </w:r>
    </w:p>
    <w:p>
      <w:pPr>
        <w:numPr>
          <w:ilvl w:val="0"/>
          <w:numId w:val="1197"/>
        </w:numPr>
        <w:pStyle w:val="Compact"/>
      </w:pPr>
      <w:r>
        <w:rPr>
          <w:bCs/>
          <w:b/>
        </w:rPr>
        <w:t xml:space="preserve">EU approval:</w:t>
      </w:r>
      <w:r>
        <w:t xml:space="preserve"> </w:t>
      </w:r>
      <w:r>
        <w:t xml:space="preserve">no.</w:t>
      </w:r>
    </w:p>
    <w:p>
      <w:pPr>
        <w:numPr>
          <w:ilvl w:val="0"/>
          <w:numId w:val="1197"/>
        </w:numPr>
        <w:pStyle w:val="Compact"/>
      </w:pPr>
      <w:r>
        <w:rPr>
          <w:bCs/>
          <w:b/>
        </w:rPr>
        <w:t xml:space="preserve">US approval:</w:t>
      </w:r>
      <w:r>
        <w:t xml:space="preserve"> </w:t>
      </w:r>
      <w:r>
        <w:t xml:space="preserve">no. In 2023, Selank was on the FDA</w:t>
      </w:r>
      <w:r>
        <w:t xml:space="preserve"> </w:t>
      </w:r>
      <w:r>
        <w:t xml:space="preserve">“</w:t>
      </w:r>
      <w:r>
        <w:t xml:space="preserve">Category 2</w:t>
      </w:r>
      <w:r>
        <w:t xml:space="preserve">”</w:t>
      </w:r>
      <w:r>
        <w:t xml:space="preserve"> </w:t>
      </w:r>
      <w:r>
        <w:t xml:space="preserve">list for pharmacy compounding; its current status is inconsistently documented (as of October 2026, please check for updates).</w:t>
      </w:r>
    </w:p>
    <w:p>
      <w:pPr>
        <w:numPr>
          <w:ilvl w:val="0"/>
          <w:numId w:val="1197"/>
        </w:numPr>
        <w:pStyle w:val="Compact"/>
      </w:pPr>
      <w:r>
        <w:rPr>
          <w:bCs/>
          <w:b/>
        </w:rPr>
        <w:t xml:space="preserve">Russia:</w:t>
      </w:r>
      <w:r>
        <w:t xml:space="preserve"> </w:t>
      </w:r>
      <w:r>
        <w:t xml:space="preserve">registered as a medicine (anxiolytic).</w:t>
      </w:r>
    </w:p>
    <w:p>
      <w:pPr>
        <w:numPr>
          <w:ilvl w:val="0"/>
          <w:numId w:val="1197"/>
        </w:numPr>
        <w:pStyle w:val="Compact"/>
      </w:pPr>
      <w:r>
        <w:rPr>
          <w:bCs/>
          <w:b/>
        </w:rPr>
        <w:t xml:space="preserve">WADA:</w:t>
      </w:r>
      <w:r>
        <w:t xml:space="preserve"> </w:t>
      </w:r>
      <w:r>
        <w:t xml:space="preserve">not listed by name.</w:t>
      </w:r>
    </w:p>
    <w:p>
      <w:pPr>
        <w:numPr>
          <w:ilvl w:val="0"/>
          <w:numId w:val="1197"/>
        </w:numPr>
        <w:pStyle w:val="Compact"/>
      </w:pPr>
      <w:r>
        <w:rPr>
          <w:bCs/>
          <w:b/>
        </w:rPr>
        <w:t xml:space="preserve">Evidence level:</w:t>
      </w:r>
      <w:r>
        <w:t xml:space="preserve"> </w:t>
      </w:r>
      <w:r>
        <w:rPr>
          <w:bCs/>
          <w:b/>
        </w:rPr>
        <w:t xml:space="preserve">C</w:t>
      </w:r>
      <w:r>
        <w:t xml:space="preserve"> </w:t>
      </w:r>
      <w:r>
        <w:t xml:space="preserve">– three small comparative studies from Russia, without placebo control and without registration.</w:t>
      </w:r>
    </w:p>
    <w:bookmarkEnd w:id="1638"/>
    <w:bookmarkStart w:id="1642" w:name="how-it-is-supposed-to-work-35"/>
    <w:p>
      <w:pPr>
        <w:pStyle w:val="Heading3"/>
      </w:pPr>
      <w:r>
        <w:t xml:space="preserve">How it is supposed to work</w:t>
      </w:r>
    </w:p>
    <w:p>
      <w:pPr>
        <w:pStyle w:val="FirstParagraph"/>
      </w:pPr>
      <w:r>
        <w:t xml:space="preserve">Tuftsin is a short peptide that activates phagocytic cells of the immune system. Animal experiments showed that modifications of it also influence behavior. Selank is one such modification, intended to remain in the body longer thanks to the attached Pro-Gly-Pro.</w:t>
      </w:r>
    </w:p>
    <w:p>
      <w:pPr>
        <w:pStyle w:val="BodyText"/>
      </w:pPr>
      <w:r>
        <w:t xml:space="preserve">There are several hypotheses for the mechanism, based on laboratory and animal data:</w:t>
      </w:r>
    </w:p>
    <w:p>
      <w:pPr>
        <w:numPr>
          <w:ilvl w:val="0"/>
          <w:numId w:val="1198"/>
        </w:numPr>
        <w:pStyle w:val="Compact"/>
      </w:pPr>
      <w:r>
        <w:rPr>
          <w:bCs/>
          <w:b/>
        </w:rPr>
        <w:t xml:space="preserve">Enkephalins:</w:t>
      </w:r>
      <w:r>
        <w:t xml:space="preserve"> </w:t>
      </w:r>
      <w:r>
        <w:t xml:space="preserve">In blood serum, Selank inhibited enzymes that break down enkephalins in the test tube. The researchers also found a shortened half-life of enkephalins in the blood of people with generalized anxiety disorder and concluded that Selank could act via this pathway</w:t>
      </w:r>
      <w:r>
        <w:rPr>
          <w:rStyle w:val="FootnoteReference"/>
        </w:rPr>
        <w:footnoteReference w:id="1639"/>
      </w:r>
      <w:r>
        <w:t xml:space="preserve">.</w:t>
      </w:r>
    </w:p>
    <w:p>
      <w:pPr>
        <w:numPr>
          <w:ilvl w:val="0"/>
          <w:numId w:val="1198"/>
        </w:numPr>
        <w:pStyle w:val="Compact"/>
      </w:pPr>
      <w:r>
        <w:rPr>
          <w:bCs/>
          <w:b/>
        </w:rPr>
        <w:t xml:space="preserve">GABA system:</w:t>
      </w:r>
      <w:r>
        <w:t xml:space="preserve"> </w:t>
      </w:r>
      <w:r>
        <w:t xml:space="preserve">In rats, one hour after administration Selank altered the activity of 45 of 84 examined genes involved in nerve transmission in the cerebral cortex, similarly to the messenger GABA itself. The authors suspect an influence on the GABA system, which is also the target of benzodiazepines</w:t>
      </w:r>
      <w:r>
        <w:rPr>
          <w:rStyle w:val="FootnoteReference"/>
        </w:rPr>
        <w:footnoteReference w:id="1640"/>
      </w:r>
      <w:r>
        <w:t xml:space="preserve">.</w:t>
      </w:r>
    </w:p>
    <w:p>
      <w:pPr>
        <w:numPr>
          <w:ilvl w:val="0"/>
          <w:numId w:val="1198"/>
        </w:numPr>
        <w:pStyle w:val="Compact"/>
      </w:pPr>
      <w:r>
        <w:rPr>
          <w:bCs/>
          <w:b/>
        </w:rPr>
        <w:t xml:space="preserve">Immune system:</w:t>
      </w:r>
      <w:r>
        <w:t xml:space="preserve"> </w:t>
      </w:r>
      <w:r>
        <w:t xml:space="preserve">In rats and mice, Selank influenced inflammatory genes; in cell cultures and in mice, it showed effects against influenza viruses</w:t>
      </w:r>
      <w:r>
        <w:rPr>
          <w:rStyle w:val="FootnoteReference"/>
        </w:rPr>
        <w:footnoteReference w:id="1641"/>
      </w:r>
      <w:r>
        <w:t xml:space="preserve">.</w:t>
      </w:r>
    </w:p>
    <w:p>
      <w:pPr>
        <w:pStyle w:val="FirstParagraph"/>
      </w:pPr>
      <w:r>
        <w:t xml:space="preserve">How much Selank actually reaches the brain in humans after intranasal administration has not been published.</w:t>
      </w:r>
    </w:p>
    <w:bookmarkEnd w:id="1642"/>
    <w:bookmarkStart w:id="1650" w:name="human-studies-35"/>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3 publications classified as human studies; in total, PubMed lists around 70 papers with</w:t>
      </w:r>
      <w:r>
        <w:t xml:space="preserve"> </w:t>
      </w:r>
      <w:r>
        <w:t xml:space="preserve">“</w:t>
      </w:r>
      <w:r>
        <w:t xml:space="preserve">Selank</w:t>
      </w:r>
      <w:r>
        <w:t xml:space="preserve">”</w:t>
      </w:r>
      <w:r>
        <w:t xml:space="preserve"> </w:t>
      </w:r>
      <w:r>
        <w:t xml:space="preserve">in the title or abstract, almost all animal experiments. The search on ClinicalTrials.gov yielded 2 hits – on closer inspection, both concern other procedures (brain stimulation) and are not Selank studies. There is therefore no registered clinical trial with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Zozulia 2008, PMID 18454096</w:t>
            </w:r>
          </w:p>
        </w:tc>
        <w:tc>
          <w:tcPr/>
          <w:p>
            <w:pPr>
              <w:pStyle w:val="Compact"/>
              <w:jc w:val="left"/>
            </w:pPr>
            <w:r>
              <w:t xml:space="preserve">62 people with generalized anxiety disorder or neurasthenia; Selank (30) vs. medazepam (32)</w:t>
            </w:r>
          </w:p>
        </w:tc>
        <w:tc>
          <w:tcPr/>
          <w:p>
            <w:pPr>
              <w:pStyle w:val="Compact"/>
              <w:jc w:val="left"/>
            </w:pPr>
            <w:r>
              <w:t xml:space="preserve">not in the abstract</w:t>
            </w:r>
          </w:p>
        </w:tc>
        <w:tc>
          <w:tcPr/>
          <w:p>
            <w:pPr>
              <w:pStyle w:val="Compact"/>
              <w:jc w:val="left"/>
            </w:pPr>
            <w:r>
              <w:t xml:space="preserve">anxiolytic effect of both agents similar; with Selank additionally</w:t>
            </w:r>
            <w:r>
              <w:t xml:space="preserve"> </w:t>
            </w:r>
            <w:r>
              <w:t xml:space="preserve">“</w:t>
            </w:r>
            <w:r>
              <w:t xml:space="preserve">activating</w:t>
            </w:r>
            <w:r>
              <w:t xml:space="preserve">”</w:t>
            </w:r>
          </w:p>
        </w:tc>
      </w:tr>
      <w:tr>
        <w:tc>
          <w:tcPr/>
          <w:p>
            <w:pPr>
              <w:pStyle w:val="Compact"/>
              <w:jc w:val="left"/>
            </w:pPr>
            <w:r>
              <w:t xml:space="preserve">Medvedev 2014, PMID 25176261</w:t>
            </w:r>
          </w:p>
        </w:tc>
        <w:tc>
          <w:tcPr/>
          <w:p>
            <w:pPr>
              <w:pStyle w:val="Compact"/>
              <w:jc w:val="left"/>
            </w:pPr>
            <w:r>
              <w:t xml:space="preserve">60 people with anxiety and somatoform disorders; Selank vs. phenazepam</w:t>
            </w:r>
          </w:p>
        </w:tc>
        <w:tc>
          <w:tcPr/>
          <w:p>
            <w:pPr>
              <w:pStyle w:val="Compact"/>
              <w:jc w:val="left"/>
            </w:pPr>
            <w:r>
              <w:t xml:space="preserve">not in the abstract</w:t>
            </w:r>
          </w:p>
        </w:tc>
        <w:tc>
          <w:tcPr/>
          <w:p>
            <w:pPr>
              <w:pStyle w:val="Compact"/>
              <w:jc w:val="left"/>
            </w:pPr>
            <w:r>
              <w:t xml:space="preserve">according to the authors, marked anxiolytic effect that persisted one week after stopping</w:t>
            </w:r>
          </w:p>
        </w:tc>
      </w:tr>
      <w:tr>
        <w:tc>
          <w:tcPr/>
          <w:p>
            <w:pPr>
              <w:pStyle w:val="Compact"/>
              <w:jc w:val="left"/>
            </w:pPr>
            <w:r>
              <w:t xml:space="preserve">Medvedev 2015, PMID 26356395</w:t>
            </w:r>
          </w:p>
        </w:tc>
        <w:tc>
          <w:tcPr/>
          <w:p>
            <w:pPr>
              <w:pStyle w:val="Compact"/>
              <w:jc w:val="left"/>
            </w:pPr>
            <w:r>
              <w:t xml:space="preserve">70 people; phenazepam alone (30) vs. phenazepam plus Selank (40)</w:t>
            </w:r>
          </w:p>
        </w:tc>
        <w:tc>
          <w:tcPr/>
          <w:p>
            <w:pPr>
              <w:pStyle w:val="Compact"/>
              <w:jc w:val="left"/>
            </w:pPr>
            <w:r>
              <w:t xml:space="preserve">not in the abstract</w:t>
            </w:r>
          </w:p>
        </w:tc>
        <w:tc>
          <w:tcPr/>
          <w:p>
            <w:pPr>
              <w:pStyle w:val="Compact"/>
              <w:jc w:val="left"/>
            </w:pPr>
            <w:r>
              <w:t xml:space="preserve">faster onset of action and fewer phenazepam side effects in the combination group</w:t>
            </w:r>
          </w:p>
        </w:tc>
      </w:tr>
      <w:tr>
        <w:tc>
          <w:tcPr/>
          <w:p>
            <w:pPr>
              <w:pStyle w:val="Compact"/>
              <w:jc w:val="left"/>
            </w:pPr>
            <w:r>
              <w:t xml:space="preserve">Uchakina 2008, PMID 18577961</w:t>
            </w:r>
          </w:p>
        </w:tc>
        <w:tc>
          <w:tcPr/>
          <w:p>
            <w:pPr>
              <w:pStyle w:val="Compact"/>
              <w:jc w:val="left"/>
            </w:pPr>
            <w:r>
              <w:t xml:space="preserve">people with anxiety disorder or neurasthenia</w:t>
            </w:r>
          </w:p>
        </w:tc>
        <w:tc>
          <w:tcPr/>
          <w:p>
            <w:pPr>
              <w:pStyle w:val="Compact"/>
              <w:jc w:val="left"/>
            </w:pPr>
            <w:r>
              <w:t xml:space="preserve">14 days</w:t>
            </w:r>
          </w:p>
        </w:tc>
        <w:tc>
          <w:tcPr/>
          <w:p>
            <w:pPr>
              <w:pStyle w:val="Compact"/>
              <w:jc w:val="left"/>
            </w:pPr>
            <w:r>
              <w:t xml:space="preserve">shifts in the balance of immune messengers in the blood</w:t>
            </w:r>
          </w:p>
        </w:tc>
      </w:tr>
      <w:tr>
        <w:tc>
          <w:tcPr/>
          <w:p>
            <w:pPr>
              <w:pStyle w:val="Compact"/>
              <w:jc w:val="left"/>
            </w:pPr>
            <w:r>
              <w:t xml:space="preserve">Panikratova 2020, PMID 32342318</w:t>
            </w:r>
          </w:p>
        </w:tc>
        <w:tc>
          <w:tcPr/>
          <w:p>
            <w:pPr>
              <w:pStyle w:val="Compact"/>
              <w:jc w:val="left"/>
            </w:pPr>
            <w:r>
              <w:t xml:space="preserve">52 healthy people; Selank, Semax or placebo, single dose</w:t>
            </w:r>
          </w:p>
        </w:tc>
        <w:tc>
          <w:tcPr/>
          <w:p>
            <w:pPr>
              <w:pStyle w:val="Compact"/>
              <w:jc w:val="left"/>
            </w:pPr>
            <w:r>
              <w:t xml:space="preserve">20 minutes</w:t>
            </w:r>
          </w:p>
        </w:tc>
        <w:tc>
          <w:tcPr/>
          <w:p>
            <w:pPr>
              <w:pStyle w:val="Compact"/>
              <w:jc w:val="left"/>
            </w:pPr>
            <w:r>
              <w:t xml:space="preserve">altered functional connections of the amygdala on MRI</w:t>
            </w:r>
          </w:p>
        </w:tc>
      </w:tr>
    </w:tbl>
    <w:bookmarkStart w:id="1646" w:name="anxiety-disorders"/>
    <w:p>
      <w:pPr>
        <w:pStyle w:val="Heading4"/>
      </w:pPr>
      <w:r>
        <w:t xml:space="preserve">Anxiety disorders</w:t>
      </w:r>
    </w:p>
    <w:p>
      <w:pPr>
        <w:pStyle w:val="FirstParagraph"/>
      </w:pPr>
      <w:r>
        <w:t xml:space="preserve">All three clinical studies compared Selank with benzodiazepines – medazepam or phenazepam, which is widely used in Russia. In the first study, with 62 people, the anxiolytic effect of Selank and medazepam on questionnaire scales (Hamilton, Zung, CGI) was similar; Selank is said to have additionally acted against fatigue. The researchers also measured the half-life of the messenger Leu-enkephalin in the blood, which increased on Selank</w:t>
      </w:r>
      <w:r>
        <w:rPr>
          <w:rStyle w:val="FootnoteReference"/>
        </w:rPr>
        <w:footnoteReference w:id="1643"/>
      </w:r>
      <w:r>
        <w:t xml:space="preserve">. A second study, with 60 people, describes a pronounced anxiolytic and a mild memory-enhancing effect that persisted for a week beyond the end of treatment</w:t>
      </w:r>
      <w:r>
        <w:rPr>
          <w:rStyle w:val="FootnoteReference"/>
        </w:rPr>
        <w:footnoteReference w:id="1644"/>
      </w:r>
      <w:r>
        <w:t xml:space="preserve">.</w:t>
      </w:r>
    </w:p>
    <w:p>
      <w:pPr>
        <w:pStyle w:val="BodyText"/>
      </w:pPr>
      <w:r>
        <w:t xml:space="preserve">The third study tested Selank as an add-on: 40 people received phenazepam plus Selank, 30 phenazepam alone. According to the authors, the effect began earlier in the combination group, and typical benzodiazepine side effects such as attention and memory problems, fatigue and sexual dysfunction were less frequent – even after the tranquilizer was stopped</w:t>
      </w:r>
      <w:r>
        <w:rPr>
          <w:rStyle w:val="FootnoteReference"/>
        </w:rPr>
        <w:footnoteReference w:id="1645"/>
      </w:r>
      <w:r>
        <w:t xml:space="preserve">.</w:t>
      </w:r>
    </w:p>
    <w:p>
      <w:pPr>
        <w:pStyle w:val="BodyText"/>
      </w:pPr>
      <w:r>
        <w:t xml:space="preserve">These results sound encouraging but have clear limitations:</w:t>
      </w:r>
    </w:p>
    <w:p>
      <w:pPr>
        <w:numPr>
          <w:ilvl w:val="0"/>
          <w:numId w:val="1199"/>
        </w:numPr>
        <w:pStyle w:val="Compact"/>
      </w:pPr>
      <w:r>
        <w:rPr>
          <w:bCs/>
          <w:b/>
        </w:rPr>
        <w:t xml:space="preserve">No placebo:</w:t>
      </w:r>
      <w:r>
        <w:t xml:space="preserve"> </w:t>
      </w:r>
      <w:r>
        <w:t xml:space="preserve">In anxiety disorders, symptoms often improve considerably even on dummy medications. Without a placebo group, it is impossible to say what share is attributable to Selank.</w:t>
      </w:r>
    </w:p>
    <w:p>
      <w:pPr>
        <w:numPr>
          <w:ilvl w:val="0"/>
          <w:numId w:val="1199"/>
        </w:numPr>
        <w:pStyle w:val="Compact"/>
      </w:pPr>
      <w:r>
        <w:rPr>
          <w:bCs/>
          <w:b/>
        </w:rPr>
        <w:t xml:space="preserve">“</w:t>
      </w:r>
      <w:r>
        <w:rPr>
          <w:bCs/>
          <w:b/>
        </w:rPr>
        <w:t xml:space="preserve">Similarly effective</w:t>
      </w:r>
      <w:r>
        <w:rPr>
          <w:bCs/>
          <w:b/>
        </w:rPr>
        <w:t xml:space="preserve">”</w:t>
      </w:r>
      <w:r>
        <w:rPr>
          <w:bCs/>
          <w:b/>
        </w:rPr>
        <w:t xml:space="preserve"> </w:t>
      </w:r>
      <w:r>
        <w:rPr>
          <w:bCs/>
          <w:b/>
        </w:rPr>
        <w:t xml:space="preserve">is not proof:</w:t>
      </w:r>
      <w:r>
        <w:t xml:space="preserve"> </w:t>
      </w:r>
      <w:r>
        <w:t xml:space="preserve">Demonstrating equivalence requires predefined margins and a sufficient number of participants. Neither is discernible in the abstracts.</w:t>
      </w:r>
    </w:p>
    <w:p>
      <w:pPr>
        <w:numPr>
          <w:ilvl w:val="0"/>
          <w:numId w:val="1199"/>
        </w:numPr>
        <w:pStyle w:val="Compact"/>
      </w:pPr>
      <w:r>
        <w:rPr>
          <w:bCs/>
          <w:b/>
        </w:rPr>
        <w:t xml:space="preserve">Short observation, small groups, no registration:</w:t>
      </w:r>
      <w:r>
        <w:t xml:space="preserve"> </w:t>
      </w:r>
      <w:r>
        <w:t xml:space="preserve">All studies come from Russian centers, were not preregistered in a public registry and were published in Russian-language journals.</w:t>
      </w:r>
    </w:p>
    <w:bookmarkEnd w:id="1646"/>
    <w:bookmarkStart w:id="1649" w:name="immune-system-and-healthy-people"/>
    <w:p>
      <w:pPr>
        <w:pStyle w:val="Heading4"/>
      </w:pPr>
      <w:r>
        <w:t xml:space="preserve">Immune system and healthy people</w:t>
      </w:r>
    </w:p>
    <w:p>
      <w:pPr>
        <w:pStyle w:val="FirstParagraph"/>
      </w:pPr>
      <w:r>
        <w:t xml:space="preserve">One paper describes changes in immune messengers (Th1/Th2 balance) in the blood of people with anxiety and fatigue states after 14 days of Selank; in the test tube, Selank suppressed the production of the inflammatory messenger IL-6 in blood cells from people with depression</w:t>
      </w:r>
      <w:r>
        <w:rPr>
          <w:rStyle w:val="FootnoteReference"/>
        </w:rPr>
        <w:footnoteReference w:id="1647"/>
      </w:r>
      <w:r>
        <w:t xml:space="preserve">. Whether this is clinically meaningful has not been studied. In healthy people, a small imaging study after a single dose showed altered connections between the amygdala, a brain region important for anxiety, and parts of the temporal lobe</w:t>
      </w:r>
      <w:r>
        <w:rPr>
          <w:rStyle w:val="FootnoteReference"/>
        </w:rPr>
        <w:footnoteReference w:id="1648"/>
      </w:r>
      <w:r>
        <w:t xml:space="preserve">. Studies on concentration or performance in healthy people – the main promise on the internet – do not exist.</w:t>
      </w:r>
    </w:p>
    <w:bookmarkEnd w:id="1649"/>
    <w:bookmarkEnd w:id="1650"/>
    <w:bookmarkStart w:id="1654" w:name="animal-and-laboratory-studies-35"/>
    <w:p>
      <w:pPr>
        <w:pStyle w:val="Heading3"/>
      </w:pPr>
      <w:r>
        <w:t xml:space="preserve">Animal and laboratory studies</w:t>
      </w:r>
    </w:p>
    <w:p>
      <w:pPr>
        <w:numPr>
          <w:ilvl w:val="0"/>
          <w:numId w:val="1200"/>
        </w:numPr>
        <w:pStyle w:val="Compact"/>
      </w:pPr>
      <w:r>
        <w:t xml:space="preserve">In rats with 30 weeks of alcohol consumption, Selank prevented memory and attention problems during withdrawal and influenced BDNF content in the hippocampus and frontal cortex</w:t>
      </w:r>
      <w:r>
        <w:rPr>
          <w:rStyle w:val="FootnoteReference"/>
        </w:rPr>
        <w:footnoteReference w:id="1651"/>
      </w:r>
      <w:r>
        <w:t xml:space="preserve">.</w:t>
      </w:r>
    </w:p>
    <w:p>
      <w:pPr>
        <w:numPr>
          <w:ilvl w:val="0"/>
          <w:numId w:val="1200"/>
        </w:numPr>
        <w:pStyle w:val="Compact"/>
      </w:pPr>
      <w:r>
        <w:t xml:space="preserve">In rats, Selank altered the activity of numerous genes of the GABA system</w:t>
      </w:r>
      <w:r>
        <w:rPr>
          <w:rStyle w:val="FootnoteReference"/>
        </w:rPr>
        <w:footnoteReference w:id="1652"/>
      </w:r>
      <w:r>
        <w:t xml:space="preserve">.</w:t>
      </w:r>
    </w:p>
    <w:p>
      <w:pPr>
        <w:numPr>
          <w:ilvl w:val="0"/>
          <w:numId w:val="1200"/>
        </w:numPr>
        <w:pStyle w:val="Compact"/>
      </w:pPr>
      <w:r>
        <w:t xml:space="preserve">In cell cultures and in mice, Selank inhibited influenza viruses, most strongly when given before infection</w:t>
      </w:r>
      <w:r>
        <w:rPr>
          <w:rStyle w:val="FootnoteReference"/>
        </w:rPr>
        <w:footnoteReference w:id="1653"/>
      </w:r>
      <w:r>
        <w:t xml:space="preserve">.</w:t>
      </w:r>
    </w:p>
    <w:p>
      <w:pPr>
        <w:numPr>
          <w:ilvl w:val="0"/>
          <w:numId w:val="1200"/>
        </w:numPr>
        <w:pStyle w:val="Compact"/>
      </w:pPr>
      <w:r>
        <w:t xml:space="preserve">Other papers from the same research groups describe effects in rodents in stress, morphine and alcohol withdrawal, and in Parkinson’s models.</w:t>
      </w:r>
    </w:p>
    <w:p>
      <w:pPr>
        <w:pStyle w:val="FirstParagraph"/>
      </w:pPr>
      <w:r>
        <w:t xml:space="preserve">These findings are animal and laboratory findings and come largely from a small circle of research groups.</w:t>
      </w:r>
    </w:p>
    <w:bookmarkEnd w:id="1654"/>
    <w:bookmarkStart w:id="1656" w:name="risks-and-side-effects-35"/>
    <w:p>
      <w:pPr>
        <w:pStyle w:val="Heading3"/>
      </w:pPr>
      <w:r>
        <w:t xml:space="preserve">Risks and side effects</w:t>
      </w:r>
    </w:p>
    <w:p>
      <w:pPr>
        <w:pStyle w:val="FirstParagraph"/>
      </w:pPr>
      <w:r>
        <w:rPr>
          <w:bCs/>
          <w:b/>
        </w:rPr>
        <w:t xml:space="preserve">Established:</w:t>
      </w:r>
      <w:r>
        <w:t xml:space="preserve"> </w:t>
      </w:r>
      <w:r>
        <w:t xml:space="preserve">In the small Russian studies, Selank is described as well tolerated; the abstracts do not give systematically recorded rates of side effects. Long-term data and data on dependence or withdrawal symptoms are lacking.</w:t>
      </w:r>
    </w:p>
    <w:p>
      <w:pPr>
        <w:pStyle w:val="BodyText"/>
      </w:pPr>
      <w:r>
        <w:rPr>
          <w:bCs/>
          <w:b/>
        </w:rPr>
        <w:t xml:space="preserve">Theoretical:</w:t>
      </w:r>
      <w:r>
        <w:t xml:space="preserve"> </w:t>
      </w:r>
      <w:r>
        <w:t xml:space="preserve">Selank is said to act on the immune, enkephalin and GABA systems. Interactions with tranquilizers, alcohol or antidepressants have not been studied; the Russian combination study does at least show that Selank is used together with benzodiazepines. No data are available for pregnancy, breastfeeding and children.</w:t>
      </w:r>
    </w:p>
    <w:p>
      <w:pPr>
        <w:pStyle w:val="BodyText"/>
      </w:pPr>
      <w:r>
        <w:rPr>
          <w:bCs/>
          <w:b/>
        </w:rPr>
        <w:t xml:space="preserve">Gray market:</w:t>
      </w:r>
      <w:r>
        <w:t xml:space="preserve"> </w:t>
      </w:r>
      <w:r>
        <w:t xml:space="preserve">Outside Russia, Selank is sold as a</w:t>
      </w:r>
      <w:r>
        <w:t xml:space="preserve"> </w:t>
      </w:r>
      <w:r>
        <w:t xml:space="preserve">“</w:t>
      </w:r>
      <w:r>
        <w:t xml:space="preserve">research peptide</w:t>
      </w:r>
      <w:r>
        <w:t xml:space="preserve">”</w:t>
      </w:r>
      <w:r>
        <w:t xml:space="preserve"> </w:t>
      </w:r>
      <w:r>
        <w:t xml:space="preserve">as powder for injection or as nasal spray. A Belgian control laboratory found Selank in seized unknown preparations</w:t>
      </w:r>
      <w:r>
        <w:rPr>
          <w:rStyle w:val="FootnoteReference"/>
        </w:rPr>
        <w:footnoteReference w:id="1655"/>
      </w:r>
      <w:r>
        <w:t xml:space="preserve">. Injection is not a route of administration tested in studies; the purity and content of such products are unverified.</w:t>
      </w:r>
    </w:p>
    <w:p>
      <w:pPr>
        <w:pStyle w:val="BodyText"/>
      </w:pPr>
      <w:r>
        <w:rPr>
          <w:bCs/>
          <w:b/>
        </w:rPr>
        <w:t xml:space="preserve">Important:</w:t>
      </w:r>
      <w:r>
        <w:t xml:space="preserve"> </w:t>
      </w:r>
      <w:r>
        <w:t xml:space="preserve">Anxiety disorders are very treatable – with psychotherapy and with approved medications whose effect has been demonstrated in large placebo-controlled trials. A gray-market peptide is no substitute for these.</w:t>
      </w:r>
    </w:p>
    <w:bookmarkEnd w:id="1656"/>
    <w:bookmarkStart w:id="1657" w:name="legal-status-35"/>
    <w:p>
      <w:pPr>
        <w:pStyle w:val="Heading3"/>
      </w:pPr>
      <w:r>
        <w:t xml:space="preserve">Legal status</w:t>
      </w:r>
    </w:p>
    <w:p>
      <w:pPr>
        <w:numPr>
          <w:ilvl w:val="0"/>
          <w:numId w:val="1201"/>
        </w:numPr>
        <w:pStyle w:val="Compact"/>
      </w:pPr>
      <w:r>
        <w:rPr>
          <w:bCs/>
          <w:b/>
        </w:rPr>
        <w:t xml:space="preserve">EU / Austria / Germany:</w:t>
      </w:r>
      <w:r>
        <w:t xml:space="preserve"> </w:t>
      </w:r>
      <w:r>
        <w:t xml:space="preserve">not approved; as a substance with a pharmacological effect, Selank is considered a medicine, and placing it on the market without approval is not permitted.</w:t>
      </w:r>
    </w:p>
    <w:p>
      <w:pPr>
        <w:numPr>
          <w:ilvl w:val="0"/>
          <w:numId w:val="1201"/>
        </w:numPr>
        <w:pStyle w:val="Compact"/>
      </w:pPr>
      <w:r>
        <w:rPr>
          <w:bCs/>
          <w:b/>
        </w:rPr>
        <w:t xml:space="preserve">USA:</w:t>
      </w:r>
      <w:r>
        <w:t xml:space="preserve"> </w:t>
      </w:r>
      <w:r>
        <w:t xml:space="preserve">not approved. In 2023, Selank was placed in FDA</w:t>
      </w:r>
      <w:r>
        <w:t xml:space="preserve"> </w:t>
      </w:r>
      <w:r>
        <w:t xml:space="preserve">“</w:t>
      </w:r>
      <w:r>
        <w:t xml:space="preserve">Category 2</w:t>
      </w:r>
      <w:r>
        <w:t xml:space="preserve">”</w:t>
      </w:r>
      <w:r>
        <w:t xml:space="preserve"> </w:t>
      </w:r>
      <w:r>
        <w:t xml:space="preserve">for compounding substances with safety concerns; according to reports, the nomination was later withdrawn. Selank was not among the peptides evaluated by the advisory committee PCAC in July 2026. To current knowledge, there is no permission for pharmacy compounding (as of October 2026, please check for updates).</w:t>
      </w:r>
    </w:p>
    <w:p>
      <w:pPr>
        <w:numPr>
          <w:ilvl w:val="0"/>
          <w:numId w:val="1201"/>
        </w:numPr>
        <w:pStyle w:val="Compact"/>
      </w:pPr>
      <w:r>
        <w:rPr>
          <w:bCs/>
          <w:b/>
        </w:rPr>
        <w:t xml:space="preserve">Russia:</w:t>
      </w:r>
      <w:r>
        <w:t xml:space="preserve"> </w:t>
      </w:r>
      <w:r>
        <w:t xml:space="preserve">registered as a medicine.</w:t>
      </w:r>
    </w:p>
    <w:p>
      <w:pPr>
        <w:numPr>
          <w:ilvl w:val="0"/>
          <w:numId w:val="1201"/>
        </w:numPr>
        <w:pStyle w:val="Compact"/>
      </w:pPr>
      <w:r>
        <w:rPr>
          <w:bCs/>
          <w:b/>
        </w:rPr>
        <w:t xml:space="preserve">Sport:</w:t>
      </w:r>
      <w:r>
        <w:t xml:space="preserve"> </w:t>
      </w:r>
      <w:r>
        <w:t xml:space="preserve">not listed by name on the WADA list (as of 2026, please check for updates).</w:t>
      </w:r>
    </w:p>
    <w:bookmarkEnd w:id="1657"/>
    <w:bookmarkStart w:id="1658" w:name="ongoing-studies-and-outlook-35"/>
    <w:p>
      <w:pPr>
        <w:pStyle w:val="Heading3"/>
      </w:pPr>
      <w:r>
        <w:t xml:space="preserve">Ongoing studies and outlook</w:t>
      </w:r>
    </w:p>
    <w:p>
      <w:pPr>
        <w:pStyle w:val="FirstParagraph"/>
      </w:pPr>
      <w:r>
        <w:rPr>
          <w:bCs/>
          <w:b/>
        </w:rPr>
        <w:t xml:space="preserve">Established:</w:t>
      </w:r>
      <w:r>
        <w:t xml:space="preserve"> </w:t>
      </w:r>
      <w:r>
        <w:t xml:space="preserve">No study with Selank is registered on ClinicalTrials.gov (search October 2026).</w:t>
      </w:r>
    </w:p>
    <w:p>
      <w:pPr>
        <w:pStyle w:val="BodyText"/>
      </w:pPr>
      <w:r>
        <w:rPr>
          <w:bCs/>
          <w:b/>
        </w:rPr>
        <w:t xml:space="preserve">Assessment:</w:t>
      </w:r>
      <w:r>
        <w:t xml:space="preserve"> </w:t>
      </w:r>
      <w:r>
        <w:t xml:space="preserve">Selank is an example of a peptide that entered clinical use in Russia without meeting the study requirements that apply in the EU or the USA. Approval outside Russia would require at least one larger placebo-controlled trial in anxiety disorders; there are no indications of such a trial.</w:t>
      </w:r>
    </w:p>
    <w:bookmarkEnd w:id="1658"/>
    <w:bookmarkStart w:id="1659" w:name="conclusion-35"/>
    <w:p>
      <w:pPr>
        <w:pStyle w:val="Heading3"/>
      </w:pPr>
      <w:r>
        <w:t xml:space="preserve">Conclusion</w:t>
      </w:r>
    </w:p>
    <w:p>
      <w:pPr>
        <w:pStyle w:val="FirstParagraph"/>
      </w:pPr>
      <w:r>
        <w:t xml:space="preserve">Selank is a tuftsin-derived peptide registered in Russia as an anxiolytic. Three small Russian studies describe an anxiolytic effect similar to that of benzodiazepines, but none of them had a placebo group or was preregistered. Mechanistic hypotheses about enkephalins, GABA and the immune system are based on laboratory and animal data. The data are not sufficient to assess efficacy and safety by today’s standards.</w:t>
      </w:r>
    </w:p>
    <w:bookmarkEnd w:id="1659"/>
    <w:bookmarkEnd w:id="1660"/>
    <w:bookmarkStart w:id="1713" w:name="cerebrolysin"/>
    <w:p>
      <w:pPr>
        <w:pStyle w:val="Heading2"/>
      </w:pPr>
      <w:r>
        <w:t xml:space="preserve">Cerebrolysin</w:t>
      </w:r>
    </w:p>
    <w:bookmarkStart w:id="1661" w:name="profile-36"/>
    <w:p>
      <w:pPr>
        <w:pStyle w:val="Heading3"/>
      </w:pPr>
      <w:r>
        <w:t xml:space="preserve">Profile</w:t>
      </w:r>
    </w:p>
    <w:p>
      <w:pPr>
        <w:numPr>
          <w:ilvl w:val="0"/>
          <w:numId w:val="1202"/>
        </w:numPr>
        <w:pStyle w:val="Compact"/>
      </w:pPr>
      <w:r>
        <w:rPr>
          <w:bCs/>
          <w:b/>
        </w:rPr>
        <w:t xml:space="preserve">Type and structure:</w:t>
      </w:r>
      <w:r>
        <w:t xml:space="preserve"> </w:t>
      </w:r>
      <w:r>
        <w:t xml:space="preserve">not a single peptide but a mixture of short peptides and free amino acids. It is obtained by enzymatic cleavage of purified proteins from pig brain. The exact composition has not been fully described; the manufacturer standardizes the preparation through its manufacturing process and biological assays.</w:t>
      </w:r>
    </w:p>
    <w:p>
      <w:pPr>
        <w:numPr>
          <w:ilvl w:val="0"/>
          <w:numId w:val="1202"/>
        </w:numPr>
        <w:pStyle w:val="Compact"/>
      </w:pPr>
      <w:r>
        <w:rPr>
          <w:bCs/>
          <w:b/>
        </w:rPr>
        <w:t xml:space="preserve">Origin:</w:t>
      </w:r>
      <w:r>
        <w:t xml:space="preserve"> </w:t>
      </w:r>
      <w:r>
        <w:t xml:space="preserve">manufactured for decades by an Austrian company (today EVER Neuro Pharma, Unterach am Attersee).</w:t>
      </w:r>
    </w:p>
    <w:p>
      <w:pPr>
        <w:numPr>
          <w:ilvl w:val="0"/>
          <w:numId w:val="1202"/>
        </w:numPr>
        <w:pStyle w:val="Compact"/>
      </w:pPr>
      <w:r>
        <w:rPr>
          <w:bCs/>
          <w:b/>
        </w:rPr>
        <w:t xml:space="preserve">Mechanism of action:</w:t>
      </w:r>
      <w:r>
        <w:t xml:space="preserve"> </w:t>
      </w:r>
      <w:r>
        <w:t xml:space="preserve">said to mimic the effects of endogenous nerve growth factors – protecting nerve cells (neuroprotection) and promoting repair and remodeling processes (neuroregeneration). It is administered as an infusion or intravenous injection, usually in courses of 10 to 21 days.</w:t>
      </w:r>
    </w:p>
    <w:p>
      <w:pPr>
        <w:numPr>
          <w:ilvl w:val="0"/>
          <w:numId w:val="1202"/>
        </w:numPr>
        <w:pStyle w:val="Compact"/>
      </w:pPr>
      <w:r>
        <w:rPr>
          <w:bCs/>
          <w:b/>
        </w:rPr>
        <w:t xml:space="preserve">EU approval:</w:t>
      </w:r>
      <w:r>
        <w:t xml:space="preserve"> </w:t>
      </w:r>
      <w:r>
        <w:t xml:space="preserve">no centralized EU approval. Nationally approved in Austria and a number of other, mainly Central and Eastern European, countries (depending on the country, for stroke, traumatic brain injury and dementia). To our knowledge, it is not marketed in Germany.</w:t>
      </w:r>
    </w:p>
    <w:p>
      <w:pPr>
        <w:numPr>
          <w:ilvl w:val="0"/>
          <w:numId w:val="1202"/>
        </w:numPr>
        <w:pStyle w:val="Compact"/>
      </w:pPr>
      <w:r>
        <w:rPr>
          <w:bCs/>
          <w:b/>
        </w:rPr>
        <w:t xml:space="preserve">US approval:</w:t>
      </w:r>
      <w:r>
        <w:t xml:space="preserve"> </w:t>
      </w:r>
      <w:r>
        <w:t xml:space="preserve">no.</w:t>
      </w:r>
    </w:p>
    <w:p>
      <w:pPr>
        <w:numPr>
          <w:ilvl w:val="0"/>
          <w:numId w:val="1202"/>
        </w:numPr>
        <w:pStyle w:val="Compact"/>
      </w:pPr>
      <w:r>
        <w:rPr>
          <w:bCs/>
          <w:b/>
        </w:rPr>
        <w:t xml:space="preserve">Other countries:</w:t>
      </w:r>
      <w:r>
        <w:t xml:space="preserve"> </w:t>
      </w:r>
      <w:r>
        <w:t xml:space="preserve">widely used in Russia, other successor states of the Soviet Union, China and other Asian countries.</w:t>
      </w:r>
    </w:p>
    <w:p>
      <w:pPr>
        <w:numPr>
          <w:ilvl w:val="0"/>
          <w:numId w:val="1202"/>
        </w:numPr>
        <w:pStyle w:val="Compact"/>
      </w:pPr>
      <w:r>
        <w:rPr>
          <w:bCs/>
          <w:b/>
        </w:rPr>
        <w:t xml:space="preserve">WADA:</w:t>
      </w:r>
      <w:r>
        <w:t xml:space="preserve"> </w:t>
      </w:r>
      <w:r>
        <w:t xml:space="preserve">not listed.</w:t>
      </w:r>
    </w:p>
    <w:p>
      <w:pPr>
        <w:numPr>
          <w:ilvl w:val="0"/>
          <w:numId w:val="1202"/>
        </w:numPr>
        <w:pStyle w:val="Compact"/>
      </w:pPr>
      <w:r>
        <w:rPr>
          <w:bCs/>
          <w:b/>
        </w:rPr>
        <w:t xml:space="preserve">Evidence level:</w:t>
      </w:r>
      <w:r>
        <w:t xml:space="preserve"> </w:t>
      </w:r>
      <w:r>
        <w:rPr>
          <w:bCs/>
          <w:b/>
        </w:rPr>
        <w:t xml:space="preserve">B</w:t>
      </w:r>
      <w:r>
        <w:t xml:space="preserve"> </w:t>
      </w:r>
      <w:r>
        <w:t xml:space="preserve">– numerous randomized, placebo-controlled trials, including a large one with over 1,000 participants; however, the results are inconsistent, and the two major independent Cochrane reviews reach cautious conclusions.</w:t>
      </w:r>
    </w:p>
    <w:bookmarkEnd w:id="1661"/>
    <w:bookmarkStart w:id="1662" w:name="how-it-is-supposed-to-work-36"/>
    <w:p>
      <w:pPr>
        <w:pStyle w:val="Heading3"/>
      </w:pPr>
      <w:r>
        <w:t xml:space="preserve">How it is supposed to work</w:t>
      </w:r>
    </w:p>
    <w:p>
      <w:pPr>
        <w:pStyle w:val="FirstParagraph"/>
      </w:pPr>
      <w:r>
        <w:t xml:space="preserve">Nerve growth factors such as BDNF, NGF or CNTF are proteins that keep nerve cells alive, stimulate the sprouting of new connections and promote the formation of new nerve cells in certain brain regions. As medicines they are difficult: they are large, barely cross the blood-brain barrier and act at many sites simultaneously.</w:t>
      </w:r>
    </w:p>
    <w:p>
      <w:pPr>
        <w:pStyle w:val="BodyText"/>
      </w:pPr>
      <w:r>
        <w:t xml:space="preserve">Cerebrolysin takes a different approach. Controlled cleavage of pig brain proteins produces a mixture of small fragments. The manufacturer and researchers associated with it assume that some of these fragments trigger signals similar to those of the endogenous growth factors. It is therefore referred to as a</w:t>
      </w:r>
      <w:r>
        <w:t xml:space="preserve"> </w:t>
      </w:r>
      <w:r>
        <w:t xml:space="preserve">“</w:t>
      </w:r>
      <w:r>
        <w:t xml:space="preserve">multimodal</w:t>
      </w:r>
      <w:r>
        <w:t xml:space="preserve">”</w:t>
      </w:r>
      <w:r>
        <w:t xml:space="preserve"> </w:t>
      </w:r>
      <w:r>
        <w:t xml:space="preserve">agent – that is, one intended to influence many pathways at once.</w:t>
      </w:r>
    </w:p>
    <w:p>
      <w:pPr>
        <w:pStyle w:val="BodyText"/>
      </w:pPr>
      <w:r>
        <w:t xml:space="preserve">For readers, this means two things: first, the mechanism is derived mainly from animal and cell experiments. Second, with a mixture it is hard to say which component is responsible for what and how much of it actually reaches the brain.</w:t>
      </w:r>
    </w:p>
    <w:bookmarkEnd w:id="1662"/>
    <w:bookmarkStart w:id="1698" w:name="human-studies-36"/>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88 publications classified as human studies, plus 15 meta-analyses and systematic reviews (including eight versions of Cochrane reviews). On ClinicalTrials.gov, 43 studies were registered, most on stroke, some on traumatic brain injury, dementia, intracerebral hemorrhage, delirium and – during the pandemic – loss of smell after COVID-19. A large proportion of the studies was funded or supported by the manufacturer; many smaller papers come from Russia, Romania, China and Iran.</w:t>
      </w:r>
    </w:p>
    <w:p>
      <w:pPr>
        <w:pStyle w:val="BodyText"/>
      </w:pPr>
      <w:r>
        <w:t xml:space="preserve">A word on the statistics used in many Cerebrolysin trials: instead of a single primary endpoint, they often test a combination of several scales using a so-called Mann-Whitney estimator (MW). It gives the probability that a randomly chosen person from the Cerebrolysin group does better than one from the placebo group. An MW of 0.50 means no difference; values around 0.56 are considered a small, around 0.64 a medium and from 0.71 a large advantage. This method is legitimate, but it makes the results harder to compare with other stroke trials, which usually report the proportion of people without lasting disability.</w:t>
      </w:r>
    </w:p>
    <w:bookmarkStart w:id="1669" w:name="acute-ischemic-stroke"/>
    <w:p>
      <w:pPr>
        <w:pStyle w:val="Heading4"/>
      </w:pPr>
      <w:r>
        <w:t xml:space="preserve">Acute ischemic stroke</w:t>
      </w:r>
    </w:p>
    <w:p>
      <w:pPr>
        <w:pStyle w:val="FirstParagraph"/>
      </w:pPr>
      <w:r>
        <w:t xml:space="preserve">In ischemic stroke, a clot blocks a brain vessel. Established treatments are dissolving the clot with medication (thrombolysis) and removing it with a catheter (thrombectomy).</w:t>
      </w:r>
      <w:r>
        <w:t xml:space="preserve"> </w:t>
      </w:r>
      <w:r>
        <w:t xml:space="preserve">“</w:t>
      </w:r>
      <w:r>
        <w:t xml:space="preserve">Neuroprotective</w:t>
      </w:r>
      <w:r>
        <w:t xml:space="preserve">”</w:t>
      </w:r>
      <w:r>
        <w:t xml:space="preserve"> </w:t>
      </w:r>
      <w:r>
        <w:t xml:space="preserve">add-on agents are intended to protect the surrounding tissue – an approach in which dozens of agents worldwide have failed in large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Ladurner 2005, PMID 15583955</w:t>
            </w:r>
          </w:p>
        </w:tc>
        <w:tc>
          <w:tcPr/>
          <w:p>
            <w:pPr>
              <w:pStyle w:val="Compact"/>
              <w:jc w:val="left"/>
            </w:pPr>
            <w:r>
              <w:t xml:space="preserve">146 people, RCT vs. placebo, start within 24 h</w:t>
            </w:r>
          </w:p>
        </w:tc>
        <w:tc>
          <w:tcPr/>
          <w:p>
            <w:pPr>
              <w:pStyle w:val="Compact"/>
              <w:jc w:val="left"/>
            </w:pPr>
            <w:r>
              <w:t xml:space="preserve">90 days</w:t>
            </w:r>
          </w:p>
        </w:tc>
        <w:tc>
          <w:tcPr/>
          <w:p>
            <w:pPr>
              <w:pStyle w:val="Compact"/>
              <w:jc w:val="left"/>
            </w:pPr>
            <w:r>
              <w:t xml:space="preserve">no improvement in neurological scale, Barthel index and global impression; one cognitive test better</w:t>
            </w:r>
          </w:p>
        </w:tc>
      </w:tr>
      <w:tr>
        <w:tc>
          <w:tcPr/>
          <w:p>
            <w:pPr>
              <w:pStyle w:val="Compact"/>
              <w:jc w:val="left"/>
            </w:pPr>
            <w:r>
              <w:t xml:space="preserve">CASTA (Heiss 2012), PMID 22282884</w:t>
            </w:r>
          </w:p>
        </w:tc>
        <w:tc>
          <w:tcPr/>
          <w:p>
            <w:pPr>
              <w:pStyle w:val="Compact"/>
              <w:jc w:val="left"/>
            </w:pPr>
            <w:r>
              <w:t xml:space="preserve">1,070 people in Asia, double-blind vs. placebo, start within 12 h</w:t>
            </w:r>
          </w:p>
        </w:tc>
        <w:tc>
          <w:tcPr/>
          <w:p>
            <w:pPr>
              <w:pStyle w:val="Compact"/>
              <w:jc w:val="left"/>
            </w:pPr>
            <w:r>
              <w:t xml:space="preserve">90 days</w:t>
            </w:r>
          </w:p>
        </w:tc>
        <w:tc>
          <w:tcPr/>
          <w:p>
            <w:pPr>
              <w:pStyle w:val="Compact"/>
              <w:jc w:val="left"/>
            </w:pPr>
            <w:r>
              <w:t xml:space="preserve">primary endpoint neutral; post hoc subgroup of severely affected with trend in favor of Cerebrolysin</w:t>
            </w:r>
          </w:p>
        </w:tc>
      </w:tr>
      <w:tr>
        <w:tc>
          <w:tcPr/>
          <w:p>
            <w:pPr>
              <w:pStyle w:val="Compact"/>
              <w:jc w:val="left"/>
            </w:pPr>
            <w:r>
              <w:t xml:space="preserve">Lang 2013, PMID 23009193</w:t>
            </w:r>
          </w:p>
        </w:tc>
        <w:tc>
          <w:tcPr/>
          <w:p>
            <w:pPr>
              <w:pStyle w:val="Compact"/>
              <w:jc w:val="left"/>
            </w:pPr>
            <w:r>
              <w:t xml:space="preserve">119 people, in addition to thrombolysis, double-blind</w:t>
            </w:r>
          </w:p>
        </w:tc>
        <w:tc>
          <w:tcPr/>
          <w:p>
            <w:pPr>
              <w:pStyle w:val="Compact"/>
              <w:jc w:val="left"/>
            </w:pPr>
            <w:r>
              <w:t xml:space="preserve">90 days</w:t>
            </w:r>
          </w:p>
        </w:tc>
        <w:tc>
          <w:tcPr/>
          <w:p>
            <w:pPr>
              <w:pStyle w:val="Compact"/>
              <w:jc w:val="left"/>
            </w:pPr>
            <w:r>
              <w:t xml:space="preserve">stopped after interim analysis without benefit in primary endpoint; early improvement on NIHSS more frequent</w:t>
            </w:r>
          </w:p>
        </w:tc>
      </w:tr>
      <w:tr>
        <w:tc>
          <w:tcPr/>
          <w:p>
            <w:pPr>
              <w:pStyle w:val="Compact"/>
              <w:jc w:val="left"/>
            </w:pPr>
            <w:r>
              <w:t xml:space="preserve">CARS (Muresanu 2016), PMID 26564102</w:t>
            </w:r>
          </w:p>
        </w:tc>
        <w:tc>
          <w:tcPr/>
          <w:p>
            <w:pPr>
              <w:pStyle w:val="Compact"/>
              <w:jc w:val="left"/>
            </w:pPr>
            <w:r>
              <w:t xml:space="preserve">people in early rehabilitation, double-blind vs. placebo</w:t>
            </w:r>
          </w:p>
        </w:tc>
        <w:tc>
          <w:tcPr/>
          <w:p>
            <w:pPr>
              <w:pStyle w:val="Compact"/>
              <w:jc w:val="left"/>
            </w:pPr>
            <w:r>
              <w:t xml:space="preserve">90 days</w:t>
            </w:r>
          </w:p>
        </w:tc>
        <w:tc>
          <w:tcPr/>
          <w:p>
            <w:pPr>
              <w:pStyle w:val="Compact"/>
              <w:jc w:val="left"/>
            </w:pPr>
            <w:r>
              <w:t xml:space="preserve">arm function (ARAT) markedly better: MW 0.71</w:t>
            </w:r>
          </w:p>
        </w:tc>
      </w:tr>
      <w:tr>
        <w:tc>
          <w:tcPr/>
          <w:p>
            <w:pPr>
              <w:pStyle w:val="Compact"/>
              <w:jc w:val="left"/>
            </w:pPr>
            <w:r>
              <w:t xml:space="preserve">Gharagozli 2017, PMID 29075343</w:t>
            </w:r>
          </w:p>
        </w:tc>
        <w:tc>
          <w:tcPr/>
          <w:p>
            <w:pPr>
              <w:pStyle w:val="Compact"/>
              <w:jc w:val="left"/>
            </w:pPr>
            <w:r>
              <w:t xml:space="preserve">100 people, double-blind vs. placebo</w:t>
            </w:r>
          </w:p>
        </w:tc>
        <w:tc>
          <w:tcPr/>
          <w:p>
            <w:pPr>
              <w:pStyle w:val="Compact"/>
              <w:jc w:val="left"/>
            </w:pPr>
            <w:r>
              <w:t xml:space="preserve">30 days</w:t>
            </w:r>
          </w:p>
        </w:tc>
        <w:tc>
          <w:tcPr/>
          <w:p>
            <w:pPr>
              <w:pStyle w:val="Compact"/>
              <w:jc w:val="left"/>
            </w:pPr>
            <w:r>
              <w:t xml:space="preserve">NIHSS better: MW 0.66</w:t>
            </w:r>
          </w:p>
        </w:tc>
      </w:tr>
      <w:tr>
        <w:tc>
          <w:tcPr/>
          <w:p>
            <w:pPr>
              <w:pStyle w:val="Compact"/>
              <w:jc w:val="left"/>
            </w:pPr>
            <w:r>
              <w:t xml:space="preserve">CEREHETIS (Khasanova 2023), PMID 36973684</w:t>
            </w:r>
          </w:p>
        </w:tc>
        <w:tc>
          <w:tcPr/>
          <w:p>
            <w:pPr>
              <w:pStyle w:val="Compact"/>
              <w:jc w:val="left"/>
            </w:pPr>
            <w:r>
              <w:t xml:space="preserve">341 people with thrombolysis, open-label randomized</w:t>
            </w:r>
          </w:p>
        </w:tc>
        <w:tc>
          <w:tcPr/>
          <w:p>
            <w:pPr>
              <w:pStyle w:val="Compact"/>
              <w:jc w:val="left"/>
            </w:pPr>
            <w:r>
              <w:t xml:space="preserve">90 days</w:t>
            </w:r>
          </w:p>
        </w:tc>
        <w:tc>
          <w:tcPr/>
          <w:p>
            <w:pPr>
              <w:pStyle w:val="Compact"/>
              <w:jc w:val="left"/>
            </w:pPr>
            <w:r>
              <w:t xml:space="preserve">fewer symptomatic hemorrhages (OR 0.248); no difference in mRS after 90 days</w:t>
            </w:r>
          </w:p>
        </w:tc>
      </w:tr>
    </w:tbl>
    <w:p>
      <w:pPr>
        <w:pStyle w:val="BodyText"/>
      </w:pPr>
      <w:r>
        <w:rPr>
          <w:bCs/>
          <w:b/>
        </w:rPr>
        <w:t xml:space="preserve">CASTA – the largest trial.</w:t>
      </w:r>
      <w:r>
        <w:t xml:space="preserve"> </w:t>
      </w:r>
      <w:r>
        <w:t xml:space="preserve">The</w:t>
      </w:r>
      <w:r>
        <w:t xml:space="preserve"> </w:t>
      </w:r>
      <w:r>
        <w:rPr>
          <w:iCs/>
          <w:i/>
        </w:rPr>
        <w:t xml:space="preserve">Cerebrolysin Acute Stroke Treatment in Asia</w:t>
      </w:r>
      <w:r>
        <w:t xml:space="preserve"> </w:t>
      </w:r>
      <w:r>
        <w:t xml:space="preserve">trial was published in advance with its study protocol</w:t>
      </w:r>
      <w:r>
        <w:rPr>
          <w:rStyle w:val="FootnoteReference"/>
        </w:rPr>
        <w:footnoteReference w:id="1663"/>
      </w:r>
      <w:r>
        <w:t xml:space="preserve"> </w:t>
      </w:r>
      <w:r>
        <w:t xml:space="preserve">and is registered on ClinicalTrials.gov</w:t>
      </w:r>
      <w:r>
        <w:rPr>
          <w:rStyle w:val="FootnoteReference"/>
        </w:rPr>
        <w:footnoteReference w:id="1664"/>
      </w:r>
      <w:r>
        <w:t xml:space="preserve">. 1,070 people with acute stroke received Cerebrolysin or saline within twelve hours for ten days, each in addition to aspirin. The prespecified primary endpoint – a combination of the modified Rankin Scale (mRS, degree of disability), Barthel index (independence in daily life) and NIHSS (severity of neurological deficits) after 90 days – showed</w:t>
      </w:r>
      <w:r>
        <w:t xml:space="preserve"> </w:t>
      </w:r>
      <w:r>
        <w:rPr>
          <w:bCs/>
          <w:b/>
        </w:rPr>
        <w:t xml:space="preserve">no difference</w:t>
      </w:r>
      <w:r>
        <w:t xml:space="preserve">. In a post hoc analysis of the more severely affected (NIHSS above 12), mortality after 90 days was 10.5% on Cerebrolysin compared with 20.2% on placebo</w:t>
      </w:r>
      <w:r>
        <w:rPr>
          <w:rStyle w:val="FootnoteReference"/>
        </w:rPr>
        <w:footnoteReference w:id="1665"/>
      </w:r>
      <w:r>
        <w:t xml:space="preserve">. The authors themselves write that this finding would need to be confirmed in a further trial. Such a large confirmatory trial specifically in severe strokes has not been published to date.</w:t>
      </w:r>
    </w:p>
    <w:p>
      <w:pPr>
        <w:pStyle w:val="BodyText"/>
      </w:pPr>
      <w:r>
        <w:rPr>
          <w:bCs/>
          <w:b/>
        </w:rPr>
        <w:t xml:space="preserve">Together with thrombolysis.</w:t>
      </w:r>
      <w:r>
        <w:t xml:space="preserve"> </w:t>
      </w:r>
      <w:r>
        <w:t xml:space="preserve">In a trial with 119 people, Cerebrolysin was started one hour after thrombolysis. After the third interim analysis, there was no advantage in the primary endpoint (mRS after 90 days), and the trial was stopped. In the first 30 days, more people improved markedly on the NIHSS on Cerebrolysin</w:t>
      </w:r>
      <w:r>
        <w:rPr>
          <w:rStyle w:val="FootnoteReference"/>
        </w:rPr>
        <w:footnoteReference w:id="1666"/>
      </w:r>
      <w:r>
        <w:t xml:space="preserve">. This pattern – early improvements on neurological scales but no clear difference in disability after three months – runs through several trials. The CEREHETIS trial found fewer symptomatic hemorrhages after thrombolysis in 341 people but likewise no difference in mRS after 90 days; it was open-label, that is, not blinded</w:t>
      </w:r>
      <w:r>
        <w:rPr>
          <w:rStyle w:val="FootnoteReference"/>
        </w:rPr>
        <w:footnoteReference w:id="1667"/>
      </w:r>
      <w:r>
        <w:t xml:space="preserve">.</w:t>
      </w:r>
    </w:p>
    <w:p>
      <w:pPr>
        <w:pStyle w:val="BodyText"/>
      </w:pPr>
      <w:r>
        <w:rPr>
          <w:bCs/>
          <w:b/>
        </w:rPr>
        <w:t xml:space="preserve">Thrombectomy.</w:t>
      </w:r>
      <w:r>
        <w:t xml:space="preserve"> </w:t>
      </w:r>
      <w:r>
        <w:t xml:space="preserve">One study compared 50 people who received Cerebrolysin after catheter treatment with 50 previously treated people (historical controls). After 90 days, 68% versus 44% were functionally independent (mRS 0–2), and secondary brain hemorrhages occurred less often</w:t>
      </w:r>
      <w:r>
        <w:rPr>
          <w:rStyle w:val="FootnoteReference"/>
        </w:rPr>
        <w:footnoteReference w:id="1668"/>
      </w:r>
      <w:r>
        <w:t xml:space="preserve">. Without randomization and with comparison against earlier patients, however, this is only an indication; the authors themselves call for randomized trials.</w:t>
      </w:r>
    </w:p>
    <w:bookmarkEnd w:id="1669"/>
    <w:bookmarkStart w:id="1676" w:name="X88ff8211e405c538c74cb6c2b0593dadbae421d"/>
    <w:p>
      <w:pPr>
        <w:pStyle w:val="Heading4"/>
      </w:pPr>
      <w:r>
        <w:t xml:space="preserve">Rehabilitation after stroke: CARS and follow-up trials</w:t>
      </w:r>
    </w:p>
    <w:p>
      <w:pPr>
        <w:pStyle w:val="FirstParagraph"/>
      </w:pPr>
      <w:r>
        <w:t xml:space="preserve">A second approach does not start in the first hours but in early rehabilitation: Cerebrolysin is meant to make the brain</w:t>
      </w:r>
      <w:r>
        <w:t xml:space="preserve"> </w:t>
      </w:r>
      <w:r>
        <w:t xml:space="preserve">“</w:t>
      </w:r>
      <w:r>
        <w:t xml:space="preserve">more capable of learning</w:t>
      </w:r>
      <w:r>
        <w:t xml:space="preserve">”</w:t>
      </w:r>
      <w:r>
        <w:t xml:space="preserve"> </w:t>
      </w:r>
      <w:r>
        <w:t xml:space="preserve">while physiotherapy takes place at the same time.</w:t>
      </w:r>
    </w:p>
    <w:p>
      <w:pPr>
        <w:pStyle w:val="BodyText"/>
      </w:pPr>
      <w:r>
        <w:t xml:space="preserve">The</w:t>
      </w:r>
      <w:r>
        <w:t xml:space="preserve"> </w:t>
      </w:r>
      <w:r>
        <w:rPr>
          <w:bCs/>
          <w:b/>
        </w:rPr>
        <w:t xml:space="preserve">CARS trial</w:t>
      </w:r>
      <w:r>
        <w:t xml:space="preserve"> </w:t>
      </w:r>
      <w:r>
        <w:t xml:space="preserve">(</w:t>
      </w:r>
      <w:r>
        <w:rPr>
          <w:iCs/>
          <w:i/>
        </w:rPr>
        <w:t xml:space="preserve">Cerebrolysin and Recovery After Stroke</w:t>
      </w:r>
      <w:r>
        <w:t xml:space="preserve">) treated people 24 to 72 hours after stroke with Cerebrolysin or placebo for 21 days, in addition to a standardized rehabilitation program. The primary endpoint, the Action Research Arm Test (ARAT) for arm function after 90 days, showed a large advantage (MW 0.71; 95% confidence interval 0.63–0.79); across twelve scales, a small to medium advantage (MW 0.62)</w:t>
      </w:r>
      <w:r>
        <w:rPr>
          <w:rStyle w:val="FootnoteReference"/>
        </w:rPr>
        <w:footnoteReference w:id="1670"/>
      </w:r>
      <w:r>
        <w:t xml:space="preserve">. The authors explicitly describe the trial as exploratory with a relatively small sample size. A prespecified pooled analysis with the identically designed trial CARS-2 (442 people in total) yielded an MW of 0.62 for the ARAT</w:t>
      </w:r>
      <w:r>
        <w:rPr>
          <w:rStyle w:val="FootnoteReference"/>
        </w:rPr>
        <w:footnoteReference w:id="1671"/>
      </w:r>
      <w:r>
        <w:t xml:space="preserve">.</w:t>
      </w:r>
    </w:p>
    <w:p>
      <w:pPr>
        <w:pStyle w:val="BodyText"/>
      </w:pPr>
      <w:r>
        <w:t xml:space="preserve">Further smaller studies show a mixed picture:</w:t>
      </w:r>
    </w:p>
    <w:p>
      <w:pPr>
        <w:numPr>
          <w:ilvl w:val="0"/>
          <w:numId w:val="1203"/>
        </w:numPr>
        <w:pStyle w:val="Compact"/>
      </w:pPr>
      <w:r>
        <w:t xml:space="preserve">A study with 60 people found large advantages on the NIHSS after 10 and 30 days</w:t>
      </w:r>
      <w:r>
        <w:rPr>
          <w:rStyle w:val="FootnoteReference"/>
        </w:rPr>
        <w:footnoteReference w:id="1672"/>
      </w:r>
      <w:r>
        <w:t xml:space="preserve">.</w:t>
      </w:r>
    </w:p>
    <w:p>
      <w:pPr>
        <w:numPr>
          <w:ilvl w:val="0"/>
          <w:numId w:val="1203"/>
        </w:numPr>
        <w:pStyle w:val="Compact"/>
      </w:pPr>
      <w:r>
        <w:t xml:space="preserve">A study with 70 people found</w:t>
      </w:r>
      <w:r>
        <w:t xml:space="preserve"> </w:t>
      </w:r>
      <w:r>
        <w:rPr>
          <w:bCs/>
          <w:b/>
        </w:rPr>
        <w:t xml:space="preserve">no</w:t>
      </w:r>
      <w:r>
        <w:t xml:space="preserve"> </w:t>
      </w:r>
      <w:r>
        <w:t xml:space="preserve">difference in motor function overall; only in the subgroup with severe paralysis did Cerebrolysin perform better</w:t>
      </w:r>
      <w:r>
        <w:rPr>
          <w:rStyle w:val="FootnoteReference"/>
        </w:rPr>
        <w:footnoteReference w:id="1673"/>
      </w:r>
      <w:r>
        <w:t xml:space="preserve">.</w:t>
      </w:r>
    </w:p>
    <w:p>
      <w:pPr>
        <w:numPr>
          <w:ilvl w:val="0"/>
          <w:numId w:val="1203"/>
        </w:numPr>
        <w:pStyle w:val="Compact"/>
      </w:pPr>
      <w:r>
        <w:t xml:space="preserve">The Romanian ESCAS pilot study in language disorders (nonfluent aphasia) with 132 people combined Cerebrolysin with speech therapy. After 90 days, language function on the Western Aphasia Battery improved by about 35.6 points compared with 20.8 points on placebo</w:t>
      </w:r>
      <w:r>
        <w:rPr>
          <w:rStyle w:val="FootnoteReference"/>
        </w:rPr>
        <w:footnoteReference w:id="1674"/>
      </w:r>
      <w:r>
        <w:t xml:space="preserve">.</w:t>
      </w:r>
    </w:p>
    <w:p>
      <w:pPr>
        <w:pStyle w:val="FirstParagraph"/>
      </w:pPr>
      <w:r>
        <w:t xml:space="preserve">In 2021, a guideline of the European Academy of Neurology and the European Federation of Neurorehabilitation Societies, based on a meta-analysis, recommended Cerebrolysin – alongside the antidepressant citalopram – to support early motor rehabilitation after ischemic stroke</w:t>
      </w:r>
      <w:r>
        <w:rPr>
          <w:rStyle w:val="FootnoteReference"/>
        </w:rPr>
        <w:footnoteReference w:id="1675"/>
      </w:r>
      <w:r>
        <w:t xml:space="preserve">. Other major guidelines, for example in the USA, contain no such recommendation.</w:t>
      </w:r>
    </w:p>
    <w:bookmarkEnd w:id="1676"/>
    <w:bookmarkStart w:id="1681" w:name="X7e4e27d4fe50a02473e92782e80bb1af42f577b"/>
    <w:p>
      <w:pPr>
        <w:pStyle w:val="Heading4"/>
      </w:pPr>
      <w:r>
        <w:t xml:space="preserve">The meta-analyses: two readings of the same data</w:t>
      </w:r>
    </w:p>
    <w:p>
      <w:pPr>
        <w:pStyle w:val="FirstParagraph"/>
      </w:pPr>
      <w:r>
        <w:t xml:space="preserve">With Cerebrolysin, the summaries diverge widely – depending on who wrote them and which endpoints are the focus.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Review</w:t>
            </w:r>
          </w:p>
        </w:tc>
        <w:tc>
          <w:tcPr/>
          <w:p>
            <w:pPr>
              <w:pStyle w:val="Compact"/>
              <w:jc w:val="left"/>
            </w:pPr>
            <w:r>
              <w:t xml:space="preserve">Data included</w:t>
            </w:r>
          </w:p>
        </w:tc>
        <w:tc>
          <w:tcPr/>
          <w:p>
            <w:pPr>
              <w:pStyle w:val="Compact"/>
              <w:jc w:val="left"/>
            </w:pPr>
            <w:r>
              <w:t xml:space="preserve">Key finding</w:t>
            </w:r>
          </w:p>
        </w:tc>
      </w:tr>
      <w:tr>
        <w:tc>
          <w:tcPr/>
          <w:p>
            <w:pPr>
              <w:pStyle w:val="Compact"/>
              <w:jc w:val="left"/>
            </w:pPr>
            <w:r>
              <w:t xml:space="preserve">Cochrane (Ziganshina 2023), PMID 37818733</w:t>
            </w:r>
          </w:p>
        </w:tc>
        <w:tc>
          <w:tcPr/>
          <w:p>
            <w:pPr>
              <w:pStyle w:val="Compact"/>
              <w:jc w:val="left"/>
            </w:pPr>
            <w:r>
              <w:t xml:space="preserve">7 RCTs, 1,773 people, start within 48 h</w:t>
            </w:r>
          </w:p>
        </w:tc>
        <w:tc>
          <w:tcPr/>
          <w:p>
            <w:pPr>
              <w:pStyle w:val="Compact"/>
              <w:jc w:val="left"/>
            </w:pPr>
            <w:r>
              <w:t xml:space="preserve">no effect on mortality (RR 0.96); more nonfatal serious adverse events (RR 2.39)</w:t>
            </w:r>
          </w:p>
        </w:tc>
      </w:tr>
      <w:tr>
        <w:tc>
          <w:tcPr/>
          <w:p>
            <w:pPr>
              <w:pStyle w:val="Compact"/>
              <w:jc w:val="left"/>
            </w:pPr>
            <w:r>
              <w:t xml:space="preserve">Bornstein 2018, PMID 29248999</w:t>
            </w:r>
          </w:p>
        </w:tc>
        <w:tc>
          <w:tcPr/>
          <w:p>
            <w:pPr>
              <w:pStyle w:val="Compact"/>
              <w:jc w:val="left"/>
            </w:pPr>
            <w:r>
              <w:t xml:space="preserve">9 RCTs, 1,879 people</w:t>
            </w:r>
          </w:p>
        </w:tc>
        <w:tc>
          <w:tcPr/>
          <w:p>
            <w:pPr>
              <w:pStyle w:val="Compact"/>
              <w:jc w:val="left"/>
            </w:pPr>
            <w:r>
              <w:t xml:space="preserve">NIHSS better after 30 days (MW 0.60); NNT 7.7 for clinically relevant improvement</w:t>
            </w:r>
          </w:p>
        </w:tc>
      </w:tr>
      <w:tr>
        <w:tc>
          <w:tcPr/>
          <w:p>
            <w:pPr>
              <w:pStyle w:val="Compact"/>
              <w:jc w:val="left"/>
            </w:pPr>
            <w:r>
              <w:t xml:space="preserve">Zhang 2017, PMID 28656143</w:t>
            </w:r>
          </w:p>
        </w:tc>
        <w:tc>
          <w:tcPr/>
          <w:p>
            <w:pPr>
              <w:pStyle w:val="Compact"/>
              <w:jc w:val="left"/>
            </w:pPr>
            <w:r>
              <w:t xml:space="preserve">7 RCTs, 1,779 people</w:t>
            </w:r>
          </w:p>
        </w:tc>
        <w:tc>
          <w:tcPr/>
          <w:p>
            <w:pPr>
              <w:pStyle w:val="Compact"/>
              <w:jc w:val="left"/>
            </w:pPr>
            <w:r>
              <w:t xml:space="preserve">no superiority in mRS and Barthel index; safety neutral</w:t>
            </w:r>
          </w:p>
        </w:tc>
      </w:tr>
      <w:tr>
        <w:tc>
          <w:tcPr/>
          <w:p>
            <w:pPr>
              <w:pStyle w:val="Compact"/>
              <w:jc w:val="left"/>
            </w:pPr>
            <w:r>
              <w:t xml:space="preserve">Patel 2025, PMID 41018475</w:t>
            </w:r>
          </w:p>
        </w:tc>
        <w:tc>
          <w:tcPr/>
          <w:p>
            <w:pPr>
              <w:pStyle w:val="Compact"/>
              <w:jc w:val="left"/>
            </w:pPr>
            <w:r>
              <w:t xml:space="preserve">14 RCTs, 2,884 people</w:t>
            </w:r>
          </w:p>
        </w:tc>
        <w:tc>
          <w:tcPr/>
          <w:p>
            <w:pPr>
              <w:pStyle w:val="Compact"/>
              <w:jc w:val="left"/>
            </w:pPr>
            <w:r>
              <w:t xml:space="preserve">NIHSS improvement 1.39 points greater; functional independence not significant (RR 1.31)</w:t>
            </w:r>
          </w:p>
        </w:tc>
      </w:tr>
    </w:tbl>
    <w:p>
      <w:pPr>
        <w:pStyle w:val="BodyText"/>
      </w:pPr>
      <w:r>
        <w:t xml:space="preserve">The</w:t>
      </w:r>
      <w:r>
        <w:t xml:space="preserve"> </w:t>
      </w:r>
      <w:r>
        <w:rPr>
          <w:bCs/>
          <w:b/>
        </w:rPr>
        <w:t xml:space="preserve">Cochrane review</w:t>
      </w:r>
      <w:r>
        <w:t xml:space="preserve"> </w:t>
      </w:r>
      <w:r>
        <w:t xml:space="preserve">– an independent, methodologically rigorous form of summary – has been updated several times since 2010. The 2020 version included seven randomized trials with 1,601 people and found no effect on mortality (RR 0.90; 95% CI 0.61–1.32). The total number of serious adverse events did not differ substantially, but the number of people with</w:t>
      </w:r>
      <w:r>
        <w:t xml:space="preserve"> </w:t>
      </w:r>
      <w:r>
        <w:rPr>
          <w:bCs/>
          <w:b/>
        </w:rPr>
        <w:t xml:space="preserve">nonfatal</w:t>
      </w:r>
      <w:r>
        <w:t xml:space="preserve"> </w:t>
      </w:r>
      <w:r>
        <w:t xml:space="preserve">serious adverse events was higher on Cerebrolysin (RR 2.15; 95% CI 1.01–4.55)</w:t>
      </w:r>
      <w:r>
        <w:rPr>
          <w:rStyle w:val="FootnoteReference"/>
        </w:rPr>
        <w:footnoteReference w:id="1677"/>
      </w:r>
      <w:r>
        <w:t xml:space="preserve">. The 2023 update added a trial with the Russian bovine brain preparation Cortexin (1,773 people in total) and confirmed these findings: no effect on mortality (RR 0.96), more nonfatal serious events (RR 2.39; 95% CI 1.10–5.23), even more pronounced with a ten-day treatment regimen</w:t>
      </w:r>
      <w:r>
        <w:rPr>
          <w:rStyle w:val="FootnoteReference"/>
        </w:rPr>
        <w:footnoteReference w:id="1678"/>
      </w:r>
      <w:r>
        <w:t xml:space="preserve">. The Cochrane authors rated the risk of bias of many trials as unclear or high and pointed out that the manufacturer had supported several of the large trials. Importantly: none of the included trials reported the endpoint that matters most from the patient’s perspective,</w:t>
      </w:r>
      <w:r>
        <w:t xml:space="preserve"> </w:t>
      </w:r>
      <w:r>
        <w:t xml:space="preserve">“</w:t>
      </w:r>
      <w:r>
        <w:t xml:space="preserve">death or dependency,</w:t>
      </w:r>
      <w:r>
        <w:t xml:space="preserve">”</w:t>
      </w:r>
      <w:r>
        <w:t xml:space="preserve"> </w:t>
      </w:r>
      <w:r>
        <w:t xml:space="preserve">in the form the review had planned.</w:t>
      </w:r>
    </w:p>
    <w:p>
      <w:pPr>
        <w:pStyle w:val="BodyText"/>
      </w:pPr>
      <w:r>
        <w:t xml:space="preserve">The</w:t>
      </w:r>
      <w:r>
        <w:t xml:space="preserve"> </w:t>
      </w:r>
      <w:r>
        <w:rPr>
          <w:bCs/>
          <w:b/>
        </w:rPr>
        <w:t xml:space="preserve">manufacturer-affiliated meta-analyses</w:t>
      </w:r>
      <w:r>
        <w:t xml:space="preserve">, by contrast, look mainly at early neurological improvement on the NIHSS and find a moderate advantage there</w:t>
      </w:r>
      <w:r>
        <w:rPr>
          <w:rStyle w:val="FootnoteReference"/>
        </w:rPr>
        <w:footnoteReference w:id="1679"/>
      </w:r>
      <w:r>
        <w:t xml:space="preserve">. A safety meta-analysis with twelve trials and 2,202 people found no significant differences from placebo in side effects</w:t>
      </w:r>
      <w:r>
        <w:rPr>
          <w:rStyle w:val="FootnoteReference"/>
        </w:rPr>
        <w:footnoteReference w:id="1680"/>
      </w:r>
      <w:r>
        <w:t xml:space="preserve"> </w:t>
      </w:r>
      <w:r>
        <w:t xml:space="preserve">– in contrast to the Cochrane signal, which, however, is based on few events.</w:t>
      </w:r>
    </w:p>
    <w:p>
      <w:pPr>
        <w:pStyle w:val="BodyText"/>
      </w:pPr>
      <w:r>
        <w:t xml:space="preserve">How can this be reconciled? The honest answer is: in several trials, Cerebrolysin improves neurological scale scores in the first weeks. Whether this leads to less lasting disability, less dependency or a longer life has not been demonstrated. There is no coherent explanation for the signal of nonfatal serious side effects; it is based on few events and is therefore uncertain, but it was found in two Cochrane versions.</w:t>
      </w:r>
    </w:p>
    <w:bookmarkEnd w:id="1681"/>
    <w:bookmarkStart w:id="1683" w:name="registry-data-from-everyday-practice"/>
    <w:p>
      <w:pPr>
        <w:pStyle w:val="Heading4"/>
      </w:pPr>
      <w:r>
        <w:t xml:space="preserve">Registry data from everyday practice</w:t>
      </w:r>
    </w:p>
    <w:p>
      <w:pPr>
        <w:pStyle w:val="FirstParagraph"/>
      </w:pPr>
      <w:r>
        <w:t xml:space="preserve">The manufacturer has also funded large observational studies. The registry study C-REGS2 recorded 1,865 people with moderate stroke in 16 countries; 1,769 were analyzed (1,021 with Cerebrolysin, 748 without). After 90 days, the Cerebrolysin group did better on the modified Rankin Scale (MW 0.6157)</w:t>
      </w:r>
      <w:r>
        <w:rPr>
          <w:rStyle w:val="FootnoteReference"/>
        </w:rPr>
        <w:footnoteReference w:id="1682"/>
      </w:r>
      <w:r>
        <w:t xml:space="preserve">. The study uses sophisticated statistical methods to make the groups comparable. But it remains an observational study: those who receive Cerebrolysin in everyday practice may differ in treatment, hospital or country from those who do not. It cannot replace randomization.</w:t>
      </w:r>
    </w:p>
    <w:bookmarkEnd w:id="1683"/>
    <w:bookmarkStart w:id="1687" w:name="X4a8bad7d87ce6f9b8ffcec1cf20364eb4d0a945"/>
    <w:p>
      <w:pPr>
        <w:pStyle w:val="Heading4"/>
      </w:pPr>
      <w:r>
        <w:t xml:space="preserve">Intracerebral hemorrhage and subarachnoid hemorrhage</w:t>
      </w:r>
    </w:p>
    <w:p>
      <w:pPr>
        <w:pStyle w:val="FirstParagraph"/>
      </w:pPr>
      <w:r>
        <w:t xml:space="preserve">In intracerebral hemorrhage, a study with 100 people found no significant differences after 21 days, but also no safety problems</w:t>
      </w:r>
      <w:r>
        <w:rPr>
          <w:rStyle w:val="FootnoteReference"/>
        </w:rPr>
        <w:footnoteReference w:id="1684"/>
      </w:r>
      <w:r>
        <w:t xml:space="preserve">. In bleeding from a bulge in a brain vessel (aneurysmal subarachnoid hemorrhage), a double-blind pilot study with 50 people showed no difference in functional outcome after six months</w:t>
      </w:r>
      <w:r>
        <w:rPr>
          <w:rStyle w:val="FootnoteReference"/>
        </w:rPr>
        <w:footnoteReference w:id="1685"/>
      </w:r>
      <w:r>
        <w:t xml:space="preserve">. A pilot study on lobar hemorrhages (CLINCH) is planned or ongoing</w:t>
      </w:r>
      <w:r>
        <w:rPr>
          <w:rStyle w:val="FootnoteReference"/>
        </w:rPr>
        <w:footnoteReference w:id="1686"/>
      </w:r>
      <w:r>
        <w:t xml:space="preserve">.</w:t>
      </w:r>
    </w:p>
    <w:bookmarkEnd w:id="1687"/>
    <w:bookmarkStart w:id="1689" w:name="traumatic-brain-injury-captain"/>
    <w:p>
      <w:pPr>
        <w:pStyle w:val="Heading4"/>
      </w:pPr>
      <w:r>
        <w:t xml:space="preserve">Traumatic brain injury: CAPTAIN</w:t>
      </w:r>
    </w:p>
    <w:p>
      <w:pPr>
        <w:pStyle w:val="FirstParagraph"/>
      </w:pPr>
      <w:r>
        <w:t xml:space="preserve">In moderate to severe traumatic brain injury, two trials tested Cerebrolysin in addition to standard treatment: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CAPTAIN I (Poon 2020), PMID 31494820</w:t>
            </w:r>
          </w:p>
        </w:tc>
        <w:tc>
          <w:tcPr/>
          <w:p>
            <w:pPr>
              <w:pStyle w:val="Compact"/>
              <w:jc w:val="left"/>
            </w:pPr>
            <w:r>
              <w:t xml:space="preserve">46 people, double-blind vs. placebo, multicenter</w:t>
            </w:r>
          </w:p>
        </w:tc>
        <w:tc>
          <w:tcPr/>
          <w:p>
            <w:pPr>
              <w:pStyle w:val="Compact"/>
              <w:jc w:val="left"/>
            </w:pPr>
            <w:r>
              <w:t xml:space="preserve">90 days</w:t>
            </w:r>
          </w:p>
        </w:tc>
        <w:tc>
          <w:tcPr/>
          <w:p>
            <w:pPr>
              <w:pStyle w:val="Compact"/>
              <w:jc w:val="left"/>
            </w:pPr>
            <w:r>
              <w:t xml:space="preserve">primary endpoint narrowly missed (ITT: MW 0.63); significant in the per-protocol analysis</w:t>
            </w:r>
          </w:p>
        </w:tc>
      </w:tr>
      <w:tr>
        <w:tc>
          <w:tcPr/>
          <w:p>
            <w:pPr>
              <w:pStyle w:val="Compact"/>
              <w:jc w:val="left"/>
            </w:pPr>
            <w:r>
              <w:t xml:space="preserve">CAPTAIN II (Muresanu 2020), PMID 31897941</w:t>
            </w:r>
          </w:p>
        </w:tc>
        <w:tc>
          <w:tcPr/>
          <w:p>
            <w:pPr>
              <w:pStyle w:val="Compact"/>
              <w:jc w:val="left"/>
            </w:pPr>
            <w:r>
              <w:t xml:space="preserve">142 people (139 analyzed), double-blind, single center</w:t>
            </w:r>
          </w:p>
        </w:tc>
        <w:tc>
          <w:tcPr/>
          <w:p>
            <w:pPr>
              <w:pStyle w:val="Compact"/>
              <w:jc w:val="left"/>
            </w:pPr>
            <w:r>
              <w:t xml:space="preserve">90 days</w:t>
            </w:r>
          </w:p>
        </w:tc>
        <w:tc>
          <w:tcPr/>
          <w:p>
            <w:pPr>
              <w:pStyle w:val="Compact"/>
              <w:jc w:val="left"/>
            </w:pPr>
            <w:r>
              <w:t xml:space="preserve">small to medium advantage in the combined endpoint of 13 scales (MW 0.59)</w:t>
            </w:r>
          </w:p>
        </w:tc>
      </w:tr>
      <w:tr>
        <w:tc>
          <w:tcPr/>
          <w:p>
            <w:pPr>
              <w:pStyle w:val="Compact"/>
              <w:jc w:val="left"/>
            </w:pPr>
            <w:r>
              <w:t xml:space="preserve">CAPTAIN meta-analysis (Vester 2021), PMID 33620612</w:t>
            </w:r>
          </w:p>
        </w:tc>
        <w:tc>
          <w:tcPr/>
          <w:p>
            <w:pPr>
              <w:pStyle w:val="Compact"/>
              <w:jc w:val="left"/>
            </w:pPr>
            <w:r>
              <w:t xml:space="preserve">185 people from both trials</w:t>
            </w:r>
          </w:p>
        </w:tc>
        <w:tc>
          <w:tcPr/>
          <w:p>
            <w:pPr>
              <w:pStyle w:val="Compact"/>
              <w:jc w:val="left"/>
            </w:pPr>
            <w:r>
              <w:t xml:space="preserve">90 days</w:t>
            </w:r>
          </w:p>
        </w:tc>
        <w:tc>
          <w:tcPr/>
          <w:p>
            <w:pPr>
              <w:pStyle w:val="Compact"/>
              <w:jc w:val="left"/>
            </w:pPr>
            <w:r>
              <w:t xml:space="preserve">MW 0.60 after 30 and 90 days</w:t>
            </w:r>
          </w:p>
        </w:tc>
      </w:tr>
    </w:tbl>
    <w:p>
      <w:pPr>
        <w:pStyle w:val="BodyText"/>
      </w:pPr>
      <w:r>
        <w:t xml:space="preserve">CAPTAIN I was terminated early with only 46 participants (NCT01606111, registry status</w:t>
      </w:r>
      <w:r>
        <w:t xml:space="preserve"> </w:t>
      </w:r>
      <w:r>
        <w:t xml:space="preserve">“</w:t>
      </w:r>
      <w:r>
        <w:t xml:space="preserve">terminated</w:t>
      </w:r>
      <w:r>
        <w:t xml:space="preserve">”</w:t>
      </w:r>
      <w:r>
        <w:t xml:space="preserve">). Further meta-analyses on traumatic brain injury are based mainly on observational studies and found better scores on the Glasgow Outcome Scale, but no effect on mortality</w:t>
      </w:r>
      <w:r>
        <w:rPr>
          <w:rStyle w:val="FootnoteReference"/>
        </w:rPr>
        <w:footnoteReference w:id="1688"/>
      </w:r>
      <w:r>
        <w:t xml:space="preserve">. Overall, the data point to a possible small advantage; the number of people studied in randomized fashion is too small for a firm conclusion.</w:t>
      </w:r>
    </w:p>
    <w:bookmarkEnd w:id="1689"/>
    <w:bookmarkStart w:id="1695" w:name="dementia"/>
    <w:p>
      <w:pPr>
        <w:pStyle w:val="Heading4"/>
      </w:pPr>
      <w:r>
        <w:t xml:space="preserve">Dementia</w:t>
      </w:r>
    </w:p>
    <w:p>
      <w:pPr>
        <w:pStyle w:val="FirstParagraph"/>
      </w:pPr>
      <w:r>
        <w:rPr>
          <w:bCs/>
          <w:b/>
        </w:rPr>
        <w:t xml:space="preserve">Alzheimer’s disease.</w:t>
      </w:r>
      <w:r>
        <w:t xml:space="preserve"> </w:t>
      </w:r>
      <w:r>
        <w:t xml:space="preserve">Several placebo-controlled trials were conducted in the 1990s and 2000s. In a trial with 192 people, the clinical global impression (CIBIC+) after twelve weeks was better on Cerebrolysin (76% versus 57%</w:t>
      </w:r>
      <w:r>
        <w:t xml:space="preserve"> </w:t>
      </w:r>
      <w:r>
        <w:t xml:space="preserve">“</w:t>
      </w:r>
      <w:r>
        <w:t xml:space="preserve">responders</w:t>
      </w:r>
      <w:r>
        <w:t xml:space="preserve">”</w:t>
      </w:r>
      <w:r>
        <w:t xml:space="preserve">); however, the groups already differed at baseline in age and hallucinations</w:t>
      </w:r>
      <w:r>
        <w:rPr>
          <w:rStyle w:val="FootnoteReference"/>
        </w:rPr>
        <w:footnoteReference w:id="1690"/>
      </w:r>
      <w:r>
        <w:t xml:space="preserve">. In a trial with 197 people, Cerebrolysin was as effective as the approved Alzheimer’s drug donepezil on global impression; there were no significant differences between groups in cognition, daily functioning and behavior</w:t>
      </w:r>
      <w:r>
        <w:rPr>
          <w:rStyle w:val="FootnoteReference"/>
        </w:rPr>
        <w:footnoteReference w:id="1691"/>
      </w:r>
      <w:r>
        <w:t xml:space="preserve">. A meta-analysis of six trials found an advantage in clinical global impression after four weeks and six months, but in cognition only after four weeks, not after six months</w:t>
      </w:r>
      <w:r>
        <w:rPr>
          <w:rStyle w:val="FootnoteReference"/>
        </w:rPr>
        <w:footnoteReference w:id="1692"/>
      </w:r>
      <w:r>
        <w:t xml:space="preserve">. Researchers who work with the manufacturer were involved in this meta-analysis.</w:t>
      </w:r>
    </w:p>
    <w:p>
      <w:pPr>
        <w:pStyle w:val="BodyText"/>
      </w:pPr>
      <w:r>
        <w:rPr>
          <w:bCs/>
          <w:b/>
        </w:rPr>
        <w:t xml:space="preserve">Vascular dementia.</w:t>
      </w:r>
      <w:r>
        <w:t xml:space="preserve"> </w:t>
      </w:r>
      <w:r>
        <w:t xml:space="preserve">The largest trial, with 242 people, reported an improvement on the ADAS-cog+ of 10.6 points after 24 weeks compared with 4.4 points on placebo</w:t>
      </w:r>
      <w:r>
        <w:rPr>
          <w:rStyle w:val="FootnoteReference"/>
        </w:rPr>
        <w:footnoteReference w:id="1693"/>
      </w:r>
      <w:r>
        <w:t xml:space="preserve"> </w:t>
      </w:r>
      <w:r>
        <w:t xml:space="preserve">– an unusually large effect for dementia trials. The Cochrane review on vascular dementia summarized six trials with 597 people and found advantages in cognition and global impression, but rated the certainty of the evidence as</w:t>
      </w:r>
      <w:r>
        <w:t xml:space="preserve"> </w:t>
      </w:r>
      <w:r>
        <w:t xml:space="preserve">“</w:t>
      </w:r>
      <w:r>
        <w:t xml:space="preserve">very low.</w:t>
      </w:r>
      <w:r>
        <w:t xml:space="preserve">”</w:t>
      </w:r>
      <w:r>
        <w:t xml:space="preserve"> </w:t>
      </w:r>
      <w:r>
        <w:t xml:space="preserve">The authors write that possible effects may be too small to be clinically meaningful and that the evidence base is weak, even though Cerebrolysin continues to be promoted</w:t>
      </w:r>
      <w:r>
        <w:rPr>
          <w:rStyle w:val="FootnoteReference"/>
        </w:rPr>
        <w:footnoteReference w:id="1694"/>
      </w:r>
      <w:r>
        <w:t xml:space="preserve">.</w:t>
      </w:r>
    </w:p>
    <w:bookmarkEnd w:id="1695"/>
    <w:bookmarkStart w:id="1697" w:name="other-uses-3"/>
    <w:p>
      <w:pPr>
        <w:pStyle w:val="Heading4"/>
      </w:pPr>
      <w:r>
        <w:t xml:space="preserve">Other uses</w:t>
      </w:r>
    </w:p>
    <w:p>
      <w:pPr>
        <w:pStyle w:val="FirstParagraph"/>
      </w:pPr>
      <w:r>
        <w:t xml:space="preserve">Smaller studies exist on ALS (20 people, improvement on the ALS functional rating scale after one month; Firstenfeld 2023, PMID 38585517), preterm infants, children with cerebral palsy, loss of smell after COVID-19 and psychiatric disorders. In healthy men, Cerebrolysin altered EEG patterns in a small study with 48 participants; in short-term memory, there was a trend toward poorer word recall in the first hours on placebo, but not on Cerebrolysin</w:t>
      </w:r>
      <w:r>
        <w:rPr>
          <w:rStyle w:val="FootnoteReference"/>
        </w:rPr>
        <w:footnoteReference w:id="1696"/>
      </w:r>
      <w:r>
        <w:t xml:space="preserve">. There is no evidence for use as a</w:t>
      </w:r>
      <w:r>
        <w:t xml:space="preserve"> </w:t>
      </w:r>
      <w:r>
        <w:t xml:space="preserve">“</w:t>
      </w:r>
      <w:r>
        <w:t xml:space="preserve">nootropic</w:t>
      </w:r>
      <w:r>
        <w:t xml:space="preserve">”</w:t>
      </w:r>
      <w:r>
        <w:t xml:space="preserve"> </w:t>
      </w:r>
      <w:r>
        <w:t xml:space="preserve">in healthy people.</w:t>
      </w:r>
    </w:p>
    <w:bookmarkEnd w:id="1697"/>
    <w:bookmarkEnd w:id="1698"/>
    <w:bookmarkStart w:id="1702" w:name="animal-and-laboratory-studies-36"/>
    <w:p>
      <w:pPr>
        <w:pStyle w:val="Heading3"/>
      </w:pPr>
      <w:r>
        <w:t xml:space="preserve">Animal and laboratory studies</w:t>
      </w:r>
    </w:p>
    <w:p>
      <w:pPr>
        <w:numPr>
          <w:ilvl w:val="0"/>
          <w:numId w:val="1204"/>
        </w:numPr>
        <w:pStyle w:val="Compact"/>
      </w:pPr>
      <w:r>
        <w:t xml:space="preserve">In rats with experimentally induced stroke, Cerebrolysin dose-dependently improved neurological recovery after 28 days in a randomized, blinded animal study</w:t>
      </w:r>
      <w:r>
        <w:rPr>
          <w:rStyle w:val="FootnoteReference"/>
        </w:rPr>
        <w:footnoteReference w:id="1699"/>
      </w:r>
      <w:r>
        <w:t xml:space="preserve">.</w:t>
      </w:r>
    </w:p>
    <w:p>
      <w:pPr>
        <w:numPr>
          <w:ilvl w:val="0"/>
          <w:numId w:val="1204"/>
        </w:numPr>
        <w:pStyle w:val="Compact"/>
      </w:pPr>
      <w:r>
        <w:t xml:space="preserve">In rats with mild brain injury, Cerebrolysin reduced axonal damage and promoted the formation of new nerve cells in the hippocampus</w:t>
      </w:r>
      <w:r>
        <w:rPr>
          <w:rStyle w:val="FootnoteReference"/>
        </w:rPr>
        <w:footnoteReference w:id="1700"/>
      </w:r>
      <w:r>
        <w:t xml:space="preserve">.</w:t>
      </w:r>
    </w:p>
    <w:p>
      <w:pPr>
        <w:numPr>
          <w:ilvl w:val="0"/>
          <w:numId w:val="1204"/>
        </w:numPr>
        <w:pStyle w:val="Compact"/>
      </w:pPr>
      <w:r>
        <w:t xml:space="preserve">In a mouse model of the hereditary disease CADASIL, Cerebrolysin extended lifespan and improved spatial memory without affecting the typical changes in the white matter</w:t>
      </w:r>
      <w:r>
        <w:rPr>
          <w:rStyle w:val="FootnoteReference"/>
        </w:rPr>
        <w:footnoteReference w:id="1701"/>
      </w:r>
      <w:r>
        <w:t xml:space="preserve">.</w:t>
      </w:r>
    </w:p>
    <w:p>
      <w:pPr>
        <w:pStyle w:val="FirstParagraph"/>
      </w:pPr>
      <w:r>
        <w:t xml:space="preserve">A considerable proportion of the preclinical studies come from collaborations with the manufacturer. Good animal results have so far rarely translated into clinical benefit for stroke drugs.</w:t>
      </w:r>
    </w:p>
    <w:bookmarkEnd w:id="1702"/>
    <w:bookmarkStart w:id="1706" w:name="risks-and-side-effects-36"/>
    <w:p>
      <w:pPr>
        <w:pStyle w:val="Heading3"/>
      </w:pPr>
      <w:r>
        <w:t xml:space="preserve">Risks and side effects</w:t>
      </w:r>
    </w:p>
    <w:p>
      <w:pPr>
        <w:pStyle w:val="FirstParagraph"/>
      </w:pPr>
      <w:r>
        <w:rPr>
          <w:bCs/>
          <w:b/>
        </w:rPr>
        <w:t xml:space="preserve">Established:</w:t>
      </w:r>
    </w:p>
    <w:p>
      <w:pPr>
        <w:numPr>
          <w:ilvl w:val="0"/>
          <w:numId w:val="1205"/>
        </w:numPr>
        <w:pStyle w:val="Compact"/>
      </w:pPr>
      <w:r>
        <w:t xml:space="preserve">In the trials, side effects overall were about as frequent as on placebo. Those mentioned include headache, dizziness and restlessness</w:t>
      </w:r>
      <w:r>
        <w:rPr>
          <w:rStyle w:val="FootnoteReference"/>
        </w:rPr>
        <w:footnoteReference w:id="1703"/>
      </w:r>
      <w:r>
        <w:t xml:space="preserve">.</w:t>
      </w:r>
    </w:p>
    <w:p>
      <w:pPr>
        <w:numPr>
          <w:ilvl w:val="0"/>
          <w:numId w:val="1205"/>
        </w:numPr>
        <w:pStyle w:val="Compact"/>
      </w:pPr>
      <w:r>
        <w:t xml:space="preserve">The Cochrane review on stroke found more</w:t>
      </w:r>
      <w:r>
        <w:t xml:space="preserve"> </w:t>
      </w:r>
      <w:r>
        <w:rPr>
          <w:bCs/>
          <w:b/>
        </w:rPr>
        <w:t xml:space="preserve">nonfatal serious adverse events</w:t>
      </w:r>
      <w:r>
        <w:t xml:space="preserve"> </w:t>
      </w:r>
      <w:r>
        <w:t xml:space="preserve">on Cerebrolysin (RR 2.39; Ziganshina 2023, PMID 37818733); the manufacturer-affiliated safety meta-analysis did not</w:t>
      </w:r>
      <w:r>
        <w:rPr>
          <w:rStyle w:val="FootnoteReference"/>
        </w:rPr>
        <w:footnoteReference w:id="1704"/>
      </w:r>
      <w:r>
        <w:t xml:space="preserve">.</w:t>
      </w:r>
    </w:p>
    <w:p>
      <w:pPr>
        <w:numPr>
          <w:ilvl w:val="0"/>
          <w:numId w:val="1205"/>
        </w:numPr>
        <w:pStyle w:val="Compact"/>
      </w:pPr>
      <w:r>
        <w:rPr>
          <w:bCs/>
          <w:b/>
        </w:rPr>
        <w:t xml:space="preserve">Allergic reactions:</w:t>
      </w:r>
      <w:r>
        <w:t xml:space="preserve"> </w:t>
      </w:r>
      <w:r>
        <w:t xml:space="preserve">A thoroughly documented case report describes a life-threatening anaphylactic reaction in an 85-year-old man after a Cerebrolysin infusion; the authors emphasize that such cases are rare but significant in critically ill people</w:t>
      </w:r>
      <w:r>
        <w:rPr>
          <w:rStyle w:val="FootnoteReference"/>
        </w:rPr>
        <w:footnoteReference w:id="1705"/>
      </w:r>
      <w:r>
        <w:t xml:space="preserve">.</w:t>
      </w:r>
    </w:p>
    <w:p>
      <w:pPr>
        <w:pStyle w:val="FirstParagraph"/>
      </w:pPr>
      <w:r>
        <w:rPr>
          <w:bCs/>
          <w:b/>
        </w:rPr>
        <w:t xml:space="preserve">Theoretical:</w:t>
      </w:r>
      <w:r>
        <w:t xml:space="preserve"> </w:t>
      </w:r>
      <w:r>
        <w:t xml:space="preserve">As a preparation made from animal brain tissue, Cerebrolysin is inherently subject to questions of purity and transmissibility of pathogens; manufacturing processes and regulatory requirements are intended to minimize this risk. Specific cases of transmission are not described in the sources reviewed here.</w:t>
      </w:r>
    </w:p>
    <w:p>
      <w:pPr>
        <w:pStyle w:val="BodyText"/>
      </w:pPr>
      <w:r>
        <w:rPr>
          <w:bCs/>
          <w:b/>
        </w:rPr>
        <w:t xml:space="preserve">Gray market:</w:t>
      </w:r>
      <w:r>
        <w:t xml:space="preserve"> </w:t>
      </w:r>
      <w:r>
        <w:t xml:space="preserve">In nootropics forums, Cerebrolysin is discussed as a</w:t>
      </w:r>
      <w:r>
        <w:t xml:space="preserve"> </w:t>
      </w:r>
      <w:r>
        <w:t xml:space="preserve">“</w:t>
      </w:r>
      <w:r>
        <w:t xml:space="preserve">brain booster</w:t>
      </w:r>
      <w:r>
        <w:t xml:space="preserve">”</w:t>
      </w:r>
      <w:r>
        <w:t xml:space="preserve"> </w:t>
      </w:r>
      <w:r>
        <w:t xml:space="preserve">and obtained from countries where it is available. Intravenous self-administration without medical supervision carries the risk of severe allergic reactions for which no emergency care is then available. More on gray-market products in Part I and Part IV.</w:t>
      </w:r>
    </w:p>
    <w:bookmarkEnd w:id="1706"/>
    <w:bookmarkStart w:id="1707" w:name="legal-status-36"/>
    <w:p>
      <w:pPr>
        <w:pStyle w:val="Heading3"/>
      </w:pPr>
      <w:r>
        <w:t xml:space="preserve">Legal status</w:t>
      </w:r>
    </w:p>
    <w:p>
      <w:pPr>
        <w:numPr>
          <w:ilvl w:val="0"/>
          <w:numId w:val="1206"/>
        </w:numPr>
        <w:pStyle w:val="Compact"/>
      </w:pPr>
      <w:r>
        <w:rPr>
          <w:bCs/>
          <w:b/>
        </w:rPr>
        <w:t xml:space="preserve">EU / Austria / Germany:</w:t>
      </w:r>
      <w:r>
        <w:t xml:space="preserve"> </w:t>
      </w:r>
      <w:r>
        <w:t xml:space="preserve">no centralized EU approval. In Austria, Cerebrolysin is nationally approved as a prescription medicine; indications and reimbursement are governed by the Austrian prescribing information. Other EU member states have their own national approvals. To our knowledge, Cerebrolysin is not marketed in Germany; at most, it could be obtained as an individual import on a physician’s prescription.</w:t>
      </w:r>
    </w:p>
    <w:p>
      <w:pPr>
        <w:numPr>
          <w:ilvl w:val="0"/>
          <w:numId w:val="1206"/>
        </w:numPr>
        <w:pStyle w:val="Compact"/>
      </w:pPr>
      <w:r>
        <w:rPr>
          <w:bCs/>
          <w:b/>
        </w:rPr>
        <w:t xml:space="preserve">USA:</w:t>
      </w:r>
      <w:r>
        <w:t xml:space="preserve"> </w:t>
      </w:r>
      <w:r>
        <w:t xml:space="preserve">not approved.</w:t>
      </w:r>
    </w:p>
    <w:p>
      <w:pPr>
        <w:numPr>
          <w:ilvl w:val="0"/>
          <w:numId w:val="1206"/>
        </w:numPr>
        <w:pStyle w:val="Compact"/>
      </w:pPr>
      <w:r>
        <w:rPr>
          <w:bCs/>
          <w:b/>
        </w:rPr>
        <w:t xml:space="preserve">Sport:</w:t>
      </w:r>
      <w:r>
        <w:t xml:space="preserve"> </w:t>
      </w:r>
      <w:r>
        <w:t xml:space="preserve">not on the WADA list (as of 2026, please check for updates).</w:t>
      </w:r>
    </w:p>
    <w:p>
      <w:pPr>
        <w:numPr>
          <w:ilvl w:val="0"/>
          <w:numId w:val="1206"/>
        </w:numPr>
        <w:pStyle w:val="Compact"/>
      </w:pPr>
      <w:r>
        <w:t xml:space="preserve">For approved use: refer to the prescribing information and medical supervision.</w:t>
      </w:r>
    </w:p>
    <w:bookmarkEnd w:id="1707"/>
    <w:bookmarkStart w:id="1711" w:name="ongoing-studies-and-outlook-36"/>
    <w:p>
      <w:pPr>
        <w:pStyle w:val="Heading3"/>
      </w:pPr>
      <w:r>
        <w:t xml:space="preserve">Ongoing studies and outlook</w:t>
      </w:r>
    </w:p>
    <w:p>
      <w:pPr>
        <w:pStyle w:val="FirstParagraph"/>
      </w:pPr>
      <w:r>
        <w:rPr>
          <w:bCs/>
          <w:b/>
        </w:rPr>
        <w:t xml:space="preserve">Established (registered studies, as of October 2026):</w:t>
      </w:r>
    </w:p>
    <w:p>
      <w:pPr>
        <w:numPr>
          <w:ilvl w:val="0"/>
          <w:numId w:val="1207"/>
        </w:numPr>
        <w:pStyle w:val="Compact"/>
      </w:pPr>
      <w:r>
        <w:rPr>
          <w:bCs/>
          <w:b/>
        </w:rPr>
        <w:t xml:space="preserve">CERebrolysin In CADASIL</w:t>
      </w:r>
      <w:r>
        <w:rPr>
          <w:rStyle w:val="FootnoteReference"/>
        </w:rPr>
        <w:footnoteReference w:id="1708"/>
      </w:r>
      <w:r>
        <w:t xml:space="preserve">: phase 2 trial with 30 participants in the hereditary vascular disease CADASIL, active, recruitment completed.</w:t>
      </w:r>
    </w:p>
    <w:p>
      <w:pPr>
        <w:numPr>
          <w:ilvl w:val="0"/>
          <w:numId w:val="1207"/>
        </w:numPr>
        <w:pStyle w:val="Compact"/>
      </w:pPr>
      <w:r>
        <w:rPr>
          <w:bCs/>
          <w:b/>
        </w:rPr>
        <w:t xml:space="preserve">Aphasia after stroke</w:t>
      </w:r>
      <w:r>
        <w:rPr>
          <w:rStyle w:val="FootnoteReference"/>
        </w:rPr>
        <w:footnoteReference w:id="1709"/>
      </w:r>
      <w:r>
        <w:t xml:space="preserve">: randomized, placebo-controlled trial with 40 participants in Korea, recruiting.</w:t>
      </w:r>
    </w:p>
    <w:p>
      <w:pPr>
        <w:numPr>
          <w:ilvl w:val="0"/>
          <w:numId w:val="1207"/>
        </w:numPr>
        <w:pStyle w:val="Compact"/>
      </w:pPr>
      <w:r>
        <w:rPr>
          <w:bCs/>
          <w:b/>
        </w:rPr>
        <w:t xml:space="preserve">Cerebrolysin after extended thrombectomy</w:t>
      </w:r>
      <w:r>
        <w:rPr>
          <w:rStyle w:val="FootnoteReference"/>
        </w:rPr>
        <w:footnoteReference w:id="1710"/>
      </w:r>
      <w:r>
        <w:t xml:space="preserve">: phase 2 trial with 100 planned participants in Taiwan, starting 2026.</w:t>
      </w:r>
    </w:p>
    <w:p>
      <w:pPr>
        <w:numPr>
          <w:ilvl w:val="0"/>
          <w:numId w:val="1207"/>
        </w:numPr>
        <w:pStyle w:val="Compact"/>
      </w:pPr>
      <w:r>
        <w:t xml:space="preserve">Further smaller studies on delirium after heart surgery and in the intensive care unit, on intracerebral hemorrhage and on early rehabilitation are registered.</w:t>
      </w:r>
    </w:p>
    <w:p>
      <w:pPr>
        <w:pStyle w:val="FirstParagraph"/>
      </w:pPr>
      <w:r>
        <w:rPr>
          <w:bCs/>
          <w:b/>
        </w:rPr>
        <w:t xml:space="preserve">Assessment:</w:t>
      </w:r>
      <w:r>
        <w:t xml:space="preserve"> </w:t>
      </w:r>
      <w:r>
        <w:t xml:space="preserve">None of the registered studies is large enough to answer the central open question: does Cerebrolysin reduce lasting disability or mortality after stroke? That would require an independently conducted, sufficiently large trial with a clear, prespecified primary endpoint such as the modified Rankin Scale after 90 days. As long as it is lacking, assessments will remain divided between</w:t>
      </w:r>
      <w:r>
        <w:t xml:space="preserve"> </w:t>
      </w:r>
      <w:r>
        <w:t xml:space="preserve">“</w:t>
      </w:r>
      <w:r>
        <w:t xml:space="preserve">established in Eastern Europe and Asia</w:t>
      </w:r>
      <w:r>
        <w:t xml:space="preserve">”</w:t>
      </w:r>
      <w:r>
        <w:t xml:space="preserve"> </w:t>
      </w:r>
      <w:r>
        <w:t xml:space="preserve">and</w:t>
      </w:r>
      <w:r>
        <w:t xml:space="preserve"> </w:t>
      </w:r>
      <w:r>
        <w:t xml:space="preserve">“</w:t>
      </w:r>
      <w:r>
        <w:t xml:space="preserve">insufficiently proven in the West.</w:t>
      </w:r>
      <w:r>
        <w:t xml:space="preserve">”</w:t>
      </w:r>
    </w:p>
    <w:bookmarkEnd w:id="1711"/>
    <w:bookmarkStart w:id="1712" w:name="conclusion-36"/>
    <w:p>
      <w:pPr>
        <w:pStyle w:val="Heading3"/>
      </w:pPr>
      <w:r>
        <w:t xml:space="preserve">Conclusion</w:t>
      </w:r>
    </w:p>
    <w:p>
      <w:pPr>
        <w:pStyle w:val="FirstParagraph"/>
      </w:pPr>
      <w:r>
        <w:t xml:space="preserve">Cerebrolysin is a peptide mixture derived from pig brain that is used in Austria and many countries of Eastern Europe and Asia for stroke, traumatic brain injury and dementia. Numerous randomized trials show early improvements on neurological scales, but the largest trial (CASTA), with over 1,000 people, missed its primary endpoint. The independent Cochrane reviews find no effect on mortality, a signal for more nonfatal serious side effects in stroke, and only very uncertain benefits in vascular dementia. Manufacturer-affiliated analyses reach considerably more positive results. The data are not sufficient to reliably demonstrate a clinically meaningful long-term benefit; Cerebrolysin is unsuitable for self-treatment or as a</w:t>
      </w:r>
      <w:r>
        <w:t xml:space="preserve"> </w:t>
      </w:r>
      <w:r>
        <w:t xml:space="preserve">“</w:t>
      </w:r>
      <w:r>
        <w:t xml:space="preserve">nootropic.</w:t>
      </w:r>
      <w:r>
        <w:t xml:space="preserve">”</w:t>
      </w:r>
    </w:p>
    <w:bookmarkEnd w:id="1712"/>
    <w:bookmarkEnd w:id="1713"/>
    <w:bookmarkStart w:id="1735" w:name="dihexa"/>
    <w:p>
      <w:pPr>
        <w:pStyle w:val="Heading2"/>
      </w:pPr>
      <w:r>
        <w:t xml:space="preserve">Dihexa</w:t>
      </w:r>
    </w:p>
    <w:bookmarkStart w:id="1714" w:name="profile-37"/>
    <w:p>
      <w:pPr>
        <w:pStyle w:val="Heading3"/>
      </w:pPr>
      <w:r>
        <w:t xml:space="preserve">Profile</w:t>
      </w:r>
    </w:p>
    <w:p>
      <w:pPr>
        <w:numPr>
          <w:ilvl w:val="0"/>
          <w:numId w:val="1208"/>
        </w:numPr>
        <w:pStyle w:val="Compact"/>
      </w:pPr>
      <w:r>
        <w:rPr>
          <w:bCs/>
          <w:b/>
        </w:rPr>
        <w:t xml:space="preserve">Type and structure:</w:t>
      </w:r>
      <w:r>
        <w:t xml:space="preserve"> </w:t>
      </w:r>
      <w:r>
        <w:t xml:space="preserve">chemically modified mini-peptide derived from angiotensin IV, a fragment of the blood pressure–regulating hormone system. The core consists of two amino acids (tyrosine and isoleucine), with fatty acid–like chains attached at both ends; chemical name N-hexanoyl-Tyr-Ile-(6)-aminohexanoic amide, research code PNB-0408.</w:t>
      </w:r>
    </w:p>
    <w:p>
      <w:pPr>
        <w:numPr>
          <w:ilvl w:val="0"/>
          <w:numId w:val="1208"/>
        </w:numPr>
        <w:pStyle w:val="Compact"/>
      </w:pPr>
      <w:r>
        <w:rPr>
          <w:bCs/>
          <w:b/>
        </w:rPr>
        <w:t xml:space="preserve">Origin:</w:t>
      </w:r>
      <w:r>
        <w:t xml:space="preserve"> </w:t>
      </w:r>
      <w:r>
        <w:t xml:space="preserve">developed around 2012 at Washington State University (USA).</w:t>
      </w:r>
    </w:p>
    <w:p>
      <w:pPr>
        <w:numPr>
          <w:ilvl w:val="0"/>
          <w:numId w:val="1208"/>
        </w:numPr>
        <w:pStyle w:val="Compact"/>
      </w:pPr>
      <w:r>
        <w:rPr>
          <w:bCs/>
          <w:b/>
        </w:rPr>
        <w:t xml:space="preserve">Mechanism of action:</w:t>
      </w:r>
      <w:r>
        <w:t xml:space="preserve"> </w:t>
      </w:r>
      <w:r>
        <w:t xml:space="preserve">said to amplify the growth factor system HGF/c-Met (HGF = hepatocyte growth factor, c-Met = its receptor) and thereby stimulate the formation of new nerve connections (synapses).</w:t>
      </w:r>
    </w:p>
    <w:p>
      <w:pPr>
        <w:numPr>
          <w:ilvl w:val="0"/>
          <w:numId w:val="1208"/>
        </w:numPr>
        <w:pStyle w:val="Compact"/>
      </w:pPr>
      <w:r>
        <w:rPr>
          <w:bCs/>
          <w:b/>
        </w:rPr>
        <w:t xml:space="preserve">EU approval:</w:t>
      </w:r>
      <w:r>
        <w:t xml:space="preserve"> </w:t>
      </w:r>
      <w:r>
        <w:t xml:space="preserve">no.</w:t>
      </w:r>
    </w:p>
    <w:p>
      <w:pPr>
        <w:numPr>
          <w:ilvl w:val="0"/>
          <w:numId w:val="1208"/>
        </w:numPr>
        <w:pStyle w:val="Compact"/>
      </w:pPr>
      <w:r>
        <w:rPr>
          <w:bCs/>
          <w:b/>
        </w:rPr>
        <w:t xml:space="preserve">US approval:</w:t>
      </w:r>
      <w:r>
        <w:t xml:space="preserve"> </w:t>
      </w:r>
      <w:r>
        <w:t xml:space="preserve">no. From 2023, Dihexa was in FDA</w:t>
      </w:r>
      <w:r>
        <w:t xml:space="preserve"> </w:t>
      </w:r>
      <w:r>
        <w:t xml:space="preserve">“</w:t>
      </w:r>
      <w:r>
        <w:t xml:space="preserve">Category 2</w:t>
      </w:r>
      <w:r>
        <w:t xml:space="preserve">”</w:t>
      </w:r>
      <w:r>
        <w:t xml:space="preserve"> </w:t>
      </w:r>
      <w:r>
        <w:t xml:space="preserve">for compounding substances with safety concerns; in April 2026 it was removed from that category, and an evaluation by the advisory committee PCAC has been announced for a meeting by February 2027 (as of October 2026, please check for updates).</w:t>
      </w:r>
    </w:p>
    <w:p>
      <w:pPr>
        <w:numPr>
          <w:ilvl w:val="0"/>
          <w:numId w:val="1208"/>
        </w:numPr>
        <w:pStyle w:val="Compact"/>
      </w:pPr>
      <w:r>
        <w:rPr>
          <w:bCs/>
          <w:b/>
        </w:rPr>
        <w:t xml:space="preserve">WADA:</w:t>
      </w:r>
      <w:r>
        <w:t xml:space="preserve"> </w:t>
      </w:r>
      <w:r>
        <w:t xml:space="preserve">not listed by name; as a substance not approved anywhere, Dihexa falls in our assessment under the catch-all category S0</w:t>
      </w:r>
      <w:r>
        <w:t xml:space="preserve"> </w:t>
      </w:r>
      <w:r>
        <w:t xml:space="preserve">“</w:t>
      </w:r>
      <w:r>
        <w:t xml:space="preserve">non-approved substances</w:t>
      </w:r>
      <w:r>
        <w:t xml:space="preserve">”</w:t>
      </w:r>
      <w:r>
        <w:t xml:space="preserve">.</w:t>
      </w:r>
    </w:p>
    <w:p>
      <w:pPr>
        <w:numPr>
          <w:ilvl w:val="0"/>
          <w:numId w:val="1208"/>
        </w:numPr>
        <w:pStyle w:val="Compact"/>
      </w:pPr>
      <w:r>
        <w:rPr>
          <w:bCs/>
          <w:b/>
        </w:rPr>
        <w:t xml:space="preserve">Evidence level:</w:t>
      </w:r>
      <w:r>
        <w:t xml:space="preserve"> </w:t>
      </w:r>
      <w:r>
        <w:rPr>
          <w:bCs/>
          <w:b/>
        </w:rPr>
        <w:t xml:space="preserve">D</w:t>
      </w:r>
      <w:r>
        <w:t xml:space="preserve"> </w:t>
      </w:r>
      <w:r>
        <w:t xml:space="preserve">– not a single published study in humans.</w:t>
      </w:r>
    </w:p>
    <w:bookmarkEnd w:id="1714"/>
    <w:bookmarkStart w:id="1717" w:name="how-it-is-supposed-to-work-37"/>
    <w:p>
      <w:pPr>
        <w:pStyle w:val="Heading3"/>
      </w:pPr>
      <w:r>
        <w:t xml:space="preserve">How it is supposed to work</w:t>
      </w:r>
    </w:p>
    <w:p>
      <w:pPr>
        <w:pStyle w:val="FirstParagraph"/>
      </w:pPr>
      <w:r>
        <w:t xml:space="preserve">Angiotensin IV is a short peptide formed in the body from the blood pressure hormone angiotensin II. Since the 1990s, researchers have observed that angiotensin IV and related molecules improve learning and memory in rats when injected directly into the brain. For a medicine this was useless: the peptides were rapidly broken down and passed neither from the gut into the blood nor across the blood-brain barrier.</w:t>
      </w:r>
    </w:p>
    <w:p>
      <w:pPr>
        <w:pStyle w:val="BodyText"/>
      </w:pPr>
      <w:r>
        <w:t xml:space="preserve">The research group led by Joseph Harding and John Wright in Washington therefore shortened the molecule to its active core and added chemical protecting groups. The result was Dihexa: stable against breakdown, orally active in rats and able to enter the brain. In rats with drug-induced memory impairment and in old rats, it improved performance in the water maze and promoted synapse formation in the hippocampus</w:t>
      </w:r>
      <w:r>
        <w:rPr>
          <w:rStyle w:val="FootnoteReference"/>
        </w:rPr>
        <w:footnoteReference w:id="1715"/>
      </w:r>
      <w:r>
        <w:t xml:space="preserve">.</w:t>
      </w:r>
    </w:p>
    <w:p>
      <w:pPr>
        <w:pStyle w:val="BodyText"/>
      </w:pPr>
      <w:r>
        <w:t xml:space="preserve">Later, the same group found the presumed mechanism of action: Dihexa binds to the growth factor HGF and amplifies its signal at the c-Met receptor. When the HGF system in the brains of rats was blocked, the memory-enhancing effect disappeared</w:t>
      </w:r>
      <w:r>
        <w:rPr>
          <w:rStyle w:val="FootnoteReference"/>
        </w:rPr>
        <w:footnoteReference w:id="1716"/>
      </w:r>
      <w:r>
        <w:t xml:space="preserve">. This paper was retracted by the journal in 2025 (retraction notice: PMID 40312093), as was another foundational paper by the same group on angiotensin IV derivatives as HGF/c-Met modulators (retraction notice: PMID 40312092). The described mechanism of action is therefore no longer reliably supported; the PubMed entries do not state the reasons for the retraction.</w:t>
      </w:r>
    </w:p>
    <w:p>
      <w:pPr>
        <w:pStyle w:val="BodyText"/>
      </w:pPr>
      <w:r>
        <w:t xml:space="preserve">On the internet, Dihexa is often described as a substance many times more potent than the nerve growth factor BDNF. Such comparisons come from cell culture experiments and say nothing about whether and how Dihexa works in humans.</w:t>
      </w:r>
    </w:p>
    <w:bookmarkEnd w:id="1717"/>
    <w:bookmarkStart w:id="1722" w:name="human-studies-37"/>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no</w:t>
      </w:r>
      <w:r>
        <w:t xml:space="preserve"> </w:t>
      </w:r>
      <w:r>
        <w:t xml:space="preserve">human study with Dihexa; in total, PubMed lists only 18 papers for the search term, several of them unrelated to the substance. No study is registered on ClinicalTrials.gov. A targeted follow-up search for case reports, poisonings or analyses of gray-market products also found nothing.</w:t>
      </w:r>
    </w:p>
    <w:p>
      <w:pPr>
        <w:pStyle w:val="BodyText"/>
      </w:pPr>
      <w:r>
        <w:t xml:space="preserve">There are thus no data on efficacy, tolerability, duration of action or appropriate amounts in humans. Everything reported about effects in humans comes from anecdotal reports in forums.</w:t>
      </w:r>
    </w:p>
    <w:bookmarkStart w:id="1721" w:name="a-relative-in-the-clinic-fosgonimeton"/>
    <w:p>
      <w:pPr>
        <w:pStyle w:val="Heading4"/>
      </w:pPr>
      <w:r>
        <w:t xml:space="preserve">A relative in the clinic: fosgonimeton</w:t>
      </w:r>
    </w:p>
    <w:p>
      <w:pPr>
        <w:pStyle w:val="FirstParagraph"/>
      </w:pPr>
      <w:r>
        <w:t xml:space="preserve">The fate of another agent that emerged from the same research approach – amplification of the HGF/c-Met system – is revealing. The company Athira Pharma developed fosgonimeton (ATH-1017), a chemically different molecule that is likewise intended to positively influence HGF/c-Met. Unlike Dihexa, fosgonimeton was tested in regular clinical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1 (Hua 2022), PMID 35180125</w:t>
            </w:r>
          </w:p>
        </w:tc>
        <w:tc>
          <w:tcPr/>
          <w:p>
            <w:pPr>
              <w:pStyle w:val="Compact"/>
              <w:jc w:val="left"/>
            </w:pPr>
            <w:r>
              <w:t xml:space="preserve">88 people (healthy people and 11 people with Alzheimer’s), double-blind vs. placebo</w:t>
            </w:r>
          </w:p>
        </w:tc>
        <w:tc>
          <w:tcPr/>
          <w:p>
            <w:pPr>
              <w:pStyle w:val="Compact"/>
              <w:jc w:val="left"/>
            </w:pPr>
            <w:r>
              <w:t xml:space="preserve">up to 9 days</w:t>
            </w:r>
          </w:p>
        </w:tc>
        <w:tc>
          <w:tcPr/>
          <w:p>
            <w:pPr>
              <w:pStyle w:val="Compact"/>
              <w:jc w:val="left"/>
            </w:pPr>
            <w:r>
              <w:t xml:space="preserve">well tolerated; EEG changes as an indication of brain penetration</w:t>
            </w:r>
          </w:p>
        </w:tc>
      </w:tr>
      <w:tr>
        <w:tc>
          <w:tcPr/>
          <w:p>
            <w:pPr>
              <w:pStyle w:val="Compact"/>
              <w:jc w:val="left"/>
            </w:pPr>
            <w:r>
              <w:t xml:space="preserve">LIFT-AD (Porsteinsson 2025), PMID 41393340</w:t>
            </w:r>
          </w:p>
        </w:tc>
        <w:tc>
          <w:tcPr/>
          <w:p>
            <w:pPr>
              <w:pStyle w:val="Compact"/>
              <w:jc w:val="left"/>
            </w:pPr>
            <w:r>
              <w:t xml:space="preserve">287 people with mild to moderate Alzheimer’s disease in the primary analysis, phase 2/3 vs. placebo</w:t>
            </w:r>
          </w:p>
        </w:tc>
        <w:tc>
          <w:tcPr/>
          <w:p>
            <w:pPr>
              <w:pStyle w:val="Compact"/>
              <w:jc w:val="left"/>
            </w:pPr>
            <w:r>
              <w:t xml:space="preserve">26 weeks</w:t>
            </w:r>
          </w:p>
        </w:tc>
        <w:tc>
          <w:tcPr/>
          <w:p>
            <w:pPr>
              <w:pStyle w:val="Compact"/>
              <w:jc w:val="left"/>
            </w:pPr>
            <w:r>
              <w:t xml:space="preserve">primary and secondary endpoints missed; more discontinuations due to side effects (14.2% vs. 4.6%)</w:t>
            </w:r>
          </w:p>
        </w:tc>
      </w:tr>
    </w:tbl>
    <w:p>
      <w:pPr>
        <w:pStyle w:val="BodyText"/>
      </w:pPr>
      <w:r>
        <w:t xml:space="preserve">In LIFT-AD</w:t>
      </w:r>
      <w:r>
        <w:rPr>
          <w:rStyle w:val="FootnoteReference"/>
        </w:rPr>
        <w:footnoteReference w:id="1718"/>
      </w:r>
      <w:r>
        <w:t xml:space="preserve">, fosgonimeton did not differ significantly from placebo in either the combined primary endpoint or memory or daily-living scales. Serious adverse events were balanced (4.2% versus 6.9%); treatment discontinuations due to side effects – mainly injection site reactions – were more frequent on fosgonimeton</w:t>
      </w:r>
      <w:r>
        <w:rPr>
          <w:rStyle w:val="FootnoteReference"/>
        </w:rPr>
        <w:footnoteReference w:id="1719"/>
      </w:r>
      <w:r>
        <w:t xml:space="preserve">. A trial in Parkinson’s disease dementia and dementia with Lewy bodies was terminated early</w:t>
      </w:r>
      <w:r>
        <w:rPr>
          <w:rStyle w:val="FootnoteReference"/>
        </w:rPr>
        <w:footnoteReference w:id="1720"/>
      </w:r>
      <w:r>
        <w:t xml:space="preserve">.</w:t>
      </w:r>
    </w:p>
    <w:p>
      <w:pPr>
        <w:pStyle w:val="BodyText"/>
      </w:pPr>
      <w:r>
        <w:t xml:space="preserve">This does not prove that Dihexa would be ineffective – it is a different substance. But it shows how poorly memory improvements in rats translate to people with dementia.</w:t>
      </w:r>
    </w:p>
    <w:bookmarkEnd w:id="1721"/>
    <w:bookmarkEnd w:id="1722"/>
    <w:bookmarkStart w:id="1729" w:name="animal-and-laboratory-studies-37"/>
    <w:p>
      <w:pPr>
        <w:pStyle w:val="Heading3"/>
      </w:pPr>
      <w:r>
        <w:t xml:space="preserve">Animal and laboratory studies</w:t>
      </w:r>
    </w:p>
    <w:p>
      <w:pPr>
        <w:numPr>
          <w:ilvl w:val="0"/>
          <w:numId w:val="1209"/>
        </w:numPr>
        <w:pStyle w:val="Compact"/>
      </w:pPr>
      <w:r>
        <w:t xml:space="preserve">In rats with scopolamine-induced memory impairment and in old rats, Dihexa improved spatial learning and promoted synapse formation</w:t>
      </w:r>
      <w:r>
        <w:rPr>
          <w:rStyle w:val="FootnoteReference"/>
        </w:rPr>
        <w:footnoteReference w:id="1723"/>
      </w:r>
      <w:r>
        <w:t xml:space="preserve">.</w:t>
      </w:r>
    </w:p>
    <w:p>
      <w:pPr>
        <w:numPr>
          <w:ilvl w:val="0"/>
          <w:numId w:val="1209"/>
        </w:numPr>
        <w:pStyle w:val="Compact"/>
      </w:pPr>
      <w:r>
        <w:t xml:space="preserve">In Alzheimer’s model mice (APP/PS1), Dihexa improved learning in the water maze and reduced signs of inflammation in the brain</w:t>
      </w:r>
      <w:r>
        <w:rPr>
          <w:rStyle w:val="FootnoteReference"/>
        </w:rPr>
        <w:footnoteReference w:id="1724"/>
      </w:r>
      <w:r>
        <w:t xml:space="preserve">.</w:t>
      </w:r>
    </w:p>
    <w:p>
      <w:pPr>
        <w:numPr>
          <w:ilvl w:val="0"/>
          <w:numId w:val="1209"/>
        </w:numPr>
        <w:pStyle w:val="Compact"/>
      </w:pPr>
      <w:r>
        <w:t xml:space="preserve">In a rat model of Huntington’s disease, Dihexa did</w:t>
      </w:r>
      <w:r>
        <w:t xml:space="preserve"> </w:t>
      </w:r>
      <w:r>
        <w:rPr>
          <w:bCs/>
          <w:b/>
        </w:rPr>
        <w:t xml:space="preserve">not</w:t>
      </w:r>
      <w:r>
        <w:t xml:space="preserve"> </w:t>
      </w:r>
      <w:r>
        <w:t xml:space="preserve">protect against the deficits</w:t>
      </w:r>
      <w:r>
        <w:rPr>
          <w:rStyle w:val="FootnoteReference"/>
        </w:rPr>
        <w:footnoteReference w:id="1725"/>
      </w:r>
      <w:r>
        <w:t xml:space="preserve">.</w:t>
      </w:r>
    </w:p>
    <w:p>
      <w:pPr>
        <w:numPr>
          <w:ilvl w:val="0"/>
          <w:numId w:val="1209"/>
        </w:numPr>
        <w:pStyle w:val="Compact"/>
      </w:pPr>
      <w:r>
        <w:t xml:space="preserve">In zebrafish larvae, Dihexa protected sensory hair cells from damage by certain antibiotics</w:t>
      </w:r>
      <w:r>
        <w:rPr>
          <w:rStyle w:val="FootnoteReference"/>
        </w:rPr>
        <w:footnoteReference w:id="1726"/>
      </w:r>
      <w:r>
        <w:t xml:space="preserve">.</w:t>
      </w:r>
    </w:p>
    <w:p>
      <w:pPr>
        <w:numPr>
          <w:ilvl w:val="0"/>
          <w:numId w:val="1209"/>
        </w:numPr>
        <w:pStyle w:val="Compact"/>
      </w:pPr>
      <w:r>
        <w:t xml:space="preserve">In stem cell research, Dihexa is used as an inexpensive substitute for growth factors in the production of liver-like cells</w:t>
      </w:r>
      <w:r>
        <w:rPr>
          <w:rStyle w:val="FootnoteReference"/>
        </w:rPr>
        <w:footnoteReference w:id="1727"/>
      </w:r>
      <w:r>
        <w:t xml:space="preserve"> </w:t>
      </w:r>
      <w:r>
        <w:t xml:space="preserve">– an indication of how broadly the HGF system acts in the body.</w:t>
      </w:r>
    </w:p>
    <w:p>
      <w:pPr>
        <w:pStyle w:val="FirstParagraph"/>
      </w:pPr>
      <w:r>
        <w:t xml:space="preserve">A systematic review of angiotensin IV derivatives found favorable effects in eight of nine animal studies on memory impairment, but emphasizes that the substances worked best when given directly into the brain</w:t>
      </w:r>
      <w:r>
        <w:rPr>
          <w:rStyle w:val="FootnoteReference"/>
        </w:rPr>
        <w:footnoteReference w:id="1728"/>
      </w:r>
      <w:r>
        <w:t xml:space="preserve">.</w:t>
      </w:r>
    </w:p>
    <w:bookmarkEnd w:id="1729"/>
    <w:bookmarkStart w:id="1731" w:name="risks-and-side-effects-37"/>
    <w:p>
      <w:pPr>
        <w:pStyle w:val="Heading3"/>
      </w:pPr>
      <w:r>
        <w:t xml:space="preserve">Risks and side effects</w:t>
      </w:r>
    </w:p>
    <w:p>
      <w:pPr>
        <w:pStyle w:val="FirstParagraph"/>
      </w:pPr>
      <w:r>
        <w:rPr>
          <w:bCs/>
          <w:b/>
        </w:rPr>
        <w:t xml:space="preserve">Established:</w:t>
      </w:r>
      <w:r>
        <w:t xml:space="preserve"> </w:t>
      </w:r>
      <w:r>
        <w:t xml:space="preserve">There are no published safety data in humans – neither from studies nor from case reports.</w:t>
      </w:r>
    </w:p>
    <w:p>
      <w:pPr>
        <w:pStyle w:val="BodyText"/>
      </w:pPr>
      <w:r>
        <w:rPr>
          <w:bCs/>
          <w:b/>
        </w:rPr>
        <w:t xml:space="preserve">Theoretical – and to be taken seriously:</w:t>
      </w:r>
      <w:r>
        <w:t xml:space="preserve"> </w:t>
      </w:r>
      <w:r>
        <w:t xml:space="preserve">The HGF/c-Met system is not only important for nerve cells. Activation of c-Met stimulates cell division, cell migration and tissue remodeling</w:t>
      </w:r>
      <w:r>
        <w:rPr>
          <w:rStyle w:val="FootnoteReference"/>
        </w:rPr>
        <w:footnoteReference w:id="1730"/>
      </w:r>
      <w:r>
        <w:t xml:space="preserve">. In cancer research, c-Met is known as a driver of the growth and spread of various tumors; several approved cancer drugs block precisely this receptor. A substance that persistently amplifies this signal could theoretically favor the growth of undetected tumors. Whether this is the case with Dihexa has never been studied – there are no long-term toxicity studies in publicly accessible form. (More on growth signals and cancer risk in Part IV.)</w:t>
      </w:r>
    </w:p>
    <w:p>
      <w:pPr>
        <w:pStyle w:val="BodyText"/>
      </w:pPr>
      <w:r>
        <w:rPr>
          <w:bCs/>
          <w:b/>
        </w:rPr>
        <w:t xml:space="preserve">Gray market:</w:t>
      </w:r>
      <w:r>
        <w:t xml:space="preserve"> </w:t>
      </w:r>
      <w:r>
        <w:t xml:space="preserve">Dihexa is sold online as powder, capsules or solution, some for oral use, some for application to the skin. Content and purity are unverified.</w:t>
      </w:r>
    </w:p>
    <w:bookmarkEnd w:id="1731"/>
    <w:bookmarkStart w:id="1732" w:name="legal-status-37"/>
    <w:p>
      <w:pPr>
        <w:pStyle w:val="Heading3"/>
      </w:pPr>
      <w:r>
        <w:t xml:space="preserve">Legal status</w:t>
      </w:r>
    </w:p>
    <w:p>
      <w:pPr>
        <w:numPr>
          <w:ilvl w:val="0"/>
          <w:numId w:val="1210"/>
        </w:numPr>
        <w:pStyle w:val="Compact"/>
      </w:pPr>
      <w:r>
        <w:rPr>
          <w:bCs/>
          <w:b/>
        </w:rPr>
        <w:t xml:space="preserve">EU / Austria / Germany:</w:t>
      </w:r>
      <w:r>
        <w:t xml:space="preserve"> </w:t>
      </w:r>
      <w:r>
        <w:t xml:space="preserve">not approved. As a substance with a pharmacological effect, Dihexa is considered a medicine; selling it for use in humans is not permitted. Labeling it</w:t>
      </w:r>
      <w:r>
        <w:t xml:space="preserve"> </w:t>
      </w:r>
      <w:r>
        <w:t xml:space="preserve">“</w:t>
      </w:r>
      <w:r>
        <w:t xml:space="preserve">for research purposes only</w:t>
      </w:r>
      <w:r>
        <w:t xml:space="preserve">”</w:t>
      </w:r>
      <w:r>
        <w:t xml:space="preserve"> </w:t>
      </w:r>
      <w:r>
        <w:t xml:space="preserve">does not change this.</w:t>
      </w:r>
    </w:p>
    <w:p>
      <w:pPr>
        <w:numPr>
          <w:ilvl w:val="0"/>
          <w:numId w:val="1210"/>
        </w:numPr>
        <w:pStyle w:val="Compact"/>
      </w:pPr>
      <w:r>
        <w:rPr>
          <w:bCs/>
          <w:b/>
        </w:rPr>
        <w:t xml:space="preserve">USA:</w:t>
      </w:r>
      <w:r>
        <w:t xml:space="preserve"> </w:t>
      </w:r>
      <w:r>
        <w:t xml:space="preserve">not approved. No longer in FDA</w:t>
      </w:r>
      <w:r>
        <w:t xml:space="preserve"> </w:t>
      </w:r>
      <w:r>
        <w:t xml:space="preserve">“</w:t>
      </w:r>
      <w:r>
        <w:t xml:space="preserve">Category 2</w:t>
      </w:r>
      <w:r>
        <w:t xml:space="preserve">”</w:t>
      </w:r>
      <w:r>
        <w:t xml:space="preserve"> </w:t>
      </w:r>
      <w:r>
        <w:t xml:space="preserve">since April 2026; as of October 2026, the advisory committee PCAC had not yet deliberated on possible inclusion in the list of permitted compounding substances (as of October 2026, please check for updates).</w:t>
      </w:r>
    </w:p>
    <w:p>
      <w:pPr>
        <w:numPr>
          <w:ilvl w:val="0"/>
          <w:numId w:val="1210"/>
        </w:numPr>
        <w:pStyle w:val="Compact"/>
      </w:pPr>
      <w:r>
        <w:rPr>
          <w:bCs/>
          <w:b/>
        </w:rPr>
        <w:t xml:space="preserve">Sport:</w:t>
      </w:r>
      <w:r>
        <w:t xml:space="preserve"> </w:t>
      </w:r>
      <w:r>
        <w:t xml:space="preserve">as a non-approved substance, falls in our assessment under WADA category S0 (as of 2026, please check for updates).</w:t>
      </w:r>
    </w:p>
    <w:bookmarkEnd w:id="1732"/>
    <w:bookmarkStart w:id="1733" w:name="ongoing-studies-and-outlook-37"/>
    <w:p>
      <w:pPr>
        <w:pStyle w:val="Heading3"/>
      </w:pPr>
      <w:r>
        <w:t xml:space="preserve">Ongoing studies and outlook</w:t>
      </w:r>
    </w:p>
    <w:p>
      <w:pPr>
        <w:pStyle w:val="FirstParagraph"/>
      </w:pPr>
      <w:r>
        <w:rPr>
          <w:bCs/>
          <w:b/>
        </w:rPr>
        <w:t xml:space="preserve">Established:</w:t>
      </w:r>
      <w:r>
        <w:t xml:space="preserve"> </w:t>
      </w:r>
      <w:r>
        <w:t xml:space="preserve">No clinical trial is registered for Dihexa (search October 2026). The related approach fosgonimeton failed in the Alzheimer’s trial LIFT-AD.</w:t>
      </w:r>
    </w:p>
    <w:p>
      <w:pPr>
        <w:pStyle w:val="BodyText"/>
      </w:pPr>
      <w:r>
        <w:rPr>
          <w:bCs/>
          <w:b/>
        </w:rPr>
        <w:t xml:space="preserve">Assessment:</w:t>
      </w:r>
      <w:r>
        <w:t xml:space="preserve"> </w:t>
      </w:r>
      <w:r>
        <w:t xml:space="preserve">Without toxicity data and a first study in humans, Dihexa remains a laboratory compound. Whether the announced PCAC deliberation in the USA will change anything is open – at most it would concern pharmacy compounding, not the missing proof of efficacy.</w:t>
      </w:r>
    </w:p>
    <w:bookmarkEnd w:id="1733"/>
    <w:bookmarkStart w:id="1734" w:name="conclusion-37"/>
    <w:p>
      <w:pPr>
        <w:pStyle w:val="Heading3"/>
      </w:pPr>
      <w:r>
        <w:t xml:space="preserve">Conclusion</w:t>
      </w:r>
    </w:p>
    <w:p>
      <w:pPr>
        <w:pStyle w:val="FirstParagraph"/>
      </w:pPr>
      <w:r>
        <w:t xml:space="preserve">Dihexa is a chemically stabilized derivative of angiotensin IV that promoted learning and synapse formation in rats and mice, mediated via the growth factor system HGF/c-Met. It has never been studied in humans; a related agent (fosgonimeton) missed all endpoints in an Alzheimer’s trial with 287 people. Because c-Met also drives tumor growth, there is a plausible but untested cancer concern. The data are not sufficient to assess any benefit or safety in humans.</w:t>
      </w:r>
    </w:p>
    <w:bookmarkEnd w:id="1734"/>
    <w:bookmarkEnd w:id="1735"/>
    <w:bookmarkStart w:id="1767" w:name="dsip-delta-sleepinducing-peptide"/>
    <w:p>
      <w:pPr>
        <w:pStyle w:val="Heading2"/>
      </w:pPr>
      <w:r>
        <w:t xml:space="preserve">DSIP (Delta Sleep–Inducing Peptide)</w:t>
      </w:r>
    </w:p>
    <w:bookmarkStart w:id="1736" w:name="profile-38"/>
    <w:p>
      <w:pPr>
        <w:pStyle w:val="Heading3"/>
      </w:pPr>
      <w:r>
        <w:t xml:space="preserve">Profile</w:t>
      </w:r>
    </w:p>
    <w:p>
      <w:pPr>
        <w:numPr>
          <w:ilvl w:val="0"/>
          <w:numId w:val="1211"/>
        </w:numPr>
        <w:pStyle w:val="Compact"/>
      </w:pPr>
      <w:r>
        <w:rPr>
          <w:bCs/>
          <w:b/>
        </w:rPr>
        <w:t xml:space="preserve">Type and structure:</w:t>
      </w:r>
      <w:r>
        <w:t xml:space="preserve"> </w:t>
      </w:r>
      <w:r>
        <w:t xml:space="preserve">nonapeptide of nine amino acids (Trp-Ala-Gly-Gly-Asp-Ala-Ser-Gly-Glu); international nonproprietary name emideltide.</w:t>
      </w:r>
    </w:p>
    <w:p>
      <w:pPr>
        <w:numPr>
          <w:ilvl w:val="0"/>
          <w:numId w:val="1211"/>
        </w:numPr>
        <w:pStyle w:val="Compact"/>
      </w:pPr>
      <w:r>
        <w:rPr>
          <w:bCs/>
          <w:b/>
        </w:rPr>
        <w:t xml:space="preserve">Origin:</w:t>
      </w:r>
      <w:r>
        <w:t xml:space="preserve"> </w:t>
      </w:r>
      <w:r>
        <w:t xml:space="preserve">isolated in 1977 by a research group in Basel from the cerebral venous blood of rabbits that had been put into deep sleep by electrical stimulation. A gene, a precursor protein or a receptor for DSIP has not been found to this day.</w:t>
      </w:r>
    </w:p>
    <w:p>
      <w:pPr>
        <w:numPr>
          <w:ilvl w:val="0"/>
          <w:numId w:val="1211"/>
        </w:numPr>
        <w:pStyle w:val="Compact"/>
      </w:pPr>
      <w:r>
        <w:rPr>
          <w:bCs/>
          <w:b/>
        </w:rPr>
        <w:t xml:space="preserve">Mechanism of action:</w:t>
      </w:r>
      <w:r>
        <w:t xml:space="preserve"> </w:t>
      </w:r>
      <w:r>
        <w:t xml:space="preserve">was supposed to promote deep sleep (delta sleep with slow EEG waves) as an endogenous</w:t>
      </w:r>
      <w:r>
        <w:t xml:space="preserve"> </w:t>
      </w:r>
      <w:r>
        <w:t xml:space="preserve">“</w:t>
      </w:r>
      <w:r>
        <w:t xml:space="preserve">sleep substance</w:t>
      </w:r>
      <w:r>
        <w:t xml:space="preserve">”</w:t>
      </w:r>
      <w:r>
        <w:t xml:space="preserve">; later, effects on stress hormones, pain and withdrawal symptoms were suspected.</w:t>
      </w:r>
    </w:p>
    <w:p>
      <w:pPr>
        <w:numPr>
          <w:ilvl w:val="0"/>
          <w:numId w:val="1211"/>
        </w:numPr>
        <w:pStyle w:val="Compact"/>
      </w:pPr>
      <w:r>
        <w:rPr>
          <w:bCs/>
          <w:b/>
        </w:rPr>
        <w:t xml:space="preserve">EU approval:</w:t>
      </w:r>
      <w:r>
        <w:t xml:space="preserve"> </w:t>
      </w:r>
      <w:r>
        <w:t xml:space="preserve">no.</w:t>
      </w:r>
    </w:p>
    <w:p>
      <w:pPr>
        <w:numPr>
          <w:ilvl w:val="0"/>
          <w:numId w:val="1211"/>
        </w:numPr>
        <w:pStyle w:val="Compact"/>
      </w:pPr>
      <w:r>
        <w:rPr>
          <w:bCs/>
          <w:b/>
        </w:rPr>
        <w:t xml:space="preserve">US approval:</w:t>
      </w:r>
      <w:r>
        <w:t xml:space="preserve"> </w:t>
      </w:r>
      <w:r>
        <w:t xml:space="preserve">no. Emideltide was removed from FDA</w:t>
      </w:r>
      <w:r>
        <w:t xml:space="preserve"> </w:t>
      </w:r>
      <w:r>
        <w:t xml:space="preserve">“</w:t>
      </w:r>
      <w:r>
        <w:t xml:space="preserve">Category 2</w:t>
      </w:r>
      <w:r>
        <w:t xml:space="preserve">”</w:t>
      </w:r>
      <w:r>
        <w:t xml:space="preserve"> </w:t>
      </w:r>
      <w:r>
        <w:t xml:space="preserve">in April 2026; in July 2026, the advisory committee PCAC voted 6 to 7</w:t>
      </w:r>
      <w:r>
        <w:t xml:space="preserve"> </w:t>
      </w:r>
      <w:r>
        <w:rPr>
          <w:bCs/>
          <w:b/>
        </w:rPr>
        <w:t xml:space="preserve">against</w:t>
      </w:r>
      <w:r>
        <w:t xml:space="preserve"> </w:t>
      </w:r>
      <w:r>
        <w:t xml:space="preserve">inclusion in the list of permitted compounding substances (as of October 2026, please check for updates).</w:t>
      </w:r>
    </w:p>
    <w:p>
      <w:pPr>
        <w:numPr>
          <w:ilvl w:val="0"/>
          <w:numId w:val="1211"/>
        </w:numPr>
        <w:pStyle w:val="Compact"/>
      </w:pPr>
      <w:r>
        <w:rPr>
          <w:bCs/>
          <w:b/>
        </w:rPr>
        <w:t xml:space="preserve">Russia and neighboring countries:</w:t>
      </w:r>
      <w:r>
        <w:t xml:space="preserve"> </w:t>
      </w:r>
      <w:r>
        <w:t xml:space="preserve">DSIP preparations (e.g., Deltaran, Deltalicin) have been used there in studies and in practice.</w:t>
      </w:r>
    </w:p>
    <w:p>
      <w:pPr>
        <w:numPr>
          <w:ilvl w:val="0"/>
          <w:numId w:val="1211"/>
        </w:numPr>
        <w:pStyle w:val="Compact"/>
      </w:pPr>
      <w:r>
        <w:rPr>
          <w:bCs/>
          <w:b/>
        </w:rPr>
        <w:t xml:space="preserve">WADA:</w:t>
      </w:r>
      <w:r>
        <w:t xml:space="preserve"> </w:t>
      </w:r>
      <w:r>
        <w:t xml:space="preserve">not listed by name.</w:t>
      </w:r>
    </w:p>
    <w:p>
      <w:pPr>
        <w:numPr>
          <w:ilvl w:val="0"/>
          <w:numId w:val="1211"/>
        </w:numPr>
        <w:pStyle w:val="Compact"/>
      </w:pPr>
      <w:r>
        <w:rPr>
          <w:bCs/>
          <w:b/>
        </w:rPr>
        <w:t xml:space="preserve">Evidence level:</w:t>
      </w:r>
      <w:r>
        <w:t xml:space="preserve"> </w:t>
      </w:r>
      <w:r>
        <w:rPr>
          <w:bCs/>
          <w:b/>
        </w:rPr>
        <w:t xml:space="preserve">C</w:t>
      </w:r>
      <w:r>
        <w:t xml:space="preserve"> </w:t>
      </w:r>
      <w:r>
        <w:t xml:space="preserve">– only very small studies, mostly conducted in the 1980s; the methodologically best of them found no clinically relevant benefit.</w:t>
      </w:r>
    </w:p>
    <w:bookmarkEnd w:id="1736"/>
    <w:bookmarkStart w:id="1740" w:name="how-it-is-supposed-to-work-38"/>
    <w:p>
      <w:pPr>
        <w:pStyle w:val="Heading3"/>
      </w:pPr>
      <w:r>
        <w:t xml:space="preserve">How it is supposed to work</w:t>
      </w:r>
    </w:p>
    <w:p>
      <w:pPr>
        <w:pStyle w:val="FirstParagraph"/>
      </w:pPr>
      <w:r>
        <w:t xml:space="preserve">The idea was simple and appealing: if the brain releases a substance into the blood during sleep that induces sleep in other animals, it could be a natural sleeping aid – without the drawbacks of sedatives. The Basel researchers transferred blood from sleeping rabbits to awake animals and isolated from it the peptide they considered responsible for the effect</w:t>
      </w:r>
      <w:r>
        <w:rPr>
          <w:rStyle w:val="FootnoteReference"/>
        </w:rPr>
        <w:footnoteReference w:id="1737"/>
      </w:r>
      <w:r>
        <w:t xml:space="preserve">.</w:t>
      </w:r>
    </w:p>
    <w:p>
      <w:pPr>
        <w:pStyle w:val="BodyText"/>
      </w:pPr>
      <w:r>
        <w:t xml:space="preserve">The hope has not been borne out. A 2006 review calls DSIP a</w:t>
      </w:r>
      <w:r>
        <w:t xml:space="preserve"> </w:t>
      </w:r>
      <w:r>
        <w:t xml:space="preserve">“</w:t>
      </w:r>
      <w:r>
        <w:t xml:space="preserve">still unresolved enigma</w:t>
      </w:r>
      <w:r>
        <w:t xml:space="preserve">”</w:t>
      </w:r>
      <w:r>
        <w:t xml:space="preserve">: its connection to sleep is</w:t>
      </w:r>
      <w:r>
        <w:t xml:space="preserve"> </w:t>
      </w:r>
      <w:r>
        <w:t xml:space="preserve">“</w:t>
      </w:r>
      <w:r>
        <w:t xml:space="preserve">extremely poorly documented,</w:t>
      </w:r>
      <w:r>
        <w:t xml:space="preserve">”</w:t>
      </w:r>
      <w:r>
        <w:t xml:space="preserve"> </w:t>
      </w:r>
      <w:r>
        <w:t xml:space="preserve">because neither the associated gene nor a receptor has been found. In animal experiments, certain artificial modifications promoted deep sleep more than DSIP itself. The authors suspect that a hitherto unknown DSIP-like peptide could be responsible for the observed effects</w:t>
      </w:r>
      <w:r>
        <w:rPr>
          <w:rStyle w:val="FootnoteReference"/>
        </w:rPr>
        <w:footnoteReference w:id="1738"/>
      </w:r>
      <w:r>
        <w:t xml:space="preserve">.</w:t>
      </w:r>
    </w:p>
    <w:p>
      <w:pPr>
        <w:pStyle w:val="BodyText"/>
      </w:pPr>
      <w:r>
        <w:t xml:space="preserve">Further suspected effects – on stress hormones, pain perception, the opioid system and antioxidant enzymes – come mainly from animal experiments. In sheep, labeled DSIP crossed the barrier between blood and cerebrospinal fluid to a small to moderate extent</w:t>
      </w:r>
      <w:r>
        <w:rPr>
          <w:rStyle w:val="FootnoteReference"/>
        </w:rPr>
        <w:footnoteReference w:id="1739"/>
      </w:r>
      <w:r>
        <w:t xml:space="preserve">.</w:t>
      </w:r>
    </w:p>
    <w:bookmarkEnd w:id="1740"/>
    <w:bookmarkStart w:id="1757" w:name="human-studies-38"/>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18 publications classified as human studies; on closer inspection, one of them concerns a different topic (spinal surgery). Almost all date from 1981 to 1998 and each had between 1 and 16 participants in placebo-controlled parts. On ClinicalTrials.gov, the search yielded one hit that does not relate to DSIP; there is no registered DSIP study.</w:t>
      </w:r>
    </w:p>
    <w:bookmarkStart w:id="1745" w:name="sleep-disorders"/>
    <w:p>
      <w:pPr>
        <w:pStyle w:val="Heading4"/>
      </w:pPr>
      <w:r>
        <w:t xml:space="preserve">Sleep disorders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Schneider-Helmert 1981, PMID 6895513</w:t>
            </w:r>
          </w:p>
        </w:tc>
        <w:tc>
          <w:tcPr/>
          <w:p>
            <w:pPr>
              <w:pStyle w:val="Compact"/>
              <w:jc w:val="left"/>
            </w:pPr>
            <w:r>
              <w:t xml:space="preserve">6 healthy people, double-blind, crossover vs. placebo</w:t>
            </w:r>
          </w:p>
        </w:tc>
        <w:tc>
          <w:tcPr/>
          <w:p>
            <w:pPr>
              <w:pStyle w:val="Compact"/>
              <w:jc w:val="left"/>
            </w:pPr>
            <w:r>
              <w:t xml:space="preserve">single infusion</w:t>
            </w:r>
          </w:p>
        </w:tc>
        <w:tc>
          <w:tcPr/>
          <w:p>
            <w:pPr>
              <w:pStyle w:val="Compact"/>
              <w:jc w:val="left"/>
            </w:pPr>
            <w:r>
              <w:t xml:space="preserve">sleep time 59% longer within 130 minutes; no classic sedation</w:t>
            </w:r>
          </w:p>
        </w:tc>
      </w:tr>
      <w:tr>
        <w:tc>
          <w:tcPr/>
          <w:p>
            <w:pPr>
              <w:pStyle w:val="Compact"/>
              <w:jc w:val="left"/>
            </w:pPr>
            <w:r>
              <w:t xml:space="preserve">Schneider-Helmert 1981, PMID 7028502</w:t>
            </w:r>
          </w:p>
        </w:tc>
        <w:tc>
          <w:tcPr/>
          <w:p>
            <w:pPr>
              <w:pStyle w:val="Compact"/>
              <w:jc w:val="left"/>
            </w:pPr>
            <w:r>
              <w:t xml:space="preserve">6 people with chronic insomnia</w:t>
            </w:r>
          </w:p>
        </w:tc>
        <w:tc>
          <w:tcPr/>
          <w:p>
            <w:pPr>
              <w:pStyle w:val="Compact"/>
              <w:jc w:val="left"/>
            </w:pPr>
            <w:r>
              <w:t xml:space="preserve">single dose</w:t>
            </w:r>
          </w:p>
        </w:tc>
        <w:tc>
          <w:tcPr/>
          <w:p>
            <w:pPr>
              <w:pStyle w:val="Compact"/>
              <w:jc w:val="left"/>
            </w:pPr>
            <w:r>
              <w:t xml:space="preserve">longer, less interrupted sleep</w:t>
            </w:r>
          </w:p>
        </w:tc>
      </w:tr>
      <w:tr>
        <w:tc>
          <w:tcPr/>
          <w:p>
            <w:pPr>
              <w:pStyle w:val="Compact"/>
              <w:jc w:val="left"/>
            </w:pPr>
            <w:r>
              <w:t xml:space="preserve">Schneider-Helmert 1987, PMID 3622582</w:t>
            </w:r>
          </w:p>
        </w:tc>
        <w:tc>
          <w:tcPr/>
          <w:p>
            <w:pPr>
              <w:pStyle w:val="Compact"/>
              <w:jc w:val="left"/>
            </w:pPr>
            <w:r>
              <w:t xml:space="preserve">14 people with severe chronic insomnia, double-blind vs. placebo</w:t>
            </w:r>
          </w:p>
        </w:tc>
        <w:tc>
          <w:tcPr/>
          <w:p>
            <w:pPr>
              <w:pStyle w:val="Compact"/>
              <w:jc w:val="left"/>
            </w:pPr>
            <w:r>
              <w:t xml:space="preserve">7 nights</w:t>
            </w:r>
          </w:p>
        </w:tc>
        <w:tc>
          <w:tcPr/>
          <w:p>
            <w:pPr>
              <w:pStyle w:val="Compact"/>
              <w:jc w:val="left"/>
            </w:pPr>
            <w:r>
              <w:t xml:space="preserve">sleep efficiency and daytime performance at the level of healthy people, according to the authors</w:t>
            </w:r>
          </w:p>
        </w:tc>
      </w:tr>
      <w:tr>
        <w:tc>
          <w:tcPr/>
          <w:p>
            <w:pPr>
              <w:pStyle w:val="Compact"/>
              <w:jc w:val="left"/>
            </w:pPr>
            <w:r>
              <w:t xml:space="preserve">Monti 1987, PMID 3583493</w:t>
            </w:r>
          </w:p>
        </w:tc>
        <w:tc>
          <w:tcPr/>
          <w:p>
            <w:pPr>
              <w:pStyle w:val="Compact"/>
              <w:jc w:val="left"/>
            </w:pPr>
            <w:r>
              <w:t xml:space="preserve">people with chronic insomnia, double-blind, crossover</w:t>
            </w:r>
          </w:p>
        </w:tc>
        <w:tc>
          <w:tcPr/>
          <w:p>
            <w:pPr>
              <w:pStyle w:val="Compact"/>
              <w:jc w:val="left"/>
            </w:pPr>
            <w:r>
              <w:t xml:space="preserve">4 nights</w:t>
            </w:r>
          </w:p>
        </w:tc>
        <w:tc>
          <w:tcPr/>
          <w:p>
            <w:pPr>
              <w:pStyle w:val="Compact"/>
              <w:jc w:val="left"/>
            </w:pPr>
            <w:r>
              <w:t xml:space="preserve">improvements</w:t>
            </w:r>
            <w:r>
              <w:t xml:space="preserve"> </w:t>
            </w:r>
            <w:r>
              <w:t xml:space="preserve">“</w:t>
            </w:r>
            <w:r>
              <w:t xml:space="preserve">of little clinical significance</w:t>
            </w:r>
            <w:r>
              <w:t xml:space="preserve">”</w:t>
            </w:r>
            <w:r>
              <w:t xml:space="preserve">; differences already existed before treatment</w:t>
            </w:r>
          </w:p>
        </w:tc>
      </w:tr>
      <w:tr>
        <w:tc>
          <w:tcPr/>
          <w:p>
            <w:pPr>
              <w:pStyle w:val="Compact"/>
              <w:jc w:val="left"/>
            </w:pPr>
            <w:r>
              <w:t xml:space="preserve">Bes 1992, PMID 1299794</w:t>
            </w:r>
          </w:p>
        </w:tc>
        <w:tc>
          <w:tcPr/>
          <w:p>
            <w:pPr>
              <w:pStyle w:val="Compact"/>
              <w:jc w:val="left"/>
            </w:pPr>
            <w:r>
              <w:t xml:space="preserve">16 people with chronic insomnia, double-blind vs. placebo</w:t>
            </w:r>
          </w:p>
        </w:tc>
        <w:tc>
          <w:tcPr/>
          <w:p>
            <w:pPr>
              <w:pStyle w:val="Compact"/>
              <w:jc w:val="left"/>
            </w:pPr>
            <w:r>
              <w:t xml:space="preserve">3 nights</w:t>
            </w:r>
          </w:p>
        </w:tc>
        <w:tc>
          <w:tcPr/>
          <w:p>
            <w:pPr>
              <w:pStyle w:val="Compact"/>
              <w:jc w:val="left"/>
            </w:pPr>
            <w:r>
              <w:t xml:space="preserve">weak effects, partly explainable by random fluctuation;</w:t>
            </w:r>
            <w:r>
              <w:t xml:space="preserve"> </w:t>
            </w:r>
            <w:r>
              <w:t xml:space="preserve">“</w:t>
            </w:r>
            <w:r>
              <w:t xml:space="preserve">no major therapeutic benefit</w:t>
            </w:r>
            <w:r>
              <w:t xml:space="preserve">”</w:t>
            </w:r>
          </w:p>
        </w:tc>
      </w:tr>
    </w:tbl>
    <w:p>
      <w:pPr>
        <w:pStyle w:val="BodyText"/>
      </w:pPr>
      <w:r>
        <w:t xml:space="preserve">The first studies came almost entirely from a single Basel research group and were uniformly positive. In six healthy volunteers, a morning infusion prolonged sleep time in the following two-plus hours by 59%, without the participants appearing sedated in the classic sense</w:t>
      </w:r>
      <w:r>
        <w:rPr>
          <w:rStyle w:val="FootnoteReference"/>
        </w:rPr>
        <w:footnoteReference w:id="1741"/>
      </w:r>
      <w:r>
        <w:t xml:space="preserve">. In 14 people with severe insomnia, according to the authors, sleep efficiency and daytime performance reached the level of healthy controls after seven nights</w:t>
      </w:r>
      <w:r>
        <w:rPr>
          <w:rStyle w:val="FootnoteReference"/>
        </w:rPr>
        <w:footnoteReference w:id="1742"/>
      </w:r>
      <w:r>
        <w:t xml:space="preserve">.</w:t>
      </w:r>
    </w:p>
    <w:p>
      <w:pPr>
        <w:pStyle w:val="BodyText"/>
      </w:pPr>
      <w:r>
        <w:t xml:space="preserve">Independent groups could not confirm this. One study did find more total and NREM sleep, but the significant differences from placebo (NREM sleep and sleep stage 2) already existed before treatment; the authors judged the improvement to be of little clinical significance</w:t>
      </w:r>
      <w:r>
        <w:rPr>
          <w:rStyle w:val="FootnoteReference"/>
        </w:rPr>
        <w:footnoteReference w:id="1743"/>
      </w:r>
      <w:r>
        <w:t xml:space="preserve">. Another study with 16 people found statistically significant but weak effects on sleep efficiency and sleep onset latency, which were partly explainable by a random change in the placebo group; subjective sleep quality did not change. Its conclusion: short-term treatment with DSIP probably has no major therapeutic benefit</w:t>
      </w:r>
      <w:r>
        <w:rPr>
          <w:rStyle w:val="FootnoteReference"/>
        </w:rPr>
        <w:footnoteReference w:id="1744"/>
      </w:r>
      <w:r>
        <w:t xml:space="preserve">.</w:t>
      </w:r>
    </w:p>
    <w:p>
      <w:pPr>
        <w:pStyle w:val="BodyText"/>
      </w:pPr>
      <w:r>
        <w:t xml:space="preserve">This pattern – enthusiastic first reports, sobering replications – is typical of substances whose effect is based on very small studies.</w:t>
      </w:r>
    </w:p>
    <w:bookmarkEnd w:id="1745"/>
    <w:bookmarkStart w:id="1751" w:name="withdrawal-pain-and-other-uses"/>
    <w:p>
      <w:pPr>
        <w:pStyle w:val="Heading4"/>
      </w:pPr>
      <w:r>
        <w:t xml:space="preserve">Withdrawal, pain and other uses</w:t>
      </w:r>
    </w:p>
    <w:p>
      <w:pPr>
        <w:pStyle w:val="FirstParagraph"/>
      </w:pPr>
      <w:r>
        <w:t xml:space="preserve">In the 1980s, DSIP was used in 107 inpatients undergoing alcohol or opiate withdrawal; according to the physicians’ assessment, withdrawal symptoms disappeared or improved markedly in 97% of the opiate-dependent and 87% of the alcohol-dependent patients. There was no control group, and some of the people could not be evaluated</w:t>
      </w:r>
      <w:r>
        <w:rPr>
          <w:rStyle w:val="FootnoteReference"/>
        </w:rPr>
        <w:footnoteReference w:id="1746"/>
      </w:r>
      <w:r>
        <w:t xml:space="preserve">. A later open-label study on opioid detoxification was published only as a short communication without an abstract</w:t>
      </w:r>
      <w:r>
        <w:rPr>
          <w:rStyle w:val="FootnoteReference"/>
        </w:rPr>
        <w:footnoteReference w:id="1747"/>
      </w:r>
      <w:r>
        <w:t xml:space="preserve">. Further individual reports concern seven people with chronic pain</w:t>
      </w:r>
      <w:r>
        <w:rPr>
          <w:rStyle w:val="FootnoteReference"/>
        </w:rPr>
        <w:footnoteReference w:id="1748"/>
      </w:r>
      <w:r>
        <w:t xml:space="preserve"> </w:t>
      </w:r>
      <w:r>
        <w:t xml:space="preserve">and a man with narcolepsy</w:t>
      </w:r>
      <w:r>
        <w:rPr>
          <w:rStyle w:val="FootnoteReference"/>
        </w:rPr>
        <w:footnoteReference w:id="1749"/>
      </w:r>
      <w:r>
        <w:t xml:space="preserve">. One study examined an intranasal DSIP preparation (Deltalicin) in diabetic retinopathy, in which the electrical responses of the retina improved</w:t>
      </w:r>
      <w:r>
        <w:rPr>
          <w:rStyle w:val="FootnoteReference"/>
        </w:rPr>
        <w:footnoteReference w:id="1750"/>
      </w:r>
      <w:r>
        <w:t xml:space="preserve">.</w:t>
      </w:r>
    </w:p>
    <w:bookmarkEnd w:id="1751"/>
    <w:bookmarkStart w:id="1756" w:name="hormones-and-anesthesia"/>
    <w:p>
      <w:pPr>
        <w:pStyle w:val="Heading4"/>
      </w:pPr>
      <w:r>
        <w:t xml:space="preserve">Hormones and anesthesia</w:t>
      </w:r>
    </w:p>
    <w:p>
      <w:pPr>
        <w:pStyle w:val="FirstParagraph"/>
      </w:pPr>
      <w:r>
        <w:t xml:space="preserve">Several small studies in healthy people examined whether DSIP influences stress hormones. A study with eleven men found less ACTH in the blood after an injection but unchanged cortisol levels</w:t>
      </w:r>
      <w:r>
        <w:rPr>
          <w:rStyle w:val="FootnoteReference"/>
        </w:rPr>
        <w:footnoteReference w:id="1752"/>
      </w:r>
      <w:r>
        <w:t xml:space="preserve">; another with a total of 20 men found no effect on ACTH and cortisol</w:t>
      </w:r>
      <w:r>
        <w:rPr>
          <w:rStyle w:val="FootnoteReference"/>
        </w:rPr>
        <w:footnoteReference w:id="1753"/>
      </w:r>
      <w:r>
        <w:t xml:space="preserve">. DSIP had no effect on growth hormone and prolactin in women</w:t>
      </w:r>
      <w:r>
        <w:rPr>
          <w:rStyle w:val="FootnoteReference"/>
        </w:rPr>
        <w:footnoteReference w:id="1754"/>
      </w:r>
      <w:r>
        <w:t xml:space="preserve">.</w:t>
      </w:r>
    </w:p>
    <w:p>
      <w:pPr>
        <w:pStyle w:val="BodyText"/>
      </w:pPr>
      <w:r>
        <w:t xml:space="preserve">A study of 24 women during anesthesia is noteworthy: instead of deepening anesthesia, as would be expected of a</w:t>
      </w:r>
      <w:r>
        <w:t xml:space="preserve"> </w:t>
      </w:r>
      <w:r>
        <w:t xml:space="preserve">“</w:t>
      </w:r>
      <w:r>
        <w:t xml:space="preserve">natural sleep substance,</w:t>
      </w:r>
      <w:r>
        <w:t xml:space="preserve">”</w:t>
      </w:r>
      <w:r>
        <w:t xml:space="preserve"> </w:t>
      </w:r>
      <w:r>
        <w:t xml:space="preserve">DSIP increased heart rate and paradoxically reduced the delta rhythm on the EEG</w:t>
      </w:r>
      <w:r>
        <w:rPr>
          <w:rStyle w:val="FootnoteReference"/>
        </w:rPr>
        <w:footnoteReference w:id="1755"/>
      </w:r>
      <w:r>
        <w:t xml:space="preserve">.</w:t>
      </w:r>
    </w:p>
    <w:bookmarkEnd w:id="1756"/>
    <w:bookmarkEnd w:id="1757"/>
    <w:bookmarkStart w:id="1760" w:name="animal-and-laboratory-studies-38"/>
    <w:p>
      <w:pPr>
        <w:pStyle w:val="Heading3"/>
      </w:pPr>
      <w:r>
        <w:t xml:space="preserve">Animal and laboratory studies</w:t>
      </w:r>
    </w:p>
    <w:p>
      <w:pPr>
        <w:numPr>
          <w:ilvl w:val="0"/>
          <w:numId w:val="1212"/>
        </w:numPr>
        <w:pStyle w:val="Compact"/>
      </w:pPr>
      <w:r>
        <w:t xml:space="preserve">In rabbits and rats, early studies described sleep-promoting effects, but these could not be consistently replicated</w:t>
      </w:r>
      <w:r>
        <w:rPr>
          <w:rStyle w:val="FootnoteReference"/>
        </w:rPr>
        <w:footnoteReference w:id="1758"/>
      </w:r>
      <w:r>
        <w:t xml:space="preserve">.</w:t>
      </w:r>
    </w:p>
    <w:p>
      <w:pPr>
        <w:numPr>
          <w:ilvl w:val="0"/>
          <w:numId w:val="1212"/>
        </w:numPr>
        <w:pStyle w:val="Compact"/>
      </w:pPr>
      <w:r>
        <w:t xml:space="preserve">In mice, the oldest 10% of animals that received a Russian DSIP preparation throughout life lived 16% longer than the control animals; spontaneous tumors appeared later</w:t>
      </w:r>
      <w:r>
        <w:rPr>
          <w:rStyle w:val="FootnoteReference"/>
        </w:rPr>
        <w:footnoteReference w:id="1759"/>
      </w:r>
      <w:r>
        <w:t xml:space="preserve">. This paper comes from the circle of Russian gerontology that also studies Epitalon (see the chapter Epitalon).</w:t>
      </w:r>
    </w:p>
    <w:p>
      <w:pPr>
        <w:numPr>
          <w:ilvl w:val="0"/>
          <w:numId w:val="1212"/>
        </w:numPr>
        <w:pStyle w:val="Compact"/>
      </w:pPr>
      <w:r>
        <w:t xml:space="preserve">Other animal studies describe effects on stress resistance, pain perception and antioxidant enzymes.</w:t>
      </w:r>
    </w:p>
    <w:bookmarkEnd w:id="1760"/>
    <w:bookmarkStart w:id="1763" w:name="risks-and-side-effects-38"/>
    <w:p>
      <w:pPr>
        <w:pStyle w:val="Heading3"/>
      </w:pPr>
      <w:r>
        <w:t xml:space="preserve">Risks and side effects</w:t>
      </w:r>
    </w:p>
    <w:p>
      <w:pPr>
        <w:pStyle w:val="FirstParagraph"/>
      </w:pPr>
      <w:r>
        <w:rPr>
          <w:bCs/>
          <w:b/>
        </w:rPr>
        <w:t xml:space="preserve">Established:</w:t>
      </w:r>
      <w:r>
        <w:t xml:space="preserve"> </w:t>
      </w:r>
      <w:r>
        <w:t xml:space="preserve">In the small studies, DSIP was described as well tolerated; headaches occurred occasionally</w:t>
      </w:r>
      <w:r>
        <w:rPr>
          <w:rStyle w:val="FootnoteReference"/>
        </w:rPr>
        <w:footnoteReference w:id="1761"/>
      </w:r>
      <w:r>
        <w:t xml:space="preserve">. Under anesthesia, it increased heart rate and reduced heart rate variability</w:t>
      </w:r>
      <w:r>
        <w:rPr>
          <w:rStyle w:val="FootnoteReference"/>
        </w:rPr>
        <w:footnoteReference w:id="1762"/>
      </w:r>
      <w:r>
        <w:t xml:space="preserve">. There are no systematic safety data covering more than a few days.</w:t>
      </w:r>
    </w:p>
    <w:p>
      <w:pPr>
        <w:pStyle w:val="BodyText"/>
      </w:pPr>
      <w:r>
        <w:rPr>
          <w:bCs/>
          <w:b/>
        </w:rPr>
        <w:t xml:space="preserve">Theoretical:</w:t>
      </w:r>
      <w:r>
        <w:t xml:space="preserve"> </w:t>
      </w:r>
      <w:r>
        <w:t xml:space="preserve">Because neither the receptor nor the natural function has been clarified, effects and interactions – for example with sleeping pills, alcohol or opioids – can hardly be predicted.</w:t>
      </w:r>
    </w:p>
    <w:p>
      <w:pPr>
        <w:pStyle w:val="BodyText"/>
      </w:pPr>
      <w:r>
        <w:rPr>
          <w:bCs/>
          <w:b/>
        </w:rPr>
        <w:t xml:space="preserve">Gray market:</w:t>
      </w:r>
      <w:r>
        <w:t xml:space="preserve"> </w:t>
      </w:r>
      <w:r>
        <w:t xml:space="preserve">DSIP is sold online as powder for injection and advertised as a sleeping aid. The preparations used in the studies were infused into a vein; data on subcutaneous injection are lacking. The purity and content of gray-market products are unverified.</w:t>
      </w:r>
    </w:p>
    <w:p>
      <w:pPr>
        <w:pStyle w:val="BodyText"/>
      </w:pPr>
      <w:r>
        <w:rPr>
          <w:bCs/>
          <w:b/>
        </w:rPr>
        <w:t xml:space="preserve">Important:</w:t>
      </w:r>
      <w:r>
        <w:t xml:space="preserve"> </w:t>
      </w:r>
      <w:r>
        <w:t xml:space="preserve">For chronic insomnia, there are effective, well-studied treatments, above all cognitive behavioral therapy for insomnia.</w:t>
      </w:r>
    </w:p>
    <w:bookmarkEnd w:id="1763"/>
    <w:bookmarkStart w:id="1764" w:name="legal-status-38"/>
    <w:p>
      <w:pPr>
        <w:pStyle w:val="Heading3"/>
      </w:pPr>
      <w:r>
        <w:t xml:space="preserve">Legal status</w:t>
      </w:r>
    </w:p>
    <w:p>
      <w:pPr>
        <w:numPr>
          <w:ilvl w:val="0"/>
          <w:numId w:val="1213"/>
        </w:numPr>
        <w:pStyle w:val="Compact"/>
      </w:pPr>
      <w:r>
        <w:rPr>
          <w:bCs/>
          <w:b/>
        </w:rPr>
        <w:t xml:space="preserve">EU / Austria / Germany:</w:t>
      </w:r>
      <w:r>
        <w:t xml:space="preserve"> </w:t>
      </w:r>
      <w:r>
        <w:t xml:space="preserve">not approved; as a substance with a pharmacological effect, DSIP is considered a medicine, and selling it for use in humans is not permitted.</w:t>
      </w:r>
    </w:p>
    <w:p>
      <w:pPr>
        <w:numPr>
          <w:ilvl w:val="0"/>
          <w:numId w:val="1213"/>
        </w:numPr>
        <w:pStyle w:val="Compact"/>
      </w:pPr>
      <w:r>
        <w:rPr>
          <w:bCs/>
          <w:b/>
        </w:rPr>
        <w:t xml:space="preserve">USA:</w:t>
      </w:r>
      <w:r>
        <w:t xml:space="preserve"> </w:t>
      </w:r>
      <w:r>
        <w:t xml:space="preserve">not approved; in July 2026, the advisory committee PCAC narrowly voted against allowing it for pharmacy compounding. The final FDA decision was pending at the time of going to press (as of October 2026, please check for updates).</w:t>
      </w:r>
    </w:p>
    <w:p>
      <w:pPr>
        <w:numPr>
          <w:ilvl w:val="0"/>
          <w:numId w:val="1213"/>
        </w:numPr>
        <w:pStyle w:val="Compact"/>
      </w:pPr>
      <w:r>
        <w:rPr>
          <w:bCs/>
          <w:b/>
        </w:rPr>
        <w:t xml:space="preserve">Sport:</w:t>
      </w:r>
      <w:r>
        <w:t xml:space="preserve"> </w:t>
      </w:r>
      <w:r>
        <w:t xml:space="preserve">not listed by name on the WADA list (as of 2026, please check for updates).</w:t>
      </w:r>
    </w:p>
    <w:bookmarkEnd w:id="1764"/>
    <w:bookmarkStart w:id="1765" w:name="ongoing-studies-and-outlook-38"/>
    <w:p>
      <w:pPr>
        <w:pStyle w:val="Heading3"/>
      </w:pPr>
      <w:r>
        <w:t xml:space="preserve">Ongoing studies and outlook</w:t>
      </w:r>
    </w:p>
    <w:p>
      <w:pPr>
        <w:pStyle w:val="FirstParagraph"/>
      </w:pPr>
      <w:r>
        <w:rPr>
          <w:bCs/>
          <w:b/>
        </w:rPr>
        <w:t xml:space="preserve">Established:</w:t>
      </w:r>
      <w:r>
        <w:t xml:space="preserve"> </w:t>
      </w:r>
      <w:r>
        <w:t xml:space="preserve">No study with DSIP is registered on ClinicalTrials.gov (search October 2026). Since the 1990s, practically no new clinical data have been added.</w:t>
      </w:r>
    </w:p>
    <w:p>
      <w:pPr>
        <w:pStyle w:val="BodyText"/>
      </w:pPr>
      <w:r>
        <w:rPr>
          <w:bCs/>
          <w:b/>
        </w:rPr>
        <w:t xml:space="preserve">Assessment:</w:t>
      </w:r>
      <w:r>
        <w:t xml:space="preserve"> </w:t>
      </w:r>
      <w:r>
        <w:t xml:space="preserve">Without clarity about the receptor and natural function and without a modern, sufficiently large sleep study, DSIP is not expected to return as a medicine.</w:t>
      </w:r>
    </w:p>
    <w:bookmarkEnd w:id="1765"/>
    <w:bookmarkStart w:id="1766" w:name="conclusion-38"/>
    <w:p>
      <w:pPr>
        <w:pStyle w:val="Heading3"/>
      </w:pPr>
      <w:r>
        <w:t xml:space="preserve">Conclusion</w:t>
      </w:r>
    </w:p>
    <w:p>
      <w:pPr>
        <w:pStyle w:val="FirstParagraph"/>
      </w:pPr>
      <w:r>
        <w:t xml:space="preserve">DSIP was discovered in 1977 as a possible endogenous</w:t>
      </w:r>
      <w:r>
        <w:t xml:space="preserve"> </w:t>
      </w:r>
      <w:r>
        <w:t xml:space="preserve">“</w:t>
      </w:r>
      <w:r>
        <w:t xml:space="preserve">sleep substance,</w:t>
      </w:r>
      <w:r>
        <w:t xml:space="preserve">”</w:t>
      </w:r>
      <w:r>
        <w:t xml:space="preserve"> </w:t>
      </w:r>
      <w:r>
        <w:t xml:space="preserve">but its gene, receptor and natural function remain unknown to this day. Early studies by a Basel group with six to 14 people each reported better sleep; independent placebo-controlled studies found only weak effects of little clinical significance. There are hardly any newer data in humans. The data are not sufficient to regard DSIP as an effective or safe sleeping aid.</w:t>
      </w:r>
    </w:p>
    <w:bookmarkEnd w:id="1766"/>
    <w:bookmarkEnd w:id="1767"/>
    <w:bookmarkStart w:id="1797" w:name="epitalon-epithalon"/>
    <w:p>
      <w:pPr>
        <w:pStyle w:val="Heading2"/>
      </w:pPr>
      <w:r>
        <w:t xml:space="preserve">Epitalon (Epithalon)</w:t>
      </w:r>
    </w:p>
    <w:bookmarkStart w:id="1768" w:name="profile-39"/>
    <w:p>
      <w:pPr>
        <w:pStyle w:val="Heading3"/>
      </w:pPr>
      <w:r>
        <w:t xml:space="preserve">Profile</w:t>
      </w:r>
    </w:p>
    <w:p>
      <w:pPr>
        <w:numPr>
          <w:ilvl w:val="0"/>
          <w:numId w:val="1214"/>
        </w:numPr>
        <w:pStyle w:val="Compact"/>
      </w:pPr>
      <w:r>
        <w:rPr>
          <w:bCs/>
          <w:b/>
        </w:rPr>
        <w:t xml:space="preserve">Type and structure:</w:t>
      </w:r>
      <w:r>
        <w:t xml:space="preserve"> </w:t>
      </w:r>
      <w:r>
        <w:t xml:space="preserve">synthetic tetrapeptide of four amino acids: Ala-Glu-Asp-Gly (abbreviated AEDG). Spellings: Epitalon, Epithalon, Epithalone.</w:t>
      </w:r>
    </w:p>
    <w:p>
      <w:pPr>
        <w:numPr>
          <w:ilvl w:val="0"/>
          <w:numId w:val="1214"/>
        </w:numPr>
        <w:pStyle w:val="Compact"/>
      </w:pPr>
      <w:r>
        <w:rPr>
          <w:bCs/>
          <w:b/>
        </w:rPr>
        <w:t xml:space="preserve">Origin:</w:t>
      </w:r>
      <w:r>
        <w:t xml:space="preserve"> </w:t>
      </w:r>
      <w:r>
        <w:t xml:space="preserve">developed in the 1980s and 1990s at the St. Petersburg Institute of Bioregulation and Gerontology under Vladimir Khavinson. The amino acid sequence was derived from the composition of</w:t>
      </w:r>
      <w:r>
        <w:t xml:space="preserve"> </w:t>
      </w:r>
      <w:r>
        <w:rPr>
          <w:bCs/>
          <w:b/>
        </w:rPr>
        <w:t xml:space="preserve">Epithalamin</w:t>
      </w:r>
      <w:r>
        <w:t xml:space="preserve">, an extract from the pineal gland (epiphysis) of cattle. Epitalon and Epithalamin are chemically different substances.</w:t>
      </w:r>
    </w:p>
    <w:p>
      <w:pPr>
        <w:numPr>
          <w:ilvl w:val="0"/>
          <w:numId w:val="1214"/>
        </w:numPr>
        <w:pStyle w:val="Compact"/>
      </w:pPr>
      <w:r>
        <w:rPr>
          <w:bCs/>
          <w:b/>
        </w:rPr>
        <w:t xml:space="preserve">Mechanism of action:</w:t>
      </w:r>
      <w:r>
        <w:t xml:space="preserve"> </w:t>
      </w:r>
      <w:r>
        <w:t xml:space="preserve">as a</w:t>
      </w:r>
      <w:r>
        <w:t xml:space="preserve"> </w:t>
      </w:r>
      <w:r>
        <w:t xml:space="preserve">“</w:t>
      </w:r>
      <w:r>
        <w:t xml:space="preserve">peptide bioregulator,</w:t>
      </w:r>
      <w:r>
        <w:t xml:space="preserve">”</w:t>
      </w:r>
      <w:r>
        <w:t xml:space="preserve"> </w:t>
      </w:r>
      <w:r>
        <w:t xml:space="preserve">it is said to normalize the function of the pineal gland, promote melatonin production in old age and activate the enzyme telomerase, which lengthens the ends of the chromosomes (telomeres).</w:t>
      </w:r>
    </w:p>
    <w:p>
      <w:pPr>
        <w:numPr>
          <w:ilvl w:val="0"/>
          <w:numId w:val="1214"/>
        </w:numPr>
        <w:pStyle w:val="Compact"/>
      </w:pPr>
      <w:r>
        <w:rPr>
          <w:bCs/>
          <w:b/>
        </w:rPr>
        <w:t xml:space="preserve">EU approval:</w:t>
      </w:r>
      <w:r>
        <w:t xml:space="preserve"> </w:t>
      </w:r>
      <w:r>
        <w:t xml:space="preserve">no.</w:t>
      </w:r>
    </w:p>
    <w:p>
      <w:pPr>
        <w:numPr>
          <w:ilvl w:val="0"/>
          <w:numId w:val="1214"/>
        </w:numPr>
        <w:pStyle w:val="Compact"/>
      </w:pPr>
      <w:r>
        <w:rPr>
          <w:bCs/>
          <w:b/>
        </w:rPr>
        <w:t xml:space="preserve">US approval:</w:t>
      </w:r>
      <w:r>
        <w:t xml:space="preserve"> </w:t>
      </w:r>
      <w:r>
        <w:t xml:space="preserve">no. Removed from FDA</w:t>
      </w:r>
      <w:r>
        <w:t xml:space="preserve"> </w:t>
      </w:r>
      <w:r>
        <w:t xml:space="preserve">“</w:t>
      </w:r>
      <w:r>
        <w:t xml:space="preserve">Category 2</w:t>
      </w:r>
      <w:r>
        <w:t xml:space="preserve">”</w:t>
      </w:r>
      <w:r>
        <w:t xml:space="preserve"> </w:t>
      </w:r>
      <w:r>
        <w:t xml:space="preserve">in April 2026; in July 2026, the advisory committee PCAC voted 7 to 4 for inclusion in the list of permitted compounding substances, contrary to the recommendation of FDA staff. That is not approval as a medicine (as of October 2026, please check for updates).</w:t>
      </w:r>
    </w:p>
    <w:p>
      <w:pPr>
        <w:numPr>
          <w:ilvl w:val="0"/>
          <w:numId w:val="1214"/>
        </w:numPr>
        <w:pStyle w:val="Compact"/>
      </w:pPr>
      <w:r>
        <w:rPr>
          <w:bCs/>
          <w:b/>
        </w:rPr>
        <w:t xml:space="preserve">WADA:</w:t>
      </w:r>
      <w:r>
        <w:t xml:space="preserve"> </w:t>
      </w:r>
      <w:r>
        <w:t xml:space="preserve">not listed by name; as a substance not approved as a medicine anywhere, Epitalon falls in our assessment under the catch-all category S0.</w:t>
      </w:r>
    </w:p>
    <w:p>
      <w:pPr>
        <w:numPr>
          <w:ilvl w:val="0"/>
          <w:numId w:val="1214"/>
        </w:numPr>
        <w:pStyle w:val="Compact"/>
      </w:pPr>
      <w:r>
        <w:rPr>
          <w:bCs/>
          <w:b/>
        </w:rPr>
        <w:t xml:space="preserve">Evidence level:</w:t>
      </w:r>
      <w:r>
        <w:t xml:space="preserve"> </w:t>
      </w:r>
      <w:r>
        <w:rPr>
          <w:bCs/>
          <w:b/>
        </w:rPr>
        <w:t xml:space="preserve">C</w:t>
      </w:r>
      <w:r>
        <w:t xml:space="preserve"> </w:t>
      </w:r>
      <w:r>
        <w:t xml:space="preserve">– only one small controlled study with the synthetic peptide in humans; the remaining human data concern the extract Epithalamin or cells in the test tube.</w:t>
      </w:r>
    </w:p>
    <w:bookmarkEnd w:id="1768"/>
    <w:bookmarkStart w:id="1772" w:name="how-it-is-supposed-to-work-39"/>
    <w:p>
      <w:pPr>
        <w:pStyle w:val="Heading3"/>
      </w:pPr>
      <w:r>
        <w:t xml:space="preserve">How it is supposed to work</w:t>
      </w:r>
    </w:p>
    <w:p>
      <w:pPr>
        <w:pStyle w:val="FirstParagraph"/>
      </w:pPr>
      <w:r>
        <w:t xml:space="preserve">The pineal gland is a small organ in the brain that produces the hormone melatonin at night and thereby helps regulate the day-night rhythm. Melatonin production declines with age. The St. Petersburg group assumed that short peptides from organs can act as</w:t>
      </w:r>
      <w:r>
        <w:t xml:space="preserve"> </w:t>
      </w:r>
      <w:r>
        <w:t xml:space="preserve">“</w:t>
      </w:r>
      <w:r>
        <w:t xml:space="preserve">bioregulators</w:t>
      </w:r>
      <w:r>
        <w:t xml:space="preserve">”</w:t>
      </w:r>
      <w:r>
        <w:t xml:space="preserve"> </w:t>
      </w:r>
      <w:r>
        <w:t xml:space="preserve">to restore the function of precisely those organs – from the pineal gland for the pineal gland, from the thymus for the immune system (see also the chapter Thymalin in Part II · B).</w:t>
      </w:r>
    </w:p>
    <w:p>
      <w:pPr>
        <w:pStyle w:val="BodyText"/>
      </w:pPr>
      <w:r>
        <w:t xml:space="preserve">Several mechanisms are described for Epitalon, almost all from laboratory and animal experiments by the developer group:</w:t>
      </w:r>
    </w:p>
    <w:p>
      <w:pPr>
        <w:numPr>
          <w:ilvl w:val="0"/>
          <w:numId w:val="1215"/>
        </w:numPr>
        <w:pStyle w:val="Compact"/>
      </w:pPr>
      <w:r>
        <w:rPr>
          <w:bCs/>
          <w:b/>
        </w:rPr>
        <w:t xml:space="preserve">Telomerase and telomeres:</w:t>
      </w:r>
      <w:r>
        <w:t xml:space="preserve"> </w:t>
      </w:r>
      <w:r>
        <w:t xml:space="preserve">Telomeres are protective end pieces of the chromosomes that become slightly shorter with each cell division. The enzyme telomerase can lengthen them again; in most body cells it is switched off. In cultures of human fibroblasts (connective tissue cells) from fetuses, Epitalon reportedly switched on telomerase and lengthened the telomeres</w:t>
      </w:r>
      <w:r>
        <w:rPr>
          <w:rStyle w:val="FootnoteReference"/>
        </w:rPr>
        <w:footnoteReference w:id="1769"/>
      </w:r>
      <w:r>
        <w:t xml:space="preserve">.</w:t>
      </w:r>
    </w:p>
    <w:p>
      <w:pPr>
        <w:numPr>
          <w:ilvl w:val="0"/>
          <w:numId w:val="1215"/>
        </w:numPr>
        <w:pStyle w:val="Compact"/>
      </w:pPr>
      <w:r>
        <w:rPr>
          <w:bCs/>
          <w:b/>
        </w:rPr>
        <w:t xml:space="preserve">Chromatin and genes:</w:t>
      </w:r>
      <w:r>
        <w:t xml:space="preserve"> </w:t>
      </w:r>
      <w:r>
        <w:t xml:space="preserve">In lymphocytes from people aged 76 to 80, Epitalon reportedly loosened</w:t>
      </w:r>
      <w:r>
        <w:t xml:space="preserve"> </w:t>
      </w:r>
      <w:r>
        <w:t xml:space="preserve">“</w:t>
      </w:r>
      <w:r>
        <w:t xml:space="preserve">condensed</w:t>
      </w:r>
      <w:r>
        <w:t xml:space="preserve">”</w:t>
      </w:r>
      <w:r>
        <w:t xml:space="preserve"> </w:t>
      </w:r>
      <w:r>
        <w:t xml:space="preserve">genetic material again in the test tube and activated silenced genes</w:t>
      </w:r>
      <w:r>
        <w:rPr>
          <w:rStyle w:val="FootnoteReference"/>
        </w:rPr>
        <w:footnoteReference w:id="1770"/>
      </w:r>
      <w:r>
        <w:t xml:space="preserve">. The group postulates that short peptides bind directly to DNA.</w:t>
      </w:r>
    </w:p>
    <w:p>
      <w:pPr>
        <w:numPr>
          <w:ilvl w:val="0"/>
          <w:numId w:val="1215"/>
        </w:numPr>
        <w:pStyle w:val="Compact"/>
      </w:pPr>
      <w:r>
        <w:rPr>
          <w:bCs/>
          <w:b/>
        </w:rPr>
        <w:t xml:space="preserve">Melatonin:</w:t>
      </w:r>
      <w:r>
        <w:t xml:space="preserve"> </w:t>
      </w:r>
      <w:r>
        <w:t xml:space="preserve">In cell cultures and in animals, Epitalon influenced melatonin production.</w:t>
      </w:r>
    </w:p>
    <w:p>
      <w:pPr>
        <w:pStyle w:val="FirstParagraph"/>
      </w:pPr>
      <w:r>
        <w:t xml:space="preserve">A 2025 review summarizes that, despite 25 years of research, it remains unclear whether these mechanisms are the only ones, and that there are only a few fundamental physicochemical and structural studies of the peptide</w:t>
      </w:r>
      <w:r>
        <w:rPr>
          <w:rStyle w:val="FootnoteReference"/>
        </w:rPr>
        <w:footnoteReference w:id="1771"/>
      </w:r>
      <w:r>
        <w:t xml:space="preserve">.</w:t>
      </w:r>
    </w:p>
    <w:bookmarkEnd w:id="1772"/>
    <w:bookmarkStart w:id="1783" w:name="human-studies-39"/>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only</w:t>
      </w:r>
      <w:r>
        <w:t xml:space="preserve"> </w:t>
      </w:r>
      <w:r>
        <w:rPr>
          <w:bCs/>
          <w:b/>
        </w:rPr>
        <w:t xml:space="preserve">one</w:t>
      </w:r>
      <w:r>
        <w:t xml:space="preserve"> </w:t>
      </w:r>
      <w:r>
        <w:t xml:space="preserve">publication on Epitalon classified as a human study; in total, PubMed lists around 120 papers for the search terms, the vast majority animal and cell studies from St. Petersburg. One study is registered on ClinicalTrials.gov (see Outlook). A recent independent review reaches the same conclusion: human data on synthetic Epitalon are limited to small physiological or biomarker studies and an older controlled study in retinitis pigmentosa; no sufficiently large randomized trial has demonstrated therapeutic efficacy</w:t>
      </w:r>
      <w:r>
        <w:rPr>
          <w:rStyle w:val="FootnoteReference"/>
        </w:rPr>
        <w:footnoteReference w:id="17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Substance studied and design</w:t>
            </w:r>
          </w:p>
        </w:tc>
        <w:tc>
          <w:tcPr/>
          <w:p>
            <w:pPr>
              <w:pStyle w:val="Compact"/>
              <w:jc w:val="left"/>
            </w:pPr>
            <w:r>
              <w:t xml:space="preserve">Participants</w:t>
            </w:r>
          </w:p>
        </w:tc>
        <w:tc>
          <w:tcPr/>
          <w:p>
            <w:pPr>
              <w:pStyle w:val="Compact"/>
              <w:jc w:val="left"/>
            </w:pPr>
            <w:r>
              <w:t xml:space="preserve">Result</w:t>
            </w:r>
          </w:p>
        </w:tc>
      </w:tr>
      <w:tr>
        <w:tc>
          <w:tcPr/>
          <w:p>
            <w:pPr>
              <w:pStyle w:val="Compact"/>
              <w:jc w:val="left"/>
            </w:pPr>
            <w:r>
              <w:t xml:space="preserve">Khavinson 2002, PMID 12195242</w:t>
            </w:r>
          </w:p>
        </w:tc>
        <w:tc>
          <w:tcPr/>
          <w:p>
            <w:pPr>
              <w:pStyle w:val="Compact"/>
              <w:jc w:val="left"/>
            </w:pPr>
            <w:r>
              <w:t xml:space="preserve">Epitalon, controlled study in hereditary retinal degeneration (retinitis pigmentosa)</w:t>
            </w:r>
          </w:p>
        </w:tc>
        <w:tc>
          <w:tcPr/>
          <w:p>
            <w:pPr>
              <w:pStyle w:val="Compact"/>
              <w:jc w:val="left"/>
            </w:pPr>
            <w:r>
              <w:t xml:space="preserve">not stated in the abstract</w:t>
            </w:r>
          </w:p>
        </w:tc>
        <w:tc>
          <w:tcPr/>
          <w:p>
            <w:pPr>
              <w:pStyle w:val="Compact"/>
              <w:jc w:val="left"/>
            </w:pPr>
            <w:r>
              <w:t xml:space="preserve">“</w:t>
            </w:r>
            <w:r>
              <w:t xml:space="preserve">positive clinical effect in 90% of cases</w:t>
            </w:r>
            <w:r>
              <w:t xml:space="preserve">”</w:t>
            </w:r>
          </w:p>
        </w:tc>
      </w:tr>
      <w:tr>
        <w:tc>
          <w:tcPr/>
          <w:p>
            <w:pPr>
              <w:pStyle w:val="Compact"/>
              <w:jc w:val="left"/>
            </w:pPr>
            <w:r>
              <w:t xml:space="preserve">Khavinson 2003, PMID 14523363</w:t>
            </w:r>
          </w:p>
        </w:tc>
        <w:tc>
          <w:tcPr/>
          <w:p>
            <w:pPr>
              <w:pStyle w:val="Compact"/>
              <w:jc w:val="left"/>
            </w:pPr>
            <w:r>
              <w:t xml:space="preserve">Epithalamin (extract) and Thymalin in older people, control group</w:t>
            </w:r>
          </w:p>
        </w:tc>
        <w:tc>
          <w:tcPr/>
          <w:p>
            <w:pPr>
              <w:pStyle w:val="Compact"/>
              <w:jc w:val="left"/>
            </w:pPr>
            <w:r>
              <w:t xml:space="preserve">266 people, 6–8 years</w:t>
            </w:r>
          </w:p>
        </w:tc>
        <w:tc>
          <w:tcPr/>
          <w:p>
            <w:pPr>
              <w:pStyle w:val="Compact"/>
              <w:jc w:val="left"/>
            </w:pPr>
            <w:r>
              <w:t xml:space="preserve">according to the authors, 1.6- to 1.8-fold lower mortality on Epithalamin</w:t>
            </w:r>
          </w:p>
        </w:tc>
      </w:tr>
      <w:tr>
        <w:tc>
          <w:tcPr/>
          <w:p>
            <w:pPr>
              <w:pStyle w:val="Compact"/>
              <w:jc w:val="left"/>
            </w:pPr>
            <w:r>
              <w:t xml:space="preserve">Labunets 2004, PMID 15455130</w:t>
            </w:r>
          </w:p>
        </w:tc>
        <w:tc>
          <w:tcPr/>
          <w:p>
            <w:pPr>
              <w:pStyle w:val="Compact"/>
              <w:jc w:val="left"/>
            </w:pPr>
            <w:r>
              <w:t xml:space="preserve">Epithalamin, course in older people</w:t>
            </w:r>
          </w:p>
        </w:tc>
        <w:tc>
          <w:tcPr/>
          <w:p>
            <w:pPr>
              <w:pStyle w:val="Compact"/>
              <w:jc w:val="left"/>
            </w:pPr>
            <w:r>
              <w:t xml:space="preserve">not stated in the abstract</w:t>
            </w:r>
          </w:p>
        </w:tc>
        <w:tc>
          <w:tcPr/>
          <w:p>
            <w:pPr>
              <w:pStyle w:val="Compact"/>
              <w:jc w:val="left"/>
            </w:pPr>
            <w:r>
              <w:t xml:space="preserve">melatonin rhythm and thymic factor</w:t>
            </w:r>
            <w:r>
              <w:t xml:space="preserve"> </w:t>
            </w:r>
            <w:r>
              <w:t xml:space="preserve">“</w:t>
            </w:r>
            <w:r>
              <w:t xml:space="preserve">younger</w:t>
            </w:r>
            <w:r>
              <w:t xml:space="preserve">”</w:t>
            </w:r>
          </w:p>
        </w:tc>
      </w:tr>
      <w:tr>
        <w:tc>
          <w:tcPr/>
          <w:p>
            <w:pPr>
              <w:pStyle w:val="Compact"/>
              <w:jc w:val="left"/>
            </w:pPr>
            <w:r>
              <w:t xml:space="preserve">Khavinson 2019, PMID 31761987</w:t>
            </w:r>
          </w:p>
        </w:tc>
        <w:tc>
          <w:tcPr/>
          <w:p>
            <w:pPr>
              <w:pStyle w:val="Compact"/>
              <w:jc w:val="left"/>
            </w:pPr>
            <w:r>
              <w:t xml:space="preserve">AEDG in the test tube on blood cells</w:t>
            </w:r>
          </w:p>
        </w:tc>
        <w:tc>
          <w:tcPr/>
          <w:p>
            <w:pPr>
              <w:pStyle w:val="Compact"/>
              <w:jc w:val="left"/>
            </w:pPr>
            <w:r>
              <w:t xml:space="preserve">11 men (cell samples)</w:t>
            </w:r>
          </w:p>
        </w:tc>
        <w:tc>
          <w:tcPr/>
          <w:p>
            <w:pPr>
              <w:pStyle w:val="Compact"/>
              <w:jc w:val="left"/>
            </w:pPr>
            <w:r>
              <w:t xml:space="preserve">telomere length longer in 5 cases, shorter in 2 cases</w:t>
            </w:r>
          </w:p>
        </w:tc>
      </w:tr>
    </w:tbl>
    <w:bookmarkStart w:id="1775" w:name="the-one-study-with-epitalon"/>
    <w:p>
      <w:pPr>
        <w:pStyle w:val="Heading4"/>
      </w:pPr>
      <w:r>
        <w:t xml:space="preserve">The one study with Epitalon</w:t>
      </w:r>
    </w:p>
    <w:p>
      <w:pPr>
        <w:pStyle w:val="FirstParagraph"/>
      </w:pPr>
      <w:r>
        <w:t xml:space="preserve">In the only clinical study with synthetic Epitalon, people with retinitis pigmentosa were treated, a hereditary disease in which the retina gradually dies. The abstract reports a</w:t>
      </w:r>
      <w:r>
        <w:t xml:space="preserve"> </w:t>
      </w:r>
      <w:r>
        <w:t xml:space="preserve">“</w:t>
      </w:r>
      <w:r>
        <w:t xml:space="preserve">positive clinical effect in 90% of cases</w:t>
      </w:r>
      <w:r>
        <w:t xml:space="preserve">”</w:t>
      </w:r>
      <w:r>
        <w:t xml:space="preserve"> </w:t>
      </w:r>
      <w:r>
        <w:t xml:space="preserve">but states neither the number of participants nor the criterion for</w:t>
      </w:r>
      <w:r>
        <w:t xml:space="preserve"> </w:t>
      </w:r>
      <w:r>
        <w:t xml:space="preserve">“</w:t>
      </w:r>
      <w:r>
        <w:t xml:space="preserve">positive</w:t>
      </w:r>
      <w:r>
        <w:t xml:space="preserve">”</w:t>
      </w:r>
      <w:r>
        <w:t xml:space="preserve"> </w:t>
      </w:r>
      <w:r>
        <w:t xml:space="preserve">or the results of the control group</w:t>
      </w:r>
      <w:r>
        <w:rPr>
          <w:rStyle w:val="FootnoteReference"/>
        </w:rPr>
        <w:footnoteReference w:id="1774"/>
      </w:r>
      <w:r>
        <w:t xml:space="preserve">. The finding has not been independently confirmed; Epitalon plays no role in the treatment of retinitis pigmentosa.</w:t>
      </w:r>
    </w:p>
    <w:bookmarkEnd w:id="1775"/>
    <w:bookmarkStart w:id="1777" w:name="the-longevity-study-with-epithalamin"/>
    <w:p>
      <w:pPr>
        <w:pStyle w:val="Heading4"/>
      </w:pPr>
      <w:r>
        <w:t xml:space="preserve">The longevity study with Epithalamin</w:t>
      </w:r>
    </w:p>
    <w:p>
      <w:pPr>
        <w:pStyle w:val="FirstParagraph"/>
      </w:pPr>
      <w:r>
        <w:t xml:space="preserve">The most-cited human study on the internet –</w:t>
      </w:r>
      <w:r>
        <w:t xml:space="preserve"> </w:t>
      </w:r>
      <w:r>
        <w:t xml:space="preserve">“</w:t>
      </w:r>
      <w:r>
        <w:t xml:space="preserve">pineal peptides extend human life</w:t>
      </w:r>
      <w:r>
        <w:t xml:space="preserve">”</w:t>
      </w:r>
      <w:r>
        <w:t xml:space="preserve"> </w:t>
      </w:r>
      <w:r>
        <w:t xml:space="preserve">– concerns not Epitalon but the animal extract Epithalamin. Researchers from St. Petersburg and Kyiv followed 266 older people for six to eight years; in the first two to three years, parts of the group received Thymalin, Epithalamin or both. According to the abstract, mortality fell 1.6- to 1.8-fold on Epithalamin, 2.5-fold on the combination, and with annual combination treatment over six years even 4.1-fold</w:t>
      </w:r>
      <w:r>
        <w:rPr>
          <w:rStyle w:val="FootnoteReference"/>
        </w:rPr>
        <w:footnoteReference w:id="1776"/>
      </w:r>
      <w:r>
        <w:t xml:space="preserve">.</w:t>
      </w:r>
    </w:p>
    <w:p>
      <w:pPr>
        <w:pStyle w:val="BodyText"/>
      </w:pPr>
      <w:r>
        <w:t xml:space="preserve">Such effects would be extraordinary – greater than for almost any measure of modern medicine. All the more important are the limitations:</w:t>
      </w:r>
    </w:p>
    <w:p>
      <w:pPr>
        <w:numPr>
          <w:ilvl w:val="0"/>
          <w:numId w:val="1216"/>
        </w:numPr>
        <w:pStyle w:val="Compact"/>
      </w:pPr>
      <w:r>
        <w:t xml:space="preserve">The abstract describes neither randomization nor blinding. It is not apparent how the control group was selected.</w:t>
      </w:r>
    </w:p>
    <w:p>
      <w:pPr>
        <w:numPr>
          <w:ilvl w:val="0"/>
          <w:numId w:val="1216"/>
        </w:numPr>
        <w:pStyle w:val="Compact"/>
      </w:pPr>
      <w:r>
        <w:t xml:space="preserve">The group sizes of the individual arms and absolute numbers of deaths are not stated.</w:t>
      </w:r>
    </w:p>
    <w:p>
      <w:pPr>
        <w:numPr>
          <w:ilvl w:val="0"/>
          <w:numId w:val="1216"/>
        </w:numPr>
        <w:pStyle w:val="Compact"/>
      </w:pPr>
      <w:r>
        <w:t xml:space="preserve">The study was never registered, and there is no independent replication.</w:t>
      </w:r>
    </w:p>
    <w:p>
      <w:pPr>
        <w:numPr>
          <w:ilvl w:val="0"/>
          <w:numId w:val="1216"/>
        </w:numPr>
        <w:pStyle w:val="Compact"/>
      </w:pPr>
      <w:r>
        <w:t xml:space="preserve">The results come from the developers of the preparations.</w:t>
      </w:r>
    </w:p>
    <w:p>
      <w:pPr>
        <w:pStyle w:val="FirstParagraph"/>
      </w:pPr>
      <w:r>
        <w:t xml:space="preserve">In nonrandomized observations, even small differences between groups – such as who was healthier or better cared for – can produce large apparent effects on mortality. In any case, nothing can be inferred from this study about Epitalon itself, because a different substance was studied.</w:t>
      </w:r>
    </w:p>
    <w:bookmarkEnd w:id="1777"/>
    <w:bookmarkStart w:id="1782" w:name="fact-checking-the-telomere-claim"/>
    <w:p>
      <w:pPr>
        <w:pStyle w:val="Heading4"/>
      </w:pPr>
      <w:r>
        <w:t xml:space="preserve">Fact-checking the telomere claim</w:t>
      </w:r>
    </w:p>
    <w:p>
      <w:pPr>
        <w:pStyle w:val="FirstParagraph"/>
      </w:pPr>
      <w:r>
        <w:t xml:space="preserve">On the internet, Epitalon is frequently advertised as an agent that</w:t>
      </w:r>
      <w:r>
        <w:t xml:space="preserve"> </w:t>
      </w:r>
      <w:r>
        <w:t xml:space="preserve">“</w:t>
      </w:r>
      <w:r>
        <w:t xml:space="preserve">lengthens telomeres</w:t>
      </w:r>
      <w:r>
        <w:t xml:space="preserve">”</w:t>
      </w:r>
      <w:r>
        <w:t xml:space="preserve"> </w:t>
      </w:r>
      <w:r>
        <w:t xml:space="preserve">and thereby</w:t>
      </w:r>
      <w:r>
        <w:t xml:space="preserve"> </w:t>
      </w:r>
      <w:r>
        <w:t xml:space="preserve">“</w:t>
      </w:r>
      <w:r>
        <w:t xml:space="preserve">turns back the biological clock.</w:t>
      </w:r>
      <w:r>
        <w:t xml:space="preserve">”</w:t>
      </w:r>
      <w:r>
        <w:t xml:space="preserve"> </w:t>
      </w:r>
      <w:r>
        <w:t xml:space="preserve">What part of this is established?</w:t>
      </w:r>
    </w:p>
    <w:p>
      <w:pPr>
        <w:numPr>
          <w:ilvl w:val="0"/>
          <w:numId w:val="1217"/>
        </w:numPr>
        <w:pStyle w:val="Compact"/>
      </w:pPr>
      <w:r>
        <w:rPr>
          <w:bCs/>
          <w:b/>
        </w:rPr>
        <w:t xml:space="preserve">Cell culture from St. Petersburg:</w:t>
      </w:r>
      <w:r>
        <w:t xml:space="preserve"> </w:t>
      </w:r>
      <w:r>
        <w:t xml:space="preserve">In human fetal fibroblasts, Epitalon triggered telomerase activity and telomere lengthening</w:t>
      </w:r>
      <w:r>
        <w:rPr>
          <w:rStyle w:val="FootnoteReference"/>
        </w:rPr>
        <w:footnoteReference w:id="1778"/>
      </w:r>
      <w:r>
        <w:t xml:space="preserve">; in a follow-up paper, treated cells underwent ten additional divisions beyond their usual limit</w:t>
      </w:r>
      <w:r>
        <w:rPr>
          <w:rStyle w:val="FootnoteReference"/>
        </w:rPr>
        <w:footnoteReference w:id="1779"/>
      </w:r>
      <w:r>
        <w:t xml:space="preserve">. Both papers are published very briefly, without detailed methods in the abstract.</w:t>
      </w:r>
    </w:p>
    <w:p>
      <w:pPr>
        <w:numPr>
          <w:ilvl w:val="0"/>
          <w:numId w:val="1217"/>
        </w:numPr>
        <w:pStyle w:val="Compact"/>
      </w:pPr>
      <w:r>
        <w:rPr>
          <w:bCs/>
          <w:b/>
        </w:rPr>
        <w:t xml:space="preserve">Independent cell study:</w:t>
      </w:r>
      <w:r>
        <w:t xml:space="preserve"> </w:t>
      </w:r>
      <w:r>
        <w:t xml:space="preserve">In 2025, a research group outside Russia likewise found dose-dependently longer telomeres in normal human epithelial and connective tissue cells. In breast cancer cell lines, the telomeres also lengthened – there via an alternative mechanism (ALT) that is typical of cancer cells</w:t>
      </w:r>
      <w:r>
        <w:rPr>
          <w:rStyle w:val="FootnoteReference"/>
        </w:rPr>
        <w:footnoteReference w:id="1780"/>
      </w:r>
      <w:r>
        <w:t xml:space="preserve">.</w:t>
      </w:r>
    </w:p>
    <w:p>
      <w:pPr>
        <w:numPr>
          <w:ilvl w:val="0"/>
          <w:numId w:val="1217"/>
        </w:numPr>
        <w:pStyle w:val="Compact"/>
      </w:pPr>
      <w:r>
        <w:rPr>
          <w:bCs/>
          <w:b/>
        </w:rPr>
        <w:t xml:space="preserve">Human blood cells in the test tube:</w:t>
      </w:r>
      <w:r>
        <w:t xml:space="preserve"> </w:t>
      </w:r>
      <w:r>
        <w:t xml:space="preserve">In blood cells from eleven men, the telomeres lengthened after contact with the peptide in five cases and shortened in two cases; the authors interpret this as</w:t>
      </w:r>
      <w:r>
        <w:t xml:space="preserve"> </w:t>
      </w:r>
      <w:r>
        <w:t xml:space="preserve">“</w:t>
      </w:r>
      <w:r>
        <w:t xml:space="preserve">normalization</w:t>
      </w:r>
      <w:r>
        <w:t xml:space="preserve">”</w:t>
      </w:r>
      <w:r>
        <w:rPr>
          <w:rStyle w:val="FootnoteReference"/>
        </w:rPr>
        <w:footnoteReference w:id="1781"/>
      </w:r>
      <w:r>
        <w:t xml:space="preserve">.</w:t>
      </w:r>
    </w:p>
    <w:p>
      <w:pPr>
        <w:numPr>
          <w:ilvl w:val="0"/>
          <w:numId w:val="1217"/>
        </w:numPr>
        <w:pStyle w:val="Compact"/>
      </w:pPr>
      <w:r>
        <w:rPr>
          <w:bCs/>
          <w:b/>
        </w:rPr>
        <w:t xml:space="preserve">In living humans:</w:t>
      </w:r>
      <w:r>
        <w:t xml:space="preserve"> </w:t>
      </w:r>
      <w:r>
        <w:t xml:space="preserve">There is no published controlled study showing that Epitalon changes telomere length in human blood or tissue – let alone one demonstrating a health benefit of such a change.</w:t>
      </w:r>
    </w:p>
    <w:p>
      <w:pPr>
        <w:pStyle w:val="FirstParagraph"/>
      </w:pPr>
      <w:r>
        <w:t xml:space="preserve">In addition: although telomere length is linked to age, it is not a reliable measure of an individual person’s</w:t>
      </w:r>
      <w:r>
        <w:t xml:space="preserve"> </w:t>
      </w:r>
      <w:r>
        <w:t xml:space="preserve">“</w:t>
      </w:r>
      <w:r>
        <w:t xml:space="preserve">biological clock.</w:t>
      </w:r>
      <w:r>
        <w:t xml:space="preserve">”</w:t>
      </w:r>
      <w:r>
        <w:t xml:space="preserve"> </w:t>
      </w:r>
      <w:r>
        <w:t xml:space="preserve">And a persistently activated telomerase is a hallmark of the vast majority of cancers. The ability to lengthen telomeres is therefore not automatically an advantage (see Risks).</w:t>
      </w:r>
    </w:p>
    <w:bookmarkEnd w:id="1782"/>
    <w:bookmarkEnd w:id="1783"/>
    <w:bookmarkStart w:id="1788" w:name="animal-and-laboratory-studies-39"/>
    <w:p>
      <w:pPr>
        <w:pStyle w:val="Heading3"/>
      </w:pPr>
      <w:r>
        <w:t xml:space="preserve">Animal and laboratory studies</w:t>
      </w:r>
    </w:p>
    <w:p>
      <w:pPr>
        <w:numPr>
          <w:ilvl w:val="0"/>
          <w:numId w:val="1218"/>
        </w:numPr>
        <w:pStyle w:val="Compact"/>
      </w:pPr>
      <w:r>
        <w:rPr>
          <w:bCs/>
          <w:b/>
        </w:rPr>
        <w:t xml:space="preserve">Lifespan in mice:</w:t>
      </w:r>
      <w:r>
        <w:t xml:space="preserve"> </w:t>
      </w:r>
      <w:r>
        <w:t xml:space="preserve">In the most important animal study, 54 female mice each received Epitalon or saline monthly throughout life. The</w:t>
      </w:r>
      <w:r>
        <w:t xml:space="preserve"> </w:t>
      </w:r>
      <w:r>
        <w:rPr>
          <w:bCs/>
          <w:b/>
        </w:rPr>
        <w:t xml:space="preserve">mean lifespan</w:t>
      </w:r>
      <w:r>
        <w:t xml:space="preserve"> </w:t>
      </w:r>
      <w:r>
        <w:t xml:space="preserve">did</w:t>
      </w:r>
      <w:r>
        <w:t xml:space="preserve"> </w:t>
      </w:r>
      <w:r>
        <w:rPr>
          <w:bCs/>
          <w:b/>
        </w:rPr>
        <w:t xml:space="preserve">not</w:t>
      </w:r>
      <w:r>
        <w:t xml:space="preserve"> </w:t>
      </w:r>
      <w:r>
        <w:t xml:space="preserve">differ; only the last 10% of survivors lived 13.3% longer, and the maximum lifespan was 12.3% higher. The total number of spontaneous tumors was the same; leukemias occurred less often</w:t>
      </w:r>
      <w:r>
        <w:rPr>
          <w:rStyle w:val="FootnoteReference"/>
        </w:rPr>
        <w:footnoteReference w:id="1784"/>
      </w:r>
      <w:r>
        <w:t xml:space="preserve">.</w:t>
      </w:r>
    </w:p>
    <w:p>
      <w:pPr>
        <w:numPr>
          <w:ilvl w:val="0"/>
          <w:numId w:val="1218"/>
        </w:numPr>
        <w:pStyle w:val="Compact"/>
      </w:pPr>
      <w:r>
        <w:rPr>
          <w:bCs/>
          <w:b/>
        </w:rPr>
        <w:t xml:space="preserve">Fruit flies:</w:t>
      </w:r>
      <w:r>
        <w:t xml:space="preserve"> </w:t>
      </w:r>
      <w:r>
        <w:t xml:space="preserve">A longer lifespan was also reported in fruit flies</w:t>
      </w:r>
      <w:r>
        <w:rPr>
          <w:rStyle w:val="FootnoteReference"/>
        </w:rPr>
        <w:footnoteReference w:id="1785"/>
      </w:r>
      <w:r>
        <w:t xml:space="preserve">.</w:t>
      </w:r>
    </w:p>
    <w:p>
      <w:pPr>
        <w:numPr>
          <w:ilvl w:val="0"/>
          <w:numId w:val="1218"/>
        </w:numPr>
        <w:pStyle w:val="Compact"/>
      </w:pPr>
      <w:r>
        <w:rPr>
          <w:bCs/>
          <w:b/>
        </w:rPr>
        <w:t xml:space="preserve">Retina:</w:t>
      </w:r>
      <w:r>
        <w:t xml:space="preserve"> </w:t>
      </w:r>
      <w:r>
        <w:t xml:space="preserve">In rats with hereditary retinal degeneration, retinal structure was better preserved on Epitalon</w:t>
      </w:r>
      <w:r>
        <w:rPr>
          <w:rStyle w:val="FootnoteReference"/>
        </w:rPr>
        <w:footnoteReference w:id="1786"/>
      </w:r>
      <w:r>
        <w:t xml:space="preserve">.</w:t>
      </w:r>
    </w:p>
    <w:p>
      <w:pPr>
        <w:numPr>
          <w:ilvl w:val="0"/>
          <w:numId w:val="1218"/>
        </w:numPr>
        <w:pStyle w:val="Compact"/>
      </w:pPr>
      <w:r>
        <w:rPr>
          <w:bCs/>
          <w:b/>
        </w:rPr>
        <w:t xml:space="preserve">Oocytes:</w:t>
      </w:r>
      <w:r>
        <w:t xml:space="preserve"> </w:t>
      </w:r>
      <w:r>
        <w:t xml:space="preserve">In cultures of aged mouse oocytes, Epitalon reduced damage from oxidative stress</w:t>
      </w:r>
      <w:r>
        <w:rPr>
          <w:rStyle w:val="FootnoteReference"/>
        </w:rPr>
        <w:footnoteReference w:id="1787"/>
      </w:r>
      <w:r>
        <w:t xml:space="preserve">.</w:t>
      </w:r>
    </w:p>
    <w:p>
      <w:pPr>
        <w:pStyle w:val="FirstParagraph"/>
      </w:pPr>
      <w:r>
        <w:t xml:space="preserve">The majority of these studies come from the group around Khavinson and Anisimov, mostly in Russian journals or in journals in which the group itself frequently published. Independent replications are rare.</w:t>
      </w:r>
    </w:p>
    <w:bookmarkEnd w:id="1788"/>
    <w:bookmarkStart w:id="1792" w:name="risks-and-side-effects-39"/>
    <w:p>
      <w:pPr>
        <w:pStyle w:val="Heading3"/>
      </w:pPr>
      <w:r>
        <w:t xml:space="preserve">Risks and side effects</w:t>
      </w:r>
    </w:p>
    <w:p>
      <w:pPr>
        <w:pStyle w:val="FirstParagraph"/>
      </w:pPr>
      <w:r>
        <w:rPr>
          <w:bCs/>
          <w:b/>
        </w:rPr>
        <w:t xml:space="preserve">Established:</w:t>
      </w:r>
      <w:r>
        <w:t xml:space="preserve"> </w:t>
      </w:r>
      <w:r>
        <w:t xml:space="preserve">There are no systematically collected safety data on Epitalon in humans.</w:t>
      </w:r>
    </w:p>
    <w:p>
      <w:pPr>
        <w:pStyle w:val="BodyText"/>
      </w:pPr>
      <w:r>
        <w:rPr>
          <w:bCs/>
          <w:b/>
        </w:rPr>
        <w:t xml:space="preserve">Theoretical:</w:t>
      </w:r>
    </w:p>
    <w:p>
      <w:pPr>
        <w:numPr>
          <w:ilvl w:val="0"/>
          <w:numId w:val="1219"/>
        </w:numPr>
        <w:pStyle w:val="Compact"/>
      </w:pPr>
      <w:r>
        <w:rPr>
          <w:bCs/>
          <w:b/>
        </w:rPr>
        <w:t xml:space="preserve">Cancer:</w:t>
      </w:r>
      <w:r>
        <w:t xml:space="preserve"> </w:t>
      </w:r>
      <w:r>
        <w:t xml:space="preserve">Telomerase activation is a central feature of cancer cells. A substance intended to switch on telomerase could theoretically favor the growth of already existing, undetected cancer cells. In the independent cell study, the telomeres of breast cancer cells also lengthened</w:t>
      </w:r>
      <w:r>
        <w:rPr>
          <w:rStyle w:val="FootnoteReference"/>
        </w:rPr>
        <w:footnoteReference w:id="1789"/>
      </w:r>
      <w:r>
        <w:t xml:space="preserve">. The mouse study found no increase in spontaneous tumors</w:t>
      </w:r>
      <w:r>
        <w:rPr>
          <w:rStyle w:val="FootnoteReference"/>
        </w:rPr>
        <w:footnoteReference w:id="1790"/>
      </w:r>
      <w:r>
        <w:t xml:space="preserve">, but animal data cannot be extrapolated to decades of human use.</w:t>
      </w:r>
    </w:p>
    <w:p>
      <w:pPr>
        <w:numPr>
          <w:ilvl w:val="0"/>
          <w:numId w:val="1219"/>
        </w:numPr>
        <w:pStyle w:val="Compact"/>
      </w:pPr>
      <w:r>
        <w:rPr>
          <w:bCs/>
          <w:b/>
        </w:rPr>
        <w:t xml:space="preserve">Hormonal system:</w:t>
      </w:r>
      <w:r>
        <w:t xml:space="preserve"> </w:t>
      </w:r>
      <w:r>
        <w:t xml:space="preserve">An influence on melatonin and the pineal gland can alter sleep and hormonal rhythms; this has not been studied in humans.</w:t>
      </w:r>
    </w:p>
    <w:p>
      <w:pPr>
        <w:pStyle w:val="FirstParagraph"/>
      </w:pPr>
      <w:r>
        <w:rPr>
          <w:bCs/>
          <w:b/>
        </w:rPr>
        <w:t xml:space="preserve">Gray market:</w:t>
      </w:r>
      <w:r>
        <w:t xml:space="preserve"> </w:t>
      </w:r>
      <w:r>
        <w:t xml:space="preserve">Epitalon is one of the best-selling</w:t>
      </w:r>
      <w:r>
        <w:t xml:space="preserve"> </w:t>
      </w:r>
      <w:r>
        <w:t xml:space="preserve">“</w:t>
      </w:r>
      <w:r>
        <w:t xml:space="preserve">longevity peptides</w:t>
      </w:r>
      <w:r>
        <w:t xml:space="preserve">”</w:t>
      </w:r>
      <w:r>
        <w:t xml:space="preserve"> </w:t>
      </w:r>
      <w:r>
        <w:t xml:space="preserve">and is offered as powder for injection or as nasal spray. Purity, content and sterility are unverified. An independent review cites unresolved questions about product quality, immune reactions and cancer risk</w:t>
      </w:r>
      <w:r>
        <w:rPr>
          <w:rStyle w:val="FootnoteReference"/>
        </w:rPr>
        <w:footnoteReference w:id="1791"/>
      </w:r>
      <w:r>
        <w:t xml:space="preserve">.</w:t>
      </w:r>
    </w:p>
    <w:bookmarkEnd w:id="1792"/>
    <w:bookmarkStart w:id="1793" w:name="legal-status-39"/>
    <w:p>
      <w:pPr>
        <w:pStyle w:val="Heading3"/>
      </w:pPr>
      <w:r>
        <w:t xml:space="preserve">Legal status</w:t>
      </w:r>
    </w:p>
    <w:p>
      <w:pPr>
        <w:numPr>
          <w:ilvl w:val="0"/>
          <w:numId w:val="1220"/>
        </w:numPr>
        <w:pStyle w:val="Compact"/>
      </w:pPr>
      <w:r>
        <w:rPr>
          <w:bCs/>
          <w:b/>
        </w:rPr>
        <w:t xml:space="preserve">EU / Austria / Germany:</w:t>
      </w:r>
      <w:r>
        <w:t xml:space="preserve"> </w:t>
      </w:r>
      <w:r>
        <w:t xml:space="preserve">not approved; as a substance with a pharmacological effect, Epitalon is considered a medicine, and selling it for use in humans is not permitted.</w:t>
      </w:r>
    </w:p>
    <w:p>
      <w:pPr>
        <w:numPr>
          <w:ilvl w:val="0"/>
          <w:numId w:val="1220"/>
        </w:numPr>
        <w:pStyle w:val="Compact"/>
      </w:pPr>
      <w:r>
        <w:rPr>
          <w:bCs/>
          <w:b/>
        </w:rPr>
        <w:t xml:space="preserve">USA:</w:t>
      </w:r>
      <w:r>
        <w:t xml:space="preserve"> </w:t>
      </w:r>
      <w:r>
        <w:t xml:space="preserve">not approved. Following the vote of the advisory committee PCAC in July 2026, Epitalon could in future be permitted for use in pharmacy compounding if the FDA follows it; the process had not been completed at the time of going to press (as of October 2026, please check for updates).</w:t>
      </w:r>
    </w:p>
    <w:p>
      <w:pPr>
        <w:numPr>
          <w:ilvl w:val="0"/>
          <w:numId w:val="1220"/>
        </w:numPr>
        <w:pStyle w:val="Compact"/>
      </w:pPr>
      <w:r>
        <w:rPr>
          <w:bCs/>
          <w:b/>
        </w:rPr>
        <w:t xml:space="preserve">Russia:</w:t>
      </w:r>
      <w:r>
        <w:t xml:space="preserve"> </w:t>
      </w:r>
      <w:r>
        <w:t xml:space="preserve">In Russia, peptide bioregulators are in some cases marketed as dietary supplements; to our knowledge, Epitalon itself is not registered there as a medicine (please check for updates).</w:t>
      </w:r>
    </w:p>
    <w:p>
      <w:pPr>
        <w:numPr>
          <w:ilvl w:val="0"/>
          <w:numId w:val="1220"/>
        </w:numPr>
        <w:pStyle w:val="Compact"/>
      </w:pPr>
      <w:r>
        <w:rPr>
          <w:bCs/>
          <w:b/>
        </w:rPr>
        <w:t xml:space="preserve">Sport:</w:t>
      </w:r>
      <w:r>
        <w:t xml:space="preserve"> </w:t>
      </w:r>
      <w:r>
        <w:t xml:space="preserve">in our assessment WADA category S0 (as of 2026, please check for updates).</w:t>
      </w:r>
    </w:p>
    <w:bookmarkEnd w:id="1793"/>
    <w:bookmarkStart w:id="1795" w:name="ongoing-studies-and-outlook-39"/>
    <w:p>
      <w:pPr>
        <w:pStyle w:val="Heading3"/>
      </w:pPr>
      <w:r>
        <w:t xml:space="preserve">Ongoing studies and outlook</w:t>
      </w:r>
    </w:p>
    <w:p>
      <w:pPr>
        <w:pStyle w:val="FirstParagraph"/>
      </w:pPr>
      <w:r>
        <w:rPr>
          <w:bCs/>
          <w:b/>
        </w:rPr>
        <w:t xml:space="preserve">Established:</w:t>
      </w:r>
      <w:r>
        <w:t xml:space="preserve"> </w:t>
      </w:r>
      <w:r>
        <w:t xml:space="preserve">An early study is registered on ClinicalTrials.gov in which</w:t>
      </w:r>
      <w:r>
        <w:t xml:space="preserve"> </w:t>
      </w:r>
      <w:r>
        <w:t xml:space="preserve">“</w:t>
      </w:r>
      <w:r>
        <w:t xml:space="preserve">systemic and local</w:t>
      </w:r>
      <w:r>
        <w:t xml:space="preserve">”</w:t>
      </w:r>
      <w:r>
        <w:t xml:space="preserve"> </w:t>
      </w:r>
      <w:r>
        <w:t xml:space="preserve">rejuvenation measures are to be evaluated using so-called aging clocks (epigenetic measurement methods); 48 participants are planned, starting October 2026</w:t>
      </w:r>
      <w:r>
        <w:rPr>
          <w:rStyle w:val="FootnoteReference"/>
        </w:rPr>
        <w:footnoteReference w:id="1794"/>
      </w:r>
      <w:r>
        <w:t xml:space="preserve">. According to the registry entry, Epitalon is only one of five components of a peptide serum applied to the skin; in addition, medications and dietary supplements are taken. The study has only one group, no blinding and no placebo control. It therefore cannot provide any information about the effect of Epitalon itself.</w:t>
      </w:r>
    </w:p>
    <w:p>
      <w:pPr>
        <w:pStyle w:val="BodyText"/>
      </w:pPr>
      <w:r>
        <w:rPr>
          <w:bCs/>
          <w:b/>
        </w:rPr>
        <w:t xml:space="preserve">Assessment:</w:t>
      </w:r>
      <w:r>
        <w:t xml:space="preserve"> </w:t>
      </w:r>
      <w:r>
        <w:t xml:space="preserve">Inclusion in the US compounding list would increase its use without improving the evidence. What would matter is an independent, randomized trial that measures at least telomere length, melatonin and safety parameters in humans over a longer period.</w:t>
      </w:r>
    </w:p>
    <w:bookmarkEnd w:id="1795"/>
    <w:bookmarkStart w:id="1796" w:name="conclusion-39"/>
    <w:p>
      <w:pPr>
        <w:pStyle w:val="Heading3"/>
      </w:pPr>
      <w:r>
        <w:t xml:space="preserve">Conclusion</w:t>
      </w:r>
    </w:p>
    <w:p>
      <w:pPr>
        <w:pStyle w:val="FirstParagraph"/>
      </w:pPr>
      <w:r>
        <w:t xml:space="preserve">Epitalon is a synthetic tetrapeptide from St. Petersburg that activated telomerase in cell cultures and extended the maximum, but not the mean, lifespan in mice. The frequently cited study on longer life concerned the bovine extract Epithalamin, was not randomized and was never independently replicated. That Epitalon lengthens telomeres or slows aging in humans has not been demonstrated; telomerase activation also raises an unresolved cancer question. The data are not sufficient to assess benefit or safety in humans.</w:t>
      </w:r>
    </w:p>
    <w:bookmarkEnd w:id="1796"/>
    <w:bookmarkEnd w:id="1797"/>
    <w:bookmarkStart w:id="1814" w:name="pinealon"/>
    <w:p>
      <w:pPr>
        <w:pStyle w:val="Heading2"/>
      </w:pPr>
      <w:r>
        <w:t xml:space="preserve">Pinealon</w:t>
      </w:r>
    </w:p>
    <w:bookmarkStart w:id="1798" w:name="profile-40"/>
    <w:p>
      <w:pPr>
        <w:pStyle w:val="Heading3"/>
      </w:pPr>
      <w:r>
        <w:t xml:space="preserve">Profile</w:t>
      </w:r>
    </w:p>
    <w:p>
      <w:pPr>
        <w:numPr>
          <w:ilvl w:val="0"/>
          <w:numId w:val="1221"/>
        </w:numPr>
        <w:pStyle w:val="Compact"/>
      </w:pPr>
      <w:r>
        <w:rPr>
          <w:bCs/>
          <w:b/>
        </w:rPr>
        <w:t xml:space="preserve">Type and structure:</w:t>
      </w:r>
      <w:r>
        <w:t xml:space="preserve"> </w:t>
      </w:r>
      <w:r>
        <w:t xml:space="preserve">synthetic tripeptide of three amino acids: Glu-Asp-Arg (abbreviated EDR).</w:t>
      </w:r>
    </w:p>
    <w:p>
      <w:pPr>
        <w:numPr>
          <w:ilvl w:val="0"/>
          <w:numId w:val="1221"/>
        </w:numPr>
        <w:pStyle w:val="Compact"/>
      </w:pPr>
      <w:r>
        <w:rPr>
          <w:bCs/>
          <w:b/>
        </w:rPr>
        <w:t xml:space="preserve">Origin:</w:t>
      </w:r>
      <w:r>
        <w:t xml:space="preserve"> </w:t>
      </w:r>
      <w:r>
        <w:t xml:space="preserve">developed at the St. Petersburg Institute of Bioregulation and Gerontology (the group around Vladimir Khavinson, which also developed Epitalon). The name refers to the pineal gland (glandula pinealis), although the peptide is described mainly as a protective agent for nerve cells.</w:t>
      </w:r>
    </w:p>
    <w:p>
      <w:pPr>
        <w:numPr>
          <w:ilvl w:val="0"/>
          <w:numId w:val="1221"/>
        </w:numPr>
        <w:pStyle w:val="Compact"/>
      </w:pPr>
      <w:r>
        <w:rPr>
          <w:bCs/>
          <w:b/>
        </w:rPr>
        <w:t xml:space="preserve">Mechanism of action:</w:t>
      </w:r>
      <w:r>
        <w:t xml:space="preserve"> </w:t>
      </w:r>
      <w:r>
        <w:t xml:space="preserve">as a</w:t>
      </w:r>
      <w:r>
        <w:t xml:space="preserve"> </w:t>
      </w:r>
      <w:r>
        <w:t xml:space="preserve">“</w:t>
      </w:r>
      <w:r>
        <w:t xml:space="preserve">short peptide bioregulator,</w:t>
      </w:r>
      <w:r>
        <w:t xml:space="preserve">”</w:t>
      </w:r>
      <w:r>
        <w:t xml:space="preserve"> </w:t>
      </w:r>
      <w:r>
        <w:t xml:space="preserve">it is said to penetrate cells and cell nuclei, bind to DNA or histones and thereby influence the activity of genes that protect nerve cells from oxidative stress and cell death.</w:t>
      </w:r>
    </w:p>
    <w:p>
      <w:pPr>
        <w:numPr>
          <w:ilvl w:val="0"/>
          <w:numId w:val="1221"/>
        </w:numPr>
        <w:pStyle w:val="Compact"/>
      </w:pPr>
      <w:r>
        <w:rPr>
          <w:bCs/>
          <w:b/>
        </w:rPr>
        <w:t xml:space="preserve">EU approval:</w:t>
      </w:r>
      <w:r>
        <w:t xml:space="preserve"> </w:t>
      </w:r>
      <w:r>
        <w:t xml:space="preserve">no.</w:t>
      </w:r>
    </w:p>
    <w:p>
      <w:pPr>
        <w:numPr>
          <w:ilvl w:val="0"/>
          <w:numId w:val="1221"/>
        </w:numPr>
        <w:pStyle w:val="Compact"/>
      </w:pPr>
      <w:r>
        <w:rPr>
          <w:bCs/>
          <w:b/>
        </w:rPr>
        <w:t xml:space="preserve">US approval:</w:t>
      </w:r>
      <w:r>
        <w:t xml:space="preserve"> </w:t>
      </w:r>
      <w:r>
        <w:t xml:space="preserve">no.</w:t>
      </w:r>
    </w:p>
    <w:p>
      <w:pPr>
        <w:numPr>
          <w:ilvl w:val="0"/>
          <w:numId w:val="1221"/>
        </w:numPr>
        <w:pStyle w:val="Compact"/>
      </w:pPr>
      <w:r>
        <w:rPr>
          <w:bCs/>
          <w:b/>
        </w:rPr>
        <w:t xml:space="preserve">Russia:</w:t>
      </w:r>
      <w:r>
        <w:t xml:space="preserve"> </w:t>
      </w:r>
      <w:r>
        <w:t xml:space="preserve">marketed in capsule form as a component of so-called</w:t>
      </w:r>
      <w:r>
        <w:t xml:space="preserve"> </w:t>
      </w:r>
      <w:r>
        <w:t xml:space="preserve">“</w:t>
      </w:r>
      <w:r>
        <w:t xml:space="preserve">cytogens,</w:t>
      </w:r>
      <w:r>
        <w:t xml:space="preserve">”</w:t>
      </w:r>
      <w:r>
        <w:t xml:space="preserve"> </w:t>
      </w:r>
      <w:r>
        <w:t xml:space="preserve">that is, more as a dietary supplement than as a tested medicine.</w:t>
      </w:r>
    </w:p>
    <w:p>
      <w:pPr>
        <w:numPr>
          <w:ilvl w:val="0"/>
          <w:numId w:val="1221"/>
        </w:numPr>
        <w:pStyle w:val="Compact"/>
      </w:pPr>
      <w:r>
        <w:rPr>
          <w:bCs/>
          <w:b/>
        </w:rPr>
        <w:t xml:space="preserve">WADA:</w:t>
      </w:r>
      <w:r>
        <w:t xml:space="preserve"> </w:t>
      </w:r>
      <w:r>
        <w:t xml:space="preserve">not listed by name; an active substance not approved as a medicine can fall under the catch-all category S0.</w:t>
      </w:r>
    </w:p>
    <w:p>
      <w:pPr>
        <w:numPr>
          <w:ilvl w:val="0"/>
          <w:numId w:val="1221"/>
        </w:numPr>
        <w:pStyle w:val="Compact"/>
      </w:pPr>
      <w:r>
        <w:rPr>
          <w:bCs/>
          <w:b/>
        </w:rPr>
        <w:t xml:space="preserve">Evidence level:</w:t>
      </w:r>
      <w:r>
        <w:t xml:space="preserve"> </w:t>
      </w:r>
      <w:r>
        <w:rPr>
          <w:bCs/>
          <w:b/>
        </w:rPr>
        <w:t xml:space="preserve">C</w:t>
      </w:r>
      <w:r>
        <w:t xml:space="preserve"> </w:t>
      </w:r>
      <w:r>
        <w:t xml:space="preserve">– a few small, nonrandomized Russian observational studies with surrogate measures such as</w:t>
      </w:r>
      <w:r>
        <w:t xml:space="preserve"> </w:t>
      </w:r>
      <w:r>
        <w:t xml:space="preserve">“</w:t>
      </w:r>
      <w:r>
        <w:t xml:space="preserve">biological age.</w:t>
      </w:r>
      <w:r>
        <w:t xml:space="preserve">”</w:t>
      </w:r>
    </w:p>
    <w:bookmarkEnd w:id="1798"/>
    <w:bookmarkStart w:id="1802" w:name="how-it-is-supposed-to-work-40"/>
    <w:p>
      <w:pPr>
        <w:pStyle w:val="Heading3"/>
      </w:pPr>
      <w:r>
        <w:t xml:space="preserve">How it is supposed to work</w:t>
      </w:r>
    </w:p>
    <w:p>
      <w:pPr>
        <w:pStyle w:val="FirstParagraph"/>
      </w:pPr>
      <w:r>
        <w:t xml:space="preserve">Pinealon belongs to a family of very short peptides (two to four amino acids) that the St. Petersburg group calls</w:t>
      </w:r>
      <w:r>
        <w:t xml:space="preserve"> </w:t>
      </w:r>
      <w:r>
        <w:t xml:space="preserve">“</w:t>
      </w:r>
      <w:r>
        <w:t xml:space="preserve">peptide bioregulators.</w:t>
      </w:r>
      <w:r>
        <w:t xml:space="preserve">”</w:t>
      </w:r>
      <w:r>
        <w:t xml:space="preserve"> </w:t>
      </w:r>
      <w:r>
        <w:t xml:space="preserve">The central hypothesis is that such mini-peptides reach the cell nucleus, bind there to specific DNA segments and thereby regulate genes – similar to transcription factors, that is, proteins that switch genes on and off.</w:t>
      </w:r>
    </w:p>
    <w:p>
      <w:pPr>
        <w:pStyle w:val="BodyText"/>
      </w:pPr>
      <w:r>
        <w:t xml:space="preserve">Evidence for this comes from the laboratory:</w:t>
      </w:r>
    </w:p>
    <w:p>
      <w:pPr>
        <w:numPr>
          <w:ilvl w:val="0"/>
          <w:numId w:val="1222"/>
        </w:numPr>
        <w:pStyle w:val="Compact"/>
      </w:pPr>
      <w:r>
        <w:t xml:space="preserve">In cancer cells (HeLa), fluorescently labeled Pinealon, Epitalon and related peptides penetrated the cytoplasm, nucleus and nucleoli; in the test tube, they altered the fluorescence of labeled DNA fragments depending on their sequence</w:t>
      </w:r>
      <w:r>
        <w:rPr>
          <w:rStyle w:val="FootnoteReference"/>
        </w:rPr>
        <w:footnoteReference w:id="1799"/>
      </w:r>
      <w:r>
        <w:t xml:space="preserve">.</w:t>
      </w:r>
    </w:p>
    <w:p>
      <w:pPr>
        <w:numPr>
          <w:ilvl w:val="0"/>
          <w:numId w:val="1222"/>
        </w:numPr>
        <w:pStyle w:val="Compact"/>
      </w:pPr>
      <w:r>
        <w:t xml:space="preserve">In nerve cells from the cerebellum of rats and in other cell cultures, Pinealon limited the accumulation of reactive oxygen species and reduced cell death</w:t>
      </w:r>
      <w:r>
        <w:rPr>
          <w:rStyle w:val="FootnoteReference"/>
        </w:rPr>
        <w:footnoteReference w:id="1800"/>
      </w:r>
      <w:r>
        <w:t xml:space="preserve">.</w:t>
      </w:r>
    </w:p>
    <w:p>
      <w:pPr>
        <w:pStyle w:val="FirstParagraph"/>
      </w:pPr>
      <w:r>
        <w:t xml:space="preserve">A review by the developers summarizes that the EDR peptide influenced genes and proteins in cell and animal experiments that play a role in Alzheimer’s disease, such as enzymes of antioxidant defense and cell death signals</w:t>
      </w:r>
      <w:r>
        <w:rPr>
          <w:rStyle w:val="FootnoteReference"/>
        </w:rPr>
        <w:footnoteReference w:id="1801"/>
      </w:r>
      <w:r>
        <w:t xml:space="preserve">. This is a hypothesis that has so far hardly been tested by other research groups. It is also known from classical pharmacology that such short peptides are rapidly broken down in the digestive tract and in the blood; how much unchanged Pinealon reaches the nerve cells after taking a capsule has not been studied.</w:t>
      </w:r>
    </w:p>
    <w:bookmarkEnd w:id="1802"/>
    <w:bookmarkStart w:id="1804" w:name="human-studies-40"/>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one</w:t>
      </w:r>
      <w:r>
        <w:t xml:space="preserve"> </w:t>
      </w:r>
      <w:r>
        <w:t xml:space="preserve">publication classified as a human study; in total, PubMed lists only 15 papers with</w:t>
      </w:r>
      <w:r>
        <w:t xml:space="preserve"> </w:t>
      </w:r>
      <w:r>
        <w:t xml:space="preserve">“</w:t>
      </w:r>
      <w:r>
        <w:t xml:space="preserve">Pinealon</w:t>
      </w:r>
      <w:r>
        <w:t xml:space="preserve">”</w:t>
      </w:r>
      <w:r>
        <w:t xml:space="preserve"> </w:t>
      </w:r>
      <w:r>
        <w:t xml:space="preserve">in the title or abstract. No study is registered on ClinicalTrials.gov. A follow-up search found three further small Russian papers involving humans, all in the journal</w:t>
      </w:r>
      <w:r>
        <w:t xml:space="preserve"> </w:t>
      </w:r>
      <w:r>
        <w:t xml:space="preserve">“</w:t>
      </w:r>
      <w:r>
        <w:t xml:space="preserve">Uspekhi Gerontologii</w:t>
      </w:r>
      <w:r>
        <w:t xml:space="preserve">”</w:t>
      </w:r>
      <w:r>
        <w:t xml:space="preserve"> </w:t>
      </w:r>
      <w:r>
        <w:t xml:space="preserve">(Advances in Gerontology).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Bashkireva 2012, PMID 23734521</w:t>
            </w:r>
          </w:p>
        </w:tc>
        <w:tc>
          <w:tcPr/>
          <w:p>
            <w:pPr>
              <w:pStyle w:val="Compact"/>
              <w:jc w:val="left"/>
            </w:pPr>
            <w:r>
              <w:t xml:space="preserve">150 truck drivers, 150 metalworkers as comparison; peptides in subgroups</w:t>
            </w:r>
          </w:p>
        </w:tc>
        <w:tc>
          <w:tcPr/>
          <w:p>
            <w:pPr>
              <w:pStyle w:val="Compact"/>
              <w:jc w:val="left"/>
            </w:pPr>
            <w:r>
              <w:t xml:space="preserve">not stated</w:t>
            </w:r>
          </w:p>
        </w:tc>
        <w:tc>
          <w:tcPr/>
          <w:p>
            <w:pPr>
              <w:pStyle w:val="Compact"/>
              <w:jc w:val="left"/>
            </w:pPr>
            <w:r>
              <w:t xml:space="preserve">according to the authors, better psycho-emotional scores, best effect with a combination of two peptides</w:t>
            </w:r>
          </w:p>
        </w:tc>
      </w:tr>
      <w:tr>
        <w:tc>
          <w:tcPr/>
          <w:p>
            <w:pPr>
              <w:pStyle w:val="Compact"/>
              <w:jc w:val="left"/>
            </w:pPr>
            <w:r>
              <w:t xml:space="preserve">Nazimko 2012, PMID 22708445</w:t>
            </w:r>
          </w:p>
        </w:tc>
        <w:tc>
          <w:tcPr/>
          <w:p>
            <w:pPr>
              <w:pStyle w:val="Compact"/>
              <w:jc w:val="left"/>
            </w:pPr>
            <w:r>
              <w:t xml:space="preserve">locomotive driver teams, Pinealon capsules</w:t>
            </w:r>
          </w:p>
        </w:tc>
        <w:tc>
          <w:tcPr/>
          <w:p>
            <w:pPr>
              <w:pStyle w:val="Compact"/>
              <w:jc w:val="left"/>
            </w:pPr>
            <w:r>
              <w:t xml:space="preserve">2 weeks</w:t>
            </w:r>
          </w:p>
        </w:tc>
        <w:tc>
          <w:tcPr/>
          <w:p>
            <w:pPr>
              <w:pStyle w:val="Compact"/>
              <w:jc w:val="left"/>
            </w:pPr>
            <w:r>
              <w:t xml:space="preserve">according to the authors, better</w:t>
            </w:r>
            <w:r>
              <w:t xml:space="preserve"> </w:t>
            </w:r>
            <w:r>
              <w:t xml:space="preserve">“</w:t>
            </w:r>
            <w:r>
              <w:t xml:space="preserve">biological age</w:t>
            </w:r>
            <w:r>
              <w:t xml:space="preserve">”</w:t>
            </w:r>
            <w:r>
              <w:t xml:space="preserve"> </w:t>
            </w:r>
            <w:r>
              <w:t xml:space="preserve">and better adaptive responses</w:t>
            </w:r>
          </w:p>
        </w:tc>
      </w:tr>
      <w:tr>
        <w:tc>
          <w:tcPr/>
          <w:p>
            <w:pPr>
              <w:pStyle w:val="Compact"/>
              <w:jc w:val="left"/>
            </w:pPr>
            <w:r>
              <w:t xml:space="preserve">Meshchaninov 2015, PMID 26390612</w:t>
            </w:r>
          </w:p>
        </w:tc>
        <w:tc>
          <w:tcPr/>
          <w:p>
            <w:pPr>
              <w:pStyle w:val="Compact"/>
              <w:jc w:val="left"/>
            </w:pPr>
            <w:r>
              <w:t xml:space="preserve">32 people (41–83 years) with multimorbidity and organic psychosyndrome</w:t>
            </w:r>
          </w:p>
        </w:tc>
        <w:tc>
          <w:tcPr/>
          <w:p>
            <w:pPr>
              <w:pStyle w:val="Compact"/>
              <w:jc w:val="left"/>
            </w:pPr>
            <w:r>
              <w:t xml:space="preserve">not stated</w:t>
            </w:r>
          </w:p>
        </w:tc>
        <w:tc>
          <w:tcPr/>
          <w:p>
            <w:pPr>
              <w:pStyle w:val="Compact"/>
              <w:jc w:val="left"/>
            </w:pPr>
            <w:r>
              <w:t xml:space="preserve">“</w:t>
            </w:r>
            <w:r>
              <w:t xml:space="preserve">anabolic</w:t>
            </w:r>
            <w:r>
              <w:t xml:space="preserve">”</w:t>
            </w:r>
            <w:r>
              <w:t xml:space="preserve"> </w:t>
            </w:r>
            <w:r>
              <w:t xml:space="preserve">effect; indications of an oxidizing effect and inhibition of blood formation</w:t>
            </w:r>
          </w:p>
        </w:tc>
      </w:tr>
      <w:tr>
        <w:tc>
          <w:tcPr/>
          <w:p>
            <w:pPr>
              <w:pStyle w:val="Compact"/>
              <w:jc w:val="left"/>
            </w:pPr>
            <w:r>
              <w:t xml:space="preserve">Myakotnykh 2016, PMID 28539017</w:t>
            </w:r>
          </w:p>
        </w:tc>
        <w:tc>
          <w:tcPr/>
          <w:p>
            <w:pPr>
              <w:pStyle w:val="Compact"/>
              <w:jc w:val="left"/>
            </w:pPr>
            <w:r>
              <w:t xml:space="preserve">110 people, comparison of various</w:t>
            </w:r>
            <w:r>
              <w:t xml:space="preserve"> </w:t>
            </w:r>
            <w:r>
              <w:t xml:space="preserve">“</w:t>
            </w:r>
            <w:r>
              <w:t xml:space="preserve">anti-aging</w:t>
            </w:r>
            <w:r>
              <w:t xml:space="preserve">”</w:t>
            </w:r>
            <w:r>
              <w:t xml:space="preserve"> </w:t>
            </w:r>
            <w:r>
              <w:t xml:space="preserve">methods</w:t>
            </w:r>
          </w:p>
        </w:tc>
        <w:tc>
          <w:tcPr/>
          <w:p>
            <w:pPr>
              <w:pStyle w:val="Compact"/>
              <w:jc w:val="left"/>
            </w:pPr>
            <w:r>
              <w:t xml:space="preserve">not stated</w:t>
            </w:r>
          </w:p>
        </w:tc>
        <w:tc>
          <w:tcPr/>
          <w:p>
            <w:pPr>
              <w:pStyle w:val="Compact"/>
              <w:jc w:val="left"/>
            </w:pPr>
            <w:r>
              <w:t xml:space="preserve">strongest effect on</w:t>
            </w:r>
            <w:r>
              <w:t xml:space="preserve"> </w:t>
            </w:r>
            <w:r>
              <w:t xml:space="preserve">“</w:t>
            </w:r>
            <w:r>
              <w:t xml:space="preserve">biological age</w:t>
            </w:r>
            <w:r>
              <w:t xml:space="preserve">”</w:t>
            </w:r>
            <w:r>
              <w:t xml:space="preserve"> </w:t>
            </w:r>
            <w:r>
              <w:t xml:space="preserve">with a combination of two peptides</w:t>
            </w:r>
          </w:p>
        </w:tc>
      </w:tr>
    </w:tbl>
    <w:p>
      <w:pPr>
        <w:pStyle w:val="BodyText"/>
      </w:pPr>
      <w:r>
        <w:t xml:space="preserve">All four papers share weaknesses:</w:t>
      </w:r>
    </w:p>
    <w:p>
      <w:pPr>
        <w:numPr>
          <w:ilvl w:val="0"/>
          <w:numId w:val="1223"/>
        </w:numPr>
        <w:pStyle w:val="Compact"/>
      </w:pPr>
      <w:r>
        <w:rPr>
          <w:bCs/>
          <w:b/>
        </w:rPr>
        <w:t xml:space="preserve">No placebo, no blinding, no randomization</w:t>
      </w:r>
      <w:r>
        <w:t xml:space="preserve"> </w:t>
      </w:r>
      <w:r>
        <w:t xml:space="preserve">discernible. With questionnaires on mood and stress, the expectation effect is considerable.</w:t>
      </w:r>
    </w:p>
    <w:p>
      <w:pPr>
        <w:numPr>
          <w:ilvl w:val="0"/>
          <w:numId w:val="1223"/>
        </w:numPr>
        <w:pStyle w:val="Compact"/>
      </w:pPr>
      <w:r>
        <w:rPr>
          <w:bCs/>
          <w:b/>
        </w:rPr>
        <w:t xml:space="preserve">Surrogate measures instead of clinical endpoints:</w:t>
      </w:r>
      <w:r>
        <w:t xml:space="preserve"> </w:t>
      </w:r>
      <w:r>
        <w:t xml:space="preserve">In Russian gerontology,</w:t>
      </w:r>
      <w:r>
        <w:t xml:space="preserve"> </w:t>
      </w:r>
      <w:r>
        <w:t xml:space="preserve">“</w:t>
      </w:r>
      <w:r>
        <w:t xml:space="preserve">biological age</w:t>
      </w:r>
      <w:r>
        <w:t xml:space="preserve">”</w:t>
      </w:r>
      <w:r>
        <w:t xml:space="preserve"> </w:t>
      </w:r>
      <w:r>
        <w:t xml:space="preserve">is calculated from a combination of measurements such as blood pressure, lung function, reaction time and self-report. It is not an internationally standardized measure, and an improvement does not automatically mean better health or a longer life.</w:t>
      </w:r>
    </w:p>
    <w:p>
      <w:pPr>
        <w:numPr>
          <w:ilvl w:val="0"/>
          <w:numId w:val="1223"/>
        </w:numPr>
        <w:pStyle w:val="Compact"/>
      </w:pPr>
      <w:r>
        <w:rPr>
          <w:bCs/>
          <w:b/>
        </w:rPr>
        <w:t xml:space="preserve">Combinations:</w:t>
      </w:r>
      <w:r>
        <w:t xml:space="preserve"> </w:t>
      </w:r>
      <w:r>
        <w:t xml:space="preserve">In several studies, Pinealon was given together with the peptide Vesugen (Lys-Glu-Asp), so the effect cannot be attributed to one substance.</w:t>
      </w:r>
    </w:p>
    <w:p>
      <w:pPr>
        <w:numPr>
          <w:ilvl w:val="0"/>
          <w:numId w:val="1223"/>
        </w:numPr>
        <w:pStyle w:val="Compact"/>
      </w:pPr>
      <w:r>
        <w:rPr>
          <w:bCs/>
          <w:b/>
        </w:rPr>
        <w:t xml:space="preserve">Unclear figures:</w:t>
      </w:r>
      <w:r>
        <w:t xml:space="preserve"> </w:t>
      </w:r>
      <w:r>
        <w:t xml:space="preserve">The abstracts give hardly any effect sizes.</w:t>
      </w:r>
    </w:p>
    <w:p>
      <w:pPr>
        <w:pStyle w:val="FirstParagraph"/>
      </w:pPr>
      <w:r>
        <w:t xml:space="preserve">One finding that does not appear in the advertising is noteworthy: in the study with 32 older people, the authors observed a</w:t>
      </w:r>
      <w:r>
        <w:t xml:space="preserve"> </w:t>
      </w:r>
      <w:r>
        <w:rPr>
          <w:bCs/>
          <w:b/>
        </w:rPr>
        <w:t xml:space="preserve">pro-oxidative</w:t>
      </w:r>
      <w:r>
        <w:t xml:space="preserve"> </w:t>
      </w:r>
      <w:r>
        <w:t xml:space="preserve">activity with Pinealon and Vesugen – that is, the opposite of the claimed antioxidant effect – and a decrease in blood-forming stem cells (CD34+) in the blood, which they describe as a marked inhibition of blood formation. Nevertheless, they recommend the peptides for geriatric practice</w:t>
      </w:r>
      <w:r>
        <w:rPr>
          <w:rStyle w:val="FootnoteReference"/>
        </w:rPr>
        <w:footnoteReference w:id="1803"/>
      </w:r>
      <w:r>
        <w:t xml:space="preserve">.</w:t>
      </w:r>
    </w:p>
    <w:bookmarkEnd w:id="1804"/>
    <w:bookmarkStart w:id="1808" w:name="animal-and-laboratory-studies-40"/>
    <w:p>
      <w:pPr>
        <w:pStyle w:val="Heading3"/>
      </w:pPr>
      <w:r>
        <w:t xml:space="preserve">Animal and laboratory studies</w:t>
      </w:r>
    </w:p>
    <w:p>
      <w:pPr>
        <w:numPr>
          <w:ilvl w:val="0"/>
          <w:numId w:val="1224"/>
        </w:numPr>
        <w:pStyle w:val="Compact"/>
      </w:pPr>
      <w:r>
        <w:t xml:space="preserve">In rats whose mothers had elevated homocysteine levels during pregnancy due to methionine-rich feed, Pinealon (given to the mothers) improved the orientation and learning ability of the offspring; their cerebellar nerve cells were more resistant to oxidative stress</w:t>
      </w:r>
      <w:r>
        <w:rPr>
          <w:rStyle w:val="FootnoteReference"/>
        </w:rPr>
        <w:footnoteReference w:id="1805"/>
      </w:r>
      <w:r>
        <w:t xml:space="preserve">.</w:t>
      </w:r>
    </w:p>
    <w:p>
      <w:pPr>
        <w:numPr>
          <w:ilvl w:val="0"/>
          <w:numId w:val="1224"/>
        </w:numPr>
        <w:pStyle w:val="Compact"/>
      </w:pPr>
      <w:r>
        <w:t xml:space="preserve">In 18-month-old rats, Pinealon and Cortexin (a Russian brain extract preparation) influenced behavior and brain messengers under oxygen deprivation and hypothermia; Cortexin had a stronger effect on radical processes and cell death enzymes</w:t>
      </w:r>
      <w:r>
        <w:rPr>
          <w:rStyle w:val="FootnoteReference"/>
        </w:rPr>
        <w:footnoteReference w:id="1806"/>
      </w:r>
      <w:r>
        <w:t xml:space="preserve">.</w:t>
      </w:r>
    </w:p>
    <w:p>
      <w:pPr>
        <w:numPr>
          <w:ilvl w:val="0"/>
          <w:numId w:val="1224"/>
        </w:numPr>
        <w:pStyle w:val="Compact"/>
      </w:pPr>
      <w:r>
        <w:t xml:space="preserve">In cell cultures, Pinealon protected various cell types from oxidative stress</w:t>
      </w:r>
      <w:r>
        <w:rPr>
          <w:rStyle w:val="FootnoteReference"/>
        </w:rPr>
        <w:footnoteReference w:id="1807"/>
      </w:r>
      <w:r>
        <w:t xml:space="preserve">.</w:t>
      </w:r>
    </w:p>
    <w:p>
      <w:pPr>
        <w:pStyle w:val="FirstParagraph"/>
      </w:pPr>
      <w:r>
        <w:t xml:space="preserve">Almost all papers come from the developer group or cooperating Russian institutes.</w:t>
      </w:r>
    </w:p>
    <w:bookmarkEnd w:id="1808"/>
    <w:bookmarkStart w:id="1810" w:name="risks-and-side-effects-40"/>
    <w:p>
      <w:pPr>
        <w:pStyle w:val="Heading3"/>
      </w:pPr>
      <w:r>
        <w:t xml:space="preserve">Risks and side effects</w:t>
      </w:r>
    </w:p>
    <w:p>
      <w:pPr>
        <w:pStyle w:val="FirstParagraph"/>
      </w:pPr>
      <w:r>
        <w:rPr>
          <w:bCs/>
          <w:b/>
        </w:rPr>
        <w:t xml:space="preserve">Established:</w:t>
      </w:r>
      <w:r>
        <w:t xml:space="preserve"> </w:t>
      </w:r>
      <w:r>
        <w:t xml:space="preserve">There are no systematic safety data. The only study that reports laboratory values in more detail describes a pro-oxidative activity and a decrease in blood-forming stem cells in the blood</w:t>
      </w:r>
      <w:r>
        <w:rPr>
          <w:rStyle w:val="FootnoteReference"/>
        </w:rPr>
        <w:footnoteReference w:id="1809"/>
      </w:r>
      <w:r>
        <w:t xml:space="preserve">. What this means is unclear – but it is a warning signal that has not been investigated further.</w:t>
      </w:r>
    </w:p>
    <w:p>
      <w:pPr>
        <w:pStyle w:val="BodyText"/>
      </w:pPr>
      <w:r>
        <w:rPr>
          <w:bCs/>
          <w:b/>
        </w:rPr>
        <w:t xml:space="preserve">Theoretical:</w:t>
      </w:r>
      <w:r>
        <w:t xml:space="preserve"> </w:t>
      </w:r>
      <w:r>
        <w:t xml:space="preserve">If the developers’ hypothesis is correct and Pinealon actually binds to DNA and regulates genes, unwanted genetic effects would also be conceivable. Studies on genetic damage, cancer risk or long-term effects are not available.</w:t>
      </w:r>
    </w:p>
    <w:p>
      <w:pPr>
        <w:pStyle w:val="BodyText"/>
      </w:pPr>
      <w:r>
        <w:rPr>
          <w:bCs/>
          <w:b/>
        </w:rPr>
        <w:t xml:space="preserve">Gray market:</w:t>
      </w:r>
      <w:r>
        <w:t xml:space="preserve"> </w:t>
      </w:r>
      <w:r>
        <w:t xml:space="preserve">Pinealon is offered online as capsules, nasal spray or powder for injection, usually with promises about memory, sleep and</w:t>
      </w:r>
      <w:r>
        <w:t xml:space="preserve"> </w:t>
      </w:r>
      <w:r>
        <w:t xml:space="preserve">“</w:t>
      </w:r>
      <w:r>
        <w:t xml:space="preserve">brain rejuvenation.</w:t>
      </w:r>
      <w:r>
        <w:t xml:space="preserve">”</w:t>
      </w:r>
      <w:r>
        <w:t xml:space="preserve"> </w:t>
      </w:r>
      <w:r>
        <w:t xml:space="preserve">Content and purity are unverified.</w:t>
      </w:r>
    </w:p>
    <w:bookmarkEnd w:id="1810"/>
    <w:bookmarkStart w:id="1811" w:name="legal-status-40"/>
    <w:p>
      <w:pPr>
        <w:pStyle w:val="Heading3"/>
      </w:pPr>
      <w:r>
        <w:t xml:space="preserve">Legal status</w:t>
      </w:r>
    </w:p>
    <w:p>
      <w:pPr>
        <w:numPr>
          <w:ilvl w:val="0"/>
          <w:numId w:val="1225"/>
        </w:numPr>
        <w:pStyle w:val="Compact"/>
      </w:pPr>
      <w:r>
        <w:rPr>
          <w:bCs/>
          <w:b/>
        </w:rPr>
        <w:t xml:space="preserve">EU / Austria / Germany:</w:t>
      </w:r>
      <w:r>
        <w:t xml:space="preserve"> </w:t>
      </w:r>
      <w:r>
        <w:t xml:space="preserve">not approved as a medicine. Sale as a dietary supplement would only be permissible if the substance is permitted under food law; as a novel, synthetic substance with an intended pharmacological effect, this is not the case in our assessment.</w:t>
      </w:r>
    </w:p>
    <w:p>
      <w:pPr>
        <w:numPr>
          <w:ilvl w:val="0"/>
          <w:numId w:val="1225"/>
        </w:numPr>
        <w:pStyle w:val="Compact"/>
      </w:pPr>
      <w:r>
        <w:rPr>
          <w:bCs/>
          <w:b/>
        </w:rPr>
        <w:t xml:space="preserve">USA:</w:t>
      </w:r>
      <w:r>
        <w:t xml:space="preserve"> </w:t>
      </w:r>
      <w:r>
        <w:t xml:space="preserve">not approved.</w:t>
      </w:r>
    </w:p>
    <w:p>
      <w:pPr>
        <w:numPr>
          <w:ilvl w:val="0"/>
          <w:numId w:val="1225"/>
        </w:numPr>
        <w:pStyle w:val="Compact"/>
      </w:pPr>
      <w:r>
        <w:rPr>
          <w:bCs/>
          <w:b/>
        </w:rPr>
        <w:t xml:space="preserve">Russia:</w:t>
      </w:r>
      <w:r>
        <w:t xml:space="preserve"> </w:t>
      </w:r>
      <w:r>
        <w:t xml:space="preserve">marketed as a component of peptide preparations that have not gone through the approval process for medicines.</w:t>
      </w:r>
    </w:p>
    <w:p>
      <w:pPr>
        <w:numPr>
          <w:ilvl w:val="0"/>
          <w:numId w:val="1225"/>
        </w:numPr>
        <w:pStyle w:val="Compact"/>
      </w:pPr>
      <w:r>
        <w:rPr>
          <w:bCs/>
          <w:b/>
        </w:rPr>
        <w:t xml:space="preserve">Sport:</w:t>
      </w:r>
      <w:r>
        <w:t xml:space="preserve"> </w:t>
      </w:r>
      <w:r>
        <w:t xml:space="preserve">not listed by name; possibly covered by WADA category S0 (as of 2026, please check for updates).</w:t>
      </w:r>
    </w:p>
    <w:bookmarkEnd w:id="1811"/>
    <w:bookmarkStart w:id="1812" w:name="ongoing-studies-and-outlook-40"/>
    <w:p>
      <w:pPr>
        <w:pStyle w:val="Heading3"/>
      </w:pPr>
      <w:r>
        <w:t xml:space="preserve">Ongoing studies and outlook</w:t>
      </w:r>
    </w:p>
    <w:p>
      <w:pPr>
        <w:pStyle w:val="FirstParagraph"/>
      </w:pPr>
      <w:r>
        <w:rPr>
          <w:bCs/>
          <w:b/>
        </w:rPr>
        <w:t xml:space="preserve">Established:</w:t>
      </w:r>
      <w:r>
        <w:t xml:space="preserve"> </w:t>
      </w:r>
      <w:r>
        <w:t xml:space="preserve">No registered study (search October 2026).</w:t>
      </w:r>
    </w:p>
    <w:p>
      <w:pPr>
        <w:pStyle w:val="BodyText"/>
      </w:pPr>
      <w:r>
        <w:rPr>
          <w:bCs/>
          <w:b/>
        </w:rPr>
        <w:t xml:space="preserve">Assessment:</w:t>
      </w:r>
      <w:r>
        <w:t xml:space="preserve"> </w:t>
      </w:r>
      <w:r>
        <w:t xml:space="preserve">As long as research remains limited to a small circle of Russian institutes and no randomized, placebo-controlled trials with clinical endpoints are conducted, Pinealon will remain a laboratory concept with a marketing superstructure.</w:t>
      </w:r>
    </w:p>
    <w:bookmarkEnd w:id="1812"/>
    <w:bookmarkStart w:id="1813" w:name="conclusion-40"/>
    <w:p>
      <w:pPr>
        <w:pStyle w:val="Heading3"/>
      </w:pPr>
      <w:r>
        <w:t xml:space="preserve">Conclusion</w:t>
      </w:r>
    </w:p>
    <w:p>
      <w:pPr>
        <w:pStyle w:val="FirstParagraph"/>
      </w:pPr>
      <w:r>
        <w:t xml:space="preserve">Pinealon is a synthetic tripeptide from St. Petersburg that protected nerve cells from oxidative stress in cell cultures and in rats; the developers suspect a direct effect on genes. The few human studies are small, uncontrolled and mainly measure a nonstandardized</w:t>
      </w:r>
      <w:r>
        <w:t xml:space="preserve"> </w:t>
      </w:r>
      <w:r>
        <w:t xml:space="preserve">“</w:t>
      </w:r>
      <w:r>
        <w:t xml:space="preserve">biological age.</w:t>
      </w:r>
      <w:r>
        <w:t xml:space="preserve">”</w:t>
      </w:r>
      <w:r>
        <w:t xml:space="preserve"> </w:t>
      </w:r>
      <w:r>
        <w:t xml:space="preserve">One of them even found indications of a pro-oxidative effect and an inhibition of blood formation. The data are not sufficient to assess a benefit or safety in humans.</w:t>
      </w:r>
    </w:p>
    <w:bookmarkEnd w:id="1813"/>
    <w:bookmarkEnd w:id="1814"/>
    <w:bookmarkStart w:id="1843" w:name="mots-c"/>
    <w:p>
      <w:pPr>
        <w:pStyle w:val="Heading2"/>
      </w:pPr>
      <w:r>
        <w:t xml:space="preserve">MOTS-c</w:t>
      </w:r>
    </w:p>
    <w:bookmarkStart w:id="1815" w:name="profile-41"/>
    <w:p>
      <w:pPr>
        <w:pStyle w:val="Heading3"/>
      </w:pPr>
      <w:r>
        <w:t xml:space="preserve">Profile</w:t>
      </w:r>
    </w:p>
    <w:p>
      <w:pPr>
        <w:numPr>
          <w:ilvl w:val="0"/>
          <w:numId w:val="1226"/>
        </w:numPr>
        <w:pStyle w:val="Compact"/>
      </w:pPr>
      <w:r>
        <w:rPr>
          <w:bCs/>
          <w:b/>
        </w:rPr>
        <w:t xml:space="preserve">Type and structure:</w:t>
      </w:r>
      <w:r>
        <w:t xml:space="preserve"> </w:t>
      </w:r>
      <w:r>
        <w:t xml:space="preserve">peptide of 16 amino acids. The name stands for</w:t>
      </w:r>
      <w:r>
        <w:t xml:space="preserve"> </w:t>
      </w:r>
      <w:r>
        <w:rPr>
          <w:iCs/>
          <w:i/>
        </w:rPr>
        <w:t xml:space="preserve">mitochondrial open reading frame of the 12S rRNA-c</w:t>
      </w:r>
      <w:r>
        <w:t xml:space="preserve"> </w:t>
      </w:r>
      <w:r>
        <w:t xml:space="preserve">– it is encoded not in the cell nucleus but in the genome of the mitochondria, the</w:t>
      </w:r>
      <w:r>
        <w:t xml:space="preserve"> </w:t>
      </w:r>
      <w:r>
        <w:t xml:space="preserve">“</w:t>
      </w:r>
      <w:r>
        <w:t xml:space="preserve">power plants</w:t>
      </w:r>
      <w:r>
        <w:t xml:space="preserve">”</w:t>
      </w:r>
      <w:r>
        <w:t xml:space="preserve"> </w:t>
      </w:r>
      <w:r>
        <w:t xml:space="preserve">of the cell.</w:t>
      </w:r>
    </w:p>
    <w:p>
      <w:pPr>
        <w:numPr>
          <w:ilvl w:val="0"/>
          <w:numId w:val="1226"/>
        </w:numPr>
        <w:pStyle w:val="Compact"/>
      </w:pPr>
      <w:r>
        <w:rPr>
          <w:bCs/>
          <w:b/>
        </w:rPr>
        <w:t xml:space="preserve">Origin:</w:t>
      </w:r>
      <w:r>
        <w:t xml:space="preserve"> </w:t>
      </w:r>
      <w:r>
        <w:t xml:space="preserve">described in 2015 by a research group led by Pinchas Cohen at the University of Southern California. The body produces it itself, mainly in skeletal muscle.</w:t>
      </w:r>
    </w:p>
    <w:p>
      <w:pPr>
        <w:numPr>
          <w:ilvl w:val="0"/>
          <w:numId w:val="1226"/>
        </w:numPr>
        <w:pStyle w:val="Compact"/>
      </w:pPr>
      <w:r>
        <w:rPr>
          <w:bCs/>
          <w:b/>
        </w:rPr>
        <w:t xml:space="preserve">Mechanism of action:</w:t>
      </w:r>
      <w:r>
        <w:t xml:space="preserve"> </w:t>
      </w:r>
      <w:r>
        <w:t xml:space="preserve">regarded as a</w:t>
      </w:r>
      <w:r>
        <w:t xml:space="preserve"> </w:t>
      </w:r>
      <w:r>
        <w:t xml:space="preserve">“</w:t>
      </w:r>
      <w:r>
        <w:t xml:space="preserve">mitokine</w:t>
      </w:r>
      <w:r>
        <w:t xml:space="preserve">”</w:t>
      </w:r>
      <w:r>
        <w:t xml:space="preserve"> </w:t>
      </w:r>
      <w:r>
        <w:t xml:space="preserve">– a signaling molecule of the mitochondria. In mice, it activated the energy sensor AMPK and improved insulin sensitivity and physical performance; it is therefore discussed as an</w:t>
      </w:r>
      <w:r>
        <w:t xml:space="preserve"> </w:t>
      </w:r>
      <w:r>
        <w:t xml:space="preserve">“</w:t>
      </w:r>
      <w:r>
        <w:t xml:space="preserve">exercise mimetic.</w:t>
      </w:r>
      <w:r>
        <w:t xml:space="preserve">”</w:t>
      </w:r>
    </w:p>
    <w:p>
      <w:pPr>
        <w:numPr>
          <w:ilvl w:val="0"/>
          <w:numId w:val="1226"/>
        </w:numPr>
        <w:pStyle w:val="Compact"/>
      </w:pPr>
      <w:r>
        <w:rPr>
          <w:bCs/>
          <w:b/>
        </w:rPr>
        <w:t xml:space="preserve">EU approval:</w:t>
      </w:r>
      <w:r>
        <w:t xml:space="preserve"> </w:t>
      </w:r>
      <w:r>
        <w:t xml:space="preserve">no.</w:t>
      </w:r>
    </w:p>
    <w:p>
      <w:pPr>
        <w:numPr>
          <w:ilvl w:val="0"/>
          <w:numId w:val="1226"/>
        </w:numPr>
        <w:pStyle w:val="Compact"/>
      </w:pPr>
      <w:r>
        <w:rPr>
          <w:bCs/>
          <w:b/>
        </w:rPr>
        <w:t xml:space="preserve">US approval:</w:t>
      </w:r>
      <w:r>
        <w:t xml:space="preserve"> </w:t>
      </w:r>
      <w:r>
        <w:t xml:space="preserve">no. Removed from FDA</w:t>
      </w:r>
      <w:r>
        <w:t xml:space="preserve"> </w:t>
      </w:r>
      <w:r>
        <w:t xml:space="preserve">“</w:t>
      </w:r>
      <w:r>
        <w:t xml:space="preserve">Category 2</w:t>
      </w:r>
      <w:r>
        <w:t xml:space="preserve">”</w:t>
      </w:r>
      <w:r>
        <w:t xml:space="preserve"> </w:t>
      </w:r>
      <w:r>
        <w:t xml:space="preserve">in April 2026; in July 2026, the advisory committee PCAC voted 7 to 5 for inclusion in the list of permitted compounding substances (as of October 2026, please check for updates).</w:t>
      </w:r>
    </w:p>
    <w:p>
      <w:pPr>
        <w:numPr>
          <w:ilvl w:val="0"/>
          <w:numId w:val="1226"/>
        </w:numPr>
        <w:pStyle w:val="Compact"/>
      </w:pPr>
      <w:r>
        <w:rPr>
          <w:bCs/>
          <w:b/>
        </w:rPr>
        <w:t xml:space="preserve">WADA:</w:t>
      </w:r>
      <w:r>
        <w:t xml:space="preserve"> </w:t>
      </w:r>
      <w:r>
        <w:rPr>
          <w:bCs/>
          <w:b/>
        </w:rPr>
        <w:t xml:space="preserve">prohibited</w:t>
      </w:r>
      <w:r>
        <w:t xml:space="preserve"> </w:t>
      </w:r>
      <w:r>
        <w:t xml:space="preserve">– explicitly named in category S4 (hormone and metabolic modulators) as an example of an AMPK activator, in and out of competition.</w:t>
      </w:r>
    </w:p>
    <w:p>
      <w:pPr>
        <w:numPr>
          <w:ilvl w:val="0"/>
          <w:numId w:val="1226"/>
        </w:numPr>
        <w:pStyle w:val="Compact"/>
      </w:pPr>
      <w:r>
        <w:rPr>
          <w:bCs/>
          <w:b/>
        </w:rPr>
        <w:t xml:space="preserve">Evidence level:</w:t>
      </w:r>
      <w:r>
        <w:t xml:space="preserve"> </w:t>
      </w:r>
      <w:r>
        <w:rPr>
          <w:bCs/>
          <w:b/>
        </w:rPr>
        <w:t xml:space="preserve">D</w:t>
      </w:r>
      <w:r>
        <w:t xml:space="preserve"> </w:t>
      </w:r>
      <w:r>
        <w:t xml:space="preserve">for administration as a drug – there are no published results of controlled studies in humans; in humans, only observational studies on endogenous levels exist.</w:t>
      </w:r>
    </w:p>
    <w:bookmarkEnd w:id="1815"/>
    <w:bookmarkStart w:id="1819" w:name="how-it-is-supposed-to-work-41"/>
    <w:p>
      <w:pPr>
        <w:pStyle w:val="Heading3"/>
      </w:pPr>
      <w:r>
        <w:t xml:space="preserve">How it is supposed to work</w:t>
      </w:r>
    </w:p>
    <w:p>
      <w:pPr>
        <w:pStyle w:val="FirstParagraph"/>
      </w:pPr>
      <w:r>
        <w:t xml:space="preserve">Mitochondria have their own small genome. For a long time, it was regarded as the</w:t>
      </w:r>
      <w:r>
        <w:t xml:space="preserve"> </w:t>
      </w:r>
      <w:r>
        <w:t xml:space="preserve">“</w:t>
      </w:r>
      <w:r>
        <w:t xml:space="preserve">blueprint</w:t>
      </w:r>
      <w:r>
        <w:t xml:space="preserve">”</w:t>
      </w:r>
      <w:r>
        <w:t xml:space="preserve"> </w:t>
      </w:r>
      <w:r>
        <w:t xml:space="preserve">for only 13 proteins of energy production. Since the early 2000s, additional short reading frames have been discovered in it that encode small signaling peptides – first humanin (see the next chapter), then MOTS-c.</w:t>
      </w:r>
    </w:p>
    <w:p>
      <w:pPr>
        <w:pStyle w:val="BodyText"/>
      </w:pPr>
      <w:r>
        <w:t xml:space="preserve">The first description showed in mice that MOTS-c acts mainly on skeletal muscle: it inhibits a metabolic pathway (the folate cycle and de novo purine synthesis), causing the messenger AICAR to accumulate and the enzyme AMPK to be activated – the same energy sensor targeted by exercise and the diabetes drug metformin. Mice injected with MOTS-c developed less obesity and less insulin resistance on a high-fat diet</w:t>
      </w:r>
      <w:r>
        <w:rPr>
          <w:rStyle w:val="FootnoteReference"/>
        </w:rPr>
        <w:footnoteReference w:id="1816"/>
      </w:r>
      <w:r>
        <w:t xml:space="preserve">. Under metabolic stress, MOTS-c migrated into the cell nucleus in cell cultures and influenced genes there</w:t>
      </w:r>
      <w:r>
        <w:rPr>
          <w:rStyle w:val="FootnoteReference"/>
        </w:rPr>
        <w:footnoteReference w:id="1817"/>
      </w:r>
      <w:r>
        <w:t xml:space="preserve">.</w:t>
      </w:r>
    </w:p>
    <w:p>
      <w:pPr>
        <w:pStyle w:val="BodyText"/>
      </w:pPr>
      <w:r>
        <w:t xml:space="preserve">In a second major paper, MOTS-c increased the physical performance of young, middle-aged and old mice; treatment started only in old age improved performance and</w:t>
      </w:r>
      <w:r>
        <w:t xml:space="preserve"> </w:t>
      </w:r>
      <w:r>
        <w:t xml:space="preserve">“</w:t>
      </w:r>
      <w:r>
        <w:t xml:space="preserve">healthy lifespan.</w:t>
      </w:r>
      <w:r>
        <w:t xml:space="preserve">”</w:t>
      </w:r>
      <w:r>
        <w:t xml:space="preserve"> </w:t>
      </w:r>
      <w:r>
        <w:t xml:space="preserve">In humans, MOTS-c levels in muscle and blood rose after physical exertion</w:t>
      </w:r>
      <w:r>
        <w:rPr>
          <w:rStyle w:val="FootnoteReference"/>
        </w:rPr>
        <w:footnoteReference w:id="1818"/>
      </w:r>
      <w:r>
        <w:t xml:space="preserve">.</w:t>
      </w:r>
    </w:p>
    <w:p>
      <w:pPr>
        <w:pStyle w:val="BodyText"/>
      </w:pPr>
      <w:r>
        <w:t xml:space="preserve">This gave rise to the image of MOTS-c as</w:t>
      </w:r>
      <w:r>
        <w:t xml:space="preserve"> </w:t>
      </w:r>
      <w:r>
        <w:t xml:space="preserve">“</w:t>
      </w:r>
      <w:r>
        <w:t xml:space="preserve">exercise in a syringe.</w:t>
      </w:r>
      <w:r>
        <w:t xml:space="preserve">”</w:t>
      </w:r>
      <w:r>
        <w:t xml:space="preserve"> </w:t>
      </w:r>
      <w:r>
        <w:t xml:space="preserve">But the order matters: the fact that exercise increases MOTS-c does not mean that MOTS-c injections reproduce the effects of exercise in humans.</w:t>
      </w:r>
    </w:p>
    <w:bookmarkEnd w:id="1819"/>
    <w:bookmarkStart w:id="1829" w:name="human-studies-41"/>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5 publications classified as human studies; none of them administered MOTS-c. In total, PubMed lists around 260 papers on</w:t>
      </w:r>
      <w:r>
        <w:t xml:space="preserve"> </w:t>
      </w:r>
      <w:r>
        <w:t xml:space="preserve">“</w:t>
      </w:r>
      <w:r>
        <w:t xml:space="preserve">MOTS-c,</w:t>
      </w:r>
      <w:r>
        <w:t xml:space="preserve">”</w:t>
      </w:r>
      <w:r>
        <w:t xml:space="preserve"> </w:t>
      </w:r>
      <w:r>
        <w:t xml:space="preserve">mostly animal and cell experiments and observational studies on endogenous blood levels. On ClinicalTrials.gov, the search yielded 5 entries. Four of them only measure levels or concern other questions. The fifth, a purported phase 2 trial of MOTS-c in prediabetes, comes from a sponsor under whose name apparently fictitious sample entries appear in the registry. We therefore do not consider it a genuine study and do not count it; a registered study with MOTS-c itself as the active substance is thus not documented. In addition, there is a completed study with the MOTS-c derivative CB4211</w:t>
      </w:r>
      <w:r>
        <w:rPr>
          <w:rStyle w:val="FootnoteReference"/>
        </w:rPr>
        <w:footnoteReference w:id="1820"/>
      </w:r>
      <w:r>
        <w:t xml:space="preserve">.</w:t>
      </w:r>
    </w:p>
    <w:p>
      <w:pPr>
        <w:pStyle w:val="BodyText"/>
      </w:pPr>
      <w:r>
        <w:t xml:space="preserve">For understanding this chapter, one distinction is central:</w:t>
      </w:r>
    </w:p>
    <w:p>
      <w:pPr>
        <w:numPr>
          <w:ilvl w:val="0"/>
          <w:numId w:val="1227"/>
        </w:numPr>
        <w:pStyle w:val="Compact"/>
      </w:pPr>
      <w:r>
        <w:rPr>
          <w:bCs/>
          <w:b/>
        </w:rPr>
        <w:t xml:space="preserve">Observational studies on endogenous levels:</w:t>
      </w:r>
      <w:r>
        <w:t xml:space="preserve"> </w:t>
      </w:r>
      <w:r>
        <w:t xml:space="preserve">These measure how much MOTS-c people have in their blood and relate it to diseases or behavior.</w:t>
      </w:r>
    </w:p>
    <w:p>
      <w:pPr>
        <w:numPr>
          <w:ilvl w:val="0"/>
          <w:numId w:val="1227"/>
        </w:numPr>
        <w:pStyle w:val="Compact"/>
      </w:pPr>
      <w:r>
        <w:rPr>
          <w:bCs/>
          <w:b/>
        </w:rPr>
        <w:t xml:space="preserve">Studies in which MOTS-c (or a derivative) is given as a drug:</w:t>
      </w:r>
      <w:r>
        <w:t xml:space="preserve"> </w:t>
      </w:r>
      <w:r>
        <w:t xml:space="preserve">Only these can show whether supplementation has an effect.</w:t>
      </w:r>
    </w:p>
    <w:p>
      <w:pPr>
        <w:pStyle w:val="FirstParagraph"/>
      </w:pPr>
      <w:r>
        <w:t xml:space="preserve">Results of the first kind are often presented on the internet as if they proved the effect of the second kind. That is a short circuit.</w:t>
      </w:r>
    </w:p>
    <w:bookmarkStart w:id="1826" w:name="endogenous-levels-observations"/>
    <w:p>
      <w:pPr>
        <w:pStyle w:val="Heading4"/>
      </w:pPr>
      <w:r>
        <w:t xml:space="preserve">1. Endogenous levels: observations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Du 2018, PMID 29691953</w:t>
            </w:r>
          </w:p>
        </w:tc>
        <w:tc>
          <w:tcPr/>
          <w:p>
            <w:pPr>
              <w:pStyle w:val="Compact"/>
              <w:jc w:val="left"/>
            </w:pPr>
            <w:r>
              <w:t xml:space="preserve">40 overweight children and adolescents, 57 controls, case-control study</w:t>
            </w:r>
          </w:p>
        </w:tc>
        <w:tc>
          <w:tcPr/>
          <w:p>
            <w:pPr>
              <w:pStyle w:val="Compact"/>
              <w:jc w:val="left"/>
            </w:pPr>
            <w:r>
              <w:t xml:space="preserve">cross-sectional</w:t>
            </w:r>
          </w:p>
        </w:tc>
        <w:tc>
          <w:tcPr/>
          <w:p>
            <w:pPr>
              <w:pStyle w:val="Compact"/>
              <w:jc w:val="left"/>
            </w:pPr>
            <w:r>
              <w:t xml:space="preserve">lower levels in overweight boys, not in girls</w:t>
            </w:r>
          </w:p>
        </w:tc>
      </w:tr>
      <w:tr>
        <w:tc>
          <w:tcPr/>
          <w:p>
            <w:pPr>
              <w:pStyle w:val="Compact"/>
              <w:jc w:val="left"/>
            </w:pPr>
            <w:r>
              <w:t xml:space="preserve">Kirik 2023, PMID 37750635</w:t>
            </w:r>
          </w:p>
        </w:tc>
        <w:tc>
          <w:tcPr/>
          <w:p>
            <w:pPr>
              <w:pStyle w:val="Compact"/>
              <w:jc w:val="left"/>
            </w:pPr>
            <w:r>
              <w:t xml:space="preserve">150 people with fatty liver, 84 healthy people</w:t>
            </w:r>
          </w:p>
        </w:tc>
        <w:tc>
          <w:tcPr/>
          <w:p>
            <w:pPr>
              <w:pStyle w:val="Compact"/>
              <w:jc w:val="left"/>
            </w:pPr>
            <w:r>
              <w:t xml:space="preserve">cross-sectional</w:t>
            </w:r>
          </w:p>
        </w:tc>
        <w:tc>
          <w:tcPr/>
          <w:p>
            <w:pPr>
              <w:pStyle w:val="Compact"/>
              <w:jc w:val="left"/>
            </w:pPr>
            <w:r>
              <w:t xml:space="preserve">lower levels in fatty liver and metabolic syndrome</w:t>
            </w:r>
          </w:p>
        </w:tc>
      </w:tr>
      <w:tr>
        <w:tc>
          <w:tcPr/>
          <w:p>
            <w:pPr>
              <w:pStyle w:val="Compact"/>
              <w:jc w:val="left"/>
            </w:pPr>
            <w:r>
              <w:t xml:space="preserve">Ikonomidis 2020, PMID 32052315</w:t>
            </w:r>
          </w:p>
        </w:tc>
        <w:tc>
          <w:tcPr/>
          <w:p>
            <w:pPr>
              <w:pStyle w:val="Compact"/>
              <w:jc w:val="left"/>
            </w:pPr>
            <w:r>
              <w:t xml:space="preserve">121 people with type 2 diabetes after vascular intervention</w:t>
            </w:r>
          </w:p>
        </w:tc>
        <w:tc>
          <w:tcPr/>
          <w:p>
            <w:pPr>
              <w:pStyle w:val="Compact"/>
              <w:jc w:val="left"/>
            </w:pPr>
            <w:r>
              <w:t xml:space="preserve">2 years</w:t>
            </w:r>
          </w:p>
        </w:tc>
        <w:tc>
          <w:tcPr/>
          <w:p>
            <w:pPr>
              <w:pStyle w:val="Compact"/>
              <w:jc w:val="left"/>
            </w:pPr>
            <w:r>
              <w:t xml:space="preserve">low MOTS-c (below 167 ng/mL) predicted cardiovascular events (relative risk 3.8)</w:t>
            </w:r>
          </w:p>
        </w:tc>
      </w:tr>
      <w:tr>
        <w:tc>
          <w:tcPr/>
          <w:p>
            <w:pPr>
              <w:pStyle w:val="Compact"/>
              <w:jc w:val="left"/>
            </w:pPr>
            <w:r>
              <w:t xml:space="preserve">von Walden 2021, PMID 34351816</w:t>
            </w:r>
          </w:p>
        </w:tc>
        <w:tc>
          <w:tcPr/>
          <w:p>
            <w:pPr>
              <w:pStyle w:val="Compact"/>
              <w:jc w:val="left"/>
            </w:pPr>
            <w:r>
              <w:t xml:space="preserve">30 people, endurance or strength training or control, randomized</w:t>
            </w:r>
          </w:p>
        </w:tc>
        <w:tc>
          <w:tcPr/>
          <w:p>
            <w:pPr>
              <w:pStyle w:val="Compact"/>
              <w:jc w:val="left"/>
            </w:pPr>
            <w:r>
              <w:t xml:space="preserve">single bout</w:t>
            </w:r>
          </w:p>
        </w:tc>
        <w:tc>
          <w:tcPr/>
          <w:p>
            <w:pPr>
              <w:pStyle w:val="Compact"/>
              <w:jc w:val="left"/>
            </w:pPr>
            <w:r>
              <w:t xml:space="preserve">humanin rose after endurance exercise, MOTS-c showed only a trend</w:t>
            </w:r>
          </w:p>
        </w:tc>
      </w:tr>
      <w:tr>
        <w:tc>
          <w:tcPr/>
          <w:p>
            <w:pPr>
              <w:pStyle w:val="Compact"/>
              <w:jc w:val="left"/>
            </w:pPr>
            <w:r>
              <w:t xml:space="preserve">Dieli-Conwright 2021, PMID 34413391</w:t>
            </w:r>
          </w:p>
        </w:tc>
        <w:tc>
          <w:tcPr/>
          <w:p>
            <w:pPr>
              <w:pStyle w:val="Compact"/>
              <w:jc w:val="left"/>
            </w:pPr>
            <w:r>
              <w:t xml:space="preserve">49 women after breast cancer, training or usual care, randomized</w:t>
            </w:r>
          </w:p>
        </w:tc>
        <w:tc>
          <w:tcPr/>
          <w:p>
            <w:pPr>
              <w:pStyle w:val="Compact"/>
              <w:jc w:val="left"/>
            </w:pPr>
            <w:r>
              <w:t xml:space="preserve">16 weeks</w:t>
            </w:r>
          </w:p>
        </w:tc>
        <w:tc>
          <w:tcPr/>
          <w:p>
            <w:pPr>
              <w:pStyle w:val="Compact"/>
              <w:jc w:val="left"/>
            </w:pPr>
            <w:r>
              <w:t xml:space="preserve">rise in MOTS-c in non-Hispanic white women, not in Hispanic women</w:t>
            </w:r>
          </w:p>
        </w:tc>
      </w:tr>
      <w:tr>
        <w:tc>
          <w:tcPr/>
          <w:p>
            <w:pPr>
              <w:pStyle w:val="Compact"/>
              <w:jc w:val="left"/>
            </w:pPr>
            <w:r>
              <w:t xml:space="preserve">Elhusseiny 2025, PMID 40674654</w:t>
            </w:r>
          </w:p>
        </w:tc>
        <w:tc>
          <w:tcPr/>
          <w:p>
            <w:pPr>
              <w:pStyle w:val="Compact"/>
              <w:jc w:val="left"/>
            </w:pPr>
            <w:r>
              <w:t xml:space="preserve">19 active men with immobilized lower leg, heat treatment or sham</w:t>
            </w:r>
          </w:p>
        </w:tc>
        <w:tc>
          <w:tcPr/>
          <w:p>
            <w:pPr>
              <w:pStyle w:val="Compact"/>
              <w:jc w:val="left"/>
            </w:pPr>
            <w:r>
              <w:t xml:space="preserve">2 weeks</w:t>
            </w:r>
          </w:p>
        </w:tc>
        <w:tc>
          <w:tcPr/>
          <w:p>
            <w:pPr>
              <w:pStyle w:val="Compact"/>
              <w:jc w:val="left"/>
            </w:pPr>
            <w:r>
              <w:t xml:space="preserve">heat increased MOTS-c in the blood</w:t>
            </w:r>
          </w:p>
        </w:tc>
      </w:tr>
    </w:tbl>
    <w:p>
      <w:pPr>
        <w:pStyle w:val="BodyText"/>
      </w:pPr>
      <w:r>
        <w:t xml:space="preserve">These studies show that low MOTS-c levels frequently go hand in hand with overweight, insulin resistance, fatty liver or vascular problems</w:t>
      </w:r>
      <w:r>
        <w:rPr>
          <w:rStyle w:val="FootnoteReference"/>
        </w:rPr>
        <w:footnoteReference w:id="1821"/>
      </w:r>
      <w:r>
        <w:t xml:space="preserve"> </w:t>
      </w:r>
      <w:r>
        <w:t xml:space="preserve">and that exercise or heat can raise the levels. What they do</w:t>
      </w:r>
      <w:r>
        <w:t xml:space="preserve"> </w:t>
      </w:r>
      <w:r>
        <w:rPr>
          <w:bCs/>
          <w:b/>
        </w:rPr>
        <w:t xml:space="preserve">not</w:t>
      </w:r>
      <w:r>
        <w:t xml:space="preserve"> </w:t>
      </w:r>
      <w:r>
        <w:t xml:space="preserve">show: that low levels cause the diseases, or that supplemental MOTS-c prevents them. It could just as well be the other way around – the disease lowers the level.</w:t>
      </w:r>
    </w:p>
    <w:p>
      <w:pPr>
        <w:pStyle w:val="BodyText"/>
      </w:pPr>
      <w:r>
        <w:t xml:space="preserve">Another difficulty is the measurement itself. The studies use different assays (ELISA) whose results differ widely: in children, mean values were around 470 to 560 ng/mL</w:t>
      </w:r>
      <w:r>
        <w:rPr>
          <w:rStyle w:val="FootnoteReference"/>
        </w:rPr>
        <w:footnoteReference w:id="1822"/>
      </w:r>
      <w:r>
        <w:t xml:space="preserve">, whereas in the diabetes study a value below 167 ng/mL was considered low</w:t>
      </w:r>
      <w:r>
        <w:rPr>
          <w:rStyle w:val="FootnoteReference"/>
        </w:rPr>
        <w:footnoteReference w:id="1823"/>
      </w:r>
      <w:r>
        <w:t xml:space="preserve">. In a study of breast cancer patients, even metformin – which acts on the same energy sensor – did not change the levels measured with a commercial assay</w:t>
      </w:r>
      <w:r>
        <w:rPr>
          <w:rStyle w:val="FootnoteReference"/>
        </w:rPr>
        <w:footnoteReference w:id="1824"/>
      </w:r>
      <w:r>
        <w:t xml:space="preserve">.</w:t>
      </w:r>
    </w:p>
    <w:p>
      <w:pPr>
        <w:pStyle w:val="BodyText"/>
      </w:pPr>
      <w:r>
        <w:rPr>
          <w:bCs/>
          <w:b/>
        </w:rPr>
        <w:t xml:space="preserve">Genetic evidence:</w:t>
      </w:r>
      <w:r>
        <w:t xml:space="preserve"> </w:t>
      </w:r>
      <w:r>
        <w:t xml:space="preserve">A variant in the mitochondrial genome found only in Asia changes one building block of MOTS-c (K14Q). In three cohorts with a combined 27,527 people, men with this variant more often had type 2 diabetes, especially if they were physically inactive. In mice, the altered MOTS-c form was less effective</w:t>
      </w:r>
      <w:r>
        <w:rPr>
          <w:rStyle w:val="FootnoteReference"/>
        </w:rPr>
        <w:footnoteReference w:id="1825"/>
      </w:r>
      <w:r>
        <w:t xml:space="preserve">. This is an interesting indication that MOTS-c could play a role in human metabolism – but not proof of the benefit of supplementation.</w:t>
      </w:r>
    </w:p>
    <w:bookmarkEnd w:id="1826"/>
    <w:bookmarkStart w:id="1828" w:name="administration-as-a-drug-cb4211"/>
    <w:p>
      <w:pPr>
        <w:pStyle w:val="Heading4"/>
      </w:pPr>
      <w:r>
        <w:t xml:space="preserve">2. Administration as a drug: CB4211</w:t>
      </w:r>
    </w:p>
    <w:p>
      <w:pPr>
        <w:pStyle w:val="FirstParagraph"/>
      </w:pPr>
      <w:r>
        <w:rPr>
          <w:bCs/>
          <w:b/>
        </w:rPr>
        <w:t xml:space="preserve">CB4211</w:t>
      </w:r>
      <w:r>
        <w:t xml:space="preserve"> </w:t>
      </w:r>
      <w:r>
        <w:t xml:space="preserve">is a derivative of MOTS-c developed by the company CohBar. The phase 1a/1b trial</w:t>
      </w:r>
      <w:r>
        <w:rPr>
          <w:rStyle w:val="FootnoteReference"/>
        </w:rPr>
        <w:footnoteReference w:id="1827"/>
      </w:r>
      <w:r>
        <w:t xml:space="preserve"> </w:t>
      </w:r>
      <w:r>
        <w:t xml:space="preserve">was randomized, double-blind and placebo-controlled and included 88 participants: healthy people received single injections or daily subcutaneous injections for seven days, and people with obesity and fatty liver for 28 days. Primary endpoints were safety and tolerability; secondary objectives included liver fat and body weight. The trial was completed in April 2021. No results have been posted in the registry, and our search did not find a publication in a scientific journal. In 2021, the company announced in a press release favorable changes in individual liver and blood glucose values with good tolerability; such announcements are not independently peer-reviewed. Further development in larger trials is not known.</w:t>
      </w:r>
    </w:p>
    <w:p>
      <w:pPr>
        <w:pStyle w:val="BodyText"/>
      </w:pPr>
      <w:r>
        <w:rPr>
          <w:bCs/>
          <w:b/>
        </w:rPr>
        <w:t xml:space="preserve">MOTS-c itself</w:t>
      </w:r>
      <w:r>
        <w:t xml:space="preserve">, according to our research, has not yet been given as a drug in any published or reliably registered human study. A registry entry describing such a phase 2 trial proved dubious (see above).</w:t>
      </w:r>
    </w:p>
    <w:p>
      <w:pPr>
        <w:pStyle w:val="BodyText"/>
      </w:pPr>
      <w:r>
        <w:t xml:space="preserve">Until then, the following applies: there are</w:t>
      </w:r>
      <w:r>
        <w:t xml:space="preserve"> </w:t>
      </w:r>
      <w:r>
        <w:rPr>
          <w:bCs/>
          <w:b/>
        </w:rPr>
        <w:t xml:space="preserve">no published data</w:t>
      </w:r>
      <w:r>
        <w:t xml:space="preserve"> </w:t>
      </w:r>
      <w:r>
        <w:t xml:space="preserve">on whether MOTS-c injections influence metabolism, performance or aging in humans.</w:t>
      </w:r>
    </w:p>
    <w:bookmarkEnd w:id="1828"/>
    <w:bookmarkEnd w:id="1829"/>
    <w:bookmarkStart w:id="1834" w:name="animal-and-laboratory-studies-41"/>
    <w:p>
      <w:pPr>
        <w:pStyle w:val="Heading3"/>
      </w:pPr>
      <w:r>
        <w:t xml:space="preserve">Animal and laboratory studies</w:t>
      </w:r>
    </w:p>
    <w:p>
      <w:pPr>
        <w:pStyle w:val="FirstParagraph"/>
      </w:pPr>
      <w:r>
        <w:t xml:space="preserve">Preclinical research is extensive and growing rapidly:</w:t>
      </w:r>
    </w:p>
    <w:p>
      <w:pPr>
        <w:numPr>
          <w:ilvl w:val="0"/>
          <w:numId w:val="1228"/>
        </w:numPr>
        <w:pStyle w:val="Compact"/>
      </w:pPr>
      <w:r>
        <w:rPr>
          <w:bCs/>
          <w:b/>
        </w:rPr>
        <w:t xml:space="preserve">Metabolism:</w:t>
      </w:r>
      <w:r>
        <w:t xml:space="preserve"> </w:t>
      </w:r>
      <w:r>
        <w:t xml:space="preserve">In mice, MOTS-c prevented diet-induced obesity and insulin resistance</w:t>
      </w:r>
      <w:r>
        <w:rPr>
          <w:rStyle w:val="FootnoteReference"/>
        </w:rPr>
        <w:footnoteReference w:id="1830"/>
      </w:r>
      <w:r>
        <w:t xml:space="preserve">.</w:t>
      </w:r>
    </w:p>
    <w:p>
      <w:pPr>
        <w:numPr>
          <w:ilvl w:val="0"/>
          <w:numId w:val="1228"/>
        </w:numPr>
        <w:pStyle w:val="Compact"/>
      </w:pPr>
      <w:r>
        <w:rPr>
          <w:bCs/>
          <w:b/>
        </w:rPr>
        <w:t xml:space="preserve">Muscle:</w:t>
      </w:r>
      <w:r>
        <w:t xml:space="preserve"> </w:t>
      </w:r>
      <w:r>
        <w:t xml:space="preserve">MOTS-c reduced the muscle-wasting messenger myostatin in obese mice; in humans, MOTS-c and myostatin levels in the blood were inversely related</w:t>
      </w:r>
      <w:r>
        <w:rPr>
          <w:rStyle w:val="FootnoteReference"/>
        </w:rPr>
        <w:footnoteReference w:id="1831"/>
      </w:r>
      <w:r>
        <w:t xml:space="preserve">.</w:t>
      </w:r>
    </w:p>
    <w:p>
      <w:pPr>
        <w:numPr>
          <w:ilvl w:val="0"/>
          <w:numId w:val="1228"/>
        </w:numPr>
        <w:pStyle w:val="Compact"/>
      </w:pPr>
      <w:r>
        <w:rPr>
          <w:bCs/>
          <w:b/>
        </w:rPr>
        <w:t xml:space="preserve">Performance and age:</w:t>
      </w:r>
      <w:r>
        <w:t xml:space="preserve"> </w:t>
      </w:r>
      <w:r>
        <w:t xml:space="preserve">MOTS-c increased the physical performance of mice of various ages</w:t>
      </w:r>
      <w:r>
        <w:rPr>
          <w:rStyle w:val="FootnoteReference"/>
        </w:rPr>
        <w:footnoteReference w:id="1832"/>
      </w:r>
      <w:r>
        <w:t xml:space="preserve">.</w:t>
      </w:r>
    </w:p>
    <w:p>
      <w:pPr>
        <w:numPr>
          <w:ilvl w:val="0"/>
          <w:numId w:val="1228"/>
        </w:numPr>
        <w:pStyle w:val="Compact"/>
      </w:pPr>
      <w:r>
        <w:rPr>
          <w:bCs/>
          <w:b/>
        </w:rPr>
        <w:t xml:space="preserve">Pancreas:</w:t>
      </w:r>
      <w:r>
        <w:t xml:space="preserve"> </w:t>
      </w:r>
      <w:r>
        <w:t xml:space="preserve">In mice, MOTS-c delayed the aging of insulin-producing cells and the onset of diabetes</w:t>
      </w:r>
      <w:r>
        <w:rPr>
          <w:rStyle w:val="FootnoteReference"/>
        </w:rPr>
        <w:footnoteReference w:id="1833"/>
      </w:r>
      <w:r>
        <w:t xml:space="preserve">.</w:t>
      </w:r>
    </w:p>
    <w:p>
      <w:pPr>
        <w:numPr>
          <w:ilvl w:val="0"/>
          <w:numId w:val="1228"/>
        </w:numPr>
        <w:pStyle w:val="Compact"/>
      </w:pPr>
      <w:r>
        <w:t xml:space="preserve">Numerous other papers, mainly from China, describe protective effects in models of lung, heart, liver, bone and kidney damage.</w:t>
      </w:r>
    </w:p>
    <w:p>
      <w:pPr>
        <w:pStyle w:val="FirstParagraph"/>
      </w:pPr>
      <w:r>
        <w:t xml:space="preserve">The abundance of positive animal studies is striking. It shows that MOTS-c is biologically active; it says little about efficacy and safety in humans.</w:t>
      </w:r>
    </w:p>
    <w:bookmarkEnd w:id="1834"/>
    <w:bookmarkStart w:id="1837" w:name="risks-and-side-effects-41"/>
    <w:p>
      <w:pPr>
        <w:pStyle w:val="Heading3"/>
      </w:pPr>
      <w:r>
        <w:t xml:space="preserve">Risks and side effects</w:t>
      </w:r>
    </w:p>
    <w:p>
      <w:pPr>
        <w:pStyle w:val="FirstParagraph"/>
      </w:pPr>
      <w:r>
        <w:rPr>
          <w:bCs/>
          <w:b/>
        </w:rPr>
        <w:t xml:space="preserve">Established:</w:t>
      </w:r>
      <w:r>
        <w:t xml:space="preserve"> </w:t>
      </w:r>
      <w:r>
        <w:t xml:space="preserve">There are no published safety data on the administration of MOTS-c to humans.</w:t>
      </w:r>
    </w:p>
    <w:p>
      <w:pPr>
        <w:pStyle w:val="BodyText"/>
      </w:pPr>
      <w:r>
        <w:rPr>
          <w:bCs/>
          <w:b/>
        </w:rPr>
        <w:t xml:space="preserve">Theoretical:</w:t>
      </w:r>
    </w:p>
    <w:p>
      <w:pPr>
        <w:numPr>
          <w:ilvl w:val="0"/>
          <w:numId w:val="1229"/>
        </w:numPr>
        <w:pStyle w:val="Compact"/>
      </w:pPr>
      <w:r>
        <w:rPr>
          <w:bCs/>
          <w:b/>
        </w:rPr>
        <w:t xml:space="preserve">Blood glucose:</w:t>
      </w:r>
      <w:r>
        <w:t xml:space="preserve"> </w:t>
      </w:r>
      <w:r>
        <w:t xml:space="preserve">A substance that increases insulin sensitivity could promote hypoglycemia in combination with diabetes medications.</w:t>
      </w:r>
    </w:p>
    <w:p>
      <w:pPr>
        <w:numPr>
          <w:ilvl w:val="0"/>
          <w:numId w:val="1229"/>
        </w:numPr>
        <w:pStyle w:val="Compact"/>
      </w:pPr>
      <w:r>
        <w:rPr>
          <w:bCs/>
          <w:b/>
        </w:rPr>
        <w:t xml:space="preserve">Cancer:</w:t>
      </w:r>
      <w:r>
        <w:t xml:space="preserve"> </w:t>
      </w:r>
      <w:r>
        <w:t xml:space="preserve">In laboratory studies, MOTS-c tended to slow cancer cells: it inhibited the growth of ovarian cancer cells</w:t>
      </w:r>
      <w:r>
        <w:rPr>
          <w:rStyle w:val="FootnoteReference"/>
        </w:rPr>
        <w:footnoteReference w:id="1835"/>
      </w:r>
      <w:r>
        <w:t xml:space="preserve"> </w:t>
      </w:r>
      <w:r>
        <w:t xml:space="preserve">and made liver cancer cells more susceptible to programmed cell death under oxygen deprivation</w:t>
      </w:r>
      <w:r>
        <w:rPr>
          <w:rStyle w:val="FootnoteReference"/>
        </w:rPr>
        <w:footnoteReference w:id="1836"/>
      </w:r>
      <w:r>
        <w:t xml:space="preserve">. Whether this applies in humans, and what effects years of supplementation with a metabolically active signaling molecule would have, has not been studied.</w:t>
      </w:r>
    </w:p>
    <w:p>
      <w:pPr>
        <w:numPr>
          <w:ilvl w:val="0"/>
          <w:numId w:val="1229"/>
        </w:numPr>
        <w:pStyle w:val="Compact"/>
      </w:pPr>
      <w:r>
        <w:rPr>
          <w:bCs/>
          <w:b/>
        </w:rPr>
        <w:t xml:space="preserve">Immune reactions:</w:t>
      </w:r>
      <w:r>
        <w:t xml:space="preserve"> </w:t>
      </w:r>
      <w:r>
        <w:t xml:space="preserve">Repeated injections of a peptide can lead to the formation of antibodies; this has not been studied for MOTS-c.</w:t>
      </w:r>
    </w:p>
    <w:p>
      <w:pPr>
        <w:pStyle w:val="FirstParagraph"/>
      </w:pPr>
      <w:r>
        <w:rPr>
          <w:bCs/>
          <w:b/>
        </w:rPr>
        <w:t xml:space="preserve">Gray market and sport:</w:t>
      </w:r>
      <w:r>
        <w:t xml:space="preserve"> </w:t>
      </w:r>
      <w:r>
        <w:t xml:space="preserve">MOTS-c is one of the most popular</w:t>
      </w:r>
      <w:r>
        <w:t xml:space="preserve"> </w:t>
      </w:r>
      <w:r>
        <w:t xml:space="preserve">“</w:t>
      </w:r>
      <w:r>
        <w:t xml:space="preserve">longevity</w:t>
      </w:r>
      <w:r>
        <w:t xml:space="preserve">”</w:t>
      </w:r>
      <w:r>
        <w:t xml:space="preserve"> </w:t>
      </w:r>
      <w:r>
        <w:t xml:space="preserve">and fitness peptides on the internet and is sold as powder for injection. Purity and content are unverified. For athletes, its use is explicitly prohibited (WADA S4).</w:t>
      </w:r>
    </w:p>
    <w:bookmarkEnd w:id="1837"/>
    <w:bookmarkStart w:id="1838" w:name="legal-status-41"/>
    <w:p>
      <w:pPr>
        <w:pStyle w:val="Heading3"/>
      </w:pPr>
      <w:r>
        <w:t xml:space="preserve">Legal status</w:t>
      </w:r>
    </w:p>
    <w:p>
      <w:pPr>
        <w:numPr>
          <w:ilvl w:val="0"/>
          <w:numId w:val="1230"/>
        </w:numPr>
        <w:pStyle w:val="Compact"/>
      </w:pPr>
      <w:r>
        <w:rPr>
          <w:bCs/>
          <w:b/>
        </w:rPr>
        <w:t xml:space="preserve">EU / Austria / Germany:</w:t>
      </w:r>
      <w:r>
        <w:t xml:space="preserve"> </w:t>
      </w:r>
      <w:r>
        <w:t xml:space="preserve">not approved; as a substance with a pharmacological effect, MOTS-c is considered a medicine, and selling it for use in humans is not permitted.</w:t>
      </w:r>
    </w:p>
    <w:p>
      <w:pPr>
        <w:numPr>
          <w:ilvl w:val="0"/>
          <w:numId w:val="1230"/>
        </w:numPr>
        <w:pStyle w:val="Compact"/>
      </w:pPr>
      <w:r>
        <w:rPr>
          <w:bCs/>
          <w:b/>
        </w:rPr>
        <w:t xml:space="preserve">USA:</w:t>
      </w:r>
      <w:r>
        <w:t xml:space="preserve"> </w:t>
      </w:r>
      <w:r>
        <w:t xml:space="preserve">not approved. Following the positive PCAC vote in July 2026, MOTS-c could in future be used in pharmacy compounding if the FDA follows it; the decision was pending at the time of going to press (as of October 2026, please check for updates).</w:t>
      </w:r>
    </w:p>
    <w:p>
      <w:pPr>
        <w:numPr>
          <w:ilvl w:val="0"/>
          <w:numId w:val="1230"/>
        </w:numPr>
        <w:pStyle w:val="Compact"/>
      </w:pPr>
      <w:r>
        <w:rPr>
          <w:bCs/>
          <w:b/>
        </w:rPr>
        <w:t xml:space="preserve">Sport:</w:t>
      </w:r>
      <w:r>
        <w:t xml:space="preserve"> </w:t>
      </w:r>
      <w:r>
        <w:t xml:space="preserve">prohibited under the WADA list, category S4 (as of 2026, please check for updates).</w:t>
      </w:r>
    </w:p>
    <w:bookmarkEnd w:id="1838"/>
    <w:bookmarkStart w:id="1841" w:name="ongoing-studies-and-outlook-41"/>
    <w:p>
      <w:pPr>
        <w:pStyle w:val="Heading3"/>
      </w:pPr>
      <w:r>
        <w:t xml:space="preserve">Ongoing studies and outlook</w:t>
      </w:r>
    </w:p>
    <w:p>
      <w:pPr>
        <w:pStyle w:val="FirstParagraph"/>
      </w:pPr>
      <w:r>
        <w:rPr>
          <w:bCs/>
          <w:b/>
        </w:rPr>
        <w:t xml:space="preserve">Established (registered studies, as of October 2026):</w:t>
      </w:r>
    </w:p>
    <w:p>
      <w:pPr>
        <w:numPr>
          <w:ilvl w:val="0"/>
          <w:numId w:val="1231"/>
        </w:numPr>
        <w:pStyle w:val="Compact"/>
      </w:pPr>
      <w:r>
        <w:t xml:space="preserve">There is no reliably registered study in which MOTS-c is given as a drug.</w:t>
      </w:r>
    </w:p>
    <w:p>
      <w:pPr>
        <w:numPr>
          <w:ilvl w:val="0"/>
          <w:numId w:val="1231"/>
        </w:numPr>
        <w:pStyle w:val="Compact"/>
      </w:pPr>
      <w:r>
        <w:t xml:space="preserve">Several observational studies measure MOTS-c levels, for example in kidney transplantation</w:t>
      </w:r>
      <w:r>
        <w:rPr>
          <w:rStyle w:val="FootnoteReference"/>
        </w:rPr>
        <w:footnoteReference w:id="1839"/>
      </w:r>
      <w:r>
        <w:t xml:space="preserve"> </w:t>
      </w:r>
      <w:r>
        <w:t xml:space="preserve">or in diabetes under different medications</w:t>
      </w:r>
      <w:r>
        <w:rPr>
          <w:rStyle w:val="FootnoteReference"/>
        </w:rPr>
        <w:footnoteReference w:id="1840"/>
      </w:r>
      <w:r>
        <w:t xml:space="preserve">.</w:t>
      </w:r>
    </w:p>
    <w:p>
      <w:pPr>
        <w:pStyle w:val="FirstParagraph"/>
      </w:pPr>
      <w:r>
        <w:rPr>
          <w:bCs/>
          <w:b/>
        </w:rPr>
        <w:t xml:space="preserve">Assessment:</w:t>
      </w:r>
      <w:r>
        <w:t xml:space="preserve"> </w:t>
      </w:r>
      <w:r>
        <w:t xml:space="preserve">The central question – does supplemental MOTS-c improve insulin sensitivity in humans? – has not yet been tested by anyone in a published study. That would first require a controlled phase 1/2 trial with published results. Until then, every statement about an effect in humans rests on animal experiments and level measurements.</w:t>
      </w:r>
    </w:p>
    <w:bookmarkEnd w:id="1841"/>
    <w:bookmarkStart w:id="1842" w:name="conclusion-41"/>
    <w:p>
      <w:pPr>
        <w:pStyle w:val="Heading3"/>
      </w:pPr>
      <w:r>
        <w:t xml:space="preserve">Conclusion</w:t>
      </w:r>
    </w:p>
    <w:p>
      <w:pPr>
        <w:pStyle w:val="FirstParagraph"/>
      </w:pPr>
      <w:r>
        <w:t xml:space="preserve">MOTS-c is an endogenous peptide encoded in the mitochondrial genome that improved metabolism and performance in mice and rises in humans after exercise. Observational studies show lower levels in overweight, fatty liver and vascular disease but prove neither causation nor a benefit of supplementation. The only completed study with a MOTS-c derivative (CB4211) has not been published in a scientific journal, and there is no published human study with MOTS-c itself. The data are not sufficient to assess benefit or safety in humans; in sport, MOTS-c is prohibited.</w:t>
      </w:r>
    </w:p>
    <w:bookmarkEnd w:id="1842"/>
    <w:bookmarkEnd w:id="1843"/>
    <w:bookmarkStart w:id="1866" w:name="humanin"/>
    <w:p>
      <w:pPr>
        <w:pStyle w:val="Heading2"/>
      </w:pPr>
      <w:r>
        <w:t xml:space="preserve">Humanin</w:t>
      </w:r>
    </w:p>
    <w:bookmarkStart w:id="1844" w:name="profile-42"/>
    <w:p>
      <w:pPr>
        <w:pStyle w:val="Heading3"/>
      </w:pPr>
      <w:r>
        <w:t xml:space="preserve">Profile</w:t>
      </w:r>
    </w:p>
    <w:p>
      <w:pPr>
        <w:numPr>
          <w:ilvl w:val="0"/>
          <w:numId w:val="1232"/>
        </w:numPr>
        <w:pStyle w:val="Compact"/>
      </w:pPr>
      <w:r>
        <w:rPr>
          <w:bCs/>
          <w:b/>
        </w:rPr>
        <w:t xml:space="preserve">Type and structure:</w:t>
      </w:r>
      <w:r>
        <w:t xml:space="preserve"> </w:t>
      </w:r>
      <w:r>
        <w:t xml:space="preserve">endogenous peptide of 24 amino acids. On the gray market and in research, the modified form</w:t>
      </w:r>
      <w:r>
        <w:t xml:space="preserve"> </w:t>
      </w:r>
      <w:r>
        <w:rPr>
          <w:bCs/>
          <w:b/>
        </w:rPr>
        <w:t xml:space="preserve">HNG</w:t>
      </w:r>
      <w:r>
        <w:t xml:space="preserve"> </w:t>
      </w:r>
      <w:r>
        <w:t xml:space="preserve">(humanin-G, also S14G-humanin) is mostly used, in which serine at position 14 is replaced by glycine; it is considerably more potent in laboratory experiments.</w:t>
      </w:r>
    </w:p>
    <w:p>
      <w:pPr>
        <w:numPr>
          <w:ilvl w:val="0"/>
          <w:numId w:val="1232"/>
        </w:numPr>
        <w:pStyle w:val="Compact"/>
      </w:pPr>
      <w:r>
        <w:rPr>
          <w:bCs/>
          <w:b/>
        </w:rPr>
        <w:t xml:space="preserve">Origin:</w:t>
      </w:r>
      <w:r>
        <w:t xml:space="preserve"> </w:t>
      </w:r>
      <w:r>
        <w:t xml:space="preserve">discovered in 2001 by Japanese researchers while searching brain tissue from a person with Alzheimer’s disease for factors that protect nerve cells from dying – hence the name. It is encoded in the genome of the mitochondria; similar segments also exist in the nuclear genome.</w:t>
      </w:r>
    </w:p>
    <w:p>
      <w:pPr>
        <w:numPr>
          <w:ilvl w:val="0"/>
          <w:numId w:val="1232"/>
        </w:numPr>
        <w:pStyle w:val="Compact"/>
      </w:pPr>
      <w:r>
        <w:rPr>
          <w:bCs/>
          <w:b/>
        </w:rPr>
        <w:t xml:space="preserve">Mechanism of action:</w:t>
      </w:r>
      <w:r>
        <w:t xml:space="preserve"> </w:t>
      </w:r>
      <w:r>
        <w:t xml:space="preserve">a</w:t>
      </w:r>
      <w:r>
        <w:t xml:space="preserve"> </w:t>
      </w:r>
      <w:r>
        <w:t xml:space="preserve">“</w:t>
      </w:r>
      <w:r>
        <w:t xml:space="preserve">mitokine</w:t>
      </w:r>
      <w:r>
        <w:t xml:space="preserve">”</w:t>
      </w:r>
      <w:r>
        <w:t xml:space="preserve"> </w:t>
      </w:r>
      <w:r>
        <w:t xml:space="preserve">(signaling molecule of the mitochondria) said to protect cells from programmed cell death. Among other things, it binds to a receptor complex of the CNTF receptor, WSX-1 and gp130 on the cell surface.</w:t>
      </w:r>
    </w:p>
    <w:p>
      <w:pPr>
        <w:numPr>
          <w:ilvl w:val="0"/>
          <w:numId w:val="1232"/>
        </w:numPr>
        <w:pStyle w:val="Compact"/>
      </w:pPr>
      <w:r>
        <w:rPr>
          <w:bCs/>
          <w:b/>
        </w:rPr>
        <w:t xml:space="preserve">EU approval:</w:t>
      </w:r>
      <w:r>
        <w:t xml:space="preserve"> </w:t>
      </w:r>
      <w:r>
        <w:t xml:space="preserve">no.</w:t>
      </w:r>
    </w:p>
    <w:p>
      <w:pPr>
        <w:numPr>
          <w:ilvl w:val="0"/>
          <w:numId w:val="1232"/>
        </w:numPr>
        <w:pStyle w:val="Compact"/>
      </w:pPr>
      <w:r>
        <w:rPr>
          <w:bCs/>
          <w:b/>
        </w:rPr>
        <w:t xml:space="preserve">US approval:</w:t>
      </w:r>
      <w:r>
        <w:t xml:space="preserve"> </w:t>
      </w:r>
      <w:r>
        <w:t xml:space="preserve">no.</w:t>
      </w:r>
    </w:p>
    <w:p>
      <w:pPr>
        <w:numPr>
          <w:ilvl w:val="0"/>
          <w:numId w:val="1232"/>
        </w:numPr>
        <w:pStyle w:val="Compact"/>
      </w:pPr>
      <w:r>
        <w:rPr>
          <w:bCs/>
          <w:b/>
        </w:rPr>
        <w:t xml:space="preserve">WADA:</w:t>
      </w:r>
      <w:r>
        <w:t xml:space="preserve"> </w:t>
      </w:r>
      <w:r>
        <w:t xml:space="preserve">not listed by name; as a substance not approved anywhere, humanin or HNG falls in our assessment under the catch-all category S0.</w:t>
      </w:r>
    </w:p>
    <w:p>
      <w:pPr>
        <w:numPr>
          <w:ilvl w:val="0"/>
          <w:numId w:val="1232"/>
        </w:numPr>
        <w:pStyle w:val="Compact"/>
      </w:pPr>
      <w:r>
        <w:rPr>
          <w:bCs/>
          <w:b/>
        </w:rPr>
        <w:t xml:space="preserve">Evidence level:</w:t>
      </w:r>
      <w:r>
        <w:t xml:space="preserve"> </w:t>
      </w:r>
      <w:r>
        <w:rPr>
          <w:bCs/>
          <w:b/>
        </w:rPr>
        <w:t xml:space="preserve">D</w:t>
      </w:r>
      <w:r>
        <w:t xml:space="preserve"> </w:t>
      </w:r>
      <w:r>
        <w:t xml:space="preserve">for administration as a drug – not a single study in which humans received humanin or HNG; in humans, there are only measurements of endogenous levels.</w:t>
      </w:r>
    </w:p>
    <w:bookmarkEnd w:id="1844"/>
    <w:bookmarkStart w:id="1848" w:name="how-it-is-supposed-to-work-42"/>
    <w:p>
      <w:pPr>
        <w:pStyle w:val="Heading3"/>
      </w:pPr>
      <w:r>
        <w:t xml:space="preserve">How it is supposed to work</w:t>
      </w:r>
    </w:p>
    <w:p>
      <w:pPr>
        <w:pStyle w:val="FirstParagraph"/>
      </w:pPr>
      <w:r>
        <w:t xml:space="preserve">In 2001, the discoverers searched a gene library from brain tissue for segments that protect nerve cells from the toxic effects of Alzheimer’s genes. They found a short peptide that, in cell cultures, protected nerve cells from numerous types of damage typical of Alzheimer’s – against amyloid-beta and against the effects of several hereditary Alzheimer’s mutations, but not against other toxins such as glutamate or prion fragments</w:t>
      </w:r>
      <w:r>
        <w:rPr>
          <w:rStyle w:val="FootnoteReference"/>
        </w:rPr>
        <w:footnoteReference w:id="1845"/>
      </w:r>
      <w:r>
        <w:t xml:space="preserve">. The variant HNG was more effective than other protective factors tested.</w:t>
      </w:r>
    </w:p>
    <w:p>
      <w:pPr>
        <w:pStyle w:val="BodyText"/>
      </w:pPr>
      <w:r>
        <w:t xml:space="preserve">The same group later showed that humanin binds to a receptor complex belonging to the cytokine receptor family (CNTF receptor, WSX-1 and gp130) and acts via the signaling molecule STAT3</w:t>
      </w:r>
      <w:r>
        <w:rPr>
          <w:rStyle w:val="FootnoteReference"/>
        </w:rPr>
        <w:footnoteReference w:id="1846"/>
      </w:r>
      <w:r>
        <w:t xml:space="preserve">. In addition, laboratory studies describe binding to proteins that control cell death and to the growth factor binding partner IGFBP-3.</w:t>
      </w:r>
    </w:p>
    <w:p>
      <w:pPr>
        <w:pStyle w:val="BodyText"/>
      </w:pPr>
      <w:r>
        <w:t xml:space="preserve">A special feature: like MOTS-c (see the previous chapter), humanin is encoded in the genome of the mitochondria. These</w:t>
      </w:r>
      <w:r>
        <w:t xml:space="preserve"> </w:t>
      </w:r>
      <w:r>
        <w:t xml:space="preserve">“</w:t>
      </w:r>
      <w:r>
        <w:t xml:space="preserve">mitochondrial peptides</w:t>
      </w:r>
      <w:r>
        <w:t xml:space="preserve">”</w:t>
      </w:r>
      <w:r>
        <w:t xml:space="preserve"> </w:t>
      </w:r>
      <w:r>
        <w:t xml:space="preserve">are regarded as a new signaling level through which mitochondria communicate with the rest of the body</w:t>
      </w:r>
      <w:r>
        <w:rPr>
          <w:rStyle w:val="FootnoteReference"/>
        </w:rPr>
        <w:footnoteReference w:id="1847"/>
      </w:r>
      <w:r>
        <w:t xml:space="preserve">.</w:t>
      </w:r>
    </w:p>
    <w:bookmarkEnd w:id="1848"/>
    <w:bookmarkStart w:id="1852" w:name="human-studies-42"/>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8 publications classified as human studies; in none of them was humanin administered. They examine how endogenous levels change with training, oxygen therapy or dietary supplements, or concern patients’ cells in the laboratory. In total, PubMed lists around 550 papers on humanin. On ClinicalTrials.gov, 3 studies are registered, all observational studies on humanin levels (in heart surgery, acute kidney failure and kidney transplantation).</w:t>
      </w:r>
    </w:p>
    <w:bookmarkStart w:id="1850" w:name="levels-and-age"/>
    <w:p>
      <w:pPr>
        <w:pStyle w:val="Heading4"/>
      </w:pPr>
      <w:r>
        <w:t xml:space="preserve">Levels and 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Lee 2014, PMID 25040290</w:t>
            </w:r>
          </w:p>
        </w:tc>
        <w:tc>
          <w:tcPr/>
          <w:p>
            <w:pPr>
              <w:pStyle w:val="Compact"/>
              <w:jc w:val="left"/>
            </w:pPr>
            <w:r>
              <w:t xml:space="preserve">mice and humans, observation and hormone administration</w:t>
            </w:r>
          </w:p>
        </w:tc>
        <w:tc>
          <w:tcPr/>
          <w:p>
            <w:pPr>
              <w:pStyle w:val="Compact"/>
              <w:jc w:val="left"/>
            </w:pPr>
            <w:r>
              <w:t xml:space="preserve">–</w:t>
            </w:r>
          </w:p>
        </w:tc>
        <w:tc>
          <w:tcPr/>
          <w:p>
            <w:pPr>
              <w:pStyle w:val="Compact"/>
              <w:jc w:val="left"/>
            </w:pPr>
            <w:r>
              <w:t xml:space="preserve">humanin levels decline with age; growth hormone and IGF-1 lowered them in mice and humans</w:t>
            </w:r>
          </w:p>
        </w:tc>
      </w:tr>
      <w:tr>
        <w:tc>
          <w:tcPr/>
          <w:p>
            <w:pPr>
              <w:pStyle w:val="Compact"/>
              <w:jc w:val="left"/>
            </w:pPr>
            <w:r>
              <w:t xml:space="preserve">Yen 2020, PMID 32575074</w:t>
            </w:r>
          </w:p>
        </w:tc>
        <w:tc>
          <w:tcPr/>
          <w:p>
            <w:pPr>
              <w:pStyle w:val="Compact"/>
              <w:jc w:val="left"/>
            </w:pPr>
            <w:r>
              <w:t xml:space="preserve">children of centenarians and comparison subjects; animal models</w:t>
            </w:r>
          </w:p>
        </w:tc>
        <w:tc>
          <w:tcPr/>
          <w:p>
            <w:pPr>
              <w:pStyle w:val="Compact"/>
              <w:jc w:val="left"/>
            </w:pPr>
            <w:r>
              <w:t xml:space="preserve">cross-sectional</w:t>
            </w:r>
          </w:p>
        </w:tc>
        <w:tc>
          <w:tcPr/>
          <w:p>
            <w:pPr>
              <w:pStyle w:val="Compact"/>
              <w:jc w:val="left"/>
            </w:pPr>
            <w:r>
              <w:t xml:space="preserve">markedly higher levels in children of centenarians; lower in Alzheimer’s and MELAS</w:t>
            </w:r>
          </w:p>
        </w:tc>
      </w:tr>
      <w:tr>
        <w:tc>
          <w:tcPr/>
          <w:p>
            <w:pPr>
              <w:pStyle w:val="Compact"/>
              <w:jc w:val="left"/>
            </w:pPr>
            <w:r>
              <w:t xml:space="preserve">Miller 2024, PMID 38520065</w:t>
            </w:r>
          </w:p>
        </w:tc>
        <w:tc>
          <w:tcPr/>
          <w:p>
            <w:pPr>
              <w:pStyle w:val="Compact"/>
              <w:jc w:val="left"/>
            </w:pPr>
            <w:r>
              <w:t xml:space="preserve">centenarians with the Alzheimer’s risk gene APOE4; mouse model</w:t>
            </w:r>
          </w:p>
        </w:tc>
        <w:tc>
          <w:tcPr/>
          <w:p>
            <w:pPr>
              <w:pStyle w:val="Compact"/>
              <w:jc w:val="left"/>
            </w:pPr>
            <w:r>
              <w:t xml:space="preserve">genetic analysis</w:t>
            </w:r>
          </w:p>
        </w:tc>
        <w:tc>
          <w:tcPr/>
          <w:p>
            <w:pPr>
              <w:pStyle w:val="Compact"/>
              <w:jc w:val="left"/>
            </w:pPr>
            <w:r>
              <w:t xml:space="preserve">rare humanin variant P3S more frequent in long-lived APOE4 carriers</w:t>
            </w:r>
          </w:p>
        </w:tc>
      </w:tr>
      <w:tr>
        <w:tc>
          <w:tcPr/>
          <w:p>
            <w:pPr>
              <w:pStyle w:val="Compact"/>
              <w:jc w:val="left"/>
            </w:pPr>
            <w:r>
              <w:t xml:space="preserve">Gidlund 2016, PMID 27923980</w:t>
            </w:r>
          </w:p>
        </w:tc>
        <w:tc>
          <w:tcPr/>
          <w:p>
            <w:pPr>
              <w:pStyle w:val="Compact"/>
              <w:jc w:val="left"/>
            </w:pPr>
            <w:r>
              <w:t xml:space="preserve">55 men with impaired glucose metabolism, strength training, Nordic walking or control, randomized</w:t>
            </w:r>
          </w:p>
        </w:tc>
        <w:tc>
          <w:tcPr/>
          <w:p>
            <w:pPr>
              <w:pStyle w:val="Compact"/>
              <w:jc w:val="left"/>
            </w:pPr>
            <w:r>
              <w:t xml:space="preserve">12 weeks</w:t>
            </w:r>
          </w:p>
        </w:tc>
        <w:tc>
          <w:tcPr/>
          <w:p>
            <w:pPr>
              <w:pStyle w:val="Compact"/>
              <w:jc w:val="left"/>
            </w:pPr>
            <w:r>
              <w:t xml:space="preserve">humanin in muscle 35% higher after strength training, unchanged in blood</w:t>
            </w:r>
          </w:p>
        </w:tc>
      </w:tr>
      <w:tr>
        <w:tc>
          <w:tcPr/>
          <w:p>
            <w:pPr>
              <w:pStyle w:val="Compact"/>
              <w:jc w:val="left"/>
            </w:pPr>
            <w:r>
              <w:t xml:space="preserve">von Walden 2021, PMID 34351816</w:t>
            </w:r>
          </w:p>
        </w:tc>
        <w:tc>
          <w:tcPr/>
          <w:p>
            <w:pPr>
              <w:pStyle w:val="Compact"/>
              <w:jc w:val="left"/>
            </w:pPr>
            <w:r>
              <w:t xml:space="preserve">30 people, one endurance or strength session or control, randomized</w:t>
            </w:r>
          </w:p>
        </w:tc>
        <w:tc>
          <w:tcPr/>
          <w:p>
            <w:pPr>
              <w:pStyle w:val="Compact"/>
              <w:jc w:val="left"/>
            </w:pPr>
            <w:r>
              <w:t xml:space="preserve">single session</w:t>
            </w:r>
          </w:p>
        </w:tc>
        <w:tc>
          <w:tcPr/>
          <w:p>
            <w:pPr>
              <w:pStyle w:val="Compact"/>
              <w:jc w:val="left"/>
            </w:pPr>
            <w:r>
              <w:t xml:space="preserve">humanin in blood elevated after endurance exercise</w:t>
            </w:r>
          </w:p>
        </w:tc>
      </w:tr>
      <w:tr>
        <w:tc>
          <w:tcPr/>
          <w:p>
            <w:pPr>
              <w:pStyle w:val="Compact"/>
              <w:jc w:val="left"/>
            </w:pPr>
            <w:r>
              <w:t xml:space="preserve">Xu 2019, PMID 31134827</w:t>
            </w:r>
          </w:p>
        </w:tc>
        <w:tc>
          <w:tcPr/>
          <w:p>
            <w:pPr>
              <w:pStyle w:val="Compact"/>
              <w:jc w:val="left"/>
            </w:pPr>
            <w:r>
              <w:t xml:space="preserve">158 people with vascular dementia, hyperbaric oxygen therapy or standard care</w:t>
            </w:r>
          </w:p>
        </w:tc>
        <w:tc>
          <w:tcPr/>
          <w:p>
            <w:pPr>
              <w:pStyle w:val="Compact"/>
              <w:jc w:val="left"/>
            </w:pPr>
            <w:r>
              <w:t xml:space="preserve">12 weeks</w:t>
            </w:r>
          </w:p>
        </w:tc>
        <w:tc>
          <w:tcPr/>
          <w:p>
            <w:pPr>
              <w:pStyle w:val="Compact"/>
              <w:jc w:val="left"/>
            </w:pPr>
            <w:r>
              <w:t xml:space="preserve">higher humanin levels and MMSE scores with hyperbaric therapy</w:t>
            </w:r>
          </w:p>
        </w:tc>
      </w:tr>
    </w:tbl>
    <w:p>
      <w:pPr>
        <w:pStyle w:val="BodyText"/>
      </w:pPr>
      <w:r>
        <w:t xml:space="preserve">The observations form a coherent picture: humanin levels decline with age, are higher in children of very old people, lower in some diseases, and rise with exercise. The connection with the growth hormone system is interesting: growth hormone and IGF-1 lowered humanin levels in mice and humans, and long-lived mice with growth hormone deficiency had elevated levels</w:t>
      </w:r>
      <w:r>
        <w:rPr>
          <w:rStyle w:val="FootnoteReference"/>
        </w:rPr>
        <w:footnoteReference w:id="1849"/>
      </w:r>
      <w:r>
        <w:t xml:space="preserve">. This is noteworthy because growth hormone releasers are frequently offered on the same gray market (see Part II · C).</w:t>
      </w:r>
    </w:p>
    <w:p>
      <w:pPr>
        <w:pStyle w:val="BodyText"/>
      </w:pPr>
      <w:r>
        <w:t xml:space="preserve">But here too: a level associated with health is not proof that supplementation makes people healthier. Humanin could just as well be an accompanying sign of healthy mitochondria without itself being the cause.</w:t>
      </w:r>
    </w:p>
    <w:bookmarkEnd w:id="1850"/>
    <w:bookmarkStart w:id="1851" w:name="administration-as-a-drug"/>
    <w:p>
      <w:pPr>
        <w:pStyle w:val="Heading4"/>
      </w:pPr>
      <w:r>
        <w:t xml:space="preserve">Administration as a drug</w:t>
      </w:r>
    </w:p>
    <w:p>
      <w:pPr>
        <w:pStyle w:val="FirstParagraph"/>
      </w:pPr>
      <w:r>
        <w:t xml:space="preserve">There is no published study and no registry entry in which humans received humanin or HNG (search October 2026). No case reports of side effects after self-administration were found either.</w:t>
      </w:r>
    </w:p>
    <w:bookmarkEnd w:id="1851"/>
    <w:bookmarkEnd w:id="1852"/>
    <w:bookmarkStart w:id="1858" w:name="animal-and-laboratory-studies-42"/>
    <w:p>
      <w:pPr>
        <w:pStyle w:val="Heading3"/>
      </w:pPr>
      <w:r>
        <w:t xml:space="preserve">Animal and laboratory studies</w:t>
      </w:r>
    </w:p>
    <w:p>
      <w:pPr>
        <w:pStyle w:val="FirstParagraph"/>
      </w:pPr>
      <w:r>
        <w:t xml:space="preserve">The preclinical literature is extensive:</w:t>
      </w:r>
    </w:p>
    <w:p>
      <w:pPr>
        <w:numPr>
          <w:ilvl w:val="0"/>
          <w:numId w:val="1233"/>
        </w:numPr>
        <w:pStyle w:val="Compact"/>
      </w:pPr>
      <w:r>
        <w:rPr>
          <w:bCs/>
          <w:b/>
        </w:rPr>
        <w:t xml:space="preserve">Lifespan:</w:t>
      </w:r>
      <w:r>
        <w:t xml:space="preserve"> </w:t>
      </w:r>
      <w:r>
        <w:t xml:space="preserve">In roundworms, increased humanin production extended lifespan; in middle-aged mice, HNG improved metabolic values and lowered inflammatory markers</w:t>
      </w:r>
      <w:r>
        <w:rPr>
          <w:rStyle w:val="FootnoteReference"/>
        </w:rPr>
        <w:footnoteReference w:id="1853"/>
      </w:r>
      <w:r>
        <w:t xml:space="preserve">.</w:t>
      </w:r>
    </w:p>
    <w:p>
      <w:pPr>
        <w:numPr>
          <w:ilvl w:val="0"/>
          <w:numId w:val="1233"/>
        </w:numPr>
        <w:pStyle w:val="Compact"/>
      </w:pPr>
      <w:r>
        <w:rPr>
          <w:bCs/>
          <w:b/>
        </w:rPr>
        <w:t xml:space="preserve">Heart:</w:t>
      </w:r>
      <w:r>
        <w:t xml:space="preserve"> </w:t>
      </w:r>
      <w:r>
        <w:t xml:space="preserve">In mice, HNG reduced infarct size after an experimentally induced heart attack</w:t>
      </w:r>
      <w:r>
        <w:rPr>
          <w:rStyle w:val="FootnoteReference"/>
        </w:rPr>
        <w:footnoteReference w:id="1854"/>
      </w:r>
      <w:r>
        <w:t xml:space="preserve">; a 14-month treatment of old mice reduced age-related scarring of the heart muscle</w:t>
      </w:r>
      <w:r>
        <w:rPr>
          <w:rStyle w:val="FootnoteReference"/>
        </w:rPr>
        <w:footnoteReference w:id="1855"/>
      </w:r>
      <w:r>
        <w:t xml:space="preserve">.</w:t>
      </w:r>
    </w:p>
    <w:p>
      <w:pPr>
        <w:numPr>
          <w:ilvl w:val="0"/>
          <w:numId w:val="1233"/>
        </w:numPr>
        <w:pStyle w:val="Compact"/>
      </w:pPr>
      <w:r>
        <w:rPr>
          <w:bCs/>
          <w:b/>
        </w:rPr>
        <w:t xml:space="preserve">Alzheimer’s models:</w:t>
      </w:r>
      <w:r>
        <w:t xml:space="preserve"> </w:t>
      </w:r>
      <w:r>
        <w:t xml:space="preserve">In mice with APOE4, the rare variant P3S reduced amyloid deposits more than normal humanin</w:t>
      </w:r>
      <w:r>
        <w:rPr>
          <w:rStyle w:val="FootnoteReference"/>
        </w:rPr>
        <w:footnoteReference w:id="1856"/>
      </w:r>
      <w:r>
        <w:t xml:space="preserve">.</w:t>
      </w:r>
    </w:p>
    <w:p>
      <w:pPr>
        <w:numPr>
          <w:ilvl w:val="0"/>
          <w:numId w:val="1233"/>
        </w:numPr>
        <w:pStyle w:val="Compact"/>
      </w:pPr>
      <w:r>
        <w:rPr>
          <w:bCs/>
          <w:b/>
        </w:rPr>
        <w:t xml:space="preserve">Retina:</w:t>
      </w:r>
      <w:r>
        <w:t xml:space="preserve"> </w:t>
      </w:r>
      <w:r>
        <w:t xml:space="preserve">In cell models with mitochondria from people with age-related macular degeneration, HNG protected against cell damage</w:t>
      </w:r>
      <w:r>
        <w:rPr>
          <w:rStyle w:val="FootnoteReference"/>
        </w:rPr>
        <w:footnoteReference w:id="1857"/>
      </w:r>
      <w:r>
        <w:t xml:space="preserve">.</w:t>
      </w:r>
    </w:p>
    <w:bookmarkEnd w:id="1858"/>
    <w:bookmarkStart w:id="1861" w:name="risks-and-side-effects-42"/>
    <w:p>
      <w:pPr>
        <w:pStyle w:val="Heading3"/>
      </w:pPr>
      <w:r>
        <w:t xml:space="preserve">Risks and side effects</w:t>
      </w:r>
    </w:p>
    <w:p>
      <w:pPr>
        <w:pStyle w:val="FirstParagraph"/>
      </w:pPr>
      <w:r>
        <w:rPr>
          <w:bCs/>
          <w:b/>
        </w:rPr>
        <w:t xml:space="preserve">Established:</w:t>
      </w:r>
      <w:r>
        <w:t xml:space="preserve"> </w:t>
      </w:r>
      <w:r>
        <w:t xml:space="preserve">There are no safety data on administration to humans.</w:t>
      </w:r>
    </w:p>
    <w:p>
      <w:pPr>
        <w:pStyle w:val="BodyText"/>
      </w:pPr>
      <w:r>
        <w:rPr>
          <w:bCs/>
          <w:b/>
        </w:rPr>
        <w:t xml:space="preserve">Theoretical – with concrete warning signs from the laboratory:</w:t>
      </w:r>
    </w:p>
    <w:p>
      <w:pPr>
        <w:numPr>
          <w:ilvl w:val="0"/>
          <w:numId w:val="1234"/>
        </w:numPr>
        <w:pStyle w:val="Compact"/>
      </w:pPr>
      <w:r>
        <w:rPr>
          <w:bCs/>
          <w:b/>
        </w:rPr>
        <w:t xml:space="preserve">Cancer:</w:t>
      </w:r>
      <w:r>
        <w:t xml:space="preserve"> </w:t>
      </w:r>
      <w:r>
        <w:t xml:space="preserve">Humanin protects cells from programmed cell death – and this also applies to cancer cells. In mice with triple-negative breast cancer, supplemental humanin reduced cell death in the tumor, weakened the effect of chemotherapy and accelerated tumor growth and lung metastases. In biopsies of this type of breast cancer, humanin was found at increased levels. The authors explicitly advise caution in using humanin against degenerative diseases</w:t>
      </w:r>
      <w:r>
        <w:rPr>
          <w:rStyle w:val="FootnoteReference"/>
        </w:rPr>
        <w:footnoteReference w:id="1859"/>
      </w:r>
      <w:r>
        <w:t xml:space="preserve">.</w:t>
      </w:r>
    </w:p>
    <w:p>
      <w:pPr>
        <w:numPr>
          <w:ilvl w:val="0"/>
          <w:numId w:val="1234"/>
        </w:numPr>
        <w:pStyle w:val="Compact"/>
      </w:pPr>
      <w:r>
        <w:rPr>
          <w:bCs/>
          <w:b/>
        </w:rPr>
        <w:t xml:space="preserve">Inflammation in aged cells:</w:t>
      </w:r>
      <w:r>
        <w:t xml:space="preserve"> </w:t>
      </w:r>
      <w:r>
        <w:t xml:space="preserve">In cell experiments, humanin and MOTS-c increased the release of inflammatory messengers by aged (</w:t>
      </w:r>
      <w:r>
        <w:t xml:space="preserve">“</w:t>
      </w:r>
      <w:r>
        <w:t xml:space="preserve">senescent</w:t>
      </w:r>
      <w:r>
        <w:t xml:space="preserve">”</w:t>
      </w:r>
      <w:r>
        <w:t xml:space="preserve">) cells</w:t>
      </w:r>
      <w:r>
        <w:rPr>
          <w:rStyle w:val="FootnoteReference"/>
        </w:rPr>
        <w:footnoteReference w:id="1860"/>
      </w:r>
      <w:r>
        <w:t xml:space="preserve">.</w:t>
      </w:r>
    </w:p>
    <w:p>
      <w:pPr>
        <w:numPr>
          <w:ilvl w:val="0"/>
          <w:numId w:val="1234"/>
        </w:numPr>
        <w:pStyle w:val="Compact"/>
      </w:pPr>
      <w:r>
        <w:rPr>
          <w:bCs/>
          <w:b/>
        </w:rPr>
        <w:t xml:space="preserve">Immune reactions:</w:t>
      </w:r>
      <w:r>
        <w:t xml:space="preserve"> </w:t>
      </w:r>
      <w:r>
        <w:t xml:space="preserve">Repeated injection of a peptide can lead to the formation of antibodies; not studied.</w:t>
      </w:r>
    </w:p>
    <w:p>
      <w:pPr>
        <w:pStyle w:val="FirstParagraph"/>
      </w:pPr>
      <w:r>
        <w:rPr>
          <w:bCs/>
          <w:b/>
        </w:rPr>
        <w:t xml:space="preserve">Gray market:</w:t>
      </w:r>
      <w:r>
        <w:t xml:space="preserve"> </w:t>
      </w:r>
      <w:r>
        <w:t xml:space="preserve">Humanin and HNG are offered as</w:t>
      </w:r>
      <w:r>
        <w:t xml:space="preserve"> </w:t>
      </w:r>
      <w:r>
        <w:t xml:space="preserve">“</w:t>
      </w:r>
      <w:r>
        <w:t xml:space="preserve">longevity peptides</w:t>
      </w:r>
      <w:r>
        <w:t xml:space="preserve">”</w:t>
      </w:r>
      <w:r>
        <w:t xml:space="preserve"> </w:t>
      </w:r>
      <w:r>
        <w:t xml:space="preserve">for injection. Content, purity and sterility are unverified.</w:t>
      </w:r>
    </w:p>
    <w:bookmarkEnd w:id="1861"/>
    <w:bookmarkStart w:id="1862" w:name="legal-status-42"/>
    <w:p>
      <w:pPr>
        <w:pStyle w:val="Heading3"/>
      </w:pPr>
      <w:r>
        <w:t xml:space="preserve">Legal status</w:t>
      </w:r>
    </w:p>
    <w:p>
      <w:pPr>
        <w:numPr>
          <w:ilvl w:val="0"/>
          <w:numId w:val="1235"/>
        </w:numPr>
        <w:pStyle w:val="Compact"/>
      </w:pPr>
      <w:r>
        <w:rPr>
          <w:bCs/>
          <w:b/>
        </w:rPr>
        <w:t xml:space="preserve">EU / Austria / Germany:</w:t>
      </w:r>
      <w:r>
        <w:t xml:space="preserve"> </w:t>
      </w:r>
      <w:r>
        <w:t xml:space="preserve">not approved; as a substance with a pharmacological effect, humanin is considered a medicine, and selling it for use in humans is not permitted.</w:t>
      </w:r>
    </w:p>
    <w:p>
      <w:pPr>
        <w:numPr>
          <w:ilvl w:val="0"/>
          <w:numId w:val="1235"/>
        </w:numPr>
        <w:pStyle w:val="Compact"/>
      </w:pPr>
      <w:r>
        <w:rPr>
          <w:bCs/>
          <w:b/>
        </w:rPr>
        <w:t xml:space="preserve">USA:</w:t>
      </w:r>
      <w:r>
        <w:t xml:space="preserve"> </w:t>
      </w:r>
      <w:r>
        <w:t xml:space="preserve">not approved.</w:t>
      </w:r>
    </w:p>
    <w:p>
      <w:pPr>
        <w:numPr>
          <w:ilvl w:val="0"/>
          <w:numId w:val="1235"/>
        </w:numPr>
        <w:pStyle w:val="Compact"/>
      </w:pPr>
      <w:r>
        <w:rPr>
          <w:bCs/>
          <w:b/>
        </w:rPr>
        <w:t xml:space="preserve">Sport:</w:t>
      </w:r>
      <w:r>
        <w:t xml:space="preserve"> </w:t>
      </w:r>
      <w:r>
        <w:t xml:space="preserve">in our assessment WADA category S0 (as of 2026, please check for updates).</w:t>
      </w:r>
    </w:p>
    <w:bookmarkEnd w:id="1862"/>
    <w:bookmarkStart w:id="1864" w:name="ongoing-studies-and-outlook-42"/>
    <w:p>
      <w:pPr>
        <w:pStyle w:val="Heading3"/>
      </w:pPr>
      <w:r>
        <w:t xml:space="preserve">Ongoing studies and outlook</w:t>
      </w:r>
    </w:p>
    <w:p>
      <w:pPr>
        <w:pStyle w:val="FirstParagraph"/>
      </w:pPr>
      <w:r>
        <w:rPr>
          <w:bCs/>
          <w:b/>
        </w:rPr>
        <w:t xml:space="preserve">Established:</w:t>
      </w:r>
      <w:r>
        <w:t xml:space="preserve"> </w:t>
      </w:r>
      <w:r>
        <w:t xml:space="preserve">Only observational studies on humanin levels are registered, for example after heart surgery (NCT03431844, 106 participants, completed) and in kidney transplantation</w:t>
      </w:r>
      <w:r>
        <w:rPr>
          <w:rStyle w:val="FootnoteReference"/>
        </w:rPr>
        <w:footnoteReference w:id="1863"/>
      </w:r>
      <w:r>
        <w:t xml:space="preserve">. There is no study of humanin administration.</w:t>
      </w:r>
    </w:p>
    <w:p>
      <w:pPr>
        <w:pStyle w:val="BodyText"/>
      </w:pPr>
      <w:r>
        <w:rPr>
          <w:bCs/>
          <w:b/>
        </w:rPr>
        <w:t xml:space="preserve">Assessment:</w:t>
      </w:r>
      <w:r>
        <w:t xml:space="preserve"> </w:t>
      </w:r>
      <w:r>
        <w:t xml:space="preserve">Humanin is a scientifically exciting signaling peptide and a possible biomarker of aging. Whether it will ever be tested as a medicine is open; the cancer findings from the animal model would have to be carefully clarified before any use in humans.</w:t>
      </w:r>
    </w:p>
    <w:bookmarkEnd w:id="1864"/>
    <w:bookmarkStart w:id="1865" w:name="conclusion-42"/>
    <w:p>
      <w:pPr>
        <w:pStyle w:val="Heading3"/>
      </w:pPr>
      <w:r>
        <w:t xml:space="preserve">Conclusion</w:t>
      </w:r>
    </w:p>
    <w:p>
      <w:pPr>
        <w:pStyle w:val="FirstParagraph"/>
      </w:pPr>
      <w:r>
        <w:t xml:space="preserve">Humanin is an endogenous mitochondrial peptide discovered in 2001 as a protective factor for nerve cells. Its levels decline with age, are higher in children of centenarians and rise with exercise; in animal experiments, the variant HNG protected the heart, brain and metabolism. Humanin has never been given to humans as a drug, and in mice it promoted the growth of breast cancer. The data are not sufficient to assess the benefit or safety of supplementation.</w:t>
      </w:r>
    </w:p>
    <w:bookmarkEnd w:id="1865"/>
    <w:bookmarkEnd w:id="1866"/>
    <w:bookmarkStart w:id="1906" w:name="ss-31-elamipretide"/>
    <w:p>
      <w:pPr>
        <w:pStyle w:val="Heading2"/>
      </w:pPr>
      <w:r>
        <w:t xml:space="preserve">SS-31 (Elamipretide)</w:t>
      </w:r>
    </w:p>
    <w:bookmarkStart w:id="1867" w:name="profile-43"/>
    <w:p>
      <w:pPr>
        <w:pStyle w:val="Heading3"/>
      </w:pPr>
      <w:r>
        <w:t xml:space="preserve">Profile</w:t>
      </w:r>
    </w:p>
    <w:p>
      <w:pPr>
        <w:numPr>
          <w:ilvl w:val="0"/>
          <w:numId w:val="1236"/>
        </w:numPr>
        <w:pStyle w:val="Compact"/>
      </w:pPr>
      <w:r>
        <w:rPr>
          <w:bCs/>
          <w:b/>
        </w:rPr>
        <w:t xml:space="preserve">Type and structure:</w:t>
      </w:r>
      <w:r>
        <w:t xml:space="preserve"> </w:t>
      </w:r>
      <w:r>
        <w:t xml:space="preserve">synthetic tetrapeptide of four building blocks (D-arginine, dimethyltyrosine, lysine, phenylalanine) that penetrates cell membranes thanks to an unusual sequence of positively charged and ring-shaped amino acids. Research designations SS-31, MTP-131 and Bendavia; international nonproprietary name elamipretide; brand name Forzinity.</w:t>
      </w:r>
    </w:p>
    <w:p>
      <w:pPr>
        <w:numPr>
          <w:ilvl w:val="0"/>
          <w:numId w:val="1236"/>
        </w:numPr>
        <w:pStyle w:val="Compact"/>
      </w:pPr>
      <w:r>
        <w:rPr>
          <w:bCs/>
          <w:b/>
        </w:rPr>
        <w:t xml:space="preserve">Origin:</w:t>
      </w:r>
      <w:r>
        <w:t xml:space="preserve"> </w:t>
      </w:r>
      <w:r>
        <w:t xml:space="preserve">developed by Hazel Szeto and Peter Schiller (hence</w:t>
      </w:r>
      <w:r>
        <w:t xml:space="preserve"> </w:t>
      </w:r>
      <w:r>
        <w:t xml:space="preserve">“</w:t>
      </w:r>
      <w:r>
        <w:t xml:space="preserve">SS</w:t>
      </w:r>
      <w:r>
        <w:t xml:space="preserve">”</w:t>
      </w:r>
      <w:r>
        <w:t xml:space="preserve"> </w:t>
      </w:r>
      <w:r>
        <w:t xml:space="preserve">peptides), clinically developed further by the US company Stealth BioTherapeutics.</w:t>
      </w:r>
    </w:p>
    <w:p>
      <w:pPr>
        <w:numPr>
          <w:ilvl w:val="0"/>
          <w:numId w:val="1236"/>
        </w:numPr>
        <w:pStyle w:val="Compact"/>
      </w:pPr>
      <w:r>
        <w:rPr>
          <w:bCs/>
          <w:b/>
        </w:rPr>
        <w:t xml:space="preserve">Mechanism of action:</w:t>
      </w:r>
      <w:r>
        <w:t xml:space="preserve"> </w:t>
      </w:r>
      <w:r>
        <w:t xml:space="preserve">accumulates at the inner membrane of the mitochondria and binds there to cardiolipin, a lipid indispensable for energy production. It is said to stabilize the respiratory chain and limit harmful oxidation.</w:t>
      </w:r>
    </w:p>
    <w:p>
      <w:pPr>
        <w:numPr>
          <w:ilvl w:val="0"/>
          <w:numId w:val="1236"/>
        </w:numPr>
        <w:pStyle w:val="Compact"/>
      </w:pPr>
      <w:r>
        <w:rPr>
          <w:bCs/>
          <w:b/>
        </w:rPr>
        <w:t xml:space="preserve">EU approval:</w:t>
      </w:r>
      <w:r>
        <w:t xml:space="preserve"> </w:t>
      </w:r>
      <w:r>
        <w:t xml:space="preserve">no.</w:t>
      </w:r>
    </w:p>
    <w:p>
      <w:pPr>
        <w:numPr>
          <w:ilvl w:val="0"/>
          <w:numId w:val="1236"/>
        </w:numPr>
        <w:pStyle w:val="Compact"/>
      </w:pPr>
      <w:r>
        <w:rPr>
          <w:bCs/>
          <w:b/>
        </w:rPr>
        <w:t xml:space="preserve">US approval:</w:t>
      </w:r>
      <w:r>
        <w:t xml:space="preserve"> </w:t>
      </w:r>
      <w:r>
        <w:t xml:space="preserve">yes – in September 2025,</w:t>
      </w:r>
      <w:r>
        <w:t xml:space="preserve"> </w:t>
      </w:r>
      <w:r>
        <w:rPr>
          <w:bCs/>
          <w:b/>
        </w:rPr>
        <w:t xml:space="preserve">accelerated approval</w:t>
      </w:r>
      <w:r>
        <w:t xml:space="preserve"> </w:t>
      </w:r>
      <w:r>
        <w:t xml:space="preserve">as Forzinity to improve muscle strength in Barth syndrome for adults and children weighing at least 30 kg. The approval is contingent on a confirmatory trial.</w:t>
      </w:r>
    </w:p>
    <w:p>
      <w:pPr>
        <w:numPr>
          <w:ilvl w:val="0"/>
          <w:numId w:val="1236"/>
        </w:numPr>
        <w:pStyle w:val="Compact"/>
      </w:pPr>
      <w:r>
        <w:rPr>
          <w:bCs/>
          <w:b/>
        </w:rPr>
        <w:t xml:space="preserve">WADA:</w:t>
      </w:r>
      <w:r>
        <w:t xml:space="preserve"> </w:t>
      </w:r>
      <w:r>
        <w:t xml:space="preserve">not listed by name.</w:t>
      </w:r>
    </w:p>
    <w:p>
      <w:pPr>
        <w:numPr>
          <w:ilvl w:val="0"/>
          <w:numId w:val="1236"/>
        </w:numPr>
        <w:pStyle w:val="Compact"/>
      </w:pPr>
      <w:r>
        <w:rPr>
          <w:bCs/>
          <w:b/>
        </w:rPr>
        <w:t xml:space="preserve">Evidence level:</w:t>
      </w:r>
      <w:r>
        <w:t xml:space="preserve"> </w:t>
      </w:r>
      <w:r>
        <w:rPr>
          <w:bCs/>
          <w:b/>
        </w:rPr>
        <w:t xml:space="preserve">B</w:t>
      </w:r>
      <w:r>
        <w:t xml:space="preserve"> </w:t>
      </w:r>
      <w:r>
        <w:t xml:space="preserve">– numerous randomized trials, including a phase 3 trial with 218 participants; however, most of the large trials missed their primary endpoint, and the approval is based on a very small study in an extremely rare disease.</w:t>
      </w:r>
    </w:p>
    <w:bookmarkEnd w:id="1867"/>
    <w:bookmarkStart w:id="1869" w:name="how-it-is-supposed-to-work-43"/>
    <w:p>
      <w:pPr>
        <w:pStyle w:val="Heading3"/>
      </w:pPr>
      <w:r>
        <w:t xml:space="preserve">How it is supposed to work</w:t>
      </w:r>
    </w:p>
    <w:p>
      <w:pPr>
        <w:pStyle w:val="FirstParagraph"/>
      </w:pPr>
      <w:r>
        <w:t xml:space="preserve">Mitochondria produce energy via a chain of protein complexes in their inner membrane. For these complexes to work together properly, cardiolipin is needed – a special lipid found only in this membrane. If cardiolipin is damaged or missing, the respiratory chain works less well, and the protein cytochrome c can turn from an electron carrier into a harmful enzyme (a peroxidase).</w:t>
      </w:r>
    </w:p>
    <w:p>
      <w:pPr>
        <w:pStyle w:val="BodyText"/>
      </w:pPr>
      <w:r>
        <w:t xml:space="preserve">According to its developer, SS-31 binds selectively to cardiolipin via electrostatic and hydrophobic forces, prevents this conversion of cytochrome c and thereby protects the structure of the mitochondria</w:t>
      </w:r>
      <w:r>
        <w:rPr>
          <w:rStyle w:val="FootnoteReference"/>
        </w:rPr>
        <w:footnoteReference w:id="1868"/>
      </w:r>
      <w:r>
        <w:t xml:space="preserve">. The principle has been studied in many animal models of heart, kidney, muscle and eye diseases.</w:t>
      </w:r>
    </w:p>
    <w:p>
      <w:pPr>
        <w:pStyle w:val="BodyText"/>
      </w:pPr>
      <w:r>
        <w:t xml:space="preserve">The connection is clearest in</w:t>
      </w:r>
      <w:r>
        <w:t xml:space="preserve"> </w:t>
      </w:r>
      <w:r>
        <w:rPr>
          <w:bCs/>
          <w:b/>
        </w:rPr>
        <w:t xml:space="preserve">Barth syndrome</w:t>
      </w:r>
      <w:r>
        <w:t xml:space="preserve">: in this very rare, X-linked disease, which affects almost exclusively boys and men, the gene</w:t>
      </w:r>
      <w:r>
        <w:t xml:space="preserve"> </w:t>
      </w:r>
      <w:r>
        <w:rPr>
          <w:iCs/>
          <w:i/>
        </w:rPr>
        <w:t xml:space="preserve">TAZ</w:t>
      </w:r>
      <w:r>
        <w:t xml:space="preserve">, which is needed for the remodeling of cardiolipin, is defective. Those affected have heart muscle weakness, muscle weakness, severe fatigability and a reduced number of certain white blood cells. An agent that specifically targets cardiolipin is biologically particularly obvious here.</w:t>
      </w:r>
    </w:p>
    <w:bookmarkEnd w:id="1869"/>
    <w:bookmarkStart w:id="1888" w:name="human-studies-43"/>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19 publications classified as human studies; on closer inspection, four of them concern other agents (the abbreviation</w:t>
      </w:r>
      <w:r>
        <w:t xml:space="preserve"> </w:t>
      </w:r>
      <w:r>
        <w:t xml:space="preserve">“</w:t>
      </w:r>
      <w:r>
        <w:t xml:space="preserve">SS-31</w:t>
      </w:r>
      <w:r>
        <w:t xml:space="preserve">”</w:t>
      </w:r>
      <w:r>
        <w:t xml:space="preserve"> </w:t>
      </w:r>
      <w:r>
        <w:t xml:space="preserve">also appears elsewhere). On ClinicalTrials.gov, 21 studies were registered, almost all by the manufacturer, on Barth syndrome, mitochondrial myopathies, heart failure, heart attack, renal artery stenosis, dry macular degeneration and eye diseases. Elamipretide is thus the best-studied peptide in this part.</w:t>
      </w:r>
    </w:p>
    <w:bookmarkStart w:id="1877" w:name="barth-syndrome-tazpower-and-the-approval"/>
    <w:p>
      <w:pPr>
        <w:pStyle w:val="Heading4"/>
      </w:pPr>
      <w:r>
        <w:t xml:space="preserve">Barth syndrome: TAZPOWER and the approval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TAZPOWER part 1 (Reid Thompson 2021), PMID 33077895</w:t>
            </w:r>
          </w:p>
        </w:tc>
        <w:tc>
          <w:tcPr/>
          <w:p>
            <w:pPr>
              <w:pStyle w:val="Compact"/>
              <w:jc w:val="left"/>
            </w:pPr>
            <w:r>
              <w:t xml:space="preserve">12 people, double-blind, crossover vs. placebo</w:t>
            </w:r>
          </w:p>
        </w:tc>
        <w:tc>
          <w:tcPr/>
          <w:p>
            <w:pPr>
              <w:pStyle w:val="Compact"/>
              <w:jc w:val="left"/>
            </w:pPr>
            <w:r>
              <w:t xml:space="preserve">12 weeks each</w:t>
            </w:r>
          </w:p>
        </w:tc>
        <w:tc>
          <w:tcPr/>
          <w:p>
            <w:pPr>
              <w:pStyle w:val="Compact"/>
              <w:jc w:val="left"/>
            </w:pPr>
            <w:r>
              <w:t xml:space="preserve">both primary endpoints (6-minute walk test, symptom scale) missed</w:t>
            </w:r>
          </w:p>
        </w:tc>
      </w:tr>
      <w:tr>
        <w:tc>
          <w:tcPr/>
          <w:p>
            <w:pPr>
              <w:pStyle w:val="Compact"/>
              <w:jc w:val="left"/>
            </w:pPr>
            <w:r>
              <w:t xml:space="preserve">TAZPOWER open-label extension, PMID 33077895</w:t>
            </w:r>
          </w:p>
        </w:tc>
        <w:tc>
          <w:tcPr/>
          <w:p>
            <w:pPr>
              <w:pStyle w:val="Compact"/>
              <w:jc w:val="left"/>
            </w:pPr>
            <w:r>
              <w:t xml:space="preserve">10 people, all on elamipretide</w:t>
            </w:r>
          </w:p>
        </w:tc>
        <w:tc>
          <w:tcPr/>
          <w:p>
            <w:pPr>
              <w:pStyle w:val="Compact"/>
              <w:jc w:val="left"/>
            </w:pPr>
            <w:r>
              <w:t xml:space="preserve">36 weeks</w:t>
            </w:r>
          </w:p>
        </w:tc>
        <w:tc>
          <w:tcPr/>
          <w:p>
            <w:pPr>
              <w:pStyle w:val="Compact"/>
              <w:jc w:val="left"/>
            </w:pPr>
            <w:r>
              <w:t xml:space="preserve">walking distance +95.9 m, symptom scale −2.1 points</w:t>
            </w:r>
          </w:p>
        </w:tc>
      </w:tr>
      <w:tr>
        <w:tc>
          <w:tcPr/>
          <w:p>
            <w:pPr>
              <w:pStyle w:val="Compact"/>
              <w:jc w:val="left"/>
            </w:pPr>
            <w:r>
              <w:t xml:space="preserve">Extension to 168 weeks (Thompson 2024), PMID 38602181</w:t>
            </w:r>
          </w:p>
        </w:tc>
        <w:tc>
          <w:tcPr/>
          <w:p>
            <w:pPr>
              <w:pStyle w:val="Compact"/>
              <w:jc w:val="left"/>
            </w:pPr>
            <w:r>
              <w:t xml:space="preserve">10 enrolled, 8 to week 168</w:t>
            </w:r>
          </w:p>
        </w:tc>
        <w:tc>
          <w:tcPr/>
          <w:p>
            <w:pPr>
              <w:pStyle w:val="Compact"/>
              <w:jc w:val="left"/>
            </w:pPr>
            <w:r>
              <w:t xml:space="preserve">168 weeks</w:t>
            </w:r>
          </w:p>
        </w:tc>
        <w:tc>
          <w:tcPr/>
          <w:p>
            <w:pPr>
              <w:pStyle w:val="Compact"/>
              <w:jc w:val="left"/>
            </w:pPr>
            <w:r>
              <w:t xml:space="preserve">cumulative walking distance +96.1 m; cardiac volumes improved</w:t>
            </w:r>
          </w:p>
        </w:tc>
      </w:tr>
      <w:tr>
        <w:tc>
          <w:tcPr/>
          <w:p>
            <w:pPr>
              <w:pStyle w:val="Compact"/>
              <w:jc w:val="left"/>
            </w:pPr>
            <w:r>
              <w:t xml:space="preserve">Comparison with natural history (Hornby 2022), PMID 36056411</w:t>
            </w:r>
          </w:p>
        </w:tc>
        <w:tc>
          <w:tcPr/>
          <w:p>
            <w:pPr>
              <w:pStyle w:val="Compact"/>
              <w:jc w:val="left"/>
            </w:pPr>
            <w:r>
              <w:t xml:space="preserve">8 treated vs. 19 untreated people from a disease registry</w:t>
            </w:r>
          </w:p>
        </w:tc>
        <w:tc>
          <w:tcPr/>
          <w:p>
            <w:pPr>
              <w:pStyle w:val="Compact"/>
              <w:jc w:val="left"/>
            </w:pPr>
            <w:r>
              <w:t xml:space="preserve">64–76 weeks</w:t>
            </w:r>
          </w:p>
        </w:tc>
        <w:tc>
          <w:tcPr/>
          <w:p>
            <w:pPr>
              <w:pStyle w:val="Compact"/>
              <w:jc w:val="left"/>
            </w:pPr>
            <w:r>
              <w:t xml:space="preserve">difference in walk test 79.7 and 91.0 m in favor of elamipretide</w:t>
            </w:r>
          </w:p>
        </w:tc>
      </w:tr>
    </w:tbl>
    <w:p>
      <w:pPr>
        <w:pStyle w:val="BodyText"/>
      </w:pPr>
      <w:r>
        <w:t xml:space="preserve">The story of the approval exemplifies how decisions are made in extremely rare diseases:</w:t>
      </w:r>
    </w:p>
    <w:p>
      <w:pPr>
        <w:pStyle w:val="BodyText"/>
      </w:pPr>
      <w:r>
        <w:rPr>
          <w:bCs/>
          <w:b/>
        </w:rPr>
        <w:t xml:space="preserve">The controlled part failed.</w:t>
      </w:r>
      <w:r>
        <w:t xml:space="preserve"> </w:t>
      </w:r>
      <w:r>
        <w:t xml:space="preserve">In TAZPOWER</w:t>
      </w:r>
      <w:r>
        <w:rPr>
          <w:rStyle w:val="FootnoteReference"/>
        </w:rPr>
        <w:footnoteReference w:id="1870"/>
      </w:r>
      <w:r>
        <w:t xml:space="preserve">, twelve people with Barth syndrome received daily subcutaneous elamipretide or placebo for twelve weeks and then the other in each case. In this blinded part, no significant difference was achieved in either the 6-minute walk test or the symptom scale</w:t>
      </w:r>
      <w:r>
        <w:rPr>
          <w:rStyle w:val="FootnoteReference"/>
        </w:rPr>
        <w:footnoteReference w:id="1871"/>
      </w:r>
      <w:r>
        <w:t xml:space="preserve">.</w:t>
      </w:r>
    </w:p>
    <w:p>
      <w:pPr>
        <w:pStyle w:val="BodyText"/>
      </w:pPr>
      <w:r>
        <w:rPr>
          <w:bCs/>
          <w:b/>
        </w:rPr>
        <w:t xml:space="preserve">The open-label extension was positive.</w:t>
      </w:r>
      <w:r>
        <w:t xml:space="preserve"> </w:t>
      </w:r>
      <w:r>
        <w:t xml:space="preserve">Ten people continued treatment open-label. After 36 weeks, they walked on average 95.9 m farther than at baseline, and knee extensor strength and individual cardiac parameters also improved</w:t>
      </w:r>
      <w:r>
        <w:rPr>
          <w:rStyle w:val="FootnoteReference"/>
        </w:rPr>
        <w:footnoteReference w:id="1872"/>
      </w:r>
      <w:r>
        <w:t xml:space="preserve">. The improvement persisted to week 168; eight people reached that time point</w:t>
      </w:r>
      <w:r>
        <w:rPr>
          <w:rStyle w:val="FootnoteReference"/>
        </w:rPr>
        <w:footnoteReference w:id="1873"/>
      </w:r>
      <w:r>
        <w:t xml:space="preserve">. Without a control group, however, it is impossible to separate what share is due to the drug and what to familiarization with the test, motivation or chance.</w:t>
      </w:r>
    </w:p>
    <w:p>
      <w:pPr>
        <w:pStyle w:val="BodyText"/>
      </w:pPr>
      <w:r>
        <w:rPr>
          <w:bCs/>
          <w:b/>
        </w:rPr>
        <w:t xml:space="preserve">Comparison with a registry control.</w:t>
      </w:r>
      <w:r>
        <w:t xml:space="preserve"> </w:t>
      </w:r>
      <w:r>
        <w:t xml:space="preserve">To clarify this, a further study compared eight treated people with 19 untreated people from a natural history study. The advantage in the walk test after 64 weeks was 79.7 m</w:t>
      </w:r>
      <w:r>
        <w:rPr>
          <w:rStyle w:val="FootnoteReference"/>
        </w:rPr>
        <w:footnoteReference w:id="1874"/>
      </w:r>
      <w:r>
        <w:t xml:space="preserve">. Such</w:t>
      </w:r>
      <w:r>
        <w:t xml:space="preserve"> </w:t>
      </w:r>
      <w:r>
        <w:t xml:space="preserve">“</w:t>
      </w:r>
      <w:r>
        <w:t xml:space="preserve">historical controls</w:t>
      </w:r>
      <w:r>
        <w:t xml:space="preserve">”</w:t>
      </w:r>
      <w:r>
        <w:t xml:space="preserve"> </w:t>
      </w:r>
      <w:r>
        <w:t xml:space="preserve">are often the only option in rare diseases but are considered much weaker than randomization.</w:t>
      </w:r>
    </w:p>
    <w:p>
      <w:pPr>
        <w:pStyle w:val="BodyText"/>
      </w:pPr>
      <w:r>
        <w:rPr>
          <w:bCs/>
          <w:b/>
        </w:rPr>
        <w:t xml:space="preserve">The FDA decision in 2025.</w:t>
      </w:r>
      <w:r>
        <w:t xml:space="preserve"> </w:t>
      </w:r>
      <w:r>
        <w:t xml:space="preserve">The US drug agency initially rejected the application in May 2025 (Complete Response Letter). In September 2025, it then granted</w:t>
      </w:r>
      <w:r>
        <w:t xml:space="preserve"> </w:t>
      </w:r>
      <w:r>
        <w:rPr>
          <w:bCs/>
          <w:b/>
        </w:rPr>
        <w:t xml:space="preserve">accelerated approval</w:t>
      </w:r>
      <w:r>
        <w:t xml:space="preserve"> </w:t>
      </w:r>
      <w:r>
        <w:t xml:space="preserve">for elamipretide (Forzinity) to improve muscle strength in Barth syndrome for patients weighing at least 30 kg – as the first disease-specific treatment for this condition</w:t>
      </w:r>
      <w:r>
        <w:rPr>
          <w:rStyle w:val="FootnoteReference"/>
        </w:rPr>
        <w:footnoteReference w:id="1875"/>
      </w:r>
      <w:r>
        <w:t xml:space="preserve">. The basis was the improvement in knee extensor strength, which the agency regards as a surrogate measure that makes a clinical benefit</w:t>
      </w:r>
      <w:r>
        <w:t xml:space="preserve"> </w:t>
      </w:r>
      <w:r>
        <w:t xml:space="preserve">“</w:t>
      </w:r>
      <w:r>
        <w:t xml:space="preserve">reasonably likely.</w:t>
      </w:r>
      <w:r>
        <w:t xml:space="preserve">”</w:t>
      </w:r>
      <w:r>
        <w:t xml:space="preserve"> </w:t>
      </w:r>
      <w:r>
        <w:t xml:space="preserve">Accelerated approval obligates the manufacturer to conduct a confirmatory trial; if the benefit is not shown there, the approval can be withdrawn. A corresponding trial with 48 planned participants has been recruiting since July 2026</w:t>
      </w:r>
      <w:r>
        <w:rPr>
          <w:rStyle w:val="FootnoteReference"/>
        </w:rPr>
        <w:footnoteReference w:id="1876"/>
      </w:r>
      <w:r>
        <w:t xml:space="preserve">.</w:t>
      </w:r>
    </w:p>
    <w:bookmarkEnd w:id="1877"/>
    <w:bookmarkStart w:id="1882" w:name="primary-mitochondrial-myopathy-mmpower-3"/>
    <w:p>
      <w:pPr>
        <w:pStyle w:val="Heading4"/>
      </w:pPr>
      <w:r>
        <w:t xml:space="preserve">Primary mitochondrial myopathy: MMPOWER-3</w:t>
      </w:r>
    </w:p>
    <w:p>
      <w:pPr>
        <w:pStyle w:val="FirstParagraph"/>
      </w:pPr>
      <w:r>
        <w:t xml:space="preserve">Mitochondrial myopathies are hereditary diseases in which energy production in the muscles is impaired; those affected suffer from muscle weakness and severe fatigability.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MMPOWER (Karaa 2018), PMID 29500292</w:t>
            </w:r>
          </w:p>
        </w:tc>
        <w:tc>
          <w:tcPr/>
          <w:p>
            <w:pPr>
              <w:pStyle w:val="Compact"/>
              <w:jc w:val="left"/>
            </w:pPr>
            <w:r>
              <w:t xml:space="preserve">36 people, infusion at increasing doses vs. placebo</w:t>
            </w:r>
          </w:p>
        </w:tc>
        <w:tc>
          <w:tcPr/>
          <w:p>
            <w:pPr>
              <w:pStyle w:val="Compact"/>
              <w:jc w:val="left"/>
            </w:pPr>
            <w:r>
              <w:t xml:space="preserve">5 days</w:t>
            </w:r>
          </w:p>
        </w:tc>
        <w:tc>
          <w:tcPr/>
          <w:p>
            <w:pPr>
              <w:pStyle w:val="Compact"/>
              <w:jc w:val="left"/>
            </w:pPr>
            <w:r>
              <w:t xml:space="preserve">highest dose +64.5 m in walk test vs. +20.4 m (p = 0.053)</w:t>
            </w:r>
          </w:p>
        </w:tc>
      </w:tr>
      <w:tr>
        <w:tc>
          <w:tcPr/>
          <w:p>
            <w:pPr>
              <w:pStyle w:val="Compact"/>
              <w:jc w:val="left"/>
            </w:pPr>
            <w:r>
              <w:t xml:space="preserve">MMPOWER-2 (Karaa 2020), PMID 32096613</w:t>
            </w:r>
          </w:p>
        </w:tc>
        <w:tc>
          <w:tcPr/>
          <w:p>
            <w:pPr>
              <w:pStyle w:val="Compact"/>
              <w:jc w:val="left"/>
            </w:pPr>
            <w:r>
              <w:t xml:space="preserve">30 people, crossover vs. placebo</w:t>
            </w:r>
          </w:p>
        </w:tc>
        <w:tc>
          <w:tcPr/>
          <w:p>
            <w:pPr>
              <w:pStyle w:val="Compact"/>
              <w:jc w:val="left"/>
            </w:pPr>
            <w:r>
              <w:t xml:space="preserve">4 weeks each</w:t>
            </w:r>
          </w:p>
        </w:tc>
        <w:tc>
          <w:tcPr/>
          <w:p>
            <w:pPr>
              <w:pStyle w:val="Compact"/>
              <w:jc w:val="left"/>
            </w:pPr>
            <w:r>
              <w:t xml:space="preserve">walk test +19.8 m (not significant); less fatigue</w:t>
            </w:r>
          </w:p>
        </w:tc>
      </w:tr>
      <w:tr>
        <w:tc>
          <w:tcPr/>
          <w:p>
            <w:pPr>
              <w:pStyle w:val="Compact"/>
              <w:jc w:val="left"/>
            </w:pPr>
            <w:r>
              <w:t xml:space="preserve">MMPOWER-3 (Karaa 2023), PMID 37268435</w:t>
            </w:r>
          </w:p>
        </w:tc>
        <w:tc>
          <w:tcPr/>
          <w:p>
            <w:pPr>
              <w:pStyle w:val="Compact"/>
              <w:jc w:val="left"/>
            </w:pPr>
            <w:r>
              <w:t xml:space="preserve">218 people, phase 3 vs. placebo</w:t>
            </w:r>
          </w:p>
        </w:tc>
        <w:tc>
          <w:tcPr/>
          <w:p>
            <w:pPr>
              <w:pStyle w:val="Compact"/>
              <w:jc w:val="left"/>
            </w:pPr>
            <w:r>
              <w:t xml:space="preserve">24 weeks</w:t>
            </w:r>
          </w:p>
        </w:tc>
        <w:tc>
          <w:tcPr/>
          <w:p>
            <w:pPr>
              <w:pStyle w:val="Compact"/>
              <w:jc w:val="left"/>
            </w:pPr>
            <w:r>
              <w:t xml:space="preserve">both primary endpoints missed; walk test difference −3.2 m</w:t>
            </w:r>
          </w:p>
        </w:tc>
      </w:tr>
    </w:tbl>
    <w:p>
      <w:pPr>
        <w:pStyle w:val="BodyText"/>
      </w:pPr>
      <w:r>
        <w:t xml:space="preserve">After encouraging small studies,</w:t>
      </w:r>
      <w:r>
        <w:t xml:space="preserve"> </w:t>
      </w:r>
      <w:r>
        <w:rPr>
          <w:bCs/>
          <w:b/>
        </w:rPr>
        <w:t xml:space="preserve">MMPOWER-3</w:t>
      </w:r>
      <w:r>
        <w:rPr>
          <w:rStyle w:val="FootnoteReference"/>
        </w:rPr>
        <w:footnoteReference w:id="1878"/>
      </w:r>
      <w:r>
        <w:t xml:space="preserve"> </w:t>
      </w:r>
      <w:r>
        <w:t xml:space="preserve">was meant to prove efficacy. 218 adults with genetically confirmed mitochondrial myopathy received elamipretide or placebo for 24 weeks. The trial missed both primary endpoints: in the 6-minute walk test the difference was −3.2 m (95% CI −18.7 to 12.3), and there was likewise no difference on the fatigue scale. Tolerability was good</w:t>
      </w:r>
      <w:r>
        <w:rPr>
          <w:rStyle w:val="FootnoteReference"/>
        </w:rPr>
        <w:footnoteReference w:id="1879"/>
      </w:r>
      <w:r>
        <w:t xml:space="preserve">. The authors classify this as evidence of the highest class that elamipretide does not improve walking distance and fatigue in this group.</w:t>
      </w:r>
    </w:p>
    <w:p>
      <w:pPr>
        <w:pStyle w:val="BodyText"/>
      </w:pPr>
      <w:r>
        <w:t xml:space="preserve">A post hoc analysis found indications of a benefit in a subgroup: people with defects in nuclear genes required for replication of mitochondrial DNA (such as</w:t>
      </w:r>
      <w:r>
        <w:t xml:space="preserve"> </w:t>
      </w:r>
      <w:r>
        <w:rPr>
          <w:iCs/>
          <w:i/>
        </w:rPr>
        <w:t xml:space="preserve">POLG</w:t>
      </w:r>
      <w:r>
        <w:t xml:space="preserve"> </w:t>
      </w:r>
      <w:r>
        <w:t xml:space="preserve">and</w:t>
      </w:r>
      <w:r>
        <w:t xml:space="preserve"> </w:t>
      </w:r>
      <w:r>
        <w:rPr>
          <w:iCs/>
          <w:i/>
        </w:rPr>
        <w:t xml:space="preserve">TWNK</w:t>
      </w:r>
      <w:r>
        <w:t xml:space="preserve">) walked 25.2 m farther on elamipretide compared with 2.0 m on placebo (p = 0.06)</w:t>
      </w:r>
      <w:r>
        <w:rPr>
          <w:rStyle w:val="FootnoteReference"/>
        </w:rPr>
        <w:footnoteReference w:id="1880"/>
      </w:r>
      <w:r>
        <w:t xml:space="preserve">. Post hoc subgroup analyses generate hypotheses, not evidence. On this basis, the phase 3 trial NuPOWER</w:t>
      </w:r>
      <w:r>
        <w:rPr>
          <w:rStyle w:val="FootnoteReference"/>
        </w:rPr>
        <w:footnoteReference w:id="1881"/>
      </w:r>
      <w:r>
        <w:t xml:space="preserve"> </w:t>
      </w:r>
      <w:r>
        <w:t xml:space="preserve">with 102 participants was conducted; according to the registry, it was completed in December 2024, and results had not been published at the time of our research.</w:t>
      </w:r>
    </w:p>
    <w:bookmarkEnd w:id="1882"/>
    <w:bookmarkStart w:id="1887" w:name="heart-kidney-eye-and-aging"/>
    <w:p>
      <w:pPr>
        <w:pStyle w:val="Heading4"/>
      </w:pPr>
      <w:r>
        <w:t xml:space="preserve">Heart, kidney, eye and aging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EMBRACE STEMI (Gibson 2016), PMID 26586786</w:t>
            </w:r>
          </w:p>
        </w:tc>
        <w:tc>
          <w:tcPr/>
          <w:p>
            <w:pPr>
              <w:pStyle w:val="Compact"/>
              <w:jc w:val="left"/>
            </w:pPr>
            <w:r>
              <w:t xml:space="preserve">people with first anterior myocardial infarction, infusion during catheter treatment, double-blind</w:t>
            </w:r>
          </w:p>
        </w:tc>
        <w:tc>
          <w:tcPr/>
          <w:p>
            <w:pPr>
              <w:pStyle w:val="Compact"/>
              <w:jc w:val="left"/>
            </w:pPr>
            <w:r>
              <w:t xml:space="preserve">72 hours</w:t>
            </w:r>
          </w:p>
        </w:tc>
        <w:tc>
          <w:tcPr/>
          <w:p>
            <w:pPr>
              <w:pStyle w:val="Compact"/>
              <w:jc w:val="left"/>
            </w:pPr>
            <w:r>
              <w:t xml:space="preserve">infarct size not reduced</w:t>
            </w:r>
          </w:p>
        </w:tc>
      </w:tr>
      <w:tr>
        <w:tc>
          <w:tcPr/>
          <w:p>
            <w:pPr>
              <w:pStyle w:val="Compact"/>
              <w:jc w:val="left"/>
            </w:pPr>
            <w:r>
              <w:t xml:space="preserve">PROGRESS-HF (Butler 2020), PMID 32068002</w:t>
            </w:r>
          </w:p>
        </w:tc>
        <w:tc>
          <w:tcPr/>
          <w:p>
            <w:pPr>
              <w:pStyle w:val="Compact"/>
              <w:jc w:val="left"/>
            </w:pPr>
            <w:r>
              <w:t xml:space="preserve">71 people with heart failure (HFrEF), vs. placebo</w:t>
            </w:r>
          </w:p>
        </w:tc>
        <w:tc>
          <w:tcPr/>
          <w:p>
            <w:pPr>
              <w:pStyle w:val="Compact"/>
              <w:jc w:val="left"/>
            </w:pPr>
            <w:r>
              <w:t xml:space="preserve">4 weeks</w:t>
            </w:r>
          </w:p>
        </w:tc>
        <w:tc>
          <w:tcPr/>
          <w:p>
            <w:pPr>
              <w:pStyle w:val="Compact"/>
              <w:jc w:val="left"/>
            </w:pPr>
            <w:r>
              <w:t xml:space="preserve">no improvement in cardiac volumes</w:t>
            </w:r>
          </w:p>
        </w:tc>
      </w:tr>
      <w:tr>
        <w:tc>
          <w:tcPr/>
          <w:p>
            <w:pPr>
              <w:pStyle w:val="Compact"/>
              <w:jc w:val="left"/>
            </w:pPr>
            <w:r>
              <w:t xml:space="preserve">Daubert 2017, PMID 29217757</w:t>
            </w:r>
          </w:p>
        </w:tc>
        <w:tc>
          <w:tcPr/>
          <w:p>
            <w:pPr>
              <w:pStyle w:val="Compact"/>
              <w:jc w:val="left"/>
            </w:pPr>
            <w:r>
              <w:t xml:space="preserve">36 people with heart failure, single infusion</w:t>
            </w:r>
          </w:p>
        </w:tc>
        <w:tc>
          <w:tcPr/>
          <w:p>
            <w:pPr>
              <w:pStyle w:val="Compact"/>
              <w:jc w:val="left"/>
            </w:pPr>
            <w:r>
              <w:t xml:space="preserve">24 hours</w:t>
            </w:r>
          </w:p>
        </w:tc>
        <w:tc>
          <w:tcPr/>
          <w:p>
            <w:pPr>
              <w:pStyle w:val="Compact"/>
              <w:jc w:val="left"/>
            </w:pPr>
            <w:r>
              <w:t xml:space="preserve">briefly smaller cardiac volumes at the highest dose</w:t>
            </w:r>
          </w:p>
        </w:tc>
      </w:tr>
      <w:tr>
        <w:tc>
          <w:tcPr/>
          <w:p>
            <w:pPr>
              <w:pStyle w:val="Compact"/>
              <w:jc w:val="left"/>
            </w:pPr>
            <w:r>
              <w:t xml:space="preserve">Saad 2017, PMID 28916603</w:t>
            </w:r>
          </w:p>
        </w:tc>
        <w:tc>
          <w:tcPr/>
          <w:p>
            <w:pPr>
              <w:pStyle w:val="Compact"/>
              <w:jc w:val="left"/>
            </w:pPr>
            <w:r>
              <w:t xml:space="preserve">14 people with renal artery stenosis undergoing stenting</w:t>
            </w:r>
          </w:p>
        </w:tc>
        <w:tc>
          <w:tcPr/>
          <w:p>
            <w:pPr>
              <w:pStyle w:val="Compact"/>
              <w:jc w:val="left"/>
            </w:pPr>
            <w:r>
              <w:t xml:space="preserve">3 months</w:t>
            </w:r>
          </w:p>
        </w:tc>
        <w:tc>
          <w:tcPr/>
          <w:p>
            <w:pPr>
              <w:pStyle w:val="Compact"/>
              <w:jc w:val="left"/>
            </w:pPr>
            <w:r>
              <w:t xml:space="preserve">less oxygen deprivation, better renal blood flow (pilot study)</w:t>
            </w:r>
          </w:p>
        </w:tc>
      </w:tr>
      <w:tr>
        <w:tc>
          <w:tcPr/>
          <w:p>
            <w:pPr>
              <w:pStyle w:val="Compact"/>
              <w:jc w:val="left"/>
            </w:pPr>
            <w:r>
              <w:t xml:space="preserve">ReCLAIM-2 (Ehlers 2025), PMID 39605874</w:t>
            </w:r>
          </w:p>
        </w:tc>
        <w:tc>
          <w:tcPr/>
          <w:p>
            <w:pPr>
              <w:pStyle w:val="Compact"/>
              <w:jc w:val="left"/>
            </w:pPr>
            <w:r>
              <w:t xml:space="preserve">176 people with dry macular degeneration, vs. placebo</w:t>
            </w:r>
          </w:p>
        </w:tc>
        <w:tc>
          <w:tcPr/>
          <w:p>
            <w:pPr>
              <w:pStyle w:val="Compact"/>
              <w:jc w:val="left"/>
            </w:pPr>
            <w:r>
              <w:t xml:space="preserve">48 weeks</w:t>
            </w:r>
          </w:p>
        </w:tc>
        <w:tc>
          <w:tcPr/>
          <w:p>
            <w:pPr>
              <w:pStyle w:val="Compact"/>
              <w:jc w:val="left"/>
            </w:pPr>
            <w:r>
              <w:t xml:space="preserve">primary endpoints missed; slower loss of photoreceptor structures (secondary endpoint)</w:t>
            </w:r>
          </w:p>
        </w:tc>
      </w:tr>
      <w:tr>
        <w:tc>
          <w:tcPr/>
          <w:p>
            <w:pPr>
              <w:pStyle w:val="Compact"/>
              <w:jc w:val="left"/>
            </w:pPr>
            <w:r>
              <w:t xml:space="preserve">Roshanravan 2021, PMID 34264994</w:t>
            </w:r>
          </w:p>
        </w:tc>
        <w:tc>
          <w:tcPr/>
          <w:p>
            <w:pPr>
              <w:pStyle w:val="Compact"/>
              <w:jc w:val="left"/>
            </w:pPr>
            <w:r>
              <w:t xml:space="preserve">39 healthy older people, single infusion vs. placebo</w:t>
            </w:r>
          </w:p>
        </w:tc>
        <w:tc>
          <w:tcPr/>
          <w:p>
            <w:pPr>
              <w:pStyle w:val="Compact"/>
              <w:jc w:val="left"/>
            </w:pPr>
            <w:r>
              <w:t xml:space="preserve">7 days</w:t>
            </w:r>
          </w:p>
        </w:tc>
        <w:tc>
          <w:tcPr/>
          <w:p>
            <w:pPr>
              <w:pStyle w:val="Compact"/>
              <w:jc w:val="left"/>
            </w:pPr>
            <w:r>
              <w:t xml:space="preserve">briefly higher energy capacity in a hand muscle, but no better fatigue resistance</w:t>
            </w:r>
          </w:p>
        </w:tc>
      </w:tr>
    </w:tbl>
    <w:p>
      <w:pPr>
        <w:pStyle w:val="BodyText"/>
      </w:pPr>
      <w:r>
        <w:t xml:space="preserve">The pattern is striking: in</w:t>
      </w:r>
      <w:r>
        <w:t xml:space="preserve"> </w:t>
      </w:r>
      <w:r>
        <w:rPr>
          <w:bCs/>
          <w:b/>
        </w:rPr>
        <w:t xml:space="preserve">heart attack</w:t>
      </w:r>
      <w:r>
        <w:t xml:space="preserve"> </w:t>
      </w:r>
      <w:r>
        <w:t xml:space="preserve">and</w:t>
      </w:r>
      <w:r>
        <w:t xml:space="preserve"> </w:t>
      </w:r>
      <w:r>
        <w:rPr>
          <w:bCs/>
          <w:b/>
        </w:rPr>
        <w:t xml:space="preserve">heart failure</w:t>
      </w:r>
      <w:r>
        <w:t xml:space="preserve">, the larger controlled trials showed no benefit</w:t>
      </w:r>
      <w:r>
        <w:rPr>
          <w:rStyle w:val="FootnoteReference"/>
        </w:rPr>
        <w:footnoteReference w:id="1883"/>
      </w:r>
      <w:r>
        <w:t xml:space="preserve">. In</w:t>
      </w:r>
      <w:r>
        <w:t xml:space="preserve"> </w:t>
      </w:r>
      <w:r>
        <w:rPr>
          <w:bCs/>
          <w:b/>
        </w:rPr>
        <w:t xml:space="preserve">dry macular degeneration</w:t>
      </w:r>
      <w:r>
        <w:t xml:space="preserve">, a common cause of vision loss in old age, ReCLAIM-2 missed both primary endpoints (low-luminance visual acuity and growth of the damaged retinal area); a prespecified secondary endpoint – loss of the photoreceptor layer – progressed more slowly on elamipretide</w:t>
      </w:r>
      <w:r>
        <w:rPr>
          <w:rStyle w:val="FootnoteReference"/>
        </w:rPr>
        <w:footnoteReference w:id="1884"/>
      </w:r>
      <w:r>
        <w:t xml:space="preserve">. This measure now serves as the primary endpoint of the ongoing phase 3 trial ReNEW</w:t>
      </w:r>
      <w:r>
        <w:rPr>
          <w:rStyle w:val="FootnoteReference"/>
        </w:rPr>
        <w:footnoteReference w:id="1885"/>
      </w:r>
      <w:r>
        <w:t xml:space="preserve">.</w:t>
      </w:r>
    </w:p>
    <w:p>
      <w:pPr>
        <w:pStyle w:val="BodyText"/>
      </w:pPr>
      <w:r>
        <w:t xml:space="preserve">Of interest to the longevity scene is the study in older people: a single infusion increased the energy capacity of a hand muscle immediately afterward; after seven days the effect had disappeared, and muscle endurance did not improve</w:t>
      </w:r>
      <w:r>
        <w:rPr>
          <w:rStyle w:val="FootnoteReference"/>
        </w:rPr>
        <w:footnoteReference w:id="1886"/>
      </w:r>
      <w:r>
        <w:t xml:space="preserve">. No</w:t>
      </w:r>
      <w:r>
        <w:t xml:space="preserve"> </w:t>
      </w:r>
      <w:r>
        <w:t xml:space="preserve">“</w:t>
      </w:r>
      <w:r>
        <w:t xml:space="preserve">anti-aging</w:t>
      </w:r>
      <w:r>
        <w:t xml:space="preserve">”</w:t>
      </w:r>
      <w:r>
        <w:t xml:space="preserve"> </w:t>
      </w:r>
      <w:r>
        <w:t xml:space="preserve">benefit can be derived from this.</w:t>
      </w:r>
    </w:p>
    <w:bookmarkEnd w:id="1887"/>
    <w:bookmarkEnd w:id="1888"/>
    <w:bookmarkStart w:id="1892" w:name="animal-and-laboratory-studies-43"/>
    <w:p>
      <w:pPr>
        <w:pStyle w:val="Heading3"/>
      </w:pPr>
      <w:r>
        <w:t xml:space="preserve">Animal and laboratory studies</w:t>
      </w:r>
    </w:p>
    <w:p>
      <w:pPr>
        <w:pStyle w:val="FirstParagraph"/>
      </w:pPr>
      <w:r>
        <w:t xml:space="preserve">In animal models, favorable effects have been described in heart failure, kidney damage, muscle weakness, and eye and nerve diseases</w:t>
      </w:r>
      <w:r>
        <w:rPr>
          <w:rStyle w:val="FootnoteReference"/>
        </w:rPr>
        <w:footnoteReference w:id="1889"/>
      </w:r>
      <w:r>
        <w:t xml:space="preserve">. In dogs with advanced heart failure, long-term treatment improved pumping function and mitochondrial function</w:t>
      </w:r>
      <w:r>
        <w:rPr>
          <w:rStyle w:val="FootnoteReference"/>
        </w:rPr>
        <w:footnoteReference w:id="1890"/>
      </w:r>
      <w:r>
        <w:t xml:space="preserve">. In a rat model of heart failure with preserved ejection fraction, elamipretide improved the energy metabolism of the heart muscle but not cardiac function</w:t>
      </w:r>
      <w:r>
        <w:rPr>
          <w:rStyle w:val="FootnoteReference"/>
        </w:rPr>
        <w:footnoteReference w:id="1891"/>
      </w:r>
      <w:r>
        <w:t xml:space="preserve">. This discrepancy between better energy metabolism and a lack of clinical benefit is mirrored in the human studies.</w:t>
      </w:r>
    </w:p>
    <w:bookmarkEnd w:id="1892"/>
    <w:bookmarkStart w:id="1897" w:name="risks-and-side-effects-43"/>
    <w:p>
      <w:pPr>
        <w:pStyle w:val="Heading3"/>
      </w:pPr>
      <w:r>
        <w:t xml:space="preserve">Risks and side effects</w:t>
      </w:r>
    </w:p>
    <w:p>
      <w:pPr>
        <w:pStyle w:val="FirstParagraph"/>
      </w:pPr>
      <w:r>
        <w:rPr>
          <w:bCs/>
          <w:b/>
        </w:rPr>
        <w:t xml:space="preserve">Established:</w:t>
      </w:r>
    </w:p>
    <w:p>
      <w:pPr>
        <w:numPr>
          <w:ilvl w:val="0"/>
          <w:numId w:val="1237"/>
        </w:numPr>
        <w:pStyle w:val="Compact"/>
      </w:pPr>
      <w:r>
        <w:t xml:space="preserve">The most common side effects are</w:t>
      </w:r>
      <w:r>
        <w:t xml:space="preserve"> </w:t>
      </w:r>
      <w:r>
        <w:rPr>
          <w:bCs/>
          <w:b/>
        </w:rPr>
        <w:t xml:space="preserve">injection site reactions</w:t>
      </w:r>
      <w:r>
        <w:t xml:space="preserve"> </w:t>
      </w:r>
      <w:r>
        <w:t xml:space="preserve">(itching, pain, bruising, redness). In MMPOWER-2, they occurred in 80% of those treated, mostly mild</w:t>
      </w:r>
      <w:r>
        <w:rPr>
          <w:rStyle w:val="FootnoteReference"/>
        </w:rPr>
        <w:footnoteReference w:id="1893"/>
      </w:r>
      <w:r>
        <w:t xml:space="preserve">. In ReCLAIM-2, 86% on elamipretide and 71% on placebo reported some adverse event</w:t>
      </w:r>
      <w:r>
        <w:rPr>
          <w:rStyle w:val="FootnoteReference"/>
        </w:rPr>
        <w:footnoteReference w:id="1894"/>
      </w:r>
      <w:r>
        <w:t xml:space="preserve">.</w:t>
      </w:r>
    </w:p>
    <w:p>
      <w:pPr>
        <w:numPr>
          <w:ilvl w:val="0"/>
          <w:numId w:val="1237"/>
        </w:numPr>
        <w:pStyle w:val="Compact"/>
      </w:pPr>
      <w:r>
        <w:t xml:space="preserve">Serious side effects were not more frequent in the trials; in MMPOWER-3, events were predominantly mild to moderate</w:t>
      </w:r>
      <w:r>
        <w:rPr>
          <w:rStyle w:val="FootnoteReference"/>
        </w:rPr>
        <w:footnoteReference w:id="1895"/>
      </w:r>
      <w:r>
        <w:t xml:space="preserve">.</w:t>
      </w:r>
    </w:p>
    <w:p>
      <w:pPr>
        <w:numPr>
          <w:ilvl w:val="0"/>
          <w:numId w:val="1237"/>
        </w:numPr>
        <w:pStyle w:val="Compact"/>
      </w:pPr>
      <w:r>
        <w:t xml:space="preserve">Long-term data exist only for a few people with Barth syndrome over a little more than three years</w:t>
      </w:r>
      <w:r>
        <w:rPr>
          <w:rStyle w:val="FootnoteReference"/>
        </w:rPr>
        <w:footnoteReference w:id="1896"/>
      </w:r>
      <w:r>
        <w:t xml:space="preserve">.</w:t>
      </w:r>
    </w:p>
    <w:p>
      <w:pPr>
        <w:pStyle w:val="FirstParagraph"/>
      </w:pPr>
      <w:r>
        <w:rPr>
          <w:bCs/>
          <w:b/>
        </w:rPr>
        <w:t xml:space="preserve">Theoretical:</w:t>
      </w:r>
      <w:r>
        <w:t xml:space="preserve"> </w:t>
      </w:r>
      <w:r>
        <w:t xml:space="preserve">An agent that continuously intervenes in the mitochondria of all body cells could have unknown effects with years of use in healthy people; there are no data on this.</w:t>
      </w:r>
    </w:p>
    <w:p>
      <w:pPr>
        <w:pStyle w:val="BodyText"/>
      </w:pPr>
      <w:r>
        <w:rPr>
          <w:bCs/>
          <w:b/>
        </w:rPr>
        <w:t xml:space="preserve">Gray market:</w:t>
      </w:r>
      <w:r>
        <w:t xml:space="preserve"> </w:t>
      </w:r>
      <w:r>
        <w:t xml:space="preserve">“</w:t>
      </w:r>
      <w:r>
        <w:t xml:space="preserve">SS-31</w:t>
      </w:r>
      <w:r>
        <w:t xml:space="preserve">”</w:t>
      </w:r>
      <w:r>
        <w:t xml:space="preserve"> </w:t>
      </w:r>
      <w:r>
        <w:t xml:space="preserve">is sold online as powder for injection for</w:t>
      </w:r>
      <w:r>
        <w:t xml:space="preserve"> </w:t>
      </w:r>
      <w:r>
        <w:t xml:space="preserve">“</w:t>
      </w:r>
      <w:r>
        <w:t xml:space="preserve">mitochondrial rejuvenation.</w:t>
      </w:r>
      <w:r>
        <w:t xml:space="preserve">”</w:t>
      </w:r>
      <w:r>
        <w:t xml:space="preserve"> </w:t>
      </w:r>
      <w:r>
        <w:t xml:space="preserve">These products are not the approved medicine; content and purity are unverified. No benefit has been demonstrated for healthy people.</w:t>
      </w:r>
    </w:p>
    <w:bookmarkEnd w:id="1897"/>
    <w:bookmarkStart w:id="1899" w:name="legal-status-43"/>
    <w:p>
      <w:pPr>
        <w:pStyle w:val="Heading3"/>
      </w:pPr>
      <w:r>
        <w:t xml:space="preserve">Legal status</w:t>
      </w:r>
    </w:p>
    <w:p>
      <w:pPr>
        <w:numPr>
          <w:ilvl w:val="0"/>
          <w:numId w:val="1238"/>
        </w:numPr>
        <w:pStyle w:val="Compact"/>
      </w:pPr>
      <w:r>
        <w:rPr>
          <w:bCs/>
          <w:b/>
        </w:rPr>
        <w:t xml:space="preserve">EU / Austria / Germany:</w:t>
      </w:r>
      <w:r>
        <w:t xml:space="preserve"> </w:t>
      </w:r>
      <w:r>
        <w:t xml:space="preserve">not approved. Elamipretide is a medicine; use is possible only within studies or compassionate use programs.</w:t>
      </w:r>
    </w:p>
    <w:p>
      <w:pPr>
        <w:numPr>
          <w:ilvl w:val="0"/>
          <w:numId w:val="1238"/>
        </w:numPr>
        <w:pStyle w:val="Compact"/>
      </w:pPr>
      <w:r>
        <w:rPr>
          <w:bCs/>
          <w:b/>
        </w:rPr>
        <w:t xml:space="preserve">USA:</w:t>
      </w:r>
      <w:r>
        <w:t xml:space="preserve"> </w:t>
      </w:r>
      <w:r>
        <w:t xml:space="preserve">granted accelerated approval (Forzinity, September 2025) only for Barth syndrome in patients weighing at least 30 kg; refer to the prescribing information and medical supervision. For other diseases, there is an expanded access program</w:t>
      </w:r>
      <w:r>
        <w:rPr>
          <w:rStyle w:val="FootnoteReference"/>
        </w:rPr>
        <w:footnoteReference w:id="1898"/>
      </w:r>
      <w:r>
        <w:t xml:space="preserve">.</w:t>
      </w:r>
    </w:p>
    <w:p>
      <w:pPr>
        <w:numPr>
          <w:ilvl w:val="0"/>
          <w:numId w:val="1238"/>
        </w:numPr>
        <w:pStyle w:val="Compact"/>
      </w:pPr>
      <w:r>
        <w:rPr>
          <w:bCs/>
          <w:b/>
        </w:rPr>
        <w:t xml:space="preserve">Sport:</w:t>
      </w:r>
      <w:r>
        <w:t xml:space="preserve"> </w:t>
      </w:r>
      <w:r>
        <w:t xml:space="preserve">not listed by name on the WADA list (as of 2026, please check for updates).</w:t>
      </w:r>
    </w:p>
    <w:bookmarkEnd w:id="1899"/>
    <w:bookmarkStart w:id="1904" w:name="ongoing-studies-and-outlook-43"/>
    <w:p>
      <w:pPr>
        <w:pStyle w:val="Heading3"/>
      </w:pPr>
      <w:r>
        <w:t xml:space="preserve">Ongoing studies and outlook</w:t>
      </w:r>
    </w:p>
    <w:p>
      <w:pPr>
        <w:pStyle w:val="FirstParagraph"/>
      </w:pPr>
      <w:r>
        <w:rPr>
          <w:bCs/>
          <w:b/>
        </w:rPr>
        <w:t xml:space="preserve">Established (registered studies, as of October 2026):</w:t>
      </w:r>
    </w:p>
    <w:p>
      <w:pPr>
        <w:numPr>
          <w:ilvl w:val="0"/>
          <w:numId w:val="1239"/>
        </w:numPr>
        <w:pStyle w:val="Compact"/>
      </w:pPr>
      <w:r>
        <w:rPr>
          <w:bCs/>
          <w:b/>
        </w:rPr>
        <w:t xml:space="preserve">ReNEW</w:t>
      </w:r>
      <w:r>
        <w:rPr>
          <w:rStyle w:val="FootnoteReference"/>
        </w:rPr>
        <w:footnoteReference w:id="1900"/>
      </w:r>
      <w:r>
        <w:t xml:space="preserve">: phase 3 in dry macular degeneration, 313 participants, recruitment completed, planned completion 2027.</w:t>
      </w:r>
    </w:p>
    <w:p>
      <w:pPr>
        <w:numPr>
          <w:ilvl w:val="0"/>
          <w:numId w:val="1239"/>
        </w:numPr>
        <w:pStyle w:val="Compact"/>
      </w:pPr>
      <w:r>
        <w:rPr>
          <w:bCs/>
          <w:b/>
        </w:rPr>
        <w:t xml:space="preserve">4TAZPower</w:t>
      </w:r>
      <w:r>
        <w:rPr>
          <w:rStyle w:val="FootnoteReference"/>
        </w:rPr>
        <w:footnoteReference w:id="1901"/>
      </w:r>
      <w:r>
        <w:t xml:space="preserve">: confirmatory trial in Barth syndrome with 48 planned participants, recruiting.</w:t>
      </w:r>
    </w:p>
    <w:p>
      <w:pPr>
        <w:numPr>
          <w:ilvl w:val="0"/>
          <w:numId w:val="1239"/>
        </w:numPr>
        <w:pStyle w:val="Compact"/>
      </w:pPr>
      <w:r>
        <w:rPr>
          <w:bCs/>
          <w:b/>
        </w:rPr>
        <w:t xml:space="preserve">NuPOWER</w:t>
      </w:r>
      <w:r>
        <w:rPr>
          <w:rStyle w:val="FootnoteReference"/>
        </w:rPr>
        <w:footnoteReference w:id="1902"/>
      </w:r>
      <w:r>
        <w:t xml:space="preserve">: phase 3 in mitochondrial disease due to nuclear DNA mutations, 102 participants, completed; results pending.</w:t>
      </w:r>
    </w:p>
    <w:p>
      <w:pPr>
        <w:numPr>
          <w:ilvl w:val="0"/>
          <w:numId w:val="1239"/>
        </w:numPr>
        <w:pStyle w:val="Compact"/>
      </w:pPr>
      <w:r>
        <w:t xml:space="preserve">A small phase 2 trial in healthy older people is examining physical function</w:t>
      </w:r>
      <w:r>
        <w:rPr>
          <w:rStyle w:val="FootnoteReference"/>
        </w:rPr>
        <w:footnoteReference w:id="1903"/>
      </w:r>
      <w:r>
        <w:t xml:space="preserve">.</w:t>
      </w:r>
    </w:p>
    <w:p>
      <w:pPr>
        <w:pStyle w:val="FirstParagraph"/>
      </w:pPr>
      <w:r>
        <w:rPr>
          <w:bCs/>
          <w:b/>
        </w:rPr>
        <w:t xml:space="preserve">Assessment:</w:t>
      </w:r>
      <w:r>
        <w:t xml:space="preserve"> </w:t>
      </w:r>
      <w:r>
        <w:t xml:space="preserve">Whether elamipretide finds a place beyond Barth syndrome will be decided by ReNEW and NuPOWER. The experience from MMPOWER-3, EMBRACE and PROGRESS-HF counsels caution: a convincing mechanism does not guarantee clinical benefit.</w:t>
      </w:r>
    </w:p>
    <w:bookmarkEnd w:id="1904"/>
    <w:bookmarkStart w:id="1905" w:name="conclusion-43"/>
    <w:p>
      <w:pPr>
        <w:pStyle w:val="Heading3"/>
      </w:pPr>
      <w:r>
        <w:t xml:space="preserve">Conclusion</w:t>
      </w:r>
    </w:p>
    <w:p>
      <w:pPr>
        <w:pStyle w:val="FirstParagraph"/>
      </w:pPr>
      <w:r>
        <w:t xml:space="preserve">Elamipretide (SS-31) is a tetrapeptide that binds to cardiolipin in the mitochondria and, as the first mitochondrial drug, received accelerated approval in the USA in 2025 for the very rare Barth syndrome – based on a study of twelve people whose controlled part missed its primary endpoints, and on open-label long-term data. In larger randomized trials in mitochondrial myopathy, heart attack, heart failure and macular degeneration, the primary endpoints were not met. The drug is well tolerated; injection site reactions in particular are common. For healthy people or as an</w:t>
      </w:r>
      <w:r>
        <w:t xml:space="preserve"> </w:t>
      </w:r>
      <w:r>
        <w:t xml:space="preserve">“</w:t>
      </w:r>
      <w:r>
        <w:t xml:space="preserve">anti-aging</w:t>
      </w:r>
      <w:r>
        <w:t xml:space="preserve">”</w:t>
      </w:r>
      <w:r>
        <w:t xml:space="preserve"> </w:t>
      </w:r>
      <w:r>
        <w:t xml:space="preserve">agent, there is no demonstrated benefit.</w:t>
      </w:r>
    </w:p>
    <w:bookmarkEnd w:id="1905"/>
    <w:bookmarkEnd w:id="1906"/>
    <w:bookmarkStart w:id="1925" w:name="foxo4-dri"/>
    <w:p>
      <w:pPr>
        <w:pStyle w:val="Heading2"/>
      </w:pPr>
      <w:r>
        <w:t xml:space="preserve">FOXO4-DRI</w:t>
      </w:r>
    </w:p>
    <w:bookmarkStart w:id="1907" w:name="profile-44"/>
    <w:p>
      <w:pPr>
        <w:pStyle w:val="Heading3"/>
      </w:pPr>
      <w:r>
        <w:t xml:space="preserve">Profile</w:t>
      </w:r>
    </w:p>
    <w:p>
      <w:pPr>
        <w:numPr>
          <w:ilvl w:val="0"/>
          <w:numId w:val="1240"/>
        </w:numPr>
        <w:pStyle w:val="Compact"/>
      </w:pPr>
      <w:r>
        <w:rPr>
          <w:bCs/>
          <w:b/>
        </w:rPr>
        <w:t xml:space="preserve">Type and structure:</w:t>
      </w:r>
      <w:r>
        <w:t xml:space="preserve"> </w:t>
      </w:r>
      <w:r>
        <w:t xml:space="preserve">comparatively long synthetic peptide derived from a segment of the protein FOXO4.</w:t>
      </w:r>
      <w:r>
        <w:t xml:space="preserve"> </w:t>
      </w:r>
      <w:r>
        <w:t xml:space="preserve">“</w:t>
      </w:r>
      <w:r>
        <w:t xml:space="preserve">DRI</w:t>
      </w:r>
      <w:r>
        <w:t xml:space="preserve">”</w:t>
      </w:r>
      <w:r>
        <w:t xml:space="preserve"> </w:t>
      </w:r>
      <w:r>
        <w:t xml:space="preserve">stands for</w:t>
      </w:r>
      <w:r>
        <w:t xml:space="preserve"> </w:t>
      </w:r>
      <w:r>
        <w:rPr>
          <w:iCs/>
          <w:i/>
        </w:rPr>
        <w:t xml:space="preserve">D-retro-inverso</w:t>
      </w:r>
      <w:r>
        <w:t xml:space="preserve">: the peptide is built from mirror-image D-amino acids in reverse order. As a result, it is hardly broken down by the body’s own enzymes. An attached, positively charged segment (derived from a viral protein) is intended to smuggle it into cells.</w:t>
      </w:r>
    </w:p>
    <w:p>
      <w:pPr>
        <w:numPr>
          <w:ilvl w:val="0"/>
          <w:numId w:val="1240"/>
        </w:numPr>
        <w:pStyle w:val="Compact"/>
      </w:pPr>
      <w:r>
        <w:rPr>
          <w:bCs/>
          <w:b/>
        </w:rPr>
        <w:t xml:space="preserve">Origin:</w:t>
      </w:r>
      <w:r>
        <w:t xml:space="preserve"> </w:t>
      </w:r>
      <w:r>
        <w:t xml:space="preserve">introduced in 2017 by a Dutch research group led by Peter de Keizer (Erasmus MC Rotterdam).</w:t>
      </w:r>
    </w:p>
    <w:p>
      <w:pPr>
        <w:numPr>
          <w:ilvl w:val="0"/>
          <w:numId w:val="1240"/>
        </w:numPr>
        <w:pStyle w:val="Compact"/>
      </w:pPr>
      <w:r>
        <w:rPr>
          <w:bCs/>
          <w:b/>
        </w:rPr>
        <w:t xml:space="preserve">Mechanism of action:</w:t>
      </w:r>
      <w:r>
        <w:t xml:space="preserve"> </w:t>
      </w:r>
      <w:r>
        <w:rPr>
          <w:bCs/>
          <w:b/>
        </w:rPr>
        <w:t xml:space="preserve">senolytic</w:t>
      </w:r>
      <w:r>
        <w:t xml:space="preserve"> </w:t>
      </w:r>
      <w:r>
        <w:t xml:space="preserve">– a substance intended to drive aged, so-called senescent cells specifically into programmed cell death by disrupting the binding between FOXO4 and the protective protein p53.</w:t>
      </w:r>
    </w:p>
    <w:p>
      <w:pPr>
        <w:numPr>
          <w:ilvl w:val="0"/>
          <w:numId w:val="1240"/>
        </w:numPr>
        <w:pStyle w:val="Compact"/>
      </w:pPr>
      <w:r>
        <w:rPr>
          <w:bCs/>
          <w:b/>
        </w:rPr>
        <w:t xml:space="preserve">EU approval:</w:t>
      </w:r>
      <w:r>
        <w:t xml:space="preserve"> </w:t>
      </w:r>
      <w:r>
        <w:t xml:space="preserve">no.</w:t>
      </w:r>
    </w:p>
    <w:p>
      <w:pPr>
        <w:numPr>
          <w:ilvl w:val="0"/>
          <w:numId w:val="1240"/>
        </w:numPr>
        <w:pStyle w:val="Compact"/>
      </w:pPr>
      <w:r>
        <w:rPr>
          <w:bCs/>
          <w:b/>
        </w:rPr>
        <w:t xml:space="preserve">US approval:</w:t>
      </w:r>
      <w:r>
        <w:t xml:space="preserve"> </w:t>
      </w:r>
      <w:r>
        <w:t xml:space="preserve">no.</w:t>
      </w:r>
    </w:p>
    <w:p>
      <w:pPr>
        <w:numPr>
          <w:ilvl w:val="0"/>
          <w:numId w:val="1240"/>
        </w:numPr>
        <w:pStyle w:val="Compact"/>
      </w:pPr>
      <w:r>
        <w:rPr>
          <w:bCs/>
          <w:b/>
        </w:rPr>
        <w:t xml:space="preserve">WADA:</w:t>
      </w:r>
      <w:r>
        <w:t xml:space="preserve"> </w:t>
      </w:r>
      <w:r>
        <w:t xml:space="preserve">not listed by name; as a substance not approved anywhere, FOXO4-DRI falls in our assessment under the catch-all category S0.</w:t>
      </w:r>
    </w:p>
    <w:p>
      <w:pPr>
        <w:numPr>
          <w:ilvl w:val="0"/>
          <w:numId w:val="1240"/>
        </w:numPr>
        <w:pStyle w:val="Compact"/>
      </w:pPr>
      <w:r>
        <w:rPr>
          <w:bCs/>
          <w:b/>
        </w:rPr>
        <w:t xml:space="preserve">Evidence level:</w:t>
      </w:r>
      <w:r>
        <w:t xml:space="preserve"> </w:t>
      </w:r>
      <w:r>
        <w:rPr>
          <w:bCs/>
          <w:b/>
        </w:rPr>
        <w:t xml:space="preserve">D</w:t>
      </w:r>
      <w:r>
        <w:t xml:space="preserve"> </w:t>
      </w:r>
      <w:r>
        <w:t xml:space="preserve">– exclusively animal and laboratory studies.</w:t>
      </w:r>
    </w:p>
    <w:bookmarkEnd w:id="1907"/>
    <w:bookmarkStart w:id="1913" w:name="how-it-is-supposed-to-work-44"/>
    <w:p>
      <w:pPr>
        <w:pStyle w:val="Heading3"/>
      </w:pPr>
      <w:r>
        <w:t xml:space="preserve">How it is supposed to work</w:t>
      </w:r>
    </w:p>
    <w:p>
      <w:pPr>
        <w:pStyle w:val="FirstParagraph"/>
      </w:pPr>
      <w:r>
        <w:rPr>
          <w:bCs/>
          <w:b/>
        </w:rPr>
        <w:t xml:space="preserve">Senescent cells</w:t>
      </w:r>
      <w:r>
        <w:t xml:space="preserve"> </w:t>
      </w:r>
      <w:r>
        <w:t xml:space="preserve">are cells that, after damage – for example from radiation, chemotherapy, oxidative stress or simply many divisions – no longer divide but also do not die. They remain in the tissue and release a mixture of inflammatory messengers and tissue-degrading enzymes known as SASP (</w:t>
      </w:r>
      <w:r>
        <w:rPr>
          <w:iCs/>
          <w:i/>
        </w:rPr>
        <w:t xml:space="preserve">senescence-associated secretory phenotype</w:t>
      </w:r>
      <w:r>
        <w:t xml:space="preserve">). With age, they increase in many organs. In mice in which such cells were specifically removed genetically, various signs of aging were delayed. This gave rise to the idea of</w:t>
      </w:r>
      <w:r>
        <w:t xml:space="preserve"> </w:t>
      </w:r>
      <w:r>
        <w:rPr>
          <w:bCs/>
          <w:b/>
        </w:rPr>
        <w:t xml:space="preserve">senolytics</w:t>
      </w:r>
      <w:r>
        <w:t xml:space="preserve">: drugs that eliminate senescent cells.</w:t>
      </w:r>
    </w:p>
    <w:p>
      <w:pPr>
        <w:pStyle w:val="BodyText"/>
      </w:pPr>
      <w:r>
        <w:t xml:space="preserve">Senescent cells survive in part because they suppress self-destruction programs. The Rotterdam group found that the protein FOXO4 plays a key role in this: it holds the protein p53, which would otherwise trigger cell death, in the cell nucleus. The peptide FOXO4-DRI disrupts this binding; p53 is displaced from the nucleus, and the senescent cell dies. Healthy, normally dividing cells are said to be largely spared</w:t>
      </w:r>
      <w:r>
        <w:rPr>
          <w:rStyle w:val="FootnoteReference"/>
        </w:rPr>
        <w:footnoteReference w:id="1908"/>
      </w:r>
      <w:r>
        <w:t xml:space="preserve">. Structural studies from 2025 confirmed that FOXO4-DRI binds to a disordered segment of p53 – with the cell-penetrating segment of the peptide also involved in the binding</w:t>
      </w:r>
      <w:r>
        <w:rPr>
          <w:rStyle w:val="FootnoteReference"/>
        </w:rPr>
        <w:footnoteReference w:id="1909"/>
      </w:r>
      <w:r>
        <w:t xml:space="preserve">.</w:t>
      </w:r>
    </w:p>
    <w:bookmarkStart w:id="1912" w:name="senolytics-in-humans-the-context"/>
    <w:p>
      <w:pPr>
        <w:pStyle w:val="Heading4"/>
      </w:pPr>
      <w:r>
        <w:t xml:space="preserve">Senolytics in humans: the context</w:t>
      </w:r>
    </w:p>
    <w:p>
      <w:pPr>
        <w:pStyle w:val="FirstParagraph"/>
      </w:pPr>
      <w:r>
        <w:t xml:space="preserve">FOXO4-DRI itself has never been tested in humans. For context, it helps to look at other senolytics that have already been studied clinically – above all the combination of the cancer drug dasatinib and the plant compound quercetin (D+Q for short):</w:t>
      </w:r>
    </w:p>
    <w:p>
      <w:pPr>
        <w:numPr>
          <w:ilvl w:val="0"/>
          <w:numId w:val="1241"/>
        </w:numPr>
        <w:pStyle w:val="Compact"/>
      </w:pPr>
      <w:r>
        <w:t xml:space="preserve">In a first open-label pilot study with 14 people with idiopathic pulmonary fibrosis, walking distance and gait speed improved, but lung function did not; one serious adverse event occurred</w:t>
      </w:r>
      <w:r>
        <w:rPr>
          <w:rStyle w:val="FootnoteReference"/>
        </w:rPr>
        <w:footnoteReference w:id="1910"/>
      </w:r>
      <w:r>
        <w:t xml:space="preserve">.</w:t>
      </w:r>
    </w:p>
    <w:p>
      <w:pPr>
        <w:numPr>
          <w:ilvl w:val="0"/>
          <w:numId w:val="1241"/>
        </w:numPr>
        <w:pStyle w:val="Compact"/>
      </w:pPr>
      <w:r>
        <w:t xml:space="preserve">In a randomized phase 2 trial with 60 postmenopausal women, D+Q did not reduce the bone resorption marker (primary endpoint missed); only in a subgroup with many senescent cells, examined post hoc, were favorable effects seen</w:t>
      </w:r>
      <w:r>
        <w:rPr>
          <w:rStyle w:val="FootnoteReference"/>
        </w:rPr>
        <w:footnoteReference w:id="1911"/>
      </w:r>
      <w:r>
        <w:t xml:space="preserve">.</w:t>
      </w:r>
    </w:p>
    <w:p>
      <w:pPr>
        <w:pStyle w:val="FirstParagraph"/>
      </w:pPr>
      <w:r>
        <w:t xml:space="preserve">Clinical senolytics research is thus still in its infancy, and the first controlled results are modest. That is the background against which FOXO4-DRI is sold on the internet as a</w:t>
      </w:r>
      <w:r>
        <w:t xml:space="preserve"> </w:t>
      </w:r>
      <w:r>
        <w:t xml:space="preserve">“</w:t>
      </w:r>
      <w:r>
        <w:t xml:space="preserve">rejuvenation peptide.</w:t>
      </w:r>
      <w:r>
        <w:t xml:space="preserve">”</w:t>
      </w:r>
    </w:p>
    <w:bookmarkEnd w:id="1912"/>
    <w:bookmarkEnd w:id="1913"/>
    <w:bookmarkStart w:id="1915" w:name="human-studies-44"/>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no</w:t>
      </w:r>
      <w:r>
        <w:t xml:space="preserve"> </w:t>
      </w:r>
      <w:r>
        <w:t xml:space="preserve">human study with FOXO4-DRI; in total, PubMed lists around 20 papers with the term. No study is registered on ClinicalTrials.gov. No case reports on use in humans or analyses of gray-market products were found either.</w:t>
      </w:r>
    </w:p>
    <w:p>
      <w:pPr>
        <w:pStyle w:val="BodyText"/>
      </w:pPr>
      <w:r>
        <w:t xml:space="preserve">The closest to humans is a laboratory study with human cartilage cells: in cells that had been expanded in the laboratory for cartilage transplantation, FOXO4-DRI removed more than half of the heavily expanded (and therefore more often senescent) cells but did not improve the ability to form new cartilage</w:t>
      </w:r>
      <w:r>
        <w:rPr>
          <w:rStyle w:val="FootnoteReference"/>
        </w:rPr>
        <w:footnoteReference w:id="1914"/>
      </w:r>
      <w:r>
        <w:t xml:space="preserve">.</w:t>
      </w:r>
    </w:p>
    <w:bookmarkEnd w:id="1915"/>
    <w:bookmarkStart w:id="1918" w:name="animal-and-laboratory-studies-44"/>
    <w:p>
      <w:pPr>
        <w:pStyle w:val="Heading3"/>
      </w:pPr>
      <w:r>
        <w:t xml:space="preserve">Animal and laboratory studies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Model</w:t>
            </w:r>
          </w:p>
        </w:tc>
        <w:tc>
          <w:tcPr/>
          <w:p>
            <w:pPr>
              <w:pStyle w:val="Compact"/>
              <w:jc w:val="left"/>
            </w:pPr>
            <w:r>
              <w:t xml:space="preserve">Result</w:t>
            </w:r>
          </w:p>
        </w:tc>
      </w:tr>
      <w:tr>
        <w:tc>
          <w:tcPr/>
          <w:p>
            <w:pPr>
              <w:pStyle w:val="Compact"/>
              <w:jc w:val="left"/>
            </w:pPr>
            <w:r>
              <w:t xml:space="preserve">Baar 2017, PMID 28340339</w:t>
            </w:r>
          </w:p>
        </w:tc>
        <w:tc>
          <w:tcPr/>
          <w:p>
            <w:pPr>
              <w:pStyle w:val="Compact"/>
              <w:jc w:val="left"/>
            </w:pPr>
            <w:r>
              <w:t xml:space="preserve">rapidly aging and naturally aged mice; chemotherapy damage</w:t>
            </w:r>
          </w:p>
        </w:tc>
        <w:tc>
          <w:tcPr/>
          <w:p>
            <w:pPr>
              <w:pStyle w:val="Compact"/>
              <w:jc w:val="left"/>
            </w:pPr>
            <w:r>
              <w:t xml:space="preserve">better fitness, denser fur, better kidney function; protection against doxorubicin damage</w:t>
            </w:r>
          </w:p>
        </w:tc>
      </w:tr>
      <w:tr>
        <w:tc>
          <w:tcPr/>
          <w:p>
            <w:pPr>
              <w:pStyle w:val="Compact"/>
              <w:jc w:val="left"/>
            </w:pPr>
            <w:r>
              <w:t xml:space="preserve">Zhang 2020, PMID 31959736</w:t>
            </w:r>
          </w:p>
        </w:tc>
        <w:tc>
          <w:tcPr/>
          <w:p>
            <w:pPr>
              <w:pStyle w:val="Compact"/>
              <w:jc w:val="left"/>
            </w:pPr>
            <w:r>
              <w:t xml:space="preserve">naturally aged mice</w:t>
            </w:r>
          </w:p>
        </w:tc>
        <w:tc>
          <w:tcPr/>
          <w:p>
            <w:pPr>
              <w:pStyle w:val="Compact"/>
              <w:jc w:val="left"/>
            </w:pPr>
            <w:r>
              <w:t xml:space="preserve">testosterone production in the testes improved</w:t>
            </w:r>
          </w:p>
        </w:tc>
      </w:tr>
      <w:tr>
        <w:tc>
          <w:tcPr/>
          <w:p>
            <w:pPr>
              <w:pStyle w:val="Compact"/>
              <w:jc w:val="left"/>
            </w:pPr>
            <w:r>
              <w:t xml:space="preserve">Han 2022, PMID 35510614</w:t>
            </w:r>
          </w:p>
        </w:tc>
        <w:tc>
          <w:tcPr/>
          <w:p>
            <w:pPr>
              <w:pStyle w:val="Compact"/>
              <w:jc w:val="left"/>
            </w:pPr>
            <w:r>
              <w:t xml:space="preserve">pulmonary fibrosis in mice</w:t>
            </w:r>
          </w:p>
        </w:tc>
        <w:tc>
          <w:tcPr/>
          <w:p>
            <w:pPr>
              <w:pStyle w:val="Compact"/>
              <w:jc w:val="left"/>
            </w:pPr>
            <w:r>
              <w:t xml:space="preserve">less scarring</w:t>
            </w:r>
          </w:p>
        </w:tc>
      </w:tr>
      <w:tr>
        <w:tc>
          <w:tcPr/>
          <w:p>
            <w:pPr>
              <w:pStyle w:val="Compact"/>
              <w:jc w:val="left"/>
            </w:pPr>
            <w:r>
              <w:t xml:space="preserve">Kong 2025, PMID 39994346</w:t>
            </w:r>
          </w:p>
        </w:tc>
        <w:tc>
          <w:tcPr/>
          <w:p>
            <w:pPr>
              <w:pStyle w:val="Compact"/>
              <w:jc w:val="left"/>
            </w:pPr>
            <w:r>
              <w:t xml:space="preserve">keloid tissue (excessive scars) in the laboratory</w:t>
            </w:r>
          </w:p>
        </w:tc>
        <w:tc>
          <w:tcPr/>
          <w:p>
            <w:pPr>
              <w:pStyle w:val="Compact"/>
              <w:jc w:val="left"/>
            </w:pPr>
            <w:r>
              <w:t xml:space="preserve">more cell death of senescent connective tissue cells</w:t>
            </w:r>
          </w:p>
        </w:tc>
      </w:tr>
      <w:tr>
        <w:tc>
          <w:tcPr/>
          <w:p>
            <w:pPr>
              <w:pStyle w:val="Compact"/>
              <w:jc w:val="left"/>
            </w:pPr>
            <w:r>
              <w:t xml:space="preserve">Born 2023, PMID 36515093</w:t>
            </w:r>
          </w:p>
        </w:tc>
        <w:tc>
          <w:tcPr/>
          <w:p>
            <w:pPr>
              <w:pStyle w:val="Compact"/>
              <w:jc w:val="left"/>
            </w:pPr>
            <w:r>
              <w:t xml:space="preserve">pulmonary hypertension models in mice and rats</w:t>
            </w:r>
          </w:p>
        </w:tc>
        <w:tc>
          <w:tcPr/>
          <w:p>
            <w:pPr>
              <w:pStyle w:val="Compact"/>
              <w:jc w:val="left"/>
            </w:pPr>
            <w:r>
              <w:t xml:space="preserve">removal of senescent cells, including with FOXO4-DRI,</w:t>
            </w:r>
            <w:r>
              <w:t xml:space="preserve"> </w:t>
            </w:r>
            <w:r>
              <w:rPr>
                <w:bCs/>
                <w:b/>
              </w:rPr>
              <w:t xml:space="preserve">worsened</w:t>
            </w:r>
            <w:r>
              <w:t xml:space="preserve"> </w:t>
            </w:r>
            <w:r>
              <w:t xml:space="preserve">the pulmonary circulation</w:t>
            </w:r>
          </w:p>
        </w:tc>
      </w:tr>
    </w:tbl>
    <w:p>
      <w:pPr>
        <w:pStyle w:val="BodyText"/>
      </w:pPr>
      <w:r>
        <w:t xml:space="preserve">The first description attracted great attention: in rapidly aging mice and in naturally aged animals, physical fitness, coat appearance and kidney function improved</w:t>
      </w:r>
      <w:r>
        <w:rPr>
          <w:rStyle w:val="FootnoteReference"/>
        </w:rPr>
        <w:footnoteReference w:id="1916"/>
      </w:r>
      <w:r>
        <w:t xml:space="preserve">. Later papers by other groups, mainly from China, described effects on the testes, lungs and skin.</w:t>
      </w:r>
    </w:p>
    <w:p>
      <w:pPr>
        <w:pStyle w:val="BodyText"/>
      </w:pPr>
      <w:r>
        <w:t xml:space="preserve">An important contrary finding comes from cardiovascular research: in models of pulmonary hypertension, eliminating senescent cells – both genetically and with the senolytics ABT263 or FOXO4-DRI – worsened the pressure in the pulmonary circulation and led to the loss of endothelial cells in the lung. The authors conclude that senolytics could harm the pulmonary vessels</w:t>
      </w:r>
      <w:r>
        <w:rPr>
          <w:rStyle w:val="FootnoteReference"/>
        </w:rPr>
        <w:footnoteReference w:id="1917"/>
      </w:r>
      <w:r>
        <w:t xml:space="preserve">. This shows that senescent cells are not just</w:t>
      </w:r>
      <w:r>
        <w:t xml:space="preserve"> </w:t>
      </w:r>
      <w:r>
        <w:t xml:space="preserve">“</w:t>
      </w:r>
      <w:r>
        <w:t xml:space="preserve">legacy waste</w:t>
      </w:r>
      <w:r>
        <w:t xml:space="preserve">”</w:t>
      </w:r>
      <w:r>
        <w:t xml:space="preserve"> </w:t>
      </w:r>
      <w:r>
        <w:t xml:space="preserve">but can also have stabilizing functions in some tissues.</w:t>
      </w:r>
    </w:p>
    <w:bookmarkEnd w:id="1918"/>
    <w:bookmarkStart w:id="1921" w:name="risks-and-side-effects-44"/>
    <w:p>
      <w:pPr>
        <w:pStyle w:val="Heading3"/>
      </w:pPr>
      <w:r>
        <w:t xml:space="preserve">Risks and side effects</w:t>
      </w:r>
    </w:p>
    <w:p>
      <w:pPr>
        <w:pStyle w:val="FirstParagraph"/>
      </w:pPr>
      <w:r>
        <w:rPr>
          <w:bCs/>
          <w:b/>
        </w:rPr>
        <w:t xml:space="preserve">Established:</w:t>
      </w:r>
      <w:r>
        <w:t xml:space="preserve"> </w:t>
      </w:r>
      <w:r>
        <w:t xml:space="preserve">No data in humans.</w:t>
      </w:r>
    </w:p>
    <w:p>
      <w:pPr>
        <w:pStyle w:val="BodyText"/>
      </w:pPr>
      <w:r>
        <w:rPr>
          <w:bCs/>
          <w:b/>
        </w:rPr>
        <w:t xml:space="preserve">Theoretical – and partly supported by animal data:</w:t>
      </w:r>
    </w:p>
    <w:p>
      <w:pPr>
        <w:numPr>
          <w:ilvl w:val="0"/>
          <w:numId w:val="1242"/>
        </w:numPr>
        <w:pStyle w:val="Compact"/>
      </w:pPr>
      <w:r>
        <w:rPr>
          <w:bCs/>
          <w:b/>
        </w:rPr>
        <w:t xml:space="preserve">Vessels and lungs:</w:t>
      </w:r>
      <w:r>
        <w:t xml:space="preserve"> </w:t>
      </w:r>
      <w:r>
        <w:t xml:space="preserve">In the animal model, FOXO4-DRI worsened existing pulmonary hypertension</w:t>
      </w:r>
      <w:r>
        <w:rPr>
          <w:rStyle w:val="FootnoteReference"/>
        </w:rPr>
        <w:footnoteReference w:id="1919"/>
      </w:r>
      <w:r>
        <w:t xml:space="preserve">.</w:t>
      </w:r>
    </w:p>
    <w:p>
      <w:pPr>
        <w:numPr>
          <w:ilvl w:val="0"/>
          <w:numId w:val="1242"/>
        </w:numPr>
        <w:pStyle w:val="Compact"/>
      </w:pPr>
      <w:r>
        <w:rPr>
          <w:bCs/>
          <w:b/>
        </w:rPr>
        <w:t xml:space="preserve">p53 and cancer:</w:t>
      </w:r>
      <w:r>
        <w:t xml:space="preserve"> </w:t>
      </w:r>
      <w:r>
        <w:t xml:space="preserve">p53 is one of the body’s most important tumor suppressors. FOXO4-DRI specifically changes where p53 resides in the cell. What long-term consequences this has for cancer defense has not been studied. Conversely, the developers also see the principle as an approach for cancer therapy</w:t>
      </w:r>
      <w:r>
        <w:rPr>
          <w:rStyle w:val="FootnoteReference"/>
        </w:rPr>
        <w:footnoteReference w:id="1920"/>
      </w:r>
      <w:r>
        <w:t xml:space="preserve">.</w:t>
      </w:r>
    </w:p>
    <w:p>
      <w:pPr>
        <w:numPr>
          <w:ilvl w:val="0"/>
          <w:numId w:val="1242"/>
        </w:numPr>
        <w:pStyle w:val="Compact"/>
      </w:pPr>
      <w:r>
        <w:rPr>
          <w:bCs/>
          <w:b/>
        </w:rPr>
        <w:t xml:space="preserve">Wound healing and tissue repair:</w:t>
      </w:r>
      <w:r>
        <w:t xml:space="preserve"> </w:t>
      </w:r>
      <w:r>
        <w:t xml:space="preserve">Senescent cells also participate in wound healing and tissue remodeling; their elimination can disrupt these processes.</w:t>
      </w:r>
    </w:p>
    <w:p>
      <w:pPr>
        <w:numPr>
          <w:ilvl w:val="0"/>
          <w:numId w:val="1242"/>
        </w:numPr>
        <w:pStyle w:val="Compact"/>
      </w:pPr>
      <w:r>
        <w:rPr>
          <w:bCs/>
          <w:b/>
        </w:rPr>
        <w:t xml:space="preserve">Immune reactions:</w:t>
      </w:r>
      <w:r>
        <w:t xml:space="preserve"> </w:t>
      </w:r>
      <w:r>
        <w:t xml:space="preserve">The peptide contains a segment from a viral protein and is relatively large; immune reactions with repeated administration are conceivable but have not been studied.</w:t>
      </w:r>
    </w:p>
    <w:p>
      <w:pPr>
        <w:pStyle w:val="FirstParagraph"/>
      </w:pPr>
      <w:r>
        <w:rPr>
          <w:bCs/>
          <w:b/>
        </w:rPr>
        <w:t xml:space="preserve">Gray market:</w:t>
      </w:r>
      <w:r>
        <w:t xml:space="preserve"> </w:t>
      </w:r>
      <w:r>
        <w:t xml:space="preserve">FOXO4-DRI is offered online as a</w:t>
      </w:r>
      <w:r>
        <w:t xml:space="preserve"> </w:t>
      </w:r>
      <w:r>
        <w:t xml:space="preserve">“</w:t>
      </w:r>
      <w:r>
        <w:t xml:space="preserve">senolytic</w:t>
      </w:r>
      <w:r>
        <w:t xml:space="preserve">”</w:t>
      </w:r>
      <w:r>
        <w:t xml:space="preserve"> </w:t>
      </w:r>
      <w:r>
        <w:t xml:space="preserve">for injection, often at high prices. Manufacturing a long peptide from D-amino acids is demanding; whether products sold actually have the correct sequence and purity is unverified.</w:t>
      </w:r>
    </w:p>
    <w:bookmarkEnd w:id="1921"/>
    <w:bookmarkStart w:id="1922" w:name="legal-status-44"/>
    <w:p>
      <w:pPr>
        <w:pStyle w:val="Heading3"/>
      </w:pPr>
      <w:r>
        <w:t xml:space="preserve">Legal status</w:t>
      </w:r>
    </w:p>
    <w:p>
      <w:pPr>
        <w:numPr>
          <w:ilvl w:val="0"/>
          <w:numId w:val="1243"/>
        </w:numPr>
        <w:pStyle w:val="Compact"/>
      </w:pPr>
      <w:r>
        <w:rPr>
          <w:bCs/>
          <w:b/>
        </w:rPr>
        <w:t xml:space="preserve">EU / Austria / Germany:</w:t>
      </w:r>
      <w:r>
        <w:t xml:space="preserve"> </w:t>
      </w:r>
      <w:r>
        <w:t xml:space="preserve">not approved; as a substance with a pharmacological effect, FOXO4-DRI is considered a medicine, and selling it for use in humans is not permitted.</w:t>
      </w:r>
    </w:p>
    <w:p>
      <w:pPr>
        <w:numPr>
          <w:ilvl w:val="0"/>
          <w:numId w:val="1243"/>
        </w:numPr>
        <w:pStyle w:val="Compact"/>
      </w:pPr>
      <w:r>
        <w:rPr>
          <w:bCs/>
          <w:b/>
        </w:rPr>
        <w:t xml:space="preserve">USA:</w:t>
      </w:r>
      <w:r>
        <w:t xml:space="preserve"> </w:t>
      </w:r>
      <w:r>
        <w:t xml:space="preserve">not approved.</w:t>
      </w:r>
    </w:p>
    <w:p>
      <w:pPr>
        <w:numPr>
          <w:ilvl w:val="0"/>
          <w:numId w:val="1243"/>
        </w:numPr>
        <w:pStyle w:val="Compact"/>
      </w:pPr>
      <w:r>
        <w:rPr>
          <w:bCs/>
          <w:b/>
        </w:rPr>
        <w:t xml:space="preserve">Sport:</w:t>
      </w:r>
      <w:r>
        <w:t xml:space="preserve"> </w:t>
      </w:r>
      <w:r>
        <w:t xml:space="preserve">in our assessment WADA category S0 (as of 2026, please check for updates).</w:t>
      </w:r>
    </w:p>
    <w:bookmarkEnd w:id="1922"/>
    <w:bookmarkStart w:id="1923" w:name="ongoing-studies-and-outlook-44"/>
    <w:p>
      <w:pPr>
        <w:pStyle w:val="Heading3"/>
      </w:pPr>
      <w:r>
        <w:t xml:space="preserve">Ongoing studies and outlook</w:t>
      </w:r>
    </w:p>
    <w:p>
      <w:pPr>
        <w:pStyle w:val="FirstParagraph"/>
      </w:pPr>
      <w:r>
        <w:rPr>
          <w:bCs/>
          <w:b/>
        </w:rPr>
        <w:t xml:space="preserve">Established:</w:t>
      </w:r>
      <w:r>
        <w:t xml:space="preserve"> </w:t>
      </w:r>
      <w:r>
        <w:t xml:space="preserve">No registered clinical trial with FOXO4-DRI (search October 2026). The developer group is working on further developments of the principle; clinical trials with senolytics are running mainly with other agents.</w:t>
      </w:r>
    </w:p>
    <w:p>
      <w:pPr>
        <w:pStyle w:val="BodyText"/>
      </w:pPr>
      <w:r>
        <w:rPr>
          <w:bCs/>
          <w:b/>
        </w:rPr>
        <w:t xml:space="preserve">Assessment:</w:t>
      </w:r>
      <w:r>
        <w:t xml:space="preserve"> </w:t>
      </w:r>
      <w:r>
        <w:t xml:space="preserve">Senolytics research is one of the most exciting fields of aging research, but the first controlled studies in humans were sobering. For FOXO4-DRI, systematic toxicity studies and a first cautious study in humans would first be needed – ideally in a clearly defined disease, not as general</w:t>
      </w:r>
      <w:r>
        <w:t xml:space="preserve"> </w:t>
      </w:r>
      <w:r>
        <w:t xml:space="preserve">“</w:t>
      </w:r>
      <w:r>
        <w:t xml:space="preserve">anti-aging.</w:t>
      </w:r>
      <w:r>
        <w:t xml:space="preserve">”</w:t>
      </w:r>
    </w:p>
    <w:bookmarkEnd w:id="1923"/>
    <w:bookmarkStart w:id="1924" w:name="conclusion-44"/>
    <w:p>
      <w:pPr>
        <w:pStyle w:val="Heading3"/>
      </w:pPr>
      <w:r>
        <w:t xml:space="preserve">Conclusion</w:t>
      </w:r>
    </w:p>
    <w:p>
      <w:pPr>
        <w:pStyle w:val="FirstParagraph"/>
      </w:pPr>
      <w:r>
        <w:t xml:space="preserve">FOXO4-DRI is an artificial peptide that specifically eliminated senescent cells in cell cultures and in mice and improved fitness, fur and kidney function in aged animals. It has never been studied in humans. In animal models of pulmonary hypertension, removing senescent cells with FOXO4-DRI worsened the course of the disease, and the intervention in the cancer-protective protein p53 raises open questions. The data are not sufficient to assess benefit or safety in humans.</w:t>
      </w:r>
    </w:p>
    <w:bookmarkEnd w:id="1924"/>
    <w:bookmarkEnd w:id="1925"/>
    <w:bookmarkStart w:id="1957" w:name="glutathione"/>
    <w:p>
      <w:pPr>
        <w:pStyle w:val="Heading2"/>
      </w:pPr>
      <w:r>
        <w:t xml:space="preserve">Glutathione</w:t>
      </w:r>
    </w:p>
    <w:bookmarkStart w:id="1926" w:name="profile-45"/>
    <w:p>
      <w:pPr>
        <w:pStyle w:val="Heading3"/>
      </w:pPr>
      <w:r>
        <w:t xml:space="preserve">Profile</w:t>
      </w:r>
    </w:p>
    <w:p>
      <w:pPr>
        <w:numPr>
          <w:ilvl w:val="0"/>
          <w:numId w:val="1244"/>
        </w:numPr>
        <w:pStyle w:val="Compact"/>
      </w:pPr>
      <w:r>
        <w:rPr>
          <w:bCs/>
          <w:b/>
        </w:rPr>
        <w:t xml:space="preserve">Type and structure:</w:t>
      </w:r>
      <w:r>
        <w:t xml:space="preserve"> </w:t>
      </w:r>
      <w:r>
        <w:t xml:space="preserve">tripeptide of three amino acids – glutamic acid, cysteine and glycine (γ-glutamyl-cysteinyl-glycine, abbreviated GSH). The reduced form (GSH) is the active one; in the defense against oxidation, two molecules are joined to form oxidized glutathione (GSSG).</w:t>
      </w:r>
    </w:p>
    <w:p>
      <w:pPr>
        <w:numPr>
          <w:ilvl w:val="0"/>
          <w:numId w:val="1244"/>
        </w:numPr>
        <w:pStyle w:val="Compact"/>
      </w:pPr>
      <w:r>
        <w:rPr>
          <w:bCs/>
          <w:b/>
        </w:rPr>
        <w:t xml:space="preserve">Origin:</w:t>
      </w:r>
      <w:r>
        <w:t xml:space="preserve"> </w:t>
      </w:r>
      <w:r>
        <w:t xml:space="preserve">produced by virtually all body cells themselves, in particularly large amounts in the liver. As a preparation, it is usually produced by fermentation with yeasts.</w:t>
      </w:r>
    </w:p>
    <w:p>
      <w:pPr>
        <w:numPr>
          <w:ilvl w:val="0"/>
          <w:numId w:val="1244"/>
        </w:numPr>
        <w:pStyle w:val="Compact"/>
      </w:pPr>
      <w:r>
        <w:rPr>
          <w:bCs/>
          <w:b/>
        </w:rPr>
        <w:t xml:space="preserve">Mechanism of action:</w:t>
      </w:r>
      <w:r>
        <w:t xml:space="preserve"> </w:t>
      </w:r>
      <w:r>
        <w:t xml:space="preserve">the most important endogenous antioxidant in cells; involved in the detoxification of medications and pollutants (for example in the breakdown of acetaminophen) and in the regulation of immune cells. In the skin, it shifts pigment production from dark to lighter melanin.</w:t>
      </w:r>
    </w:p>
    <w:p>
      <w:pPr>
        <w:numPr>
          <w:ilvl w:val="0"/>
          <w:numId w:val="1244"/>
        </w:numPr>
        <w:pStyle w:val="Compact"/>
      </w:pPr>
      <w:r>
        <w:rPr>
          <w:bCs/>
          <w:b/>
        </w:rPr>
        <w:t xml:space="preserve">EU approval:</w:t>
      </w:r>
      <w:r>
        <w:t xml:space="preserve"> </w:t>
      </w:r>
      <w:r>
        <w:t xml:space="preserve">widely marketed as a dietary supplement; as an injectable medicine only in individual countries for narrowly defined indications, not for skin lightening.</w:t>
      </w:r>
    </w:p>
    <w:p>
      <w:pPr>
        <w:numPr>
          <w:ilvl w:val="0"/>
          <w:numId w:val="1244"/>
        </w:numPr>
        <w:pStyle w:val="Compact"/>
      </w:pPr>
      <w:r>
        <w:rPr>
          <w:bCs/>
          <w:b/>
        </w:rPr>
        <w:t xml:space="preserve">US approval:</w:t>
      </w:r>
      <w:r>
        <w:t xml:space="preserve"> </w:t>
      </w:r>
      <w:r>
        <w:t xml:space="preserve">no FDA-approved glutathione medicine; available as a dietary supplement and as a pharmacy compounded preparation.</w:t>
      </w:r>
    </w:p>
    <w:p>
      <w:pPr>
        <w:numPr>
          <w:ilvl w:val="0"/>
          <w:numId w:val="1244"/>
        </w:numPr>
        <w:pStyle w:val="Compact"/>
      </w:pPr>
      <w:r>
        <w:rPr>
          <w:bCs/>
          <w:b/>
        </w:rPr>
        <w:t xml:space="preserve">WADA:</w:t>
      </w:r>
      <w:r>
        <w:t xml:space="preserve"> </w:t>
      </w:r>
      <w:r>
        <w:t xml:space="preserve">glutathione itself is not prohibited. However, infusions or injections of more than 100 mL within twelve hours are covered as a prohibited method (M2), except in the context of hospital treatment or clinical investigation.</w:t>
      </w:r>
    </w:p>
    <w:p>
      <w:pPr>
        <w:numPr>
          <w:ilvl w:val="0"/>
          <w:numId w:val="1244"/>
        </w:numPr>
        <w:pStyle w:val="Compact"/>
      </w:pPr>
      <w:r>
        <w:rPr>
          <w:bCs/>
          <w:b/>
        </w:rPr>
        <w:t xml:space="preserve">Evidence level:</w:t>
      </w:r>
      <w:r>
        <w:t xml:space="preserve"> </w:t>
      </w:r>
      <w:r>
        <w:rPr>
          <w:bCs/>
          <w:b/>
        </w:rPr>
        <w:t xml:space="preserve">B</w:t>
      </w:r>
      <w:r>
        <w:t xml:space="preserve"> </w:t>
      </w:r>
      <w:r>
        <w:t xml:space="preserve">– numerous randomized, mostly small studies with varying results; no approval based on large outcome trials.</w:t>
      </w:r>
    </w:p>
    <w:bookmarkEnd w:id="1926"/>
    <w:bookmarkStart w:id="1927" w:name="how-it-is-supposed-to-work-45"/>
    <w:p>
      <w:pPr>
        <w:pStyle w:val="Heading3"/>
      </w:pPr>
      <w:r>
        <w:t xml:space="preserve">How it is supposed to work</w:t>
      </w:r>
    </w:p>
    <w:p>
      <w:pPr>
        <w:pStyle w:val="FirstParagraph"/>
      </w:pPr>
      <w:r>
        <w:t xml:space="preserve">Glutathione is an entirely ordinary component of every cell. It scavenges reactive oxygen species, helps enzymes with detoxification and keeps other antioxidants such as vitamins C and E in their active form. In many diseases – such as diabetes, liver disease, HIV, Parkinson’s – and with increasing age, glutathione levels in blood or tissue are lower. This gave rise to the obvious idea of supplying glutathione from outside.</w:t>
      </w:r>
    </w:p>
    <w:p>
      <w:pPr>
        <w:pStyle w:val="BodyText"/>
      </w:pPr>
      <w:r>
        <w:t xml:space="preserve">This is more difficult than it sounds, for three reasons:</w:t>
      </w:r>
    </w:p>
    <w:p>
      <w:pPr>
        <w:numPr>
          <w:ilvl w:val="0"/>
          <w:numId w:val="1245"/>
        </w:numPr>
        <w:pStyle w:val="Compact"/>
      </w:pPr>
      <w:r>
        <w:rPr>
          <w:bCs/>
          <w:b/>
        </w:rPr>
        <w:t xml:space="preserve">Digestion:</w:t>
      </w:r>
      <w:r>
        <w:t xml:space="preserve"> </w:t>
      </w:r>
      <w:r>
        <w:t xml:space="preserve">As a peptide, glutathione is partially broken down in the gut; for a long time, it was therefore considered barely effective when swallowed.</w:t>
      </w:r>
    </w:p>
    <w:p>
      <w:pPr>
        <w:numPr>
          <w:ilvl w:val="0"/>
          <w:numId w:val="1245"/>
        </w:numPr>
        <w:pStyle w:val="Compact"/>
      </w:pPr>
      <w:r>
        <w:rPr>
          <w:bCs/>
          <w:b/>
        </w:rPr>
        <w:t xml:space="preserve">Uptake into cells:</w:t>
      </w:r>
      <w:r>
        <w:t xml:space="preserve"> </w:t>
      </w:r>
      <w:r>
        <w:t xml:space="preserve">Glutathione is mainly produced</w:t>
      </w:r>
      <w:r>
        <w:t xml:space="preserve"> </w:t>
      </w:r>
      <w:r>
        <w:rPr>
          <w:iCs/>
          <w:i/>
        </w:rPr>
        <w:t xml:space="preserve">inside</w:t>
      </w:r>
      <w:r>
        <w:t xml:space="preserve"> </w:t>
      </w:r>
      <w:r>
        <w:t xml:space="preserve">cells; it enters them from the blood only to a limited extent.</w:t>
      </w:r>
    </w:p>
    <w:p>
      <w:pPr>
        <w:numPr>
          <w:ilvl w:val="0"/>
          <w:numId w:val="1245"/>
        </w:numPr>
        <w:pStyle w:val="Compact"/>
      </w:pPr>
      <w:r>
        <w:rPr>
          <w:bCs/>
          <w:b/>
        </w:rPr>
        <w:t xml:space="preserve">Short residence time:</w:t>
      </w:r>
      <w:r>
        <w:t xml:space="preserve"> </w:t>
      </w:r>
      <w:r>
        <w:t xml:space="preserve">Infused glutathione is rapidly broken down in the blood.</w:t>
      </w:r>
    </w:p>
    <w:p>
      <w:pPr>
        <w:pStyle w:val="FirstParagraph"/>
      </w:pPr>
      <w:r>
        <w:t xml:space="preserve">Various dosage forms are therefore offered: capsules and tablets,</w:t>
      </w:r>
      <w:r>
        <w:t xml:space="preserve"> </w:t>
      </w:r>
      <w:r>
        <w:rPr>
          <w:bCs/>
          <w:b/>
        </w:rPr>
        <w:t xml:space="preserve">liposomal</w:t>
      </w:r>
      <w:r>
        <w:t xml:space="preserve"> </w:t>
      </w:r>
      <w:r>
        <w:t xml:space="preserve">glutathione (packaged in lipid vesicles), lozenges and films for the oral mucosa, nasal spray, creams – and</w:t>
      </w:r>
      <w:r>
        <w:t xml:space="preserve"> </w:t>
      </w:r>
      <w:r>
        <w:rPr>
          <w:bCs/>
          <w:b/>
        </w:rPr>
        <w:t xml:space="preserve">infusions</w:t>
      </w:r>
      <w:r>
        <w:t xml:space="preserve"> </w:t>
      </w:r>
      <w:r>
        <w:t xml:space="preserve">into a vein. There are also precursors such as N-acetylcysteine (NAC) or glycine plus NAC, which the body uses for its own production; they are not the subject of this chapter.</w:t>
      </w:r>
    </w:p>
    <w:p>
      <w:pPr>
        <w:pStyle w:val="BodyText"/>
      </w:pPr>
      <w:r>
        <w:t xml:space="preserve">For skin lightening, a further mechanism is assumed: in laboratory experiments, glutathione inhibits the enzyme tyrosinase and redirects pigment production from dark eumelanin to lighter pheomelanin.</w:t>
      </w:r>
    </w:p>
    <w:bookmarkEnd w:id="1927"/>
    <w:bookmarkStart w:id="1947" w:name="human-studies-45"/>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161 publications classified as human studies, plus 15 reviews and meta-analyses. On ClinicalTrials.gov, 273 studies were registered. Both figures considerably overstate the direct evidence: many hits only measure glutathione as a laboratory value (for example with selenium, vitamins, exercise or NAC) or concern the enzyme glutathione S-transferase. Studies in which glutathione itself was administered are a minority – but still several dozen.</w:t>
      </w:r>
    </w:p>
    <w:bookmarkStart w:id="1931" w:name="X0942f073bde3f7a1ddab6f04a685eef94fd851e"/>
    <w:p>
      <w:pPr>
        <w:pStyle w:val="Heading4"/>
      </w:pPr>
      <w:r>
        <w:t xml:space="preserve">Does swallowed glutathione even get there?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Allen 2011, PMID 21875351</w:t>
            </w:r>
          </w:p>
        </w:tc>
        <w:tc>
          <w:tcPr/>
          <w:p>
            <w:pPr>
              <w:pStyle w:val="Compact"/>
              <w:jc w:val="left"/>
            </w:pPr>
            <w:r>
              <w:t xml:space="preserve">40 healthy people, capsules vs. placebo, double-blind</w:t>
            </w:r>
          </w:p>
        </w:tc>
        <w:tc>
          <w:tcPr/>
          <w:p>
            <w:pPr>
              <w:pStyle w:val="Compact"/>
              <w:jc w:val="left"/>
            </w:pPr>
            <w:r>
              <w:t xml:space="preserve">4 weeks</w:t>
            </w:r>
          </w:p>
        </w:tc>
        <w:tc>
          <w:tcPr/>
          <w:p>
            <w:pPr>
              <w:pStyle w:val="Compact"/>
              <w:jc w:val="left"/>
            </w:pPr>
            <w:r>
              <w:t xml:space="preserve">no change in glutathione levels or oxidation markers</w:t>
            </w:r>
          </w:p>
        </w:tc>
      </w:tr>
      <w:tr>
        <w:tc>
          <w:tcPr/>
          <w:p>
            <w:pPr>
              <w:pStyle w:val="Compact"/>
              <w:jc w:val="left"/>
            </w:pPr>
            <w:r>
              <w:t xml:space="preserve">Richie 2015, PMID 24791752</w:t>
            </w:r>
          </w:p>
        </w:tc>
        <w:tc>
          <w:tcPr/>
          <w:p>
            <w:pPr>
              <w:pStyle w:val="Compact"/>
              <w:jc w:val="left"/>
            </w:pPr>
            <w:r>
              <w:t xml:space="preserve">54 healthy people, two doses vs. placebo, double-blind</w:t>
            </w:r>
          </w:p>
        </w:tc>
        <w:tc>
          <w:tcPr/>
          <w:p>
            <w:pPr>
              <w:pStyle w:val="Compact"/>
              <w:jc w:val="left"/>
            </w:pPr>
            <w:r>
              <w:t xml:space="preserve">6 months</w:t>
            </w:r>
          </w:p>
        </w:tc>
        <w:tc>
          <w:tcPr/>
          <w:p>
            <w:pPr>
              <w:pStyle w:val="Compact"/>
              <w:jc w:val="left"/>
            </w:pPr>
            <w:r>
              <w:t xml:space="preserve">levels in blood cells and plasma 30–35% higher (high dose); back to baseline after stopping</w:t>
            </w:r>
          </w:p>
        </w:tc>
      </w:tr>
      <w:tr>
        <w:tc>
          <w:tcPr/>
          <w:p>
            <w:pPr>
              <w:pStyle w:val="Compact"/>
              <w:jc w:val="left"/>
            </w:pPr>
            <w:r>
              <w:t xml:space="preserve">Sinha 2018, PMID 28853742</w:t>
            </w:r>
          </w:p>
        </w:tc>
        <w:tc>
          <w:tcPr/>
          <w:p>
            <w:pPr>
              <w:pStyle w:val="Compact"/>
              <w:jc w:val="left"/>
            </w:pPr>
            <w:r>
              <w:t xml:space="preserve">12 healthy people, liposomal glutathione, no placebo</w:t>
            </w:r>
          </w:p>
        </w:tc>
        <w:tc>
          <w:tcPr/>
          <w:p>
            <w:pPr>
              <w:pStyle w:val="Compact"/>
              <w:jc w:val="left"/>
            </w:pPr>
            <w:r>
              <w:t xml:space="preserve">4 weeks</w:t>
            </w:r>
          </w:p>
        </w:tc>
        <w:tc>
          <w:tcPr/>
          <w:p>
            <w:pPr>
              <w:pStyle w:val="Compact"/>
              <w:jc w:val="left"/>
            </w:pPr>
            <w:r>
              <w:t xml:space="preserve">levels in whole blood up to 40% higher, in immune cells up to 100%</w:t>
            </w:r>
          </w:p>
        </w:tc>
      </w:tr>
      <w:tr>
        <w:tc>
          <w:tcPr/>
          <w:p>
            <w:pPr>
              <w:pStyle w:val="Compact"/>
              <w:jc w:val="left"/>
            </w:pPr>
            <w:r>
              <w:t xml:space="preserve">Schmitt 2015, PMID 26262996</w:t>
            </w:r>
          </w:p>
        </w:tc>
        <w:tc>
          <w:tcPr/>
          <w:p>
            <w:pPr>
              <w:pStyle w:val="Compact"/>
              <w:jc w:val="left"/>
            </w:pPr>
            <w:r>
              <w:t xml:space="preserve">20 people with metabolic syndrome, crossover: capsule, sublingual form, NAC</w:t>
            </w:r>
          </w:p>
        </w:tc>
        <w:tc>
          <w:tcPr/>
          <w:p>
            <w:pPr>
              <w:pStyle w:val="Compact"/>
              <w:jc w:val="left"/>
            </w:pPr>
            <w:r>
              <w:t xml:space="preserve">3 weeks each</w:t>
            </w:r>
          </w:p>
        </w:tc>
        <w:tc>
          <w:tcPr/>
          <w:p>
            <w:pPr>
              <w:pStyle w:val="Compact"/>
              <w:jc w:val="left"/>
            </w:pPr>
            <w:r>
              <w:t xml:space="preserve">sublingual form raised plasma levels more than capsules</w:t>
            </w:r>
          </w:p>
        </w:tc>
      </w:tr>
      <w:tr>
        <w:tc>
          <w:tcPr/>
          <w:p>
            <w:pPr>
              <w:pStyle w:val="Compact"/>
              <w:jc w:val="left"/>
            </w:pPr>
            <w:r>
              <w:t xml:space="preserve">Jung 2026, PMID 42392376</w:t>
            </w:r>
          </w:p>
        </w:tc>
        <w:tc>
          <w:tcPr/>
          <w:p>
            <w:pPr>
              <w:pStyle w:val="Compact"/>
              <w:jc w:val="left"/>
            </w:pPr>
            <w:r>
              <w:t xml:space="preserve">healthy people, orally dissolving film vs. tablet</w:t>
            </w:r>
          </w:p>
        </w:tc>
        <w:tc>
          <w:tcPr/>
          <w:p>
            <w:pPr>
              <w:pStyle w:val="Compact"/>
              <w:jc w:val="left"/>
            </w:pPr>
            <w:r>
              <w:t xml:space="preserve">single dose and 4 weeks</w:t>
            </w:r>
          </w:p>
        </w:tc>
        <w:tc>
          <w:tcPr/>
          <w:p>
            <w:pPr>
              <w:pStyle w:val="Compact"/>
              <w:jc w:val="left"/>
            </w:pPr>
            <w:r>
              <w:t xml:space="preserve">both forms raised blood levels; no change in oxidation markers</w:t>
            </w:r>
          </w:p>
        </w:tc>
      </w:tr>
    </w:tbl>
    <w:p>
      <w:pPr>
        <w:pStyle w:val="BodyText"/>
      </w:pPr>
      <w:r>
        <w:t xml:space="preserve">The question was long disputed. A short study with 40 healthy people found no change whatsoever after four weeks</w:t>
      </w:r>
      <w:r>
        <w:rPr>
          <w:rStyle w:val="FootnoteReference"/>
        </w:rPr>
        <w:footnoteReference w:id="1928"/>
      </w:r>
      <w:r>
        <w:t xml:space="preserve">. A longer, likewise double-blind study with 54 healthy people, by contrast, found dose-dependently higher glutathione levels in blood, blood cells and oral mucosa after six months; one month after stopping, the values were back to baseline</w:t>
      </w:r>
      <w:r>
        <w:rPr>
          <w:rStyle w:val="FootnoteReference"/>
        </w:rPr>
        <w:footnoteReference w:id="1929"/>
      </w:r>
      <w:r>
        <w:t xml:space="preserve">. A small pilot study without a placebo group reported increases with liposomal glutathione after just one to two weeks</w:t>
      </w:r>
      <w:r>
        <w:rPr>
          <w:rStyle w:val="FootnoteReference"/>
        </w:rPr>
        <w:footnoteReference w:id="1930"/>
      </w:r>
      <w:r>
        <w:t xml:space="preserve">.</w:t>
      </w:r>
    </w:p>
    <w:p>
      <w:pPr>
        <w:pStyle w:val="BodyText"/>
      </w:pPr>
      <w:r>
        <w:t xml:space="preserve">In summary: swallowed glutathione can measurably increase blood levels, presumably depending on dose, duration and dosage form. Whether higher blood levels also lead to a health benefit is another question.</w:t>
      </w:r>
    </w:p>
    <w:bookmarkEnd w:id="1931"/>
    <w:bookmarkStart w:id="1939" w:name="disease-related-studies"/>
    <w:p>
      <w:pPr>
        <w:pStyle w:val="Heading4"/>
      </w:pPr>
      <w:r>
        <w:t xml:space="preserve">Disease-related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Leal 2014, PMID 24619793</w:t>
            </w:r>
          </w:p>
        </w:tc>
        <w:tc>
          <w:tcPr/>
          <w:p>
            <w:pPr>
              <w:pStyle w:val="Compact"/>
              <w:jc w:val="left"/>
            </w:pPr>
            <w:r>
              <w:t xml:space="preserve">185 cancer patients on paclitaxel/carboplatin, infusion vs. placebo, phase 3</w:t>
            </w:r>
          </w:p>
        </w:tc>
        <w:tc>
          <w:tcPr/>
          <w:p>
            <w:pPr>
              <w:pStyle w:val="Compact"/>
              <w:jc w:val="left"/>
            </w:pPr>
            <w:r>
              <w:t xml:space="preserve">duration of chemotherapy</w:t>
            </w:r>
          </w:p>
        </w:tc>
        <w:tc>
          <w:tcPr/>
          <w:p>
            <w:pPr>
              <w:pStyle w:val="Compact"/>
              <w:jc w:val="left"/>
            </w:pPr>
            <w:r>
              <w:rPr>
                <w:bCs/>
                <w:b/>
              </w:rPr>
              <w:t xml:space="preserve">no</w:t>
            </w:r>
            <w:r>
              <w:t xml:space="preserve"> </w:t>
            </w:r>
            <w:r>
              <w:t xml:space="preserve">reduction in chemotherapy-induced nerve damage</w:t>
            </w:r>
          </w:p>
        </w:tc>
      </w:tr>
      <w:tr>
        <w:tc>
          <w:tcPr/>
          <w:p>
            <w:pPr>
              <w:pStyle w:val="Compact"/>
              <w:jc w:val="left"/>
            </w:pPr>
            <w:r>
              <w:t xml:space="preserve">Hauser 2009, PMID 19230029</w:t>
            </w:r>
          </w:p>
        </w:tc>
        <w:tc>
          <w:tcPr/>
          <w:p>
            <w:pPr>
              <w:pStyle w:val="Compact"/>
              <w:jc w:val="left"/>
            </w:pPr>
            <w:r>
              <w:t xml:space="preserve">21 people with Parkinson’s, infusion vs. placebo</w:t>
            </w:r>
          </w:p>
        </w:tc>
        <w:tc>
          <w:tcPr/>
          <w:p>
            <w:pPr>
              <w:pStyle w:val="Compact"/>
              <w:jc w:val="left"/>
            </w:pPr>
            <w:r>
              <w:t xml:space="preserve">4 weeks</w:t>
            </w:r>
          </w:p>
        </w:tc>
        <w:tc>
          <w:tcPr/>
          <w:p>
            <w:pPr>
              <w:pStyle w:val="Compact"/>
              <w:jc w:val="left"/>
            </w:pPr>
            <w:r>
              <w:t xml:space="preserve">no significant difference on the Parkinson’s scale</w:t>
            </w:r>
          </w:p>
        </w:tc>
      </w:tr>
      <w:tr>
        <w:tc>
          <w:tcPr/>
          <w:p>
            <w:pPr>
              <w:pStyle w:val="Compact"/>
              <w:jc w:val="left"/>
            </w:pPr>
            <w:r>
              <w:t xml:space="preserve">Mischley 2017, PMID 28436395</w:t>
            </w:r>
          </w:p>
        </w:tc>
        <w:tc>
          <w:tcPr/>
          <w:p>
            <w:pPr>
              <w:pStyle w:val="Compact"/>
              <w:jc w:val="left"/>
            </w:pPr>
            <w:r>
              <w:t xml:space="preserve">45 people with Parkinson’s, nasal spray at two doses vs. placebo</w:t>
            </w:r>
          </w:p>
        </w:tc>
        <w:tc>
          <w:tcPr/>
          <w:p>
            <w:pPr>
              <w:pStyle w:val="Compact"/>
              <w:jc w:val="left"/>
            </w:pPr>
            <w:r>
              <w:t xml:space="preserve">3 months</w:t>
            </w:r>
          </w:p>
        </w:tc>
        <w:tc>
          <w:tcPr/>
          <w:p>
            <w:pPr>
              <w:pStyle w:val="Compact"/>
              <w:jc w:val="left"/>
            </w:pPr>
            <w:r>
              <w:t xml:space="preserve">all groups improved, glutathione not better than placebo</w:t>
            </w:r>
          </w:p>
        </w:tc>
      </w:tr>
      <w:tr>
        <w:tc>
          <w:tcPr/>
          <w:p>
            <w:pPr>
              <w:pStyle w:val="Compact"/>
              <w:jc w:val="left"/>
            </w:pPr>
            <w:r>
              <w:t xml:space="preserve">Bozic 2020, PMID 32960827</w:t>
            </w:r>
          </w:p>
        </w:tc>
        <w:tc>
          <w:tcPr/>
          <w:p>
            <w:pPr>
              <w:pStyle w:val="Compact"/>
              <w:jc w:val="left"/>
            </w:pPr>
            <w:r>
              <w:t xml:space="preserve">58 children with cystic fibrosis, capsules vs. placebo</w:t>
            </w:r>
          </w:p>
        </w:tc>
        <w:tc>
          <w:tcPr/>
          <w:p>
            <w:pPr>
              <w:pStyle w:val="Compact"/>
              <w:jc w:val="left"/>
            </w:pPr>
            <w:r>
              <w:t xml:space="preserve">24 weeks</w:t>
            </w:r>
          </w:p>
        </w:tc>
        <w:tc>
          <w:tcPr/>
          <w:p>
            <w:pPr>
              <w:pStyle w:val="Compact"/>
              <w:jc w:val="left"/>
            </w:pPr>
            <w:r>
              <w:t xml:space="preserve">no effect on growth and inflammatory markers</w:t>
            </w:r>
          </w:p>
        </w:tc>
      </w:tr>
      <w:tr>
        <w:tc>
          <w:tcPr/>
          <w:p>
            <w:pPr>
              <w:pStyle w:val="Compact"/>
              <w:jc w:val="left"/>
            </w:pPr>
            <w:r>
              <w:t xml:space="preserve">Søndergård 2021, PMID 33740389</w:t>
            </w:r>
          </w:p>
        </w:tc>
        <w:tc>
          <w:tcPr/>
          <w:p>
            <w:pPr>
              <w:pStyle w:val="Compact"/>
              <w:jc w:val="left"/>
            </w:pPr>
            <w:r>
              <w:t xml:space="preserve">20 overweight men with and without type 2 diabetes, vs. placebo</w:t>
            </w:r>
          </w:p>
        </w:tc>
        <w:tc>
          <w:tcPr/>
          <w:p>
            <w:pPr>
              <w:pStyle w:val="Compact"/>
              <w:jc w:val="left"/>
            </w:pPr>
            <w:r>
              <w:t xml:space="preserve">3 weeks</w:t>
            </w:r>
          </w:p>
        </w:tc>
        <w:tc>
          <w:tcPr/>
          <w:p>
            <w:pPr>
              <w:pStyle w:val="Compact"/>
              <w:jc w:val="left"/>
            </w:pPr>
            <w:r>
              <w:t xml:space="preserve">insulin sensitivity improved; oxidation markers unchanged</w:t>
            </w:r>
          </w:p>
        </w:tc>
      </w:tr>
      <w:tr>
        <w:tc>
          <w:tcPr/>
          <w:p>
            <w:pPr>
              <w:pStyle w:val="Compact"/>
              <w:jc w:val="left"/>
            </w:pPr>
            <w:r>
              <w:t xml:space="preserve">Honda 2017, PMID 28789631</w:t>
            </w:r>
          </w:p>
        </w:tc>
        <w:tc>
          <w:tcPr/>
          <w:p>
            <w:pPr>
              <w:pStyle w:val="Compact"/>
              <w:jc w:val="left"/>
            </w:pPr>
            <w:r>
              <w:t xml:space="preserve">34 people with fatty liver, open-label, no control group</w:t>
            </w:r>
          </w:p>
        </w:tc>
        <w:tc>
          <w:tcPr/>
          <w:p>
            <w:pPr>
              <w:pStyle w:val="Compact"/>
              <w:jc w:val="left"/>
            </w:pPr>
            <w:r>
              <w:t xml:space="preserve">4 months</w:t>
            </w:r>
          </w:p>
        </w:tc>
        <w:tc>
          <w:tcPr/>
          <w:p>
            <w:pPr>
              <w:pStyle w:val="Compact"/>
              <w:jc w:val="left"/>
            </w:pPr>
            <w:r>
              <w:t xml:space="preserve">liver enzyme ALT decreased</w:t>
            </w:r>
          </w:p>
        </w:tc>
      </w:tr>
      <w:tr>
        <w:tc>
          <w:tcPr/>
          <w:p>
            <w:pPr>
              <w:pStyle w:val="Compact"/>
              <w:jc w:val="left"/>
            </w:pPr>
            <w:r>
              <w:t xml:space="preserve">Arrivi 2023, PMID 36083043</w:t>
            </w:r>
          </w:p>
        </w:tc>
        <w:tc>
          <w:tcPr/>
          <w:p>
            <w:pPr>
              <w:pStyle w:val="Compact"/>
              <w:jc w:val="left"/>
            </w:pPr>
            <w:r>
              <w:t xml:space="preserve">100 people with heart attack, infusion vs. placebo (secondary analysis)</w:t>
            </w:r>
          </w:p>
        </w:tc>
        <w:tc>
          <w:tcPr/>
          <w:p>
            <w:pPr>
              <w:pStyle w:val="Compact"/>
              <w:jc w:val="left"/>
            </w:pPr>
            <w:r>
              <w:t xml:space="preserve">hospital stay</w:t>
            </w:r>
          </w:p>
        </w:tc>
        <w:tc>
          <w:tcPr/>
          <w:p>
            <w:pPr>
              <w:pStyle w:val="Compact"/>
              <w:jc w:val="left"/>
            </w:pPr>
            <w:r>
              <w:t xml:space="preserve">hospital stay 8.6 instead of 10.8 days</w:t>
            </w:r>
          </w:p>
        </w:tc>
      </w:tr>
    </w:tbl>
    <w:p>
      <w:pPr>
        <w:pStyle w:val="BodyText"/>
      </w:pPr>
      <w:r>
        <w:t xml:space="preserve">The picture is sobering: the largest and methodologically strongest study – a phase 3 trial with 185 cancer patients – found no protection against chemotherapy-induced nerve damage; on some secondary endpoints, placebo even performed better</w:t>
      </w:r>
      <w:r>
        <w:rPr>
          <w:rStyle w:val="FootnoteReference"/>
        </w:rPr>
        <w:footnoteReference w:id="1932"/>
      </w:r>
      <w:r>
        <w:t xml:space="preserve">. In Parkinson’s, glutathione was better than placebo neither as an infusion</w:t>
      </w:r>
      <w:r>
        <w:rPr>
          <w:rStyle w:val="FootnoteReference"/>
        </w:rPr>
        <w:footnoteReference w:id="1933"/>
      </w:r>
      <w:r>
        <w:t xml:space="preserve"> </w:t>
      </w:r>
      <w:r>
        <w:t xml:space="preserve">nor as a nasal spray; in the nasal spray study, one person on the higher dose developed a heart muscle disease</w:t>
      </w:r>
      <w:r>
        <w:rPr>
          <w:rStyle w:val="FootnoteReference"/>
        </w:rPr>
        <w:footnoteReference w:id="1934"/>
      </w:r>
      <w:r>
        <w:t xml:space="preserve">. In children with cystic fibrosis, growth was unaffected</w:t>
      </w:r>
      <w:r>
        <w:rPr>
          <w:rStyle w:val="FootnoteReference"/>
        </w:rPr>
        <w:footnoteReference w:id="1935"/>
      </w:r>
      <w:r>
        <w:t xml:space="preserve">.</w:t>
      </w:r>
    </w:p>
    <w:p>
      <w:pPr>
        <w:pStyle w:val="BodyText"/>
      </w:pPr>
      <w:r>
        <w:t xml:space="preserve">Positive signals come from small studies: in 20 overweight men, insulin sensitivity improved after three weeks</w:t>
      </w:r>
      <w:r>
        <w:rPr>
          <w:rStyle w:val="FootnoteReference"/>
        </w:rPr>
        <w:footnoteReference w:id="1936"/>
      </w:r>
      <w:r>
        <w:t xml:space="preserve">; in fatty liver, liver values decreased in an uncontrolled study</w:t>
      </w:r>
      <w:r>
        <w:rPr>
          <w:rStyle w:val="FootnoteReference"/>
        </w:rPr>
        <w:footnoteReference w:id="1937"/>
      </w:r>
      <w:r>
        <w:t xml:space="preserve">; after heart attack, the length of hospital stay was shorter in a secondary analysis</w:t>
      </w:r>
      <w:r>
        <w:rPr>
          <w:rStyle w:val="FootnoteReference"/>
        </w:rPr>
        <w:footnoteReference w:id="1938"/>
      </w:r>
      <w:r>
        <w:t xml:space="preserve">. None of these findings has yet been confirmed in a larger study.</w:t>
      </w:r>
    </w:p>
    <w:bookmarkEnd w:id="1939"/>
    <w:bookmarkStart w:id="1946" w:name="skin-lightening-oral-topical-intravenous"/>
    <w:p>
      <w:pPr>
        <w:pStyle w:val="Heading4"/>
      </w:pPr>
      <w:r>
        <w:t xml:space="preserve">Skin lightening: oral, topical, intravenous</w:t>
      </w:r>
    </w:p>
    <w:p>
      <w:pPr>
        <w:pStyle w:val="FirstParagraph"/>
      </w:pPr>
      <w:r>
        <w:t xml:space="preserve">In parts of Asia, Africa and increasingly also in Europe, glutathione is marketed mainly as a</w:t>
      </w:r>
      <w:r>
        <w:t xml:space="preserve"> </w:t>
      </w:r>
      <w:r>
        <w:t xml:space="preserve">“</w:t>
      </w:r>
      <w:r>
        <w:t xml:space="preserve">skin lightener</w:t>
      </w:r>
      <w:r>
        <w:t xml:space="preserve">”</w:t>
      </w:r>
      <w:r>
        <w:t xml:space="preserve"> </w:t>
      </w:r>
      <w:r>
        <w:t xml:space="preserve">– in capsules, creams and in the form of infusions in beauty clinics.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Arjinpathana 2012, PMID 20524875</w:t>
            </w:r>
          </w:p>
        </w:tc>
        <w:tc>
          <w:tcPr/>
          <w:p>
            <w:pPr>
              <w:pStyle w:val="Compact"/>
              <w:jc w:val="left"/>
            </w:pPr>
            <w:r>
              <w:t xml:space="preserve">60 medical students in Thailand, capsules vs. placebo</w:t>
            </w:r>
          </w:p>
        </w:tc>
        <w:tc>
          <w:tcPr/>
          <w:p>
            <w:pPr>
              <w:pStyle w:val="Compact"/>
              <w:jc w:val="left"/>
            </w:pPr>
            <w:r>
              <w:t xml:space="preserve">4 weeks</w:t>
            </w:r>
          </w:p>
        </w:tc>
        <w:tc>
          <w:tcPr/>
          <w:p>
            <w:pPr>
              <w:pStyle w:val="Compact"/>
              <w:jc w:val="left"/>
            </w:pPr>
            <w:r>
              <w:t xml:space="preserve">melanin index lowered more at 2 of 6 measurement sites</w:t>
            </w:r>
          </w:p>
        </w:tc>
      </w:tr>
      <w:tr>
        <w:tc>
          <w:tcPr/>
          <w:p>
            <w:pPr>
              <w:pStyle w:val="Compact"/>
              <w:jc w:val="left"/>
            </w:pPr>
            <w:r>
              <w:t xml:space="preserve">Weschawalit 2017, PMID 28490897</w:t>
            </w:r>
          </w:p>
        </w:tc>
        <w:tc>
          <w:tcPr/>
          <w:p>
            <w:pPr>
              <w:pStyle w:val="Compact"/>
              <w:jc w:val="left"/>
            </w:pPr>
            <w:r>
              <w:t xml:space="preserve">healthy women, reduced or oxidized glutathione vs. placebo</w:t>
            </w:r>
          </w:p>
        </w:tc>
        <w:tc>
          <w:tcPr/>
          <w:p>
            <w:pPr>
              <w:pStyle w:val="Compact"/>
              <w:jc w:val="left"/>
            </w:pPr>
            <w:r>
              <w:t xml:space="preserve">12 weeks</w:t>
            </w:r>
          </w:p>
        </w:tc>
        <w:tc>
          <w:tcPr/>
          <w:p>
            <w:pPr>
              <w:pStyle w:val="Compact"/>
              <w:jc w:val="left"/>
            </w:pPr>
            <w:r>
              <w:t xml:space="preserve">melanin index tended to be lower; in some cases fewer wrinkles</w:t>
            </w:r>
          </w:p>
        </w:tc>
      </w:tr>
      <w:tr>
        <w:tc>
          <w:tcPr/>
          <w:p>
            <w:pPr>
              <w:pStyle w:val="Compact"/>
              <w:jc w:val="left"/>
            </w:pPr>
            <w:r>
              <w:t xml:space="preserve">Handog 2016, PMID 26148180</w:t>
            </w:r>
          </w:p>
        </w:tc>
        <w:tc>
          <w:tcPr/>
          <w:p>
            <w:pPr>
              <w:pStyle w:val="Compact"/>
              <w:jc w:val="left"/>
            </w:pPr>
            <w:r>
              <w:t xml:space="preserve">30 women in the Philippines, lozenge, no control group</w:t>
            </w:r>
          </w:p>
        </w:tc>
        <w:tc>
          <w:tcPr/>
          <w:p>
            <w:pPr>
              <w:pStyle w:val="Compact"/>
              <w:jc w:val="left"/>
            </w:pPr>
            <w:r>
              <w:t xml:space="preserve">8 weeks</w:t>
            </w:r>
          </w:p>
        </w:tc>
        <w:tc>
          <w:tcPr/>
          <w:p>
            <w:pPr>
              <w:pStyle w:val="Compact"/>
              <w:jc w:val="left"/>
            </w:pPr>
            <w:r>
              <w:t xml:space="preserve">melanin index decreased</w:t>
            </w:r>
          </w:p>
        </w:tc>
      </w:tr>
      <w:tr>
        <w:tc>
          <w:tcPr/>
          <w:p>
            <w:pPr>
              <w:pStyle w:val="Compact"/>
              <w:jc w:val="left"/>
            </w:pPr>
            <w:r>
              <w:t xml:space="preserve">Wahab 2021, PMID 33871071</w:t>
            </w:r>
          </w:p>
        </w:tc>
        <w:tc>
          <w:tcPr/>
          <w:p>
            <w:pPr>
              <w:pStyle w:val="Compact"/>
              <w:jc w:val="left"/>
            </w:pPr>
            <w:r>
              <w:t xml:space="preserve">46 people, combination of cream and capsule vs. placebo</w:t>
            </w:r>
          </w:p>
        </w:tc>
        <w:tc>
          <w:tcPr/>
          <w:p>
            <w:pPr>
              <w:pStyle w:val="Compact"/>
              <w:jc w:val="left"/>
            </w:pPr>
            <w:r>
              <w:t xml:space="preserve">8 weeks</w:t>
            </w:r>
          </w:p>
        </w:tc>
        <w:tc>
          <w:tcPr/>
          <w:p>
            <w:pPr>
              <w:pStyle w:val="Compact"/>
              <w:jc w:val="left"/>
            </w:pPr>
            <w:r>
              <w:t xml:space="preserve">combination possibly more effective than single use</w:t>
            </w:r>
          </w:p>
        </w:tc>
      </w:tr>
    </w:tbl>
    <w:p>
      <w:pPr>
        <w:pStyle w:val="BodyText"/>
      </w:pPr>
      <w:r>
        <w:rPr>
          <w:bCs/>
          <w:b/>
        </w:rPr>
        <w:t xml:space="preserve">Oral and topical:</w:t>
      </w:r>
      <w:r>
        <w:t xml:space="preserve"> </w:t>
      </w:r>
      <w:r>
        <w:t xml:space="preserve">Several small randomized studies show slight lightening, especially at sun-exposed sites. In the first study, the effect was statistically significant at only two of six measurement sites</w:t>
      </w:r>
      <w:r>
        <w:rPr>
          <w:rStyle w:val="FootnoteReference"/>
        </w:rPr>
        <w:footnoteReference w:id="1940"/>
      </w:r>
      <w:r>
        <w:t xml:space="preserve">. A 2019 systematic review concluded that, because of study quality and contradictory findings, the evidence was</w:t>
      </w:r>
      <w:r>
        <w:t xml:space="preserve"> </w:t>
      </w:r>
      <w:r>
        <w:t xml:space="preserve">“</w:t>
      </w:r>
      <w:r>
        <w:t xml:space="preserve">not yet conclusive</w:t>
      </w:r>
      <w:r>
        <w:t xml:space="preserve">”</w:t>
      </w:r>
      <w:r>
        <w:rPr>
          <w:rStyle w:val="FootnoteReference"/>
        </w:rPr>
        <w:footnoteReference w:id="1941"/>
      </w:r>
      <w:r>
        <w:t xml:space="preserve">. A more recent review rates creams and capsules as moderately effective, with effects that do not persist after stopping</w:t>
      </w:r>
      <w:r>
        <w:rPr>
          <w:rStyle w:val="FootnoteReference"/>
        </w:rPr>
        <w:footnoteReference w:id="1942"/>
      </w:r>
      <w:r>
        <w:t xml:space="preserve">.</w:t>
      </w:r>
    </w:p>
    <w:p>
      <w:pPr>
        <w:pStyle w:val="BodyText"/>
      </w:pPr>
      <w:r>
        <w:rPr>
          <w:bCs/>
          <w:b/>
        </w:rPr>
        <w:t xml:space="preserve">Intravenous:</w:t>
      </w:r>
      <w:r>
        <w:t xml:space="preserve"> </w:t>
      </w:r>
      <w:r>
        <w:t xml:space="preserve">According to the same review, there is only one placebo-controlled study of infusions for skin lightening, and it found no significant difference (37.5% versus 18.7%, p = 0.054). The authors consider intravenous glutathione for skin lightening</w:t>
      </w:r>
      <w:r>
        <w:t xml:space="preserve"> </w:t>
      </w:r>
      <w:r>
        <w:rPr>
          <w:bCs/>
          <w:b/>
        </w:rPr>
        <w:t xml:space="preserve">contraindicated</w:t>
      </w:r>
      <w:r>
        <w:t xml:space="preserve">, that is, not justifiable, because of lack of efficacy and side effects</w:t>
      </w:r>
      <w:r>
        <w:rPr>
          <w:rStyle w:val="FootnoteReference"/>
        </w:rPr>
        <w:footnoteReference w:id="1943"/>
      </w:r>
      <w:r>
        <w:t xml:space="preserve">. A South African review found not a single study on the safety of repeated infusions for any use</w:t>
      </w:r>
      <w:r>
        <w:rPr>
          <w:rStyle w:val="FootnoteReference"/>
        </w:rPr>
        <w:footnoteReference w:id="1944"/>
      </w:r>
      <w:r>
        <w:t xml:space="preserve">. In the British Medical Journal, the practice was criticized as</w:t>
      </w:r>
      <w:r>
        <w:t xml:space="preserve"> </w:t>
      </w:r>
      <w:r>
        <w:t xml:space="preserve">“</w:t>
      </w:r>
      <w:r>
        <w:t xml:space="preserve">unethical bleaching</w:t>
      </w:r>
      <w:r>
        <w:t xml:space="preserve">”</w:t>
      </w:r>
      <w:r>
        <w:rPr>
          <w:rStyle w:val="FootnoteReference"/>
        </w:rPr>
        <w:footnoteReference w:id="1945"/>
      </w:r>
      <w:r>
        <w:t xml:space="preserve">.</w:t>
      </w:r>
    </w:p>
    <w:bookmarkEnd w:id="1946"/>
    <w:bookmarkEnd w:id="1947"/>
    <w:bookmarkStart w:id="1948" w:name="animal-and-laboratory-studies-45"/>
    <w:p>
      <w:pPr>
        <w:pStyle w:val="Heading3"/>
      </w:pPr>
      <w:r>
        <w:t xml:space="preserve">Animal and laboratory studies</w:t>
      </w:r>
    </w:p>
    <w:p>
      <w:pPr>
        <w:pStyle w:val="FirstParagraph"/>
      </w:pPr>
      <w:r>
        <w:t xml:space="preserve">Laboratory research on glutathione is enormously extensive and touches almost every area of cell biology. Relevant for this book is above all that in cell and animal experiments, glutathione or its precursors were able to protect against oxidative damage, drug toxicity and inflammatory reactions – effects that are found only partially and mostly weakly in the clinical studies in humans.</w:t>
      </w:r>
    </w:p>
    <w:bookmarkEnd w:id="1948"/>
    <w:bookmarkStart w:id="1952" w:name="risks-and-side-effects-45"/>
    <w:p>
      <w:pPr>
        <w:pStyle w:val="Heading3"/>
      </w:pPr>
      <w:r>
        <w:t xml:space="preserve">Risks and side effects</w:t>
      </w:r>
    </w:p>
    <w:p>
      <w:pPr>
        <w:pStyle w:val="FirstParagraph"/>
      </w:pPr>
      <w:r>
        <w:rPr>
          <w:bCs/>
          <w:b/>
        </w:rPr>
        <w:t xml:space="preserve">Oral intake:</w:t>
      </w:r>
      <w:r>
        <w:t xml:space="preserve"> </w:t>
      </w:r>
      <w:r>
        <w:t xml:space="preserve">well tolerated in the studies; occasional gastrointestinal complaints are reported. Long-term data covering more than six months are largely lacking.</w:t>
      </w:r>
    </w:p>
    <w:p>
      <w:pPr>
        <w:pStyle w:val="BodyText"/>
      </w:pPr>
      <w:r>
        <w:rPr>
          <w:bCs/>
          <w:b/>
        </w:rPr>
        <w:t xml:space="preserve">Nasal spray:</w:t>
      </w:r>
      <w:r>
        <w:t xml:space="preserve"> </w:t>
      </w:r>
      <w:r>
        <w:t xml:space="preserve">In a Parkinson’s study, one person on the higher dose developed a heart muscle disease; a connection has not been established</w:t>
      </w:r>
      <w:r>
        <w:rPr>
          <w:rStyle w:val="FootnoteReference"/>
        </w:rPr>
        <w:footnoteReference w:id="1949"/>
      </w:r>
      <w:r>
        <w:t xml:space="preserve">.</w:t>
      </w:r>
    </w:p>
    <w:p>
      <w:pPr>
        <w:pStyle w:val="BodyText"/>
      </w:pPr>
      <w:r>
        <w:rPr>
          <w:bCs/>
          <w:b/>
        </w:rPr>
        <w:t xml:space="preserve">Infusions – the real risks:</w:t>
      </w:r>
    </w:p>
    <w:p>
      <w:pPr>
        <w:numPr>
          <w:ilvl w:val="0"/>
          <w:numId w:val="1246"/>
        </w:numPr>
        <w:pStyle w:val="Compact"/>
      </w:pPr>
      <w:r>
        <w:rPr>
          <w:bCs/>
          <w:b/>
        </w:rPr>
        <w:t xml:space="preserve">Contaminated compounded preparations:</w:t>
      </w:r>
      <w:r>
        <w:t xml:space="preserve"> </w:t>
      </w:r>
      <w:r>
        <w:t xml:space="preserve">In 2019, the US Food and Drug Administration (FDA) warned pharmacies against using glutathione from a particular wholesaler for infusions after patients developed nausea, vomiting and shortness of breath following infusions and elevated endotoxin levels (bacterial components that can cause fever and shock) were measured. In August 2026, the FDA again urged pharmacies not to use dietary-supplement-grade glutathione for injections; infusions from a particular batch had led to fever, chills, shock-like conditions and hospital admissions.</w:t>
      </w:r>
    </w:p>
    <w:p>
      <w:pPr>
        <w:numPr>
          <w:ilvl w:val="0"/>
          <w:numId w:val="1246"/>
        </w:numPr>
        <w:pStyle w:val="Compact"/>
      </w:pPr>
      <w:r>
        <w:rPr>
          <w:bCs/>
          <w:b/>
        </w:rPr>
        <w:t xml:space="preserve">Regulatory warnings on skin lightening:</w:t>
      </w:r>
      <w:r>
        <w:t xml:space="preserve"> </w:t>
      </w:r>
      <w:r>
        <w:t xml:space="preserve">The Philippine drug regulatory authority warned against glutathione injections for skin lightening in 2011 and 2019; it cited side effects ranging from skin rashes to the life-threatening skin reactions Stevens-Johnson syndrome and toxic epidermal necrolysis, as well as risks from improper injections such as sepsis and transmission of infections. The US FDA also warned consumers that no injectable products for skin lightening are approved and that such products may contain unknown, harmful ingredients.</w:t>
      </w:r>
    </w:p>
    <w:p>
      <w:pPr>
        <w:numPr>
          <w:ilvl w:val="0"/>
          <w:numId w:val="1246"/>
        </w:numPr>
        <w:pStyle w:val="Compact"/>
      </w:pPr>
      <w:r>
        <w:rPr>
          <w:bCs/>
          <w:b/>
        </w:rPr>
        <w:t xml:space="preserve">Skin cancer (theoretical):</w:t>
      </w:r>
      <w:r>
        <w:t xml:space="preserve"> </w:t>
      </w:r>
      <w:r>
        <w:t xml:space="preserve">The shift from dark to light melanin could reduce the skin’s natural sun protection</w:t>
      </w:r>
      <w:r>
        <w:rPr>
          <w:rStyle w:val="FootnoteReference"/>
        </w:rPr>
        <w:footnoteReference w:id="1950"/>
      </w:r>
      <w:r>
        <w:t xml:space="preserve">.</w:t>
      </w:r>
    </w:p>
    <w:p>
      <w:pPr>
        <w:pStyle w:val="FirstParagraph"/>
      </w:pPr>
      <w:r>
        <w:rPr>
          <w:bCs/>
          <w:b/>
        </w:rPr>
        <w:t xml:space="preserve">Interactions:</w:t>
      </w:r>
      <w:r>
        <w:t xml:space="preserve"> </w:t>
      </w:r>
      <w:r>
        <w:t xml:space="preserve">In a cancer study, glutathione was given before chemotherapy; the time to disease progression there did not differ from placebo</w:t>
      </w:r>
      <w:r>
        <w:rPr>
          <w:rStyle w:val="FootnoteReference"/>
        </w:rPr>
        <w:footnoteReference w:id="1951"/>
      </w:r>
      <w:r>
        <w:t xml:space="preserve">. In general, it is debated whether antioxidants could weaken the effect of some cancer therapies. Anyone undergoing cancer treatment should take glutathione only after consulting their treatment team.</w:t>
      </w:r>
    </w:p>
    <w:bookmarkEnd w:id="1952"/>
    <w:bookmarkStart w:id="1953" w:name="legal-status-45"/>
    <w:p>
      <w:pPr>
        <w:pStyle w:val="Heading3"/>
      </w:pPr>
      <w:r>
        <w:t xml:space="preserve">Legal status</w:t>
      </w:r>
    </w:p>
    <w:p>
      <w:pPr>
        <w:numPr>
          <w:ilvl w:val="0"/>
          <w:numId w:val="1247"/>
        </w:numPr>
        <w:pStyle w:val="Compact"/>
      </w:pPr>
      <w:r>
        <w:rPr>
          <w:bCs/>
          <w:b/>
        </w:rPr>
        <w:t xml:space="preserve">EU / Austria / Germany:</w:t>
      </w:r>
      <w:r>
        <w:t xml:space="preserve"> </w:t>
      </w:r>
      <w:r>
        <w:t xml:space="preserve">Glutathione is sold as a dietary supplement in capsules and powders; health claims in advertising are not permitted without authorized health claims. Infusions and injections are medicines; preparations for skin lightening by infusion are not approved. In individual countries (to our knowledge, for example, Italy) there are approved glutathione injections for specific medical uses; please refer to the respective prescribing information for details.</w:t>
      </w:r>
    </w:p>
    <w:p>
      <w:pPr>
        <w:numPr>
          <w:ilvl w:val="0"/>
          <w:numId w:val="1247"/>
        </w:numPr>
        <w:pStyle w:val="Compact"/>
      </w:pPr>
      <w:r>
        <w:rPr>
          <w:bCs/>
          <w:b/>
        </w:rPr>
        <w:t xml:space="preserve">USA:</w:t>
      </w:r>
      <w:r>
        <w:t xml:space="preserve"> </w:t>
      </w:r>
      <w:r>
        <w:t xml:space="preserve">no approved glutathione medicine; dietary supplements are permitted, and infusions are produced as pharmacy compounded preparations and are subject to FDA requirements for sterile preparations.</w:t>
      </w:r>
    </w:p>
    <w:p>
      <w:pPr>
        <w:numPr>
          <w:ilvl w:val="0"/>
          <w:numId w:val="1247"/>
        </w:numPr>
        <w:pStyle w:val="Compact"/>
      </w:pPr>
      <w:r>
        <w:rPr>
          <w:bCs/>
          <w:b/>
        </w:rPr>
        <w:t xml:space="preserve">Sport:</w:t>
      </w:r>
      <w:r>
        <w:t xml:space="preserve"> </w:t>
      </w:r>
      <w:r>
        <w:t xml:space="preserve">glutathione is not prohibited; infusions of more than 100 mL in twelve hours outside of hospital treatment fall under WADA method M2 (as of 2026, please check for updates).</w:t>
      </w:r>
    </w:p>
    <w:bookmarkEnd w:id="1953"/>
    <w:bookmarkStart w:id="1955" w:name="ongoing-studies-and-outlook-45"/>
    <w:p>
      <w:pPr>
        <w:pStyle w:val="Heading3"/>
      </w:pPr>
      <w:r>
        <w:t xml:space="preserve">Ongoing studies and outlook</w:t>
      </w:r>
    </w:p>
    <w:p>
      <w:pPr>
        <w:pStyle w:val="FirstParagraph"/>
      </w:pPr>
      <w:r>
        <w:rPr>
          <w:bCs/>
          <w:b/>
        </w:rPr>
        <w:t xml:space="preserve">Established (registered studies, as of October 2026):</w:t>
      </w:r>
    </w:p>
    <w:p>
      <w:pPr>
        <w:numPr>
          <w:ilvl w:val="0"/>
          <w:numId w:val="1248"/>
        </w:numPr>
        <w:pStyle w:val="Compact"/>
      </w:pPr>
      <w:r>
        <w:t xml:space="preserve">A phase 1 trial in China is testing glutathione in addition to immunotherapy and chemotherapy in advanced lung cancer (NCT06896422, 80 planned participants).</w:t>
      </w:r>
    </w:p>
    <w:p>
      <w:pPr>
        <w:numPr>
          <w:ilvl w:val="0"/>
          <w:numId w:val="1248"/>
        </w:numPr>
        <w:pStyle w:val="Compact"/>
      </w:pPr>
      <w:r>
        <w:t xml:space="preserve">A study on glutathione-assisted microneedling in melasma (pigment patches) is registered</w:t>
      </w:r>
      <w:r>
        <w:rPr>
          <w:rStyle w:val="FootnoteReference"/>
        </w:rPr>
        <w:footnoteReference w:id="1954"/>
      </w:r>
      <w:r>
        <w:t xml:space="preserve">.</w:t>
      </w:r>
    </w:p>
    <w:p>
      <w:pPr>
        <w:numPr>
          <w:ilvl w:val="0"/>
          <w:numId w:val="1248"/>
        </w:numPr>
        <w:pStyle w:val="Compact"/>
      </w:pPr>
      <w:r>
        <w:t xml:space="preserve">Several small studies are examining new dosage forms (liposomal, micellar) and recovery from exercise, frequently funded by manufacturers.</w:t>
      </w:r>
    </w:p>
    <w:p>
      <w:pPr>
        <w:pStyle w:val="FirstParagraph"/>
      </w:pPr>
      <w:r>
        <w:rPr>
          <w:bCs/>
          <w:b/>
        </w:rPr>
        <w:t xml:space="preserve">Assessment:</w:t>
      </w:r>
      <w:r>
        <w:t xml:space="preserve"> </w:t>
      </w:r>
      <w:r>
        <w:t xml:space="preserve">The most important open question is no longer whether glutathione is absorbed, but whether higher levels have any clinical benefit. The large studies to date tend to argue against it. For infusions for skin lightening or as a</w:t>
      </w:r>
      <w:r>
        <w:t xml:space="preserve"> </w:t>
      </w:r>
      <w:r>
        <w:t xml:space="preserve">“</w:t>
      </w:r>
      <w:r>
        <w:t xml:space="preserve">wellness</w:t>
      </w:r>
      <w:r>
        <w:t xml:space="preserve">”</w:t>
      </w:r>
      <w:r>
        <w:t xml:space="preserve"> </w:t>
      </w:r>
      <w:r>
        <w:t xml:space="preserve">drip, the risks outweigh an unproven benefit.</w:t>
      </w:r>
    </w:p>
    <w:bookmarkEnd w:id="1955"/>
    <w:bookmarkStart w:id="1956" w:name="conclusion-45"/>
    <w:p>
      <w:pPr>
        <w:pStyle w:val="Heading3"/>
      </w:pPr>
      <w:r>
        <w:t xml:space="preserve">Conclusion</w:t>
      </w:r>
    </w:p>
    <w:p>
      <w:pPr>
        <w:pStyle w:val="FirstParagraph"/>
      </w:pPr>
      <w:r>
        <w:t xml:space="preserve">Glutathione is the body’s most important protective peptide against oxidation; taken as a capsule, it can measurably raise blood levels with longer-term intake. Clinically, however, the larger studies showed no benefit – neither against chemotherapy-induced nerve damage nor in Parkinson’s or cystic fibrosis; positive indications come from small studies. Capsules and creams lightened the skin slightly and temporarily in small studies. Infusions for skin lightening have not been shown to be effective, are not approved and have been the subject of explicit warnings by several authorities because of serious side effects and contaminated preparations.</w:t>
      </w:r>
    </w:p>
    <w:bookmarkEnd w:id="1956"/>
    <w:bookmarkEnd w:id="1957"/>
    <w:bookmarkEnd w:id="1958"/>
    <w:bookmarkStart w:id="2314" w:name="X6657775943b203518a75c83f03260d5bde8de81"/>
    <w:p>
      <w:pPr>
        <w:pStyle w:val="Heading1"/>
      </w:pPr>
      <w:r>
        <w:t xml:space="preserve">Part II · E – Hormones, Sexuality and Pigmentation</w:t>
      </w:r>
    </w:p>
    <w:p>
      <w:pPr>
        <w:pStyle w:val="FirstParagraph"/>
      </w:pPr>
      <w:r>
        <w:t xml:space="preserve">The six peptides in this group act on very different things: skin color, sexual desire, fertility and social behavior. What they have in common is that they mimic the body’s own signaling pathways in the brain and the hormone glands, which are closely intertwined. Three of them belong to a single family, the melanocortin system; three others control the reproductive hormone axis or are connected to it.</w:t>
      </w:r>
    </w:p>
    <w:bookmarkStart w:id="1961" w:name="the-melanocortin-system"/>
    <w:p>
      <w:pPr>
        <w:pStyle w:val="Heading3"/>
      </w:pPr>
      <w:r>
        <w:t xml:space="preserve">The Melanocortin System</w:t>
      </w:r>
    </w:p>
    <w:p>
      <w:pPr>
        <w:pStyle w:val="FirstParagraph"/>
      </w:pPr>
      <w:r>
        <w:t xml:space="preserve">It all starts with a large precursor protein called proopiomelanocortin (POMC). Enzymes cut several smaller peptides out of it, including the stress hormone ACTH and the melanocyte-stimulating hormones (MSH), above all alpha-MSH. Together, these messengers are called melanocortins. They act through five receptors, MC1R to MC5R, located in different tissues:</w:t>
      </w:r>
    </w:p>
    <w:p>
      <w:pPr>
        <w:numPr>
          <w:ilvl w:val="0"/>
          <w:numId w:val="1249"/>
        </w:numPr>
        <w:pStyle w:val="Compact"/>
      </w:pPr>
      <w:r>
        <w:rPr>
          <w:bCs/>
          <w:b/>
        </w:rPr>
        <w:t xml:space="preserve">MC1R</w:t>
      </w:r>
      <w:r>
        <w:t xml:space="preserve"> </w:t>
      </w:r>
      <w:r>
        <w:t xml:space="preserve">on the pigment cells of the skin controls whether they produce dark, protective eumelanin. People with red hair and fair skin often carry less effective variants of this receptor.</w:t>
      </w:r>
    </w:p>
    <w:p>
      <w:pPr>
        <w:numPr>
          <w:ilvl w:val="0"/>
          <w:numId w:val="1249"/>
        </w:numPr>
        <w:pStyle w:val="Compact"/>
      </w:pPr>
      <w:r>
        <w:rPr>
          <w:bCs/>
          <w:b/>
        </w:rPr>
        <w:t xml:space="preserve">MC2R</w:t>
      </w:r>
      <w:r>
        <w:t xml:space="preserve"> </w:t>
      </w:r>
      <w:r>
        <w:t xml:space="preserve">in the adrenal gland is the receptor for ACTH and regulates cortisol production.</w:t>
      </w:r>
    </w:p>
    <w:p>
      <w:pPr>
        <w:numPr>
          <w:ilvl w:val="0"/>
          <w:numId w:val="1249"/>
        </w:numPr>
        <w:pStyle w:val="Compact"/>
      </w:pPr>
      <w:r>
        <w:rPr>
          <w:bCs/>
          <w:b/>
        </w:rPr>
        <w:t xml:space="preserve">MC3R and MC4R</w:t>
      </w:r>
      <w:r>
        <w:t xml:space="preserve"> </w:t>
      </w:r>
      <w:r>
        <w:t xml:space="preserve">in the brain influence appetite, energy expenditure and – as was discovered by chance – sexual arousal. Defects in MC4R are the most common genetic cause of severe obesity.</w:t>
      </w:r>
    </w:p>
    <w:p>
      <w:pPr>
        <w:numPr>
          <w:ilvl w:val="0"/>
          <w:numId w:val="1249"/>
        </w:numPr>
        <w:pStyle w:val="Compact"/>
      </w:pPr>
      <w:r>
        <w:rPr>
          <w:bCs/>
          <w:b/>
        </w:rPr>
        <w:t xml:space="preserve">MC5R</w:t>
      </w:r>
      <w:r>
        <w:t xml:space="preserve"> </w:t>
      </w:r>
      <w:r>
        <w:t xml:space="preserve">acts on sebaceous and other glands, among other things.</w:t>
      </w:r>
    </w:p>
    <w:p>
      <w:pPr>
        <w:pStyle w:val="FirstParagraph"/>
      </w:pPr>
      <w:r>
        <w:t xml:space="preserve">The story of the three melanocortin peptides in this part begins at the University of Arizona. There, in the 1980s and 1990s, researchers developed two stabilized variants of alpha-MSH to produce a tan without sun: the linear melanotan I and the ring-shaped melanotan II</w:t>
      </w:r>
      <w:r>
        <w:rPr>
          <w:rStyle w:val="FootnoteReference"/>
        </w:rPr>
        <w:footnoteReference w:id="1959"/>
      </w:r>
      <w:r>
        <w:t xml:space="preserve">. In trials with melanotan II, men reported spontaneous erections – the discovery that melanocortins in the brain influence sexual function</w:t>
      </w:r>
      <w:r>
        <w:rPr>
          <w:rStyle w:val="FootnoteReference"/>
        </w:rPr>
        <w:footnoteReference w:id="1960"/>
      </w:r>
      <w:r>
        <w:t xml:space="preserve">.</w:t>
      </w:r>
    </w:p>
    <w:p>
      <w:pPr>
        <w:pStyle w:val="BodyText"/>
      </w:pPr>
      <w:r>
        <w:t xml:space="preserve">Three paths emerged from these beginnings:</w:t>
      </w:r>
    </w:p>
    <w:p>
      <w:pPr>
        <w:numPr>
          <w:ilvl w:val="0"/>
          <w:numId w:val="1250"/>
        </w:numPr>
        <w:pStyle w:val="Compact"/>
      </w:pPr>
      <w:r>
        <w:rPr>
          <w:bCs/>
          <w:b/>
        </w:rPr>
        <w:t xml:space="preserve">Melanotan I</w:t>
      </w:r>
      <w:r>
        <w:t xml:space="preserve"> </w:t>
      </w:r>
      <w:r>
        <w:t xml:space="preserve">was developed further under the name</w:t>
      </w:r>
      <w:r>
        <w:t xml:space="preserve"> </w:t>
      </w:r>
      <w:r>
        <w:rPr>
          <w:bCs/>
          <w:b/>
        </w:rPr>
        <w:t xml:space="preserve">afamelanotide</w:t>
      </w:r>
      <w:r>
        <w:t xml:space="preserve"> </w:t>
      </w:r>
      <w:r>
        <w:t xml:space="preserve">into an implant for a rare, painful sensitivity to light and is approved in the EU and the USA.</w:t>
      </w:r>
    </w:p>
    <w:p>
      <w:pPr>
        <w:numPr>
          <w:ilvl w:val="0"/>
          <w:numId w:val="1250"/>
        </w:numPr>
        <w:pStyle w:val="Compact"/>
      </w:pPr>
      <w:r>
        <w:rPr>
          <w:bCs/>
          <w:b/>
        </w:rPr>
        <w:t xml:space="preserve">Melanotan II</w:t>
      </w:r>
      <w:r>
        <w:t xml:space="preserve"> </w:t>
      </w:r>
      <w:r>
        <w:t xml:space="preserve">was never approved but is widespread on the gray market as a</w:t>
      </w:r>
      <w:r>
        <w:t xml:space="preserve"> </w:t>
      </w:r>
      <w:r>
        <w:t xml:space="preserve">“</w:t>
      </w:r>
      <w:r>
        <w:t xml:space="preserve">tanning injection.</w:t>
      </w:r>
      <w:r>
        <w:t xml:space="preserve">”</w:t>
      </w:r>
    </w:p>
    <w:p>
      <w:pPr>
        <w:numPr>
          <w:ilvl w:val="0"/>
          <w:numId w:val="1250"/>
        </w:numPr>
        <w:pStyle w:val="Compact"/>
      </w:pPr>
      <w:r>
        <w:rPr>
          <w:bCs/>
          <w:b/>
        </w:rPr>
        <w:t xml:space="preserve">Bremelanotide</w:t>
      </w:r>
      <w:r>
        <w:t xml:space="preserve">, a variant of melanotan II, is approved in the USA for low sexual desire in women.</w:t>
      </w:r>
    </w:p>
    <w:p>
      <w:pPr>
        <w:pStyle w:val="FirstParagraph"/>
      </w:pPr>
      <w:r>
        <w:t xml:space="preserve">A fourth melanocortin drug, setmelanotide, specifically targets MC4R and is used in rare genetic forms of obesity; it is covered in Part II · A. The more selectively a drug addresses one receptor, the more targeted its effect. Melanotan II addresses almost all of them and therefore combines tanning, nausea, loss of appetite and erections in a single molecule.</w:t>
      </w:r>
    </w:p>
    <w:bookmarkEnd w:id="1961"/>
    <w:bookmarkStart w:id="1962" w:name="the-reproductive-hormone-axis"/>
    <w:p>
      <w:pPr>
        <w:pStyle w:val="Heading3"/>
      </w:pPr>
      <w:r>
        <w:t xml:space="preserve">The Reproductive Hormone Axis</w:t>
      </w:r>
    </w:p>
    <w:p>
      <w:pPr>
        <w:pStyle w:val="FirstParagraph"/>
      </w:pPr>
      <w:r>
        <w:t xml:space="preserve">The other three peptides in this part act on the axis that controls puberty, the menstrual cycle and fertility.</w:t>
      </w:r>
      <w:r>
        <w:t xml:space="preserve"> </w:t>
      </w:r>
      <w:r>
        <w:rPr>
          <w:bCs/>
          <w:b/>
        </w:rPr>
        <w:t xml:space="preserve">Kisspeptin</w:t>
      </w:r>
      <w:r>
        <w:t xml:space="preserve"> </w:t>
      </w:r>
      <w:r>
        <w:t xml:space="preserve">switches on the GnRH nerve cells in the hypothalamus.</w:t>
      </w:r>
      <w:r>
        <w:t xml:space="preserve"> </w:t>
      </w:r>
      <w:r>
        <w:rPr>
          <w:bCs/>
          <w:b/>
        </w:rPr>
        <w:t xml:space="preserve">Gonadorelin</w:t>
      </w:r>
      <w:r>
        <w:t xml:space="preserve"> </w:t>
      </w:r>
      <w:r>
        <w:t xml:space="preserve">is the synthetic form of GnRH itself, which, released in pulses, stimulates the pituitary gland to secrete LH and FSH. Both illustrate a shared principle: given in the right rhythm, they activate the axis; as a continuous stimulus, they suppress it. Finally,</w:t>
      </w:r>
      <w:r>
        <w:t xml:space="preserve"> </w:t>
      </w:r>
      <w:r>
        <w:rPr>
          <w:bCs/>
          <w:b/>
        </w:rPr>
        <w:t xml:space="preserve">oxytocin</w:t>
      </w:r>
      <w:r>
        <w:t xml:space="preserve"> </w:t>
      </w:r>
      <w:r>
        <w:t xml:space="preserve">comes from the same brain regions, controls childbirth and breastfeeding, and has been studied for two decades as a nasal spray for social behavior – with sobering results.</w:t>
      </w:r>
    </w:p>
    <w:bookmarkEnd w:id="1962"/>
    <w:bookmarkStart w:id="1963" w:name="overview-3"/>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USA (Vyleesi), not EU</w:t>
            </w:r>
          </w:p>
        </w:tc>
        <w:tc>
          <w:tcPr/>
          <w:p>
            <w:pPr>
              <w:pStyle w:val="Compact"/>
              <w:jc w:val="left"/>
            </w:pPr>
            <w:r>
              <w:t xml:space="preserve">Desire in women with HSDD; small effect, much nausea</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none</w:t>
            </w:r>
          </w:p>
        </w:tc>
        <w:tc>
          <w:tcPr/>
          <w:p>
            <w:pPr>
              <w:pStyle w:val="Compact"/>
              <w:jc w:val="left"/>
            </w:pPr>
            <w:r>
              <w:t xml:space="preserve">Gray-market tanning; case reports on moles and priapism</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EU and USA (Scenesse)</w:t>
            </w:r>
          </w:p>
        </w:tc>
        <w:tc>
          <w:tcPr/>
          <w:p>
            <w:pPr>
              <w:pStyle w:val="Compact"/>
              <w:jc w:val="left"/>
            </w:pPr>
            <w:r>
              <w:t xml:space="preserve">Light protection in EPP; vitiligo under investigation</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none</w:t>
            </w:r>
          </w:p>
        </w:tc>
        <w:tc>
          <w:tcPr/>
          <w:p>
            <w:pPr>
              <w:pStyle w:val="Compact"/>
              <w:jc w:val="left"/>
            </w:pPr>
            <w:r>
              <w:t xml:space="preserve">Egg maturation in IVF, hormone tests; research</w:t>
            </w:r>
          </w:p>
        </w:tc>
      </w:tr>
      <w:tr>
        <w:tc>
          <w:tcPr/>
          <w:p>
            <w:pPr>
              <w:pStyle w:val="Compact"/>
              <w:jc w:val="left"/>
            </w:pPr>
            <w:r>
              <w:t xml:space="preserve">Oxytocin (nasal spray)</w:t>
            </w:r>
          </w:p>
        </w:tc>
        <w:tc>
          <w:tcPr/>
          <w:p>
            <w:pPr>
              <w:pStyle w:val="Compact"/>
              <w:jc w:val="left"/>
            </w:pPr>
            <w:r>
              <w:t xml:space="preserve">B</w:t>
            </w:r>
          </w:p>
        </w:tc>
        <w:tc>
          <w:tcPr/>
          <w:p>
            <w:pPr>
              <w:pStyle w:val="Compact"/>
              <w:jc w:val="left"/>
            </w:pPr>
            <w:r>
              <w:t xml:space="preserve">only as infusion (obstetrics)</w:t>
            </w:r>
          </w:p>
        </w:tc>
        <w:tc>
          <w:tcPr/>
          <w:p>
            <w:pPr>
              <w:pStyle w:val="Compact"/>
              <w:jc w:val="left"/>
            </w:pPr>
            <w:r>
              <w:t xml:space="preserve">Autism and trust: large studies negative</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(EU), no longer in the USA</w:t>
            </w:r>
          </w:p>
        </w:tc>
        <w:tc>
          <w:tcPr/>
          <w:p>
            <w:pPr>
              <w:pStyle w:val="Compact"/>
              <w:jc w:val="left"/>
            </w:pPr>
            <w:r>
              <w:t xml:space="preserve">GnRH test and pump for infertility; banned in sport</w:t>
            </w:r>
          </w:p>
        </w:tc>
      </w:tr>
    </w:tbl>
    <w:p>
      <w:pPr>
        <w:pStyle w:val="BodyText"/>
      </w:pPr>
      <w:r>
        <w:t xml:space="preserve">The approval information reflects the status as of 2026 and should be checked for updates.</w:t>
      </w:r>
    </w:p>
    <w:bookmarkEnd w:id="1963"/>
    <w:bookmarkStart w:id="1964" w:name="reading-guide-4"/>
    <w:p>
      <w:pPr>
        <w:pStyle w:val="Heading3"/>
      </w:pPr>
      <w:r>
        <w:t xml:space="preserve">Reading Guide</w:t>
      </w:r>
    </w:p>
    <w:p>
      <w:pPr>
        <w:pStyle w:val="FirstParagraph"/>
      </w:pPr>
      <w:r>
        <w:t xml:space="preserve">If you are interested in tanning agents, read the chapters on melanotan II and afamelanotide together: they show how differently the same basic idea can turn out – once as a tested medicine in a specialized clinic, once as an untested powder from the internet. On the topic of sexuality, it is worth comparing bremelanotide, kisspeptin and oxytocin; all three show how strong placebo effects are in this field. Together, kisspeptin and gonadorelin explain the hormone axis of fertility. General information on gray-market products can be found in Part I, and a comparison of risks in Part IV.</w:t>
      </w:r>
    </w:p>
    <w:bookmarkEnd w:id="1964"/>
    <w:bookmarkStart w:id="2021" w:name="bremelanotide-pt-141"/>
    <w:p>
      <w:pPr>
        <w:pStyle w:val="Heading2"/>
      </w:pPr>
      <w:r>
        <w:t xml:space="preserve">Bremelanotide (PT-141)</w:t>
      </w:r>
    </w:p>
    <w:bookmarkStart w:id="1967" w:name="profile-46"/>
    <w:p>
      <w:pPr>
        <w:pStyle w:val="Heading3"/>
      </w:pPr>
      <w:r>
        <w:t xml:space="preserve">Profile</w:t>
      </w:r>
    </w:p>
    <w:p>
      <w:pPr>
        <w:numPr>
          <w:ilvl w:val="0"/>
          <w:numId w:val="1251"/>
        </w:numPr>
        <w:pStyle w:val="Compact"/>
      </w:pPr>
      <w:r>
        <w:rPr>
          <w:bCs/>
          <w:b/>
        </w:rPr>
        <w:t xml:space="preserve">Type/structure:</w:t>
      </w:r>
      <w:r>
        <w:t xml:space="preserve"> </w:t>
      </w:r>
      <w:r>
        <w:t xml:space="preserve">ring-shaped (cyclic) peptide of seven amino acids, produced synthetically. It is derived from the body’s own hormone alpha-MSH (alpha-melanocyte-stimulating hormone) and is a close relative of melanotan II (chapter 2E02). In the literature it is also called PT-141.</w:t>
      </w:r>
    </w:p>
    <w:p>
      <w:pPr>
        <w:numPr>
          <w:ilvl w:val="0"/>
          <w:numId w:val="1251"/>
        </w:numPr>
        <w:pStyle w:val="Compact"/>
      </w:pPr>
      <w:r>
        <w:rPr>
          <w:bCs/>
          <w:b/>
        </w:rPr>
        <w:t xml:space="preserve">Origin:</w:t>
      </w:r>
      <w:r>
        <w:t xml:space="preserve"> </w:t>
      </w:r>
      <w:r>
        <w:t xml:space="preserve">emerged from the development of melanotan II at the University of Arizona; developed further by the company Palatin Technologies</w:t>
      </w:r>
      <w:r>
        <w:rPr>
          <w:rStyle w:val="FootnoteReference"/>
        </w:rPr>
        <w:footnoteReference w:id="1965"/>
      </w:r>
      <w:r>
        <w:t xml:space="preserve">.</w:t>
      </w:r>
    </w:p>
    <w:p>
      <w:pPr>
        <w:numPr>
          <w:ilvl w:val="0"/>
          <w:numId w:val="1251"/>
        </w:numPr>
        <w:pStyle w:val="Compact"/>
      </w:pPr>
      <w:r>
        <w:rPr>
          <w:bCs/>
          <w:b/>
        </w:rPr>
        <w:t xml:space="preserve">Mechanism of action:</w:t>
      </w:r>
      <w:r>
        <w:t xml:space="preserve"> </w:t>
      </w:r>
      <w:r>
        <w:t xml:space="preserve">agonist at melanocortin receptors, above all MC4R in the brain. It does not act on the blood vessels of the genitals like sildenafil, but on brain regions involved in sexual desire.</w:t>
      </w:r>
    </w:p>
    <w:p>
      <w:pPr>
        <w:numPr>
          <w:ilvl w:val="0"/>
          <w:numId w:val="1251"/>
        </w:numPr>
        <w:pStyle w:val="Compact"/>
      </w:pPr>
      <w:r>
        <w:rPr>
          <w:bCs/>
          <w:b/>
        </w:rPr>
        <w:t xml:space="preserve">Dosage form:</w:t>
      </w:r>
      <w:r>
        <w:t xml:space="preserve"> </w:t>
      </w:r>
      <w:r>
        <w:t xml:space="preserve">prefilled syringe (autoinjector) for use under the skin as needed, about 45 minutes before sexual activity. Early studies used a nasal spray.</w:t>
      </w:r>
    </w:p>
    <w:p>
      <w:pPr>
        <w:numPr>
          <w:ilvl w:val="0"/>
          <w:numId w:val="1251"/>
        </w:numPr>
        <w:pStyle w:val="Compact"/>
      </w:pPr>
      <w:r>
        <w:rPr>
          <w:bCs/>
          <w:b/>
        </w:rPr>
        <w:t xml:space="preserve">Approval EU:</w:t>
      </w:r>
      <w:r>
        <w:t xml:space="preserve"> </w:t>
      </w:r>
      <w:r>
        <w:t xml:space="preserve">no.</w:t>
      </w:r>
    </w:p>
    <w:p>
      <w:pPr>
        <w:numPr>
          <w:ilvl w:val="0"/>
          <w:numId w:val="1251"/>
        </w:numPr>
        <w:pStyle w:val="Compact"/>
      </w:pPr>
      <w:r>
        <w:rPr>
          <w:bCs/>
          <w:b/>
        </w:rPr>
        <w:t xml:space="preserve">Approval USA:</w:t>
      </w:r>
      <w:r>
        <w:t xml:space="preserve"> </w:t>
      </w:r>
      <w:r>
        <w:t xml:space="preserve">yes, since 2019 as Vyleesi for premenopausal women with acquired, generalized disorder of sexual desire (hypoactive sexual desire disorder, HSDD)</w:t>
      </w:r>
      <w:r>
        <w:rPr>
          <w:rStyle w:val="FootnoteReference"/>
        </w:rPr>
        <w:footnoteReference w:id="1966"/>
      </w:r>
      <w:r>
        <w:t xml:space="preserve">. Use only on medical prescription and in accordance with the prescribing information.</w:t>
      </w:r>
    </w:p>
    <w:p>
      <w:pPr>
        <w:numPr>
          <w:ilvl w:val="0"/>
          <w:numId w:val="1251"/>
        </w:numPr>
        <w:pStyle w:val="Compact"/>
      </w:pPr>
      <w:r>
        <w:rPr>
          <w:bCs/>
          <w:b/>
        </w:rPr>
        <w:t xml:space="preserve">WADA:</w:t>
      </w:r>
      <w:r>
        <w:t xml:space="preserve"> </w:t>
      </w:r>
      <w:r>
        <w:t xml:space="preserve">not listed by name.</w:t>
      </w:r>
    </w:p>
    <w:p>
      <w:pPr>
        <w:numPr>
          <w:ilvl w:val="0"/>
          <w:numId w:val="1251"/>
        </w:numPr>
        <w:pStyle w:val="Compact"/>
      </w:pPr>
      <w:r>
        <w:rPr>
          <w:bCs/>
          <w:b/>
        </w:rPr>
        <w:t xml:space="preserve">Evidence level:</w:t>
      </w:r>
      <w:r>
        <w:t xml:space="preserve"> </w:t>
      </w:r>
      <w:r>
        <w:rPr>
          <w:bCs/>
          <w:b/>
        </w:rPr>
        <w:t xml:space="preserve">A</w:t>
      </w:r>
      <w:r>
        <w:t xml:space="preserve"> </w:t>
      </w:r>
      <w:r>
        <w:t xml:space="preserve">– two large randomized phase 3 trials with a combined total of more than 1,200 participants, approval in the USA. However, the clinical benefit is small and disputed (see below).</w:t>
      </w:r>
    </w:p>
    <w:bookmarkEnd w:id="1967"/>
    <w:bookmarkStart w:id="1972" w:name="how-it-is-supposed-to-work-46"/>
    <w:p>
      <w:pPr>
        <w:pStyle w:val="Heading3"/>
      </w:pPr>
      <w:r>
        <w:t xml:space="preserve">How it is supposed to work</w:t>
      </w:r>
    </w:p>
    <w:p>
      <w:pPr>
        <w:pStyle w:val="FirstParagraph"/>
      </w:pPr>
      <w:r>
        <w:t xml:space="preserve">The melanocortin system is a network of messengers and five receptors (MC1R to MC5R), described in more detail in the introduction to this part. For bremelanotide, the MC4R receptor is the most important. It is located, among other places, in the hypothalamus, a control center in the diencephalon, where it influences appetite, energy expenditure and – as was discovered by chance – sexual arousal.</w:t>
      </w:r>
    </w:p>
    <w:p>
      <w:pPr>
        <w:pStyle w:val="BodyText"/>
      </w:pPr>
      <w:r>
        <w:t xml:space="preserve">The discovery was a by-product of tanning research: men who received melanotan II for skin tanning in the 1990s reported spontaneous erections</w:t>
      </w:r>
      <w:r>
        <w:rPr>
          <w:rStyle w:val="FootnoteReference"/>
        </w:rPr>
        <w:footnoteReference w:id="1968"/>
      </w:r>
      <w:r>
        <w:t xml:space="preserve">. Bremelanotide is a slightly modified form of this molecule. It activates several melanocortin receptors, but at the doses used, MC4R is the most important</w:t>
      </w:r>
      <w:r>
        <w:rPr>
          <w:rStyle w:val="FootnoteReference"/>
        </w:rPr>
        <w:footnoteReference w:id="1969"/>
      </w:r>
      <w:r>
        <w:t xml:space="preserve">. It is not entirely free of effects on the skin, however – which explains the pigment spots observed.</w:t>
      </w:r>
    </w:p>
    <w:p>
      <w:pPr>
        <w:pStyle w:val="BodyText"/>
      </w:pPr>
      <w:r>
        <w:t xml:space="preserve">Exactly how activation of MC4R influences sexual desire is only partly understood. Animal experiments suggest that bremelanotide stimulates the release of the messenger dopamine, which promotes sexual desire, in a specific region of the hypothalamus (the medial preoptic area)</w:t>
      </w:r>
      <w:r>
        <w:rPr>
          <w:rStyle w:val="FootnoteReference"/>
        </w:rPr>
        <w:footnoteReference w:id="1970"/>
      </w:r>
      <w:r>
        <w:t xml:space="preserve">. A British study using functional magnetic resonance imaging (fMRI) in 31 women with HSDD found altered activity under an MC4R agonist in brain regions that process erotic stimuli</w:t>
      </w:r>
      <w:r>
        <w:rPr>
          <w:rStyle w:val="FootnoteReference"/>
        </w:rPr>
        <w:footnoteReference w:id="1971"/>
      </w:r>
      <w:r>
        <w:t xml:space="preserve">. The authors interpret this as reduced self-monitoring and increased receptiveness to erotic stimuli – an interpretation, not a proven explanation.</w:t>
      </w:r>
    </w:p>
    <w:p>
      <w:pPr>
        <w:pStyle w:val="BodyText"/>
      </w:pPr>
      <w:r>
        <w:t xml:space="preserve">Important for understanding: the approval does not target</w:t>
      </w:r>
      <w:r>
        <w:t xml:space="preserve"> </w:t>
      </w:r>
      <w:r>
        <w:t xml:space="preserve">“</w:t>
      </w:r>
      <w:r>
        <w:t xml:space="preserve">more desire</w:t>
      </w:r>
      <w:r>
        <w:t xml:space="preserve">”</w:t>
      </w:r>
      <w:r>
        <w:t xml:space="preserve"> </w:t>
      </w:r>
      <w:r>
        <w:t xml:space="preserve">in healthy people, but a defined diagnosis. HSDD means persistently low sexual desire that causes distress and is not explained by another illness, medications or relationship problems.</w:t>
      </w:r>
    </w:p>
    <w:bookmarkEnd w:id="1972"/>
    <w:bookmarkStart w:id="1998" w:name="human-studies-46"/>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16</w:t>
      </w:r>
      <w:r>
        <w:t xml:space="preserve"> </w:t>
      </w:r>
      <w:r>
        <w:t xml:space="preserve">human studies in PubMed (</w:t>
      </w:r>
      <w:r>
        <w:rPr>
          <w:rStyle w:val="VerbatimChar"/>
        </w:rPr>
        <w:t xml:space="preserve">humanstudien_alle</w:t>
      </w:r>
      <w:r>
        <w:t xml:space="preserve">) and</w:t>
      </w:r>
      <w:r>
        <w:t xml:space="preserve"> </w:t>
      </w:r>
      <w:r>
        <w:rPr>
          <w:bCs/>
          <w:b/>
        </w:rPr>
        <w:t xml:space="preserve">10</w:t>
      </w:r>
      <w:r>
        <w:t xml:space="preserve"> </w:t>
      </w:r>
      <w:r>
        <w:t xml:space="preserve">entries on ClinicalTrials.gov. In addition, there are several reviews and meta-analyses. The assessment rests mainly on the two RECONNECT approval trials, their extension and the safety analysis of the entire development program.</w:t>
      </w:r>
    </w:p>
    <w:bookmarkStart w:id="1978" w:name="early-studies-in-men"/>
    <w:p>
      <w:pPr>
        <w:pStyle w:val="Heading4"/>
      </w:pPr>
      <w:r>
        <w:t xml:space="preserve">Early Studies in Men</w:t>
      </w:r>
    </w:p>
    <w:p>
      <w:pPr>
        <w:pStyle w:val="FirstParagraph"/>
      </w:pPr>
      <w:r>
        <w:t xml:space="preserve">Bremelanotide was first developed as a treatment for erectile dysfunction. In phase 1 studies with nasal spray</w:t>
      </w:r>
      <w:r>
        <w:rPr>
          <w:rStyle w:val="FootnoteReference"/>
        </w:rPr>
        <w:footnoteReference w:id="1973"/>
      </w:r>
      <w:r>
        <w:t xml:space="preserve"> </w:t>
      </w:r>
      <w:r>
        <w:t xml:space="preserve">and injection</w:t>
      </w:r>
      <w:r>
        <w:rPr>
          <w:rStyle w:val="FootnoteReference"/>
        </w:rPr>
        <w:footnoteReference w:id="1974"/>
      </w:r>
      <w:r>
        <w:t xml:space="preserve">, it triggered measurable erections in healthy men and in men with erectile dysfunction, including those who responded inadequately to Viagra. In a small study with 19 patients, a low dose of bremelanotide enhanced the effect of a low dose of sildenafil</w:t>
      </w:r>
      <w:r>
        <w:rPr>
          <w:rStyle w:val="FootnoteReference"/>
        </w:rPr>
        <w:footnoteReference w:id="1975"/>
      </w:r>
      <w:r>
        <w:t xml:space="preserve">.</w:t>
      </w:r>
    </w:p>
    <w:p>
      <w:pPr>
        <w:pStyle w:val="BodyText"/>
      </w:pPr>
      <w:r>
        <w:t xml:space="preserve">A study of 342 men in whom sildenafil had not worked reported a positive result in 33.5% with bremelanotide nasal spray compared with 8.5% with placebo</w:t>
      </w:r>
      <w:r>
        <w:rPr>
          <w:rStyle w:val="FootnoteReference"/>
        </w:rPr>
        <w:footnoteReference w:id="1976"/>
      </w:r>
      <w:r>
        <w:t xml:space="preserve">. This paper should be read with caution: a second bremelanotide study by the same first author in women was retracted by the journal because its methods and results could not be verified</w:t>
      </w:r>
      <w:r>
        <w:rPr>
          <w:rStyle w:val="FootnoteReference"/>
        </w:rPr>
        <w:footnoteReference w:id="1977"/>
      </w:r>
      <w:r>
        <w:t xml:space="preserve">; other papers by the author were also retracted.</w:t>
      </w:r>
    </w:p>
    <w:p>
      <w:pPr>
        <w:pStyle w:val="BodyText"/>
      </w:pPr>
      <w:r>
        <w:t xml:space="preserve">Development of the nasal spray was discontinued after increases in blood pressure were noticed in studies. The company switched to the injection and to women as the target group.</w:t>
      </w:r>
    </w:p>
    <w:bookmarkEnd w:id="1978"/>
    <w:bookmarkStart w:id="1982" w:name="dose-finding-in-women"/>
    <w:p>
      <w:pPr>
        <w:pStyle w:val="Heading4"/>
      </w:pPr>
      <w:r>
        <w:t xml:space="preserve">Dose Finding in Women</w:t>
      </w:r>
    </w:p>
    <w:p>
      <w:pPr>
        <w:pStyle w:val="FirstParagraph"/>
      </w:pPr>
      <w:r>
        <w:t xml:space="preserve">A first small laboratory study with 18 women with arousal disorder showed moderate to high desire more often after a single dose than after placebo, but no measurable change in vaginal blood flow while watching erotic films</w:t>
      </w:r>
      <w:r>
        <w:rPr>
          <w:rStyle w:val="FootnoteReference"/>
        </w:rPr>
        <w:footnoteReference w:id="1979"/>
      </w:r>
      <w:r>
        <w:t xml:space="preserve">.</w:t>
      </w:r>
    </w:p>
    <w:p>
      <w:pPr>
        <w:pStyle w:val="BodyText"/>
      </w:pPr>
      <w:r>
        <w:t xml:space="preserve">The decisive phase 2b trial</w:t>
      </w:r>
      <w:r>
        <w:rPr>
          <w:rStyle w:val="FootnoteReference"/>
        </w:rPr>
        <w:footnoteReference w:id="1980"/>
      </w:r>
      <w:r>
        <w:t xml:space="preserve"> </w:t>
      </w:r>
      <w:r>
        <w:t xml:space="preserve">tested three doses against placebo over twelve weeks in premenopausal women. A total of 327 participants were analyzed. For the two higher doses combined, the number of</w:t>
      </w:r>
      <w:r>
        <w:t xml:space="preserve"> </w:t>
      </w:r>
      <w:r>
        <w:t xml:space="preserve">“</w:t>
      </w:r>
      <w:r>
        <w:t xml:space="preserve">satisfying sexual events</w:t>
      </w:r>
      <w:r>
        <w:t xml:space="preserve">”</w:t>
      </w:r>
      <w:r>
        <w:t xml:space="preserve"> </w:t>
      </w:r>
      <w:r>
        <w:t xml:space="preserve">rose by 0.7 per month compared with 0.2 under placebo. On the FSFI questionnaire (Female Sexual Function Index, a score for sexual function), the increase was 3.6 versus 1.9 points. A subsequent analysis defined the change above which an effect is considered clinically meaningful; these thresholds were then adopted for the phase 3 trials</w:t>
      </w:r>
      <w:r>
        <w:rPr>
          <w:rStyle w:val="FootnoteReference"/>
        </w:rPr>
        <w:footnoteReference w:id="1981"/>
      </w:r>
      <w:r>
        <w:t xml:space="preserve">.</w:t>
      </w:r>
    </w:p>
    <w:bookmarkEnd w:id="1982"/>
    <w:bookmarkStart w:id="1986" w:name="the-reconnect-approval-trials"/>
    <w:p>
      <w:pPr>
        <w:pStyle w:val="Heading4"/>
      </w:pPr>
      <w:r>
        <w:t xml:space="preserve">The RECONNECT Approval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RECONNECT 301 and 302 (Kingsberg 2019), PMID 31599840</w:t>
            </w:r>
          </w:p>
        </w:tc>
        <w:tc>
          <w:tcPr/>
          <w:p>
            <w:pPr>
              <w:pStyle w:val="Compact"/>
              <w:jc w:val="left"/>
            </w:pPr>
            <w:r>
              <w:t xml:space="preserve">1,267 premenopausal women with HSDD, two RCTs vs. placebo, use as needed</w:t>
            </w:r>
          </w:p>
        </w:tc>
        <w:tc>
          <w:tcPr/>
          <w:p>
            <w:pPr>
              <w:pStyle w:val="Compact"/>
              <w:jc w:val="left"/>
            </w:pPr>
            <w:r>
              <w:t xml:space="preserve">24 weeks</w:t>
            </w:r>
          </w:p>
        </w:tc>
        <w:tc>
          <w:tcPr/>
          <w:p>
            <w:pPr>
              <w:pStyle w:val="Compact"/>
              <w:jc w:val="left"/>
            </w:pPr>
            <w:r>
              <w:t xml:space="preserve">Desire (FSFI desire) +0.35 points more than placebo; distress reduced by 0.33 points more</w:t>
            </w:r>
          </w:p>
        </w:tc>
      </w:tr>
      <w:tr>
        <w:tc>
          <w:tcPr/>
          <w:p>
            <w:pPr>
              <w:pStyle w:val="Compact"/>
              <w:jc w:val="left"/>
            </w:pPr>
            <w:r>
              <w:t xml:space="preserve">Open-label extension (Simon 2019), PMID 31599847</w:t>
            </w:r>
          </w:p>
        </w:tc>
        <w:tc>
          <w:tcPr/>
          <w:p>
            <w:pPr>
              <w:pStyle w:val="Compact"/>
              <w:jc w:val="left"/>
            </w:pPr>
            <w:r>
              <w:t xml:space="preserve">684 women from both trials, all on bremelanotide</w:t>
            </w:r>
          </w:p>
        </w:tc>
        <w:tc>
          <w:tcPr/>
          <w:p>
            <w:pPr>
              <w:pStyle w:val="Compact"/>
              <w:jc w:val="left"/>
            </w:pPr>
            <w:r>
              <w:t xml:space="preserve">52 weeks</w:t>
            </w:r>
          </w:p>
        </w:tc>
        <w:tc>
          <w:tcPr/>
          <w:p>
            <w:pPr>
              <w:pStyle w:val="Compact"/>
              <w:jc w:val="left"/>
            </w:pPr>
            <w:r>
              <w:t xml:space="preserve">272 completed the extension; no new safety signals</w:t>
            </w:r>
          </w:p>
        </w:tc>
      </w:tr>
      <w:tr>
        <w:tc>
          <w:tcPr/>
          <w:p>
            <w:pPr>
              <w:pStyle w:val="Compact"/>
              <w:jc w:val="left"/>
            </w:pPr>
            <w:r>
              <w:t xml:space="preserve">Subgroup analysis (Simon 2022), PMID 35230162</w:t>
            </w:r>
          </w:p>
        </w:tc>
        <w:tc>
          <w:tcPr/>
          <w:p>
            <w:pPr>
              <w:pStyle w:val="Compact"/>
              <w:jc w:val="left"/>
            </w:pPr>
            <w:r>
              <w:t xml:space="preserve">1,202 women from both trials</w:t>
            </w:r>
          </w:p>
        </w:tc>
        <w:tc>
          <w:tcPr/>
          <w:p>
            <w:pPr>
              <w:pStyle w:val="Compact"/>
              <w:jc w:val="left"/>
            </w:pPr>
            <w:r>
              <w:t xml:space="preserve">24 weeks</w:t>
            </w:r>
          </w:p>
        </w:tc>
        <w:tc>
          <w:tcPr/>
          <w:p>
            <w:pPr>
              <w:pStyle w:val="Compact"/>
              <w:jc w:val="left"/>
            </w:pPr>
            <w:r>
              <w:t xml:space="preserve">Effect similar in almost all age, weight and hormone subgroups</w:t>
            </w:r>
          </w:p>
        </w:tc>
      </w:tr>
      <w:tr>
        <w:tc>
          <w:tcPr/>
          <w:p>
            <w:pPr>
              <w:pStyle w:val="Compact"/>
              <w:jc w:val="left"/>
            </w:pPr>
            <w:r>
              <w:t xml:space="preserve">Safety analysis (Clayton 2022), PMID 35147466</w:t>
            </w:r>
          </w:p>
        </w:tc>
        <w:tc>
          <w:tcPr/>
          <w:p>
            <w:pPr>
              <w:pStyle w:val="Compact"/>
              <w:jc w:val="left"/>
            </w:pPr>
            <w:r>
              <w:t xml:space="preserve">around 3,500 people in 43 studies</w:t>
            </w:r>
          </w:p>
        </w:tc>
        <w:tc>
          <w:tcPr/>
          <w:p>
            <w:pPr>
              <w:pStyle w:val="Compact"/>
              <w:jc w:val="left"/>
            </w:pPr>
            <w:r>
              <w:t xml:space="preserve">up to 18 months</w:t>
            </w:r>
          </w:p>
        </w:tc>
        <w:tc>
          <w:tcPr/>
          <w:p>
            <w:pPr>
              <w:pStyle w:val="Compact"/>
              <w:jc w:val="left"/>
            </w:pPr>
            <w:r>
              <w:t xml:space="preserve">Nausea 40.0% vs. 1.3%, flushing 20.3% vs. 1.3%</w:t>
            </w:r>
          </w:p>
        </w:tc>
      </w:tr>
    </w:tbl>
    <w:p>
      <w:pPr>
        <w:pStyle w:val="BodyText"/>
      </w:pPr>
      <w:r>
        <w:t xml:space="preserve">The two identical trials 301 and 302</w:t>
      </w:r>
      <w:r>
        <w:rPr>
          <w:rStyle w:val="FootnoteReference"/>
        </w:rPr>
        <w:footnoteReference w:id="1983"/>
      </w:r>
      <w:r>
        <w:t xml:space="preserve"> </w:t>
      </w:r>
      <w:r>
        <w:t xml:space="preserve">ran in 2015 and 2016, mostly in the USA. The participants injected themselves as needed before sexual activity with 1.75 mg bremelanotide or placebo using an autoinjector. Two primary endpoints were measured: sexual desire (desire domain of the FSFI, scale from 1.2 to 6) and distress due to low desire (a single item of the FSDS-DAO questionnaire, scale 0 to 4).</w:t>
      </w:r>
    </w:p>
    <w:p>
      <w:pPr>
        <w:pStyle w:val="BodyText"/>
      </w:pPr>
      <w:r>
        <w:t xml:space="preserve">Both trials met their primary endpoints. In the pooled analysis, desire rose by 0.35 points more than under placebo, and distress fell by 0.33 points more</w:t>
      </w:r>
      <w:r>
        <w:rPr>
          <w:rStyle w:val="FootnoteReference"/>
        </w:rPr>
        <w:footnoteReference w:id="1984"/>
      </w:r>
      <w:r>
        <w:t xml:space="preserve">. These figures are statistically clear but small: on a scale up to 6, a third of a point is a modest difference. Scores also improved markedly under placebo – a pattern well known in sexual medicine.</w:t>
      </w:r>
    </w:p>
    <w:p>
      <w:pPr>
        <w:pStyle w:val="BodyText"/>
      </w:pPr>
      <w:r>
        <w:t xml:space="preserve">In exit interviews with 242 participants who did not yet know what they had received, women on bremelanotide more often described physical arousal and more desire; those on placebo tended to mention better communication in the relationship</w:t>
      </w:r>
      <w:r>
        <w:rPr>
          <w:rStyle w:val="FootnoteReference"/>
        </w:rPr>
        <w:footnoteReference w:id="1985"/>
      </w:r>
      <w:r>
        <w:t xml:space="preserve">.</w:t>
      </w:r>
    </w:p>
    <w:bookmarkEnd w:id="1986"/>
    <w:bookmarkStart w:id="1989" w:name="criticism-of-the-approval-trials"/>
    <w:p>
      <w:pPr>
        <w:pStyle w:val="Heading4"/>
      </w:pPr>
      <w:r>
        <w:t xml:space="preserve">Criticism of the Approval Trials</w:t>
      </w:r>
    </w:p>
    <w:p>
      <w:pPr>
        <w:pStyle w:val="FirstParagraph"/>
      </w:pPr>
      <w:r>
        <w:t xml:space="preserve">An independent reanalysis based on the documents submitted to the US Food and Drug Administration (FDA) reached a different overall verdict</w:t>
      </w:r>
      <w:r>
        <w:rPr>
          <w:rStyle w:val="FootnoteReference"/>
        </w:rPr>
        <w:footnoteReference w:id="1987"/>
      </w:r>
      <w:r>
        <w:t xml:space="preserve">. The author confirms the small effects but criticizes that around 73% of the outcomes specified in the study protocol were not published. Two findings were missing from the main publication:</w:t>
      </w:r>
    </w:p>
    <w:p>
      <w:pPr>
        <w:numPr>
          <w:ilvl w:val="0"/>
          <w:numId w:val="1252"/>
        </w:numPr>
        <w:pStyle w:val="Compact"/>
      </w:pPr>
      <w:r>
        <w:t xml:space="preserve">Discontinuations due to side effects were considerably more frequent under bremelanotide (odds ratio 11.98). Mathematically, about one in six treated women discontinued because of side effects who would not have done so under placebo.</w:t>
      </w:r>
    </w:p>
    <w:p>
      <w:pPr>
        <w:numPr>
          <w:ilvl w:val="0"/>
          <w:numId w:val="1252"/>
        </w:numPr>
        <w:pStyle w:val="Compact"/>
      </w:pPr>
      <w:r>
        <w:t xml:space="preserve">Those who completed the trial and then moved on to the open-label extension more often came from the placebo group. The manufacturer’s safety analysis also gives these figures: 70% of the bremelanotide group versus 87% of the placebo group transitioned to the extension</w:t>
      </w:r>
      <w:r>
        <w:rPr>
          <w:rStyle w:val="FootnoteReference"/>
        </w:rPr>
        <w:footnoteReference w:id="1988"/>
      </w:r>
      <w:r>
        <w:t xml:space="preserve">.</w:t>
      </w:r>
    </w:p>
    <w:p>
      <w:pPr>
        <w:pStyle w:val="FirstParagraph"/>
      </w:pPr>
      <w:r>
        <w:t xml:space="preserve">Spielmans concludes that the drug is not useful for most women. This is a pointed individual opinion, but it is based on data that the manufacturer’s side has also published.</w:t>
      </w:r>
    </w:p>
    <w:bookmarkEnd w:id="1989"/>
    <w:bookmarkStart w:id="1993" w:name="meta-analyses-1"/>
    <w:p>
      <w:pPr>
        <w:pStyle w:val="Heading4"/>
      </w:pPr>
      <w:r>
        <w:t xml:space="preserve">Meta-Analyses</w:t>
      </w:r>
    </w:p>
    <w:p>
      <w:pPr>
        <w:pStyle w:val="FirstParagraph"/>
      </w:pPr>
      <w:r>
        <w:t xml:space="preserve">A meta-analysis of medications for female sexual dysfunction (including bremelanotide, flibanserin and intranasal oxytocin) found that around 67.7% of the improvement in the treatment groups also occurred under placebo</w:t>
      </w:r>
      <w:r>
        <w:rPr>
          <w:rStyle w:val="FootnoteReference"/>
        </w:rPr>
        <w:footnoteReference w:id="1990"/>
      </w:r>
      <w:r>
        <w:t xml:space="preserve">. A more recent meta-analysis confirms small improvements in desire and arousal and a reduction in distress for bremelanotide, without comparison with psychotherapy</w:t>
      </w:r>
      <w:r>
        <w:rPr>
          <w:rStyle w:val="FootnoteReference"/>
        </w:rPr>
        <w:footnoteReference w:id="1991"/>
      </w:r>
      <w:r>
        <w:t xml:space="preserve">. A review of the studies completed on ClinicalTrials.gov criticizes inconsistent outcome measures and incomplete reporting</w:t>
      </w:r>
      <w:r>
        <w:rPr>
          <w:rStyle w:val="FootnoteReference"/>
        </w:rPr>
        <w:footnoteReference w:id="1992"/>
      </w:r>
      <w:r>
        <w:t xml:space="preserve">.</w:t>
      </w:r>
    </w:p>
    <w:bookmarkEnd w:id="1993"/>
    <w:bookmarkStart w:id="1997" w:name="other-questions"/>
    <w:p>
      <w:pPr>
        <w:pStyle w:val="Heading4"/>
      </w:pPr>
      <w:r>
        <w:t xml:space="preserve">Other Questions</w:t>
      </w:r>
    </w:p>
    <w:p>
      <w:pPr>
        <w:numPr>
          <w:ilvl w:val="0"/>
          <w:numId w:val="1253"/>
        </w:numPr>
        <w:pStyle w:val="Compact"/>
      </w:pPr>
      <w:r>
        <w:rPr>
          <w:bCs/>
          <w:b/>
        </w:rPr>
        <w:t xml:space="preserve">Alcohol:</w:t>
      </w:r>
      <w:r>
        <w:t xml:space="preserve"> </w:t>
      </w:r>
      <w:r>
        <w:t xml:space="preserve">In a phase 1 study with 24 healthy people, no meaningful interactions occurred with simultaneous alcohol consumption</w:t>
      </w:r>
      <w:r>
        <w:rPr>
          <w:rStyle w:val="FootnoteReference"/>
        </w:rPr>
        <w:footnoteReference w:id="1994"/>
      </w:r>
      <w:r>
        <w:t xml:space="preserve">.</w:t>
      </w:r>
    </w:p>
    <w:p>
      <w:pPr>
        <w:numPr>
          <w:ilvl w:val="0"/>
          <w:numId w:val="1253"/>
        </w:numPr>
        <w:pStyle w:val="Compact"/>
      </w:pPr>
      <w:r>
        <w:rPr>
          <w:bCs/>
          <w:b/>
        </w:rPr>
        <w:t xml:space="preserve">Weight:</w:t>
      </w:r>
      <w:r>
        <w:t xml:space="preserve"> </w:t>
      </w:r>
      <w:r>
        <w:t xml:space="preserve">Because MC4R also controls appetite, bremelanotide was tested in women with obesity. In two small phase 1 studies, calorie intake fell by about 400 kcal per day; after 16 days, weight was 1.3 kg below that of the placebo group</w:t>
      </w:r>
      <w:r>
        <w:rPr>
          <w:rStyle w:val="FootnoteReference"/>
        </w:rPr>
        <w:footnoteReference w:id="1995"/>
      </w:r>
      <w:r>
        <w:t xml:space="preserve">. These are short-term data that say nothing about long-term treatment.</w:t>
      </w:r>
    </w:p>
    <w:p>
      <w:pPr>
        <w:numPr>
          <w:ilvl w:val="0"/>
          <w:numId w:val="1253"/>
        </w:numPr>
        <w:pStyle w:val="Compact"/>
      </w:pPr>
      <w:r>
        <w:rPr>
          <w:bCs/>
          <w:b/>
        </w:rPr>
        <w:t xml:space="preserve">Brain:</w:t>
      </w:r>
      <w:r>
        <w:t xml:space="preserve"> </w:t>
      </w:r>
      <w:r>
        <w:t xml:space="preserve">The fMRI study already mentioned</w:t>
      </w:r>
      <w:r>
        <w:rPr>
          <w:rStyle w:val="FootnoteReference"/>
        </w:rPr>
        <w:footnoteReference w:id="1996"/>
      </w:r>
      <w:r>
        <w:t xml:space="preserve"> </w:t>
      </w:r>
      <w:r>
        <w:t xml:space="preserve">is one of the few studies not led by the manufacturer.</w:t>
      </w:r>
    </w:p>
    <w:bookmarkEnd w:id="1997"/>
    <w:bookmarkEnd w:id="1998"/>
    <w:bookmarkStart w:id="2002" w:name="animal-and-laboratory-studies-46"/>
    <w:p>
      <w:pPr>
        <w:pStyle w:val="Heading3"/>
      </w:pPr>
      <w:r>
        <w:t xml:space="preserve">Animal and laboratory studies</w:t>
      </w:r>
    </w:p>
    <w:p>
      <w:pPr>
        <w:pStyle w:val="FirstParagraph"/>
      </w:pPr>
      <w:r>
        <w:t xml:space="preserve">Animal research on bremelanotide comes mostly from rats. A review summarizes it as follows: bremelanotide activates MC4R on nerve cells in the hypothalamus, which then release more dopamine; in female rats, behavior with which females signal sexual interest increased</w:t>
      </w:r>
      <w:r>
        <w:rPr>
          <w:rStyle w:val="FootnoteReference"/>
        </w:rPr>
        <w:footnoteReference w:id="1999"/>
      </w:r>
      <w:r>
        <w:t xml:space="preserve">. The review comes from researchers with ties to the development of the drug.</w:t>
      </w:r>
    </w:p>
    <w:p>
      <w:pPr>
        <w:pStyle w:val="BodyText"/>
      </w:pPr>
      <w:r>
        <w:t xml:space="preserve">An independent study in female hamsters came to a sobering result: bremelanotide neither changed the receptors in the reward system nor increased the</w:t>
      </w:r>
      <w:r>
        <w:t xml:space="preserve"> </w:t>
      </w:r>
      <w:r>
        <w:t xml:space="preserve">“</w:t>
      </w:r>
      <w:r>
        <w:t xml:space="preserve">reward value</w:t>
      </w:r>
      <w:r>
        <w:t xml:space="preserve">”</w:t>
      </w:r>
      <w:r>
        <w:t xml:space="preserve"> </w:t>
      </w:r>
      <w:r>
        <w:t xml:space="preserve">of sexual encounters in a behavioral test</w:t>
      </w:r>
      <w:r>
        <w:rPr>
          <w:rStyle w:val="FootnoteReference"/>
        </w:rPr>
        <w:footnoteReference w:id="2000"/>
      </w:r>
      <w:r>
        <w:t xml:space="preserve">. The authors conclude that the drug does not act via the classic reward circuit. Exactly how it works therefore remains open.</w:t>
      </w:r>
    </w:p>
    <w:p>
      <w:pPr>
        <w:pStyle w:val="BodyText"/>
      </w:pPr>
      <w:r>
        <w:t xml:space="preserve">In cell cultures, bremelanotide inhibited the growth of glioblastoma cells, a type of brain tumor</w:t>
      </w:r>
      <w:r>
        <w:rPr>
          <w:rStyle w:val="FootnoteReference"/>
        </w:rPr>
        <w:footnoteReference w:id="2001"/>
      </w:r>
      <w:r>
        <w:t xml:space="preserve">. This is a purely laboratory finding with no clinical significance.</w:t>
      </w:r>
    </w:p>
    <w:bookmarkEnd w:id="2002"/>
    <w:bookmarkStart w:id="2013" w:name="risks-and-side-effects-46"/>
    <w:p>
      <w:pPr>
        <w:pStyle w:val="Heading3"/>
      </w:pPr>
      <w:r>
        <w:t xml:space="preserve">Risks and side effects</w:t>
      </w:r>
    </w:p>
    <w:bookmarkStart w:id="2008" w:name="established"/>
    <w:p>
      <w:pPr>
        <w:pStyle w:val="Heading4"/>
      </w:pPr>
      <w:r>
        <w:t xml:space="preserve">Established</w:t>
      </w:r>
    </w:p>
    <w:p>
      <w:pPr>
        <w:numPr>
          <w:ilvl w:val="0"/>
          <w:numId w:val="1254"/>
        </w:numPr>
        <w:pStyle w:val="Compact"/>
      </w:pPr>
      <w:r>
        <w:rPr>
          <w:bCs/>
          <w:b/>
        </w:rPr>
        <w:t xml:space="preserve">Nausea:</w:t>
      </w:r>
      <w:r>
        <w:t xml:space="preserve"> </w:t>
      </w:r>
      <w:r>
        <w:t xml:space="preserve">the most common side effect. In the phase 3 trials it affected 40.0% compared with 1.3% under placebo and was the most common reason for discontinuation</w:t>
      </w:r>
      <w:r>
        <w:rPr>
          <w:rStyle w:val="FootnoteReference"/>
        </w:rPr>
        <w:footnoteReference w:id="2003"/>
      </w:r>
      <w:r>
        <w:t xml:space="preserve">. A dedicated study with 228 healthy women tested whether the anti-nausea drug ondansetron helps preventively</w:t>
      </w:r>
      <w:r>
        <w:rPr>
          <w:rStyle w:val="FootnoteReference"/>
        </w:rPr>
        <w:footnoteReference w:id="2004"/>
      </w:r>
      <w:r>
        <w:t xml:space="preserve">.</w:t>
      </w:r>
    </w:p>
    <w:p>
      <w:pPr>
        <w:numPr>
          <w:ilvl w:val="0"/>
          <w:numId w:val="1254"/>
        </w:numPr>
        <w:pStyle w:val="Compact"/>
      </w:pPr>
      <w:r>
        <w:rPr>
          <w:bCs/>
          <w:b/>
        </w:rPr>
        <w:t xml:space="preserve">Flushing</w:t>
      </w:r>
      <w:r>
        <w:t xml:space="preserve"> </w:t>
      </w:r>
      <w:r>
        <w:t xml:space="preserve">in 20.3%,</w:t>
      </w:r>
      <w:r>
        <w:t xml:space="preserve"> </w:t>
      </w:r>
      <w:r>
        <w:rPr>
          <w:bCs/>
          <w:b/>
        </w:rPr>
        <w:t xml:space="preserve">headache</w:t>
      </w:r>
      <w:r>
        <w:t xml:space="preserve"> </w:t>
      </w:r>
      <w:r>
        <w:t xml:space="preserve">in 11.3%,</w:t>
      </w:r>
      <w:r>
        <w:t xml:space="preserve"> </w:t>
      </w:r>
      <w:r>
        <w:rPr>
          <w:bCs/>
          <w:b/>
        </w:rPr>
        <w:t xml:space="preserve">injection site reactions</w:t>
      </w:r>
      <w:r>
        <w:t xml:space="preserve"> </w:t>
      </w:r>
      <w:r>
        <w:t xml:space="preserve">in 5.4% (compared with 1.3%, 1.9% and 0.5% under placebo).</w:t>
      </w:r>
    </w:p>
    <w:p>
      <w:pPr>
        <w:numPr>
          <w:ilvl w:val="0"/>
          <w:numId w:val="1254"/>
        </w:numPr>
        <w:pStyle w:val="Compact"/>
      </w:pPr>
      <w:r>
        <w:rPr>
          <w:bCs/>
          <w:b/>
        </w:rPr>
        <w:t xml:space="preserve">Blood pressure:</w:t>
      </w:r>
      <w:r>
        <w:t xml:space="preserve"> </w:t>
      </w:r>
      <w:r>
        <w:t xml:space="preserve">In a study with 24-hour monitoring in 397 women, systolic blood pressure rose temporarily by 2.4 to 3.2 mmHg after the dose; the peaks usually lasted less than 15 minutes. At the same time, heart rate fell by around 4.6 beats per minute</w:t>
      </w:r>
      <w:r>
        <w:rPr>
          <w:rStyle w:val="FootnoteReference"/>
        </w:rPr>
        <w:footnoteReference w:id="2005"/>
      </w:r>
      <w:r>
        <w:t xml:space="preserve">. The prescribing information therefore advises against use in uncontrolled high blood pressure or known cardiovascular disease.</w:t>
      </w:r>
    </w:p>
    <w:p>
      <w:pPr>
        <w:numPr>
          <w:ilvl w:val="0"/>
          <w:numId w:val="1254"/>
        </w:numPr>
        <w:pStyle w:val="Compact"/>
      </w:pPr>
      <w:r>
        <w:rPr>
          <w:bCs/>
          <w:b/>
        </w:rPr>
        <w:t xml:space="preserve">Pigment spots:</w:t>
      </w:r>
      <w:r>
        <w:t xml:space="preserve"> </w:t>
      </w:r>
      <w:r>
        <w:t xml:space="preserve">rare when used in accordance with the prescribing information. However, when bremelanotide was given on up to 16 consecutive days, more than a third of participants developed localized dark spots</w:t>
      </w:r>
      <w:r>
        <w:rPr>
          <w:rStyle w:val="FootnoteReference"/>
        </w:rPr>
        <w:footnoteReference w:id="2006"/>
      </w:r>
      <w:r>
        <w:t xml:space="preserve"> </w:t>
      </w:r>
      <w:r>
        <w:t xml:space="preserve">– an indication of residual activity at the pigment receptor.</w:t>
      </w:r>
    </w:p>
    <w:p>
      <w:pPr>
        <w:numPr>
          <w:ilvl w:val="0"/>
          <w:numId w:val="1254"/>
        </w:numPr>
        <w:pStyle w:val="Compact"/>
      </w:pPr>
      <w:r>
        <w:rPr>
          <w:bCs/>
          <w:b/>
        </w:rPr>
        <w:t xml:space="preserve">Interactions:</w:t>
      </w:r>
      <w:r>
        <w:t xml:space="preserve"> </w:t>
      </w:r>
      <w:r>
        <w:t xml:space="preserve">Bremelanotide briefly slows gastric emptying and in studies lowered the blood levels of indomethacin and naltrexone</w:t>
      </w:r>
      <w:r>
        <w:rPr>
          <w:rStyle w:val="FootnoteReference"/>
        </w:rPr>
        <w:footnoteReference w:id="2007"/>
      </w:r>
      <w:r>
        <w:t xml:space="preserve">.</w:t>
      </w:r>
    </w:p>
    <w:bookmarkEnd w:id="2008"/>
    <w:bookmarkStart w:id="2010" w:name="open-questions"/>
    <w:p>
      <w:pPr>
        <w:pStyle w:val="Heading4"/>
      </w:pPr>
      <w:r>
        <w:t xml:space="preserve">Open Questions</w:t>
      </w:r>
    </w:p>
    <w:p>
      <w:pPr>
        <w:pStyle w:val="FirstParagraph"/>
      </w:pPr>
      <w:r>
        <w:t xml:space="preserve">There are insufficient data for pregnancy. A small study is currently measuring transfer into breast milk</w:t>
      </w:r>
      <w:r>
        <w:rPr>
          <w:rStyle w:val="FootnoteReference"/>
        </w:rPr>
        <w:footnoteReference w:id="2009"/>
      </w:r>
      <w:r>
        <w:t xml:space="preserve">. Long-term data beyond 18 months are lacking.</w:t>
      </w:r>
    </w:p>
    <w:bookmarkEnd w:id="2010"/>
    <w:bookmarkStart w:id="2012" w:name="gray-market-1"/>
    <w:p>
      <w:pPr>
        <w:pStyle w:val="Heading4"/>
      </w:pPr>
      <w:r>
        <w:t xml:space="preserve">Gray Market</w:t>
      </w:r>
    </w:p>
    <w:p>
      <w:pPr>
        <w:pStyle w:val="FirstParagraph"/>
      </w:pPr>
      <w:r>
        <w:t xml:space="preserve">Under the name</w:t>
      </w:r>
      <w:r>
        <w:t xml:space="preserve"> </w:t>
      </w:r>
      <w:r>
        <w:t xml:space="preserve">“</w:t>
      </w:r>
      <w:r>
        <w:t xml:space="preserve">PT-141,</w:t>
      </w:r>
      <w:r>
        <w:t xml:space="preserve">”</w:t>
      </w:r>
      <w:r>
        <w:t xml:space="preserve"> </w:t>
      </w:r>
      <w:r>
        <w:t xml:space="preserve">bremelanotide is offered on the internet as a powder for self-injection, often alongside melanotan II. Forensic laboratories identified both substances in samples seized by police from the bodybuilding scene</w:t>
      </w:r>
      <w:r>
        <w:rPr>
          <w:rStyle w:val="FootnoteReference"/>
        </w:rPr>
        <w:footnoteReference w:id="2011"/>
      </w:r>
      <w:r>
        <w:t xml:space="preserve">. Such products carry the same risks as other gray-market peptides (Part I, chapter</w:t>
      </w:r>
      <w:r>
        <w:t xml:space="preserve"> </w:t>
      </w:r>
      <w:r>
        <w:t xml:space="preserve">“</w:t>
      </w:r>
      <w:r>
        <w:t xml:space="preserve">The Gray Market</w:t>
      </w:r>
      <w:r>
        <w:t xml:space="preserve">”</w:t>
      </w:r>
      <w:r>
        <w:t xml:space="preserve">): unknown purity, wrong amounts, contamination, non-sterile manufacturing. The bremelanotide nasal spray is known to have had a stronger effect on blood pressure; gray-market sprays have not been tested.</w:t>
      </w:r>
    </w:p>
    <w:bookmarkEnd w:id="2012"/>
    <w:bookmarkEnd w:id="2013"/>
    <w:bookmarkStart w:id="2015" w:name="legal-status-46"/>
    <w:p>
      <w:pPr>
        <w:pStyle w:val="Heading3"/>
      </w:pPr>
      <w:r>
        <w:t xml:space="preserve">Legal status</w:t>
      </w:r>
    </w:p>
    <w:p>
      <w:pPr>
        <w:pStyle w:val="FirstParagraph"/>
      </w:pPr>
      <w:r>
        <w:rPr>
          <w:iCs/>
          <w:i/>
        </w:rPr>
        <w:t xml:space="preserve">As of 2026, please check for updates.</w:t>
      </w:r>
    </w:p>
    <w:p>
      <w:pPr>
        <w:numPr>
          <w:ilvl w:val="0"/>
          <w:numId w:val="1255"/>
        </w:numPr>
        <w:pStyle w:val="Compact"/>
      </w:pPr>
      <w:r>
        <w:rPr>
          <w:bCs/>
          <w:b/>
        </w:rPr>
        <w:t xml:space="preserve">EU:</w:t>
      </w:r>
      <w:r>
        <w:t xml:space="preserve"> </w:t>
      </w:r>
      <w:r>
        <w:t xml:space="preserve">no approval, and no ongoing approval procedure is known. Sale for human use is not permitted in the EU.</w:t>
      </w:r>
    </w:p>
    <w:p>
      <w:pPr>
        <w:numPr>
          <w:ilvl w:val="0"/>
          <w:numId w:val="1255"/>
        </w:numPr>
        <w:pStyle w:val="Compact"/>
      </w:pPr>
      <w:r>
        <w:rPr>
          <w:bCs/>
          <w:b/>
        </w:rPr>
        <w:t xml:space="preserve">Germany and Austria:</w:t>
      </w:r>
      <w:r>
        <w:t xml:space="preserve"> </w:t>
      </w:r>
      <w:r>
        <w:t xml:space="preserve">no approval. Individual import of a medicine approved in the USA on medical prescription is legally possible within narrow limits; gray-market products do not fall under this.</w:t>
      </w:r>
    </w:p>
    <w:p>
      <w:pPr>
        <w:numPr>
          <w:ilvl w:val="0"/>
          <w:numId w:val="1255"/>
        </w:numPr>
        <w:pStyle w:val="Compact"/>
      </w:pPr>
      <w:r>
        <w:rPr>
          <w:bCs/>
          <w:b/>
        </w:rPr>
        <w:t xml:space="preserve">USA:</w:t>
      </w:r>
      <w:r>
        <w:t xml:space="preserve"> </w:t>
      </w:r>
      <w:r>
        <w:t xml:space="preserve">approved since June 2019 (Vyleesi) for premenopausal women with acquired, generalized HSDD. Not approved for men, for postmenopausal women or for increasing desire in healthy people. The marketing rights have changed hands several times; according to registry entries, the company Cosette Pharmaceuticals is now responsible.</w:t>
      </w:r>
    </w:p>
    <w:p>
      <w:pPr>
        <w:numPr>
          <w:ilvl w:val="0"/>
          <w:numId w:val="1255"/>
        </w:numPr>
        <w:pStyle w:val="Compact"/>
      </w:pPr>
      <w:r>
        <w:rPr>
          <w:bCs/>
          <w:b/>
        </w:rPr>
        <w:t xml:space="preserve">Other countries:</w:t>
      </w:r>
      <w:r>
        <w:t xml:space="preserve"> </w:t>
      </w:r>
      <w:r>
        <w:t xml:space="preserve">In South Korea, a bridging study with 193 women was conducted for approval there</w:t>
      </w:r>
      <w:r>
        <w:rPr>
          <w:rStyle w:val="FootnoteReference"/>
        </w:rPr>
        <w:footnoteReference w:id="2014"/>
      </w:r>
      <w:r>
        <w:t xml:space="preserve">.</w:t>
      </w:r>
    </w:p>
    <w:p>
      <w:pPr>
        <w:numPr>
          <w:ilvl w:val="0"/>
          <w:numId w:val="1255"/>
        </w:numPr>
        <w:pStyle w:val="Compact"/>
      </w:pPr>
      <w:r>
        <w:rPr>
          <w:bCs/>
          <w:b/>
        </w:rPr>
        <w:t xml:space="preserve">WADA:</w:t>
      </w:r>
      <w:r>
        <w:t xml:space="preserve"> </w:t>
      </w:r>
      <w:r>
        <w:t xml:space="preserve">not listed by name. Please check the current Prohibited List.</w:t>
      </w:r>
    </w:p>
    <w:bookmarkEnd w:id="2015"/>
    <w:bookmarkStart w:id="2019" w:name="ongoing-studies-and-outlook-46"/>
    <w:p>
      <w:pPr>
        <w:pStyle w:val="Heading3"/>
      </w:pPr>
      <w:r>
        <w:t xml:space="preserve">Ongoing studies and outlook</w:t>
      </w:r>
    </w:p>
    <w:p>
      <w:pPr>
        <w:pStyle w:val="FirstParagraph"/>
      </w:pPr>
      <w:r>
        <w:rPr>
          <w:bCs/>
          <w:b/>
        </w:rPr>
        <w:t xml:space="preserve">Established (registered studies):</w:t>
      </w:r>
    </w:p>
    <w:p>
      <w:pPr>
        <w:numPr>
          <w:ilvl w:val="0"/>
          <w:numId w:val="1256"/>
        </w:numPr>
        <w:pStyle w:val="Compact"/>
      </w:pPr>
      <w:r>
        <w:t xml:space="preserve">A phase 2 trial with 108 people is testing bremelanotide in addition to tirzepatide in obesity</w:t>
      </w:r>
      <w:r>
        <w:rPr>
          <w:rStyle w:val="FootnoteReference"/>
        </w:rPr>
        <w:footnoteReference w:id="2016"/>
      </w:r>
      <w:r>
        <w:t xml:space="preserve">. The background is the appetite-suppressing effect via MC4R. Published, peer-reviewed results were not available in PubMed at the time of going to press.</w:t>
      </w:r>
    </w:p>
    <w:p>
      <w:pPr>
        <w:numPr>
          <w:ilvl w:val="0"/>
          <w:numId w:val="1256"/>
        </w:numPr>
        <w:pStyle w:val="Compact"/>
      </w:pPr>
      <w:r>
        <w:t xml:space="preserve">A small open-label phase 2 trial with 16 people with diabetic kidney disease has been completed</w:t>
      </w:r>
      <w:r>
        <w:rPr>
          <w:rStyle w:val="FootnoteReference"/>
        </w:rPr>
        <w:footnoteReference w:id="2017"/>
      </w:r>
      <w:r>
        <w:t xml:space="preserve">, likewise without a published result in PubMed.</w:t>
      </w:r>
    </w:p>
    <w:p>
      <w:pPr>
        <w:numPr>
          <w:ilvl w:val="0"/>
          <w:numId w:val="1256"/>
        </w:numPr>
        <w:pStyle w:val="Compact"/>
      </w:pPr>
      <w:r>
        <w:t xml:space="preserve">The breastfeeding study</w:t>
      </w:r>
      <w:r>
        <w:rPr>
          <w:rStyle w:val="FootnoteReference"/>
        </w:rPr>
        <w:footnoteReference w:id="2018"/>
      </w:r>
      <w:r>
        <w:t xml:space="preserve"> </w:t>
      </w:r>
      <w:r>
        <w:t xml:space="preserve">with 10 women was completed in 2025.</w:t>
      </w:r>
    </w:p>
    <w:p>
      <w:pPr>
        <w:pStyle w:val="FirstParagraph"/>
      </w:pPr>
      <w:r>
        <w:rPr>
          <w:bCs/>
          <w:b/>
        </w:rPr>
        <w:t xml:space="preserve">Author’s assessment:</w:t>
      </w:r>
      <w:r>
        <w:t xml:space="preserve"> </w:t>
      </w:r>
      <w:r>
        <w:t xml:space="preserve">As things stand, there is a lack of commercial interest in approval in Europe; no application is known. More interesting is the role of MC4R in obesity research, where an MC4R agonist, setmelanotide (chapter in Part II · A), is already approved for rare genetic forms. Whether bremelanotide finds a niche here will be decided by the study results still pending.</w:t>
      </w:r>
    </w:p>
    <w:bookmarkEnd w:id="2019"/>
    <w:bookmarkStart w:id="2020" w:name="conclusion-46"/>
    <w:p>
      <w:pPr>
        <w:pStyle w:val="Heading3"/>
      </w:pPr>
      <w:r>
        <w:t xml:space="preserve">Conclusion</w:t>
      </w:r>
    </w:p>
    <w:p>
      <w:pPr>
        <w:pStyle w:val="FirstParagraph"/>
      </w:pPr>
      <w:r>
        <w:t xml:space="preserve">Bremelanotide is the only approved medicine that targets sexual desire via the melanocortin system in the brain – but only in the USA and only for a narrowly defined group of women. In two large phase 3 trials, desire and distress improved in a statistically clear way, but to a small extent and with a high placebo effect. Nausea affects almost half of users and frequently leads to discontinuation; brief increases in blood pressure call for caution in people with cardiovascular risks. Gray-market products under the name</w:t>
      </w:r>
      <w:r>
        <w:t xml:space="preserve"> </w:t>
      </w:r>
      <w:r>
        <w:t xml:space="preserve">“</w:t>
      </w:r>
      <w:r>
        <w:t xml:space="preserve">PT-141</w:t>
      </w:r>
      <w:r>
        <w:t xml:space="preserve">”</w:t>
      </w:r>
      <w:r>
        <w:t xml:space="preserve"> </w:t>
      </w:r>
      <w:r>
        <w:t xml:space="preserve">are untested, and for men or people without a diagnosis, any evidence sufficient for approval is lacking.</w:t>
      </w:r>
    </w:p>
    <w:bookmarkEnd w:id="2020"/>
    <w:bookmarkEnd w:id="2021"/>
    <w:bookmarkStart w:id="2076" w:name="melanotan-ii"/>
    <w:p>
      <w:pPr>
        <w:pStyle w:val="Heading2"/>
      </w:pPr>
      <w:r>
        <w:t xml:space="preserve">Melanotan II</w:t>
      </w:r>
    </w:p>
    <w:bookmarkStart w:id="2024" w:name="profile-47"/>
    <w:p>
      <w:pPr>
        <w:pStyle w:val="Heading3"/>
      </w:pPr>
      <w:r>
        <w:t xml:space="preserve">Profile</w:t>
      </w:r>
    </w:p>
    <w:p>
      <w:pPr>
        <w:numPr>
          <w:ilvl w:val="0"/>
          <w:numId w:val="1257"/>
        </w:numPr>
        <w:pStyle w:val="Compact"/>
      </w:pPr>
      <w:r>
        <w:rPr>
          <w:bCs/>
          <w:b/>
        </w:rPr>
        <w:t xml:space="preserve">Type/structure:</w:t>
      </w:r>
      <w:r>
        <w:t xml:space="preserve"> </w:t>
      </w:r>
      <w:r>
        <w:t xml:space="preserve">ring-shaped (cyclic) peptide of seven amino acids, a shortened and chemically stabilized variant of the body’s own hormone alpha-MSH. The ring structure protects against rapid breakdown and makes the molecule considerably more potent than its natural model</w:t>
      </w:r>
      <w:r>
        <w:rPr>
          <w:rStyle w:val="FootnoteReference"/>
        </w:rPr>
        <w:footnoteReference w:id="2022"/>
      </w:r>
      <w:r>
        <w:t xml:space="preserve">.</w:t>
      </w:r>
    </w:p>
    <w:p>
      <w:pPr>
        <w:numPr>
          <w:ilvl w:val="0"/>
          <w:numId w:val="1257"/>
        </w:numPr>
        <w:pStyle w:val="Compact"/>
      </w:pPr>
      <w:r>
        <w:rPr>
          <w:bCs/>
          <w:b/>
        </w:rPr>
        <w:t xml:space="preserve">Origin:</w:t>
      </w:r>
      <w:r>
        <w:t xml:space="preserve"> </w:t>
      </w:r>
      <w:r>
        <w:t xml:space="preserve">developed in the late 1980s and early 1990s at the University of Arizona in Tucson, originally with the aim of producing a tan without sun and thus preventing skin cancer</w:t>
      </w:r>
      <w:r>
        <w:rPr>
          <w:rStyle w:val="FootnoteReference"/>
        </w:rPr>
        <w:footnoteReference w:id="2023"/>
      </w:r>
      <w:r>
        <w:t xml:space="preserve">.</w:t>
      </w:r>
    </w:p>
    <w:p>
      <w:pPr>
        <w:numPr>
          <w:ilvl w:val="0"/>
          <w:numId w:val="1257"/>
        </w:numPr>
        <w:pStyle w:val="Compact"/>
      </w:pPr>
      <w:r>
        <w:rPr>
          <w:bCs/>
          <w:b/>
        </w:rPr>
        <w:t xml:space="preserve">Mechanism of action:</w:t>
      </w:r>
      <w:r>
        <w:t xml:space="preserve"> </w:t>
      </w:r>
      <w:r>
        <w:t xml:space="preserve">non-selective agonist at melanocortin receptors: MC1R (pigment production in the skin), MC3R and MC4R (appetite, sexual function) and others.</w:t>
      </w:r>
    </w:p>
    <w:p>
      <w:pPr>
        <w:numPr>
          <w:ilvl w:val="0"/>
          <w:numId w:val="1257"/>
        </w:numPr>
        <w:pStyle w:val="Compact"/>
      </w:pPr>
      <w:r>
        <w:rPr>
          <w:bCs/>
          <w:b/>
        </w:rPr>
        <w:t xml:space="preserve">Approval EU:</w:t>
      </w:r>
      <w:r>
        <w:t xml:space="preserve"> </w:t>
      </w:r>
      <w:r>
        <w:t xml:space="preserve">no.</w:t>
      </w:r>
    </w:p>
    <w:p>
      <w:pPr>
        <w:numPr>
          <w:ilvl w:val="0"/>
          <w:numId w:val="1257"/>
        </w:numPr>
        <w:pStyle w:val="Compact"/>
      </w:pPr>
      <w:r>
        <w:rPr>
          <w:bCs/>
          <w:b/>
        </w:rPr>
        <w:t xml:space="preserve">Approval USA:</w:t>
      </w:r>
      <w:r>
        <w:t xml:space="preserve"> </w:t>
      </w:r>
      <w:r>
        <w:t xml:space="preserve">no.</w:t>
      </w:r>
    </w:p>
    <w:p>
      <w:pPr>
        <w:numPr>
          <w:ilvl w:val="0"/>
          <w:numId w:val="1257"/>
        </w:numPr>
        <w:pStyle w:val="Compact"/>
      </w:pPr>
      <w:r>
        <w:rPr>
          <w:bCs/>
          <w:b/>
        </w:rPr>
        <w:t xml:space="preserve">WADA:</w:t>
      </w:r>
      <w:r>
        <w:t xml:space="preserve"> </w:t>
      </w:r>
      <w:r>
        <w:t xml:space="preserve">not named explicitly; as a substance not approved anywhere, it falls under group S0 (non-approved substances) and is therefore prohibited at all times.</w:t>
      </w:r>
    </w:p>
    <w:p>
      <w:pPr>
        <w:numPr>
          <w:ilvl w:val="0"/>
          <w:numId w:val="1257"/>
        </w:numPr>
        <w:pStyle w:val="Compact"/>
      </w:pPr>
      <w:r>
        <w:rPr>
          <w:bCs/>
          <w:b/>
        </w:rPr>
        <w:t xml:space="preserve">Evidence level:</w:t>
      </w:r>
      <w:r>
        <w:t xml:space="preserve"> </w:t>
      </w:r>
      <w:r>
        <w:rPr>
          <w:bCs/>
          <w:b/>
        </w:rPr>
        <w:t xml:space="preserve">C</w:t>
      </w:r>
      <w:r>
        <w:t xml:space="preserve"> </w:t>
      </w:r>
      <w:r>
        <w:t xml:space="preserve">– only very small pilot studies from the 1990s with a total of around two dozen participants, supplemented by numerous case reports of side effects from uncontrolled self-administration.</w:t>
      </w:r>
    </w:p>
    <w:bookmarkEnd w:id="2024"/>
    <w:bookmarkStart w:id="2026" w:name="how-it-is-supposed-to-work-47"/>
    <w:p>
      <w:pPr>
        <w:pStyle w:val="Heading3"/>
      </w:pPr>
      <w:r>
        <w:t xml:space="preserve">How it is supposed to work</w:t>
      </w:r>
    </w:p>
    <w:p>
      <w:pPr>
        <w:pStyle w:val="FirstParagraph"/>
      </w:pPr>
      <w:r>
        <w:t xml:space="preserve">The skin tans when pigment cells (melanocytes) produce more melanin. The signal for this comes, among other things, from the hormone alpha-MSH, which binds to the MC1R receptor on the pigment cells. After sunbathing, alpha-MSH production in the skin increases, and the pigment cells switch to the dark, protective eumelanin.</w:t>
      </w:r>
    </w:p>
    <w:p>
      <w:pPr>
        <w:pStyle w:val="BodyText"/>
      </w:pPr>
      <w:r>
        <w:t xml:space="preserve">Melanotan II mimics this signal – without UV radiation first having to damage the skin. That was the original idea: a</w:t>
      </w:r>
      <w:r>
        <w:t xml:space="preserve"> </w:t>
      </w:r>
      <w:r>
        <w:t xml:space="preserve">“</w:t>
      </w:r>
      <w:r>
        <w:t xml:space="preserve">tan from a syringe</w:t>
      </w:r>
      <w:r>
        <w:t xml:space="preserve">”</w:t>
      </w:r>
      <w:r>
        <w:t xml:space="preserve"> </w:t>
      </w:r>
      <w:r>
        <w:t xml:space="preserve">that protects against sunburn. The problem: melanotan II binds not only to MC1R but also to the MC3R and MC4R receptors in the brain. These control appetite, energy expenditure and sexual arousal. This is where the typical accompanying effects come from: nausea, yawning and stretching, reduced appetite and spontaneous erections.</w:t>
      </w:r>
    </w:p>
    <w:p>
      <w:pPr>
        <w:pStyle w:val="BodyText"/>
      </w:pPr>
      <w:r>
        <w:t xml:space="preserve">Research into this</w:t>
      </w:r>
      <w:r>
        <w:t xml:space="preserve"> </w:t>
      </w:r>
      <w:r>
        <w:t xml:space="preserve">“</w:t>
      </w:r>
      <w:r>
        <w:t xml:space="preserve">side effect</w:t>
      </w:r>
      <w:r>
        <w:t xml:space="preserve">”</w:t>
      </w:r>
      <w:r>
        <w:t xml:space="preserve"> </w:t>
      </w:r>
      <w:r>
        <w:t xml:space="preserve">gave rise to two other drugs which, unlike melanotan II, were developed further clinically:</w:t>
      </w:r>
    </w:p>
    <w:p>
      <w:pPr>
        <w:numPr>
          <w:ilvl w:val="0"/>
          <w:numId w:val="1258"/>
        </w:numPr>
        <w:pStyle w:val="Compact"/>
      </w:pPr>
      <w:r>
        <w:rPr>
          <w:bCs/>
          <w:b/>
        </w:rPr>
        <w:t xml:space="preserve">Afamelanotide</w:t>
      </w:r>
      <w:r>
        <w:t xml:space="preserve">, formerly called melanotan I, is a linear, longer molecule that acts preferentially on the skin and is approved as an implant for a rare light-related disease (chapter 2E03).</w:t>
      </w:r>
    </w:p>
    <w:p>
      <w:pPr>
        <w:numPr>
          <w:ilvl w:val="0"/>
          <w:numId w:val="1258"/>
        </w:numPr>
        <w:pStyle w:val="Compact"/>
      </w:pPr>
      <w:r>
        <w:rPr>
          <w:bCs/>
          <w:b/>
        </w:rPr>
        <w:t xml:space="preserve">Bremelanotide</w:t>
      </w:r>
      <w:r>
        <w:t xml:space="preserve"> </w:t>
      </w:r>
      <w:r>
        <w:t xml:space="preserve">(PT-141) is a slightly modified form of melanotan II that is approved in the USA for the treatment of low sexual desire in women (chapter 2E01).</w:t>
      </w:r>
    </w:p>
    <w:p>
      <w:pPr>
        <w:pStyle w:val="FirstParagraph"/>
      </w:pPr>
      <w:r>
        <w:t xml:space="preserve">On the internet, these names are often mixed up.</w:t>
      </w:r>
      <w:r>
        <w:t xml:space="preserve"> </w:t>
      </w:r>
      <w:r>
        <w:t xml:space="preserve">“</w:t>
      </w:r>
      <w:r>
        <w:t xml:space="preserve">Melanotan</w:t>
      </w:r>
      <w:r>
        <w:t xml:space="preserve">”</w:t>
      </w:r>
      <w:r>
        <w:t xml:space="preserve"> </w:t>
      </w:r>
      <w:r>
        <w:t xml:space="preserve">without further specification can refer to one or the other depending on the seller – or to something else entirely</w:t>
      </w:r>
      <w:r>
        <w:rPr>
          <w:rStyle w:val="FootnoteReference"/>
        </w:rPr>
        <w:footnoteReference w:id="2025"/>
      </w:r>
      <w:r>
        <w:t xml:space="preserve">.</w:t>
      </w:r>
    </w:p>
    <w:bookmarkEnd w:id="2026"/>
    <w:bookmarkStart w:id="2040" w:name="human-studies-47"/>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8</w:t>
      </w:r>
      <w:r>
        <w:t xml:space="preserve"> </w:t>
      </w:r>
      <w:r>
        <w:t xml:space="preserve">human studies in PubMed (</w:t>
      </w:r>
      <w:r>
        <w:rPr>
          <w:rStyle w:val="VerbatimChar"/>
        </w:rPr>
        <w:t xml:space="preserve">humanstudien_alle</w:t>
      </w:r>
      <w:r>
        <w:t xml:space="preserve">) and a single entry on ClinicalTrials.gov, which on inspection proved untrustworthy (see Outlook) – so there are</w:t>
      </w:r>
      <w:r>
        <w:t xml:space="preserve"> </w:t>
      </w:r>
      <w:r>
        <w:rPr>
          <w:bCs/>
          <w:b/>
        </w:rPr>
        <w:t xml:space="preserve">0</w:t>
      </w:r>
      <w:r>
        <w:t xml:space="preserve"> </w:t>
      </w:r>
      <w:r>
        <w:t xml:space="preserve">reliable registered studies. The PubMed figure is also misleading: four of the eight studies examined melanotan I, i.e. the later afamelanotide, not melanotan II. For melanotan II itself, there are only three small original studies and one summary by the same research group. The literature on side effects is far more extensive: case reports, case series, analyses of internet forums and laboratory analyses of gray-market products.</w:t>
      </w:r>
    </w:p>
    <w:bookmarkStart w:id="2030" w:name="the-clinical-studies-of-the-1990s"/>
    <w:p>
      <w:pPr>
        <w:pStyle w:val="Heading4"/>
      </w:pPr>
      <w:r>
        <w:t xml:space="preserve">The Clinical Studies of the 1990s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Dorr 1996, PMID 8637402</w:t>
            </w:r>
          </w:p>
        </w:tc>
        <w:tc>
          <w:tcPr/>
          <w:p>
            <w:pPr>
              <w:pStyle w:val="Compact"/>
              <w:jc w:val="left"/>
            </w:pPr>
            <w:r>
              <w:t xml:space="preserve">3 healthy men, single-blind, alternating active drug and saline</w:t>
            </w:r>
          </w:p>
        </w:tc>
        <w:tc>
          <w:tcPr/>
          <w:p>
            <w:pPr>
              <w:pStyle w:val="Compact"/>
              <w:jc w:val="left"/>
            </w:pPr>
            <w:r>
              <w:t xml:space="preserve">2 weeks</w:t>
            </w:r>
          </w:p>
        </w:tc>
        <w:tc>
          <w:tcPr/>
          <w:p>
            <w:pPr>
              <w:pStyle w:val="Compact"/>
              <w:jc w:val="left"/>
            </w:pPr>
            <w:r>
              <w:t xml:space="preserve">Tanning of face, upper body and buttocks in 2 of 3; spontaneous erections; nausea, fatigue</w:t>
            </w:r>
          </w:p>
        </w:tc>
      </w:tr>
      <w:tr>
        <w:tc>
          <w:tcPr/>
          <w:p>
            <w:pPr>
              <w:pStyle w:val="Compact"/>
              <w:jc w:val="left"/>
            </w:pPr>
            <w:r>
              <w:t xml:space="preserve">Wessells 1998, PMID 9679884</w:t>
            </w:r>
          </w:p>
        </w:tc>
        <w:tc>
          <w:tcPr/>
          <w:p>
            <w:pPr>
              <w:pStyle w:val="Compact"/>
              <w:jc w:val="left"/>
            </w:pPr>
            <w:r>
              <w:t xml:space="preserve">10 men with psychogenic erectile dysfunction, double-blind crossover study vs. placebo</w:t>
            </w:r>
          </w:p>
        </w:tc>
        <w:tc>
          <w:tcPr/>
          <w:p>
            <w:pPr>
              <w:pStyle w:val="Compact"/>
              <w:jc w:val="left"/>
            </w:pPr>
            <w:r>
              <w:t xml:space="preserve">Single doses</w:t>
            </w:r>
          </w:p>
        </w:tc>
        <w:tc>
          <w:tcPr/>
          <w:p>
            <w:pPr>
              <w:pStyle w:val="Compact"/>
              <w:jc w:val="left"/>
            </w:pPr>
            <w:r>
              <w:t xml:space="preserve">Erections in 8 of 10; duration of high rigidity 38.0 vs. 3.0 minutes</w:t>
            </w:r>
          </w:p>
        </w:tc>
      </w:tr>
      <w:tr>
        <w:tc>
          <w:tcPr/>
          <w:p>
            <w:pPr>
              <w:pStyle w:val="Compact"/>
              <w:jc w:val="left"/>
            </w:pPr>
            <w:r>
              <w:t xml:space="preserve">Wessells 2000, PMID 11018622</w:t>
            </w:r>
          </w:p>
        </w:tc>
        <w:tc>
          <w:tcPr/>
          <w:p>
            <w:pPr>
              <w:pStyle w:val="Compact"/>
              <w:jc w:val="left"/>
            </w:pPr>
            <w:r>
              <w:t xml:space="preserve">10 men with organic erectile dysfunction, double-blind crossover study</w:t>
            </w:r>
          </w:p>
        </w:tc>
        <w:tc>
          <w:tcPr/>
          <w:p>
            <w:pPr>
              <w:pStyle w:val="Compact"/>
              <w:jc w:val="left"/>
            </w:pPr>
            <w:r>
              <w:t xml:space="preserve">Single doses</w:t>
            </w:r>
          </w:p>
        </w:tc>
        <w:tc>
          <w:tcPr/>
          <w:p>
            <w:pPr>
              <w:pStyle w:val="Compact"/>
              <w:jc w:val="left"/>
            </w:pPr>
            <w:r>
              <w:t xml:space="preserve">Erections after 12 of 19 injections vs. 1 of 21 placebo doses; 4 of 19 injections with severe nausea</w:t>
            </w:r>
          </w:p>
        </w:tc>
      </w:tr>
      <w:tr>
        <w:tc>
          <w:tcPr/>
          <w:p>
            <w:pPr>
              <w:pStyle w:val="Compact"/>
              <w:jc w:val="left"/>
            </w:pPr>
            <w:r>
              <w:t xml:space="preserve">Wessells 2000 (summary), PMID 11035391</w:t>
            </w:r>
          </w:p>
        </w:tc>
        <w:tc>
          <w:tcPr/>
          <w:p>
            <w:pPr>
              <w:pStyle w:val="Compact"/>
              <w:jc w:val="left"/>
            </w:pPr>
            <w:r>
              <w:t xml:space="preserve">both studies combined, 20 men</w:t>
            </w:r>
          </w:p>
        </w:tc>
        <w:tc>
          <w:tcPr/>
          <w:p>
            <w:pPr>
              <w:pStyle w:val="Compact"/>
              <w:jc w:val="left"/>
            </w:pPr>
            <w:r>
              <w:t xml:space="preserve">Single doses</w:t>
            </w:r>
          </w:p>
        </w:tc>
        <w:tc>
          <w:tcPr/>
          <w:p>
            <w:pPr>
              <w:pStyle w:val="Compact"/>
              <w:jc w:val="left"/>
            </w:pPr>
            <w:r>
              <w:t xml:space="preserve">Erections without sexual stimulation in 17 of 20; increased desire after 68% vs. 19% of doses</w:t>
            </w:r>
          </w:p>
        </w:tc>
      </w:tr>
    </w:tbl>
    <w:p>
      <w:pPr>
        <w:pStyle w:val="BodyText"/>
      </w:pPr>
      <w:r>
        <w:t xml:space="preserve">The first study in humans</w:t>
      </w:r>
      <w:r>
        <w:rPr>
          <w:rStyle w:val="FootnoteReference"/>
        </w:rPr>
        <w:footnoteReference w:id="2027"/>
      </w:r>
      <w:r>
        <w:t xml:space="preserve"> </w:t>
      </w:r>
      <w:r>
        <w:t xml:space="preserve">was a pilot study with only three men. Even here, all the effects later described by users on the internet appeared: two of the three men tanned visibly, mild nausea occurred at most dose levels, and one experienced more pronounced fatigue. A</w:t>
      </w:r>
      <w:r>
        <w:t xml:space="preserve"> </w:t>
      </w:r>
      <w:r>
        <w:t xml:space="preserve">“</w:t>
      </w:r>
      <w:r>
        <w:t xml:space="preserve">stretching and yawning complex</w:t>
      </w:r>
      <w:r>
        <w:t xml:space="preserve">”</w:t>
      </w:r>
      <w:r>
        <w:t xml:space="preserve"> </w:t>
      </w:r>
      <w:r>
        <w:t xml:space="preserve">was accompanied by spontaneous erections that recurred repeatedly for one to five hours depending on the dose.</w:t>
      </w:r>
    </w:p>
    <w:p>
      <w:pPr>
        <w:pStyle w:val="BodyText"/>
      </w:pPr>
      <w:r>
        <w:t xml:space="preserve">The research group led by urologist Hunter Wessells then pursued the erectile effect. In two small crossover studies (each participant received active drug and placebo in random order), melanotan II triggered erections in the majority of men with erectile dysfunction, even without sexual stimulation</w:t>
      </w:r>
      <w:r>
        <w:rPr>
          <w:rStyle w:val="FootnoteReference"/>
        </w:rPr>
        <w:footnoteReference w:id="2028"/>
      </w:r>
      <w:r>
        <w:t xml:space="preserve">. In the summary of both studies, the men reported increased desire after 68% of melanotan doses and after 19% of placebo doses. Severe nausea occurred in 12.9%</w:t>
      </w:r>
      <w:r>
        <w:rPr>
          <w:rStyle w:val="FootnoteReference"/>
        </w:rPr>
        <w:footnoteReference w:id="2029"/>
      </w:r>
      <w:r>
        <w:t xml:space="preserve">.</w:t>
      </w:r>
    </w:p>
    <w:p>
      <w:pPr>
        <w:pStyle w:val="BodyText"/>
      </w:pPr>
      <w:r>
        <w:t xml:space="preserve">After that, clinical research on melanotan II ended. Development switched to bremelanotide, which was tested as a nasal spray and later as an injection. There is not a single controlled study of melanotan II for skin tanning in healthy people.</w:t>
      </w:r>
    </w:p>
    <w:bookmarkEnd w:id="2030"/>
    <w:bookmarkStart w:id="2033" w:name="the-studies-on-melanotan-i"/>
    <w:p>
      <w:pPr>
        <w:pStyle w:val="Heading4"/>
      </w:pPr>
      <w:r>
        <w:t xml:space="preserve">The Studies on Melanotan I</w:t>
      </w:r>
    </w:p>
    <w:p>
      <w:pPr>
        <w:pStyle w:val="FirstParagraph"/>
      </w:pPr>
      <w:r>
        <w:t xml:space="preserve">For context: the remaining studies from the database search concern melanotan I. In them, volunteers produced more eumelanin after injections, almost twice as much as before in the skin of the forearm</w:t>
      </w:r>
      <w:r>
        <w:rPr>
          <w:rStyle w:val="FootnoteReference"/>
        </w:rPr>
        <w:footnoteReference w:id="2031"/>
      </w:r>
      <w:r>
        <w:t xml:space="preserve">. In combination with sunlight, the tan was intensified and prolonged</w:t>
      </w:r>
      <w:r>
        <w:rPr>
          <w:rStyle w:val="FootnoteReference"/>
        </w:rPr>
        <w:footnoteReference w:id="2032"/>
      </w:r>
      <w:r>
        <w:t xml:space="preserve">. These results belong to the history of afamelanotide and cannot be transferred to melanotan II, which acts more strongly in the brain.</w:t>
      </w:r>
    </w:p>
    <w:bookmarkEnd w:id="2033"/>
    <w:bookmarkStart w:id="2039" w:name="who-uses-melanotan-ii"/>
    <w:p>
      <w:pPr>
        <w:pStyle w:val="Heading4"/>
      </w:pPr>
      <w:r>
        <w:t xml:space="preserve">Who Uses Melanotan II</w:t>
      </w:r>
    </w:p>
    <w:p>
      <w:pPr>
        <w:pStyle w:val="FirstParagraph"/>
      </w:pPr>
      <w:r>
        <w:t xml:space="preserve">Because melanotan II was never approved, almost all knowledge about its current use comes from observations outside of studies. As early as 2009, British experts described the spread of melanotan I and II in the general population in the British Medical Journal</w:t>
      </w:r>
      <w:r>
        <w:rPr>
          <w:rStyle w:val="FootnoteReference"/>
        </w:rPr>
        <w:footnoteReference w:id="2034"/>
      </w:r>
      <w:r>
        <w:t xml:space="preserve">. A systematic review counted melanotan among the commonly injected agents for body and performance enhancement, alongside anabolic steroids and growth hormone</w:t>
      </w:r>
      <w:r>
        <w:rPr>
          <w:rStyle w:val="FootnoteReference"/>
        </w:rPr>
        <w:footnoteReference w:id="2035"/>
      </w:r>
      <w:r>
        <w:t xml:space="preserve">.</w:t>
      </w:r>
    </w:p>
    <w:p>
      <w:pPr>
        <w:pStyle w:val="BodyText"/>
      </w:pPr>
      <w:r>
        <w:t xml:space="preserve">An analysis of British and Irish internet forums from 2016 and 2017 evaluated 623 posts by 205 people</w:t>
      </w:r>
      <w:r>
        <w:rPr>
          <w:rStyle w:val="FootnoteReference"/>
        </w:rPr>
        <w:footnoteReference w:id="2036"/>
      </w:r>
      <w:r>
        <w:t xml:space="preserve">. The main motives users cited were a tanned complexion before vacations and before bodybuilding competitions. The forums showed misinformation, self-devised dosing schemes, combination with tanning beds and other risky practices. An online survey of users describes how easy the substance was to obtain</w:t>
      </w:r>
      <w:r>
        <w:rPr>
          <w:rStyle w:val="FootnoteReference"/>
        </w:rPr>
        <w:footnoteReference w:id="2037"/>
      </w:r>
      <w:r>
        <w:t xml:space="preserve">.</w:t>
      </w:r>
    </w:p>
    <w:p>
      <w:pPr>
        <w:pStyle w:val="BodyText"/>
      </w:pPr>
      <w:r>
        <w:t xml:space="preserve">In recent years, advertising has increasingly shifted to social media such as TikTok, where melanotan is promoted as the</w:t>
      </w:r>
      <w:r>
        <w:t xml:space="preserve"> </w:t>
      </w:r>
      <w:r>
        <w:t xml:space="preserve">“</w:t>
      </w:r>
      <w:r>
        <w:t xml:space="preserve">Barbie drug.</w:t>
      </w:r>
      <w:r>
        <w:t xml:space="preserve">”</w:t>
      </w:r>
      <w:r>
        <w:t xml:space="preserve"> </w:t>
      </w:r>
      <w:r>
        <w:t xml:space="preserve">Several dermatology journals have analyzed such content and warn against trivializing it</w:t>
      </w:r>
      <w:r>
        <w:rPr>
          <w:rStyle w:val="FootnoteReference"/>
        </w:rPr>
        <w:footnoteReference w:id="2038"/>
      </w:r>
      <w:r>
        <w:t xml:space="preserve">.</w:t>
      </w:r>
    </w:p>
    <w:bookmarkEnd w:id="2039"/>
    <w:bookmarkEnd w:id="2040"/>
    <w:bookmarkStart w:id="2044" w:name="animal-and-laboratory-studies-47"/>
    <w:p>
      <w:pPr>
        <w:pStyle w:val="Heading3"/>
      </w:pPr>
      <w:r>
        <w:t xml:space="preserve">Animal and laboratory studies</w:t>
      </w:r>
    </w:p>
    <w:p>
      <w:pPr>
        <w:pStyle w:val="FirstParagraph"/>
      </w:pPr>
      <w:r>
        <w:t xml:space="preserve">In basic research, melanotan II is a standard tool for activating melanocortin receptors. Accordingly, there are numerous animal experiments, but they mostly answer questions in neuroscience and do not concern safety in humans:</w:t>
      </w:r>
    </w:p>
    <w:p>
      <w:pPr>
        <w:numPr>
          <w:ilvl w:val="0"/>
          <w:numId w:val="1259"/>
        </w:numPr>
        <w:pStyle w:val="Compact"/>
      </w:pPr>
      <w:r>
        <w:rPr>
          <w:bCs/>
          <w:b/>
        </w:rPr>
        <w:t xml:space="preserve">Weight and fat:</w:t>
      </w:r>
      <w:r>
        <w:t xml:space="preserve"> </w:t>
      </w:r>
      <w:r>
        <w:t xml:space="preserve">In overweight mice and rats on a high-fat diet, melanotan II reduced weight and fat mass, mainly through lower food intake</w:t>
      </w:r>
      <w:r>
        <w:rPr>
          <w:rStyle w:val="FootnoteReference"/>
        </w:rPr>
        <w:footnoteReference w:id="2041"/>
      </w:r>
      <w:r>
        <w:t xml:space="preserve">.</w:t>
      </w:r>
    </w:p>
    <w:p>
      <w:pPr>
        <w:numPr>
          <w:ilvl w:val="0"/>
          <w:numId w:val="1259"/>
        </w:numPr>
        <w:pStyle w:val="Compact"/>
      </w:pPr>
      <w:r>
        <w:rPr>
          <w:bCs/>
          <w:b/>
        </w:rPr>
        <w:t xml:space="preserve">Body temperature:</w:t>
      </w:r>
      <w:r>
        <w:t xml:space="preserve"> </w:t>
      </w:r>
      <w:r>
        <w:t xml:space="preserve">In mice, it triggered a temporary severe drop in body temperature, mediated by mast cells and histamine</w:t>
      </w:r>
      <w:r>
        <w:rPr>
          <w:rStyle w:val="FootnoteReference"/>
        </w:rPr>
        <w:footnoteReference w:id="2042"/>
      </w:r>
      <w:r>
        <w:t xml:space="preserve">.</w:t>
      </w:r>
    </w:p>
    <w:p>
      <w:pPr>
        <w:numPr>
          <w:ilvl w:val="0"/>
          <w:numId w:val="1259"/>
        </w:numPr>
        <w:pStyle w:val="Compact"/>
      </w:pPr>
      <w:r>
        <w:rPr>
          <w:bCs/>
          <w:b/>
        </w:rPr>
        <w:t xml:space="preserve">Social behavior:</w:t>
      </w:r>
      <w:r>
        <w:t xml:space="preserve"> </w:t>
      </w:r>
      <w:r>
        <w:t xml:space="preserve">In a mouse model of autism, one week of administration improved measures of social behavior</w:t>
      </w:r>
      <w:r>
        <w:rPr>
          <w:rStyle w:val="FootnoteReference"/>
        </w:rPr>
        <w:footnoteReference w:id="2043"/>
      </w:r>
      <w:r>
        <w:t xml:space="preserve">. The suspected pathway involves activation of the oxytocin system (chapter 2E05).</w:t>
      </w:r>
    </w:p>
    <w:p>
      <w:pPr>
        <w:pStyle w:val="FirstParagraph"/>
      </w:pPr>
      <w:r>
        <w:t xml:space="preserve">None of these results has been confirmed in humans.</w:t>
      </w:r>
    </w:p>
    <w:bookmarkEnd w:id="2044"/>
    <w:bookmarkStart w:id="2070" w:name="risks-and-side-effects-47"/>
    <w:p>
      <w:pPr>
        <w:pStyle w:val="Heading3"/>
      </w:pPr>
      <w:r>
        <w:t xml:space="preserve">Risks and side effects</w:t>
      </w:r>
    </w:p>
    <w:p>
      <w:pPr>
        <w:pStyle w:val="FirstParagraph"/>
      </w:pPr>
      <w:r>
        <w:t xml:space="preserve">The risks of melanotan II can be sorted into three groups: the expected effects via the melanocortin receptors, the skin changes with the open question of skin cancer, and severe individual cases.</w:t>
      </w:r>
    </w:p>
    <w:bookmarkStart w:id="2049" w:name="expected-effects"/>
    <w:p>
      <w:pPr>
        <w:pStyle w:val="Heading4"/>
      </w:pPr>
      <w:r>
        <w:t xml:space="preserve">Expected Effects</w:t>
      </w:r>
    </w:p>
    <w:p>
      <w:pPr>
        <w:pStyle w:val="FirstParagraph"/>
      </w:pPr>
      <w:r>
        <w:t xml:space="preserve">Nausea, facial flushing, yawning and stretching, loss of appetite, fatigue and spontaneous erections already occurred in the studies</w:t>
      </w:r>
      <w:r>
        <w:rPr>
          <w:rStyle w:val="FootnoteReference"/>
        </w:rPr>
        <w:footnoteReference w:id="2045"/>
      </w:r>
      <w:r>
        <w:t xml:space="preserve">. Pigmentation affects not only the skin: case reports describe transverse dark bands in the fingernails</w:t>
      </w:r>
      <w:r>
        <w:rPr>
          <w:rStyle w:val="FootnoteReference"/>
        </w:rPr>
        <w:footnoteReference w:id="2046"/>
      </w:r>
      <w:r>
        <w:t xml:space="preserve"> </w:t>
      </w:r>
      <w:r>
        <w:t xml:space="preserve">and pigment changes in the oral mucosa</w:t>
      </w:r>
      <w:r>
        <w:rPr>
          <w:rStyle w:val="FootnoteReference"/>
        </w:rPr>
        <w:footnoteReference w:id="2047"/>
      </w:r>
      <w:r>
        <w:t xml:space="preserve">. Paradoxically, light, depigmented spots have also been described</w:t>
      </w:r>
      <w:r>
        <w:rPr>
          <w:rStyle w:val="FootnoteReference"/>
        </w:rPr>
        <w:footnoteReference w:id="2048"/>
      </w:r>
      <w:r>
        <w:t xml:space="preserve">.</w:t>
      </w:r>
    </w:p>
    <w:bookmarkEnd w:id="2049"/>
    <w:bookmarkStart w:id="2057" w:name="moles-and-melanoma"/>
    <w:p>
      <w:pPr>
        <w:pStyle w:val="Heading4"/>
      </w:pPr>
      <w:r>
        <w:t xml:space="preserve">Moles and Melanoma</w:t>
      </w:r>
    </w:p>
    <w:p>
      <w:pPr>
        <w:pStyle w:val="FirstParagraph"/>
      </w:pPr>
      <w:r>
        <w:t xml:space="preserve">This is the concern that occupies dermatologists the most. Melanotan II stimulates all pigment cells, including those in existing moles (nevi). Several case reports describe:</w:t>
      </w:r>
    </w:p>
    <w:p>
      <w:pPr>
        <w:numPr>
          <w:ilvl w:val="0"/>
          <w:numId w:val="1260"/>
        </w:numPr>
        <w:pStyle w:val="Compact"/>
      </w:pPr>
      <w:r>
        <w:rPr>
          <w:bCs/>
          <w:b/>
        </w:rPr>
        <w:t xml:space="preserve">new moles appearing in large numbers</w:t>
      </w:r>
      <w:r>
        <w:t xml:space="preserve"> </w:t>
      </w:r>
      <w:r>
        <w:t xml:space="preserve">(eruptive nevi) after melanotan injections</w:t>
      </w:r>
      <w:r>
        <w:rPr>
          <w:rStyle w:val="FootnoteReference"/>
        </w:rPr>
        <w:footnoteReference w:id="2050"/>
      </w:r>
      <w:r>
        <w:t xml:space="preserve">, some with a conspicuous, atypical appearance</w:t>
      </w:r>
      <w:r>
        <w:rPr>
          <w:rStyle w:val="FootnoteReference"/>
        </w:rPr>
        <w:footnoteReference w:id="2051"/>
      </w:r>
      <w:r>
        <w:t xml:space="preserve">;</w:t>
      </w:r>
    </w:p>
    <w:p>
      <w:pPr>
        <w:numPr>
          <w:ilvl w:val="0"/>
          <w:numId w:val="1260"/>
        </w:numPr>
        <w:pStyle w:val="Compact"/>
      </w:pPr>
      <w:r>
        <w:rPr>
          <w:bCs/>
          <w:b/>
        </w:rPr>
        <w:t xml:space="preserve">existing moles darkening and changing</w:t>
      </w:r>
      <w:r>
        <w:t xml:space="preserve">;</w:t>
      </w:r>
    </w:p>
    <w:p>
      <w:pPr>
        <w:numPr>
          <w:ilvl w:val="0"/>
          <w:numId w:val="1260"/>
        </w:numPr>
        <w:pStyle w:val="Compact"/>
      </w:pPr>
      <w:r>
        <w:rPr>
          <w:bCs/>
          <w:b/>
        </w:rPr>
        <w:t xml:space="preserve">melanomas</w:t>
      </w:r>
      <w:r>
        <w:t xml:space="preserve">, i.e. black skin cancer, during or shortly after use</w:t>
      </w:r>
      <w:r>
        <w:rPr>
          <w:rStyle w:val="FootnoteReference"/>
        </w:rPr>
        <w:footnoteReference w:id="2052"/>
      </w:r>
      <w:r>
        <w:t xml:space="preserve">. A 20-year-old woman with fair skin developed a melanoma on her buttocks three months after three to four weeks of self-treatment combined with tanning-bed sessions</w:t>
      </w:r>
      <w:r>
        <w:rPr>
          <w:rStyle w:val="FootnoteReference"/>
        </w:rPr>
        <w:footnoteReference w:id="2053"/>
      </w:r>
      <w:r>
        <w:t xml:space="preserve">. A case published in 2025 describes a melanoma of the oral mucosa in a 22-year-old who had used melanotan II nasal spray</w:t>
      </w:r>
      <w:r>
        <w:rPr>
          <w:rStyle w:val="FootnoteReference"/>
        </w:rPr>
        <w:footnoteReference w:id="2054"/>
      </w:r>
      <w:r>
        <w:t xml:space="preserve">.</w:t>
      </w:r>
    </w:p>
    <w:p>
      <w:pPr>
        <w:pStyle w:val="FirstParagraph"/>
      </w:pPr>
      <w:r>
        <w:t xml:space="preserve">A review of all published cases of suddenly appearing moles (179 people) found melanotan among the triggers, alongside immunosuppression and chemotherapy; 16% of cases had at least one dysplastic, i.e. conspicuously altered, mole</w:t>
      </w:r>
      <w:r>
        <w:rPr>
          <w:rStyle w:val="FootnoteReference"/>
        </w:rPr>
        <w:footnoteReference w:id="2055"/>
      </w:r>
      <w:r>
        <w:t xml:space="preserve">.</w:t>
      </w:r>
    </w:p>
    <w:p>
      <w:pPr>
        <w:pStyle w:val="BodyText"/>
      </w:pPr>
      <w:r>
        <w:rPr>
          <w:bCs/>
          <w:b/>
        </w:rPr>
        <w:t xml:space="preserve">What these data mean:</w:t>
      </w:r>
      <w:r>
        <w:t xml:space="preserve"> </w:t>
      </w:r>
      <w:r>
        <w:t xml:space="preserve">Case reports do not prove a causal relationship. Many of those affected were simultaneously using tanning beds or sunbathing intensively, which independently increases the risk of melanoma. A review concludes that a link has not been conclusively demonstrated, but that the accumulation of cases is reason for caution</w:t>
      </w:r>
      <w:r>
        <w:rPr>
          <w:rStyle w:val="FootnoteReference"/>
        </w:rPr>
        <w:footnoteReference w:id="2056"/>
      </w:r>
      <w:r>
        <w:t xml:space="preserve">. Because melanotan II has never been studied systematically, no one can say how high a possible risk is. For comparison: for the related, approved afamelanotide, a study using dermoscopy found only temporary changes in moles with no indication of malignant transformation (chapter 2E03) – but these data do not apply to melanotan II.</w:t>
      </w:r>
    </w:p>
    <w:bookmarkEnd w:id="2057"/>
    <w:bookmarkStart w:id="2065" w:name="severe-individual-cases"/>
    <w:p>
      <w:pPr>
        <w:pStyle w:val="Heading4"/>
      </w:pPr>
      <w:r>
        <w:t xml:space="preserve">Severe Individual Cases</w:t>
      </w:r>
    </w:p>
    <w:p>
      <w:pPr>
        <w:numPr>
          <w:ilvl w:val="0"/>
          <w:numId w:val="1261"/>
        </w:numPr>
        <w:pStyle w:val="Compact"/>
      </w:pPr>
      <w:r>
        <w:rPr>
          <w:bCs/>
          <w:b/>
        </w:rPr>
        <w:t xml:space="preserve">Priapism:</w:t>
      </w:r>
      <w:r>
        <w:t xml:space="preserve"> </w:t>
      </w:r>
      <w:r>
        <w:t xml:space="preserve">a painful prolonged erection, a urological emergency. Several case reports describe it after melanotan injections</w:t>
      </w:r>
      <w:r>
        <w:rPr>
          <w:rStyle w:val="FootnoteReference"/>
        </w:rPr>
        <w:footnoteReference w:id="2058"/>
      </w:r>
      <w:r>
        <w:t xml:space="preserve">. In one case, surgical decompression was necessary</w:t>
      </w:r>
      <w:r>
        <w:rPr>
          <w:rStyle w:val="FootnoteReference"/>
        </w:rPr>
        <w:footnoteReference w:id="2059"/>
      </w:r>
      <w:r>
        <w:t xml:space="preserve">; in another, erectile function had still not been restored four weeks later</w:t>
      </w:r>
      <w:r>
        <w:rPr>
          <w:rStyle w:val="FootnoteReference"/>
        </w:rPr>
        <w:footnoteReference w:id="2060"/>
      </w:r>
      <w:r>
        <w:t xml:space="preserve">.</w:t>
      </w:r>
    </w:p>
    <w:p>
      <w:pPr>
        <w:numPr>
          <w:ilvl w:val="0"/>
          <w:numId w:val="1261"/>
        </w:numPr>
        <w:pStyle w:val="Compact"/>
      </w:pPr>
      <w:r>
        <w:rPr>
          <w:bCs/>
          <w:b/>
        </w:rPr>
        <w:t xml:space="preserve">Muscle breakdown and kidney damage:</w:t>
      </w:r>
      <w:r>
        <w:t xml:space="preserve"> </w:t>
      </w:r>
      <w:r>
        <w:t xml:space="preserve">A 39-year-old man, by his own account, injected six times the recommended starting amount. He developed a racing heart, agitation and severe muscle breakdown (rhabdomyolysis) with a rise in the muscle enzyme CK to 17,773 IU/L and temporary kidney damage; the substance was confirmed in the laboratory as melanotan II</w:t>
      </w:r>
      <w:r>
        <w:rPr>
          <w:rStyle w:val="FootnoteReference"/>
        </w:rPr>
        <w:footnoteReference w:id="2061"/>
      </w:r>
      <w:r>
        <w:t xml:space="preserve">.</w:t>
      </w:r>
    </w:p>
    <w:p>
      <w:pPr>
        <w:numPr>
          <w:ilvl w:val="0"/>
          <w:numId w:val="1261"/>
        </w:numPr>
        <w:pStyle w:val="Compact"/>
      </w:pPr>
      <w:r>
        <w:rPr>
          <w:bCs/>
          <w:b/>
        </w:rPr>
        <w:t xml:space="preserve">Renal infarction:</w:t>
      </w:r>
      <w:r>
        <w:t xml:space="preserve"> </w:t>
      </w:r>
      <w:r>
        <w:t xml:space="preserve">a case report with literature review suspects melanotan II as the cause of an occlusion of renal vessels</w:t>
      </w:r>
      <w:r>
        <w:rPr>
          <w:rStyle w:val="FootnoteReference"/>
        </w:rPr>
        <w:footnoteReference w:id="2062"/>
      </w:r>
      <w:r>
        <w:t xml:space="preserve">.</w:t>
      </w:r>
    </w:p>
    <w:p>
      <w:pPr>
        <w:numPr>
          <w:ilvl w:val="0"/>
          <w:numId w:val="1261"/>
        </w:numPr>
        <w:pStyle w:val="Compact"/>
      </w:pPr>
      <w:r>
        <w:rPr>
          <w:bCs/>
          <w:b/>
        </w:rPr>
        <w:t xml:space="preserve">Brain swelling:</w:t>
      </w:r>
      <w:r>
        <w:t xml:space="preserve"> </w:t>
      </w:r>
      <w:r>
        <w:t xml:space="preserve">A case report describes posterior reversible encephalopathy syndrome (PRES), a swelling in the back of the brain, in connection with melanotan</w:t>
      </w:r>
      <w:r>
        <w:rPr>
          <w:rStyle w:val="FootnoteReference"/>
        </w:rPr>
        <w:footnoteReference w:id="2063"/>
      </w:r>
      <w:r>
        <w:t xml:space="preserve">.</w:t>
      </w:r>
    </w:p>
    <w:p>
      <w:pPr>
        <w:numPr>
          <w:ilvl w:val="0"/>
          <w:numId w:val="1261"/>
        </w:numPr>
        <w:pStyle w:val="Compact"/>
      </w:pPr>
      <w:r>
        <w:rPr>
          <w:bCs/>
          <w:b/>
        </w:rPr>
        <w:t xml:space="preserve">Skin inflammation:</w:t>
      </w:r>
      <w:r>
        <w:t xml:space="preserve"> </w:t>
      </w:r>
      <w:r>
        <w:t xml:space="preserve">Pyoderma gangrenosum, a severe ulcerative skin disease, has also been described</w:t>
      </w:r>
      <w:r>
        <w:rPr>
          <w:rStyle w:val="FootnoteReference"/>
        </w:rPr>
        <w:footnoteReference w:id="2064"/>
      </w:r>
      <w:r>
        <w:t xml:space="preserve">.</w:t>
      </w:r>
    </w:p>
    <w:bookmarkEnd w:id="2065"/>
    <w:bookmarkStart w:id="2069" w:name="gray-market-risks-1"/>
    <w:p>
      <w:pPr>
        <w:pStyle w:val="Heading4"/>
      </w:pPr>
      <w:r>
        <w:t xml:space="preserve">Gray-Market Risks</w:t>
      </w:r>
    </w:p>
    <w:p>
      <w:pPr>
        <w:pStyle w:val="FirstParagraph"/>
      </w:pPr>
      <w:r>
        <w:t xml:space="preserve">A laboratory bought vials of melanotan II from three online shops. All promised 10 mg per vial; in fact, they contained between 4.32 and 8.84 mg. Products from two shops contained 4.1 to 5.9% unknown impurities</w:t>
      </w:r>
      <w:r>
        <w:rPr>
          <w:rStyle w:val="FootnoteReference"/>
        </w:rPr>
        <w:footnoteReference w:id="2066"/>
      </w:r>
      <w:r>
        <w:t xml:space="preserve">. A forensic laboratory determined a purity of 30% in a seized sample</w:t>
      </w:r>
      <w:r>
        <w:rPr>
          <w:rStyle w:val="FootnoteReference"/>
        </w:rPr>
        <w:footnoteReference w:id="2067"/>
      </w:r>
      <w:r>
        <w:t xml:space="preserve">. In addition, there are the risks of non-sterile preparation and shared needles, which experts explicitly point out</w:t>
      </w:r>
      <w:r>
        <w:rPr>
          <w:rStyle w:val="FootnoteReference"/>
        </w:rPr>
        <w:footnoteReference w:id="2068"/>
      </w:r>
      <w:r>
        <w:t xml:space="preserve">. More on purity and counterfeits on the gray market can be found in Part I and Part IV.</w:t>
      </w:r>
    </w:p>
    <w:bookmarkEnd w:id="2069"/>
    <w:bookmarkEnd w:id="2070"/>
    <w:bookmarkStart w:id="2073" w:name="legal-status-47"/>
    <w:p>
      <w:pPr>
        <w:pStyle w:val="Heading3"/>
      </w:pPr>
      <w:r>
        <w:t xml:space="preserve">Legal status</w:t>
      </w:r>
    </w:p>
    <w:p>
      <w:pPr>
        <w:pStyle w:val="FirstParagraph"/>
      </w:pPr>
      <w:r>
        <w:rPr>
          <w:iCs/>
          <w:i/>
        </w:rPr>
        <w:t xml:space="preserve">As of 2026, please check for updates.</w:t>
      </w:r>
    </w:p>
    <w:p>
      <w:pPr>
        <w:numPr>
          <w:ilvl w:val="0"/>
          <w:numId w:val="1262"/>
        </w:numPr>
        <w:pStyle w:val="Compact"/>
      </w:pPr>
      <w:r>
        <w:rPr>
          <w:bCs/>
          <w:b/>
        </w:rPr>
        <w:t xml:space="preserve">EU:</w:t>
      </w:r>
      <w:r>
        <w:t xml:space="preserve"> </w:t>
      </w:r>
      <w:r>
        <w:t xml:space="preserve">Melanotan II is not approved in any member state. Because it is offered for use in humans with effects on bodily functions, it is legally considered a medicinal product; manufacture, import and sale without approval are prohibited. The label</w:t>
      </w:r>
      <w:r>
        <w:t xml:space="preserve"> </w:t>
      </w:r>
      <w:r>
        <w:t xml:space="preserve">“</w:t>
      </w:r>
      <w:r>
        <w:t xml:space="preserve">for research purposes only</w:t>
      </w:r>
      <w:r>
        <w:t xml:space="preserve">”</w:t>
      </w:r>
      <w:r>
        <w:t xml:space="preserve"> </w:t>
      </w:r>
      <w:r>
        <w:t xml:space="preserve">does not change this.</w:t>
      </w:r>
    </w:p>
    <w:p>
      <w:pPr>
        <w:numPr>
          <w:ilvl w:val="0"/>
          <w:numId w:val="1262"/>
        </w:numPr>
        <w:pStyle w:val="Compact"/>
      </w:pPr>
      <w:r>
        <w:rPr>
          <w:bCs/>
          <w:b/>
        </w:rPr>
        <w:t xml:space="preserve">Germany and Austria:</w:t>
      </w:r>
      <w:r>
        <w:t xml:space="preserve"> </w:t>
      </w:r>
      <w:r>
        <w:t xml:space="preserve">not approved. Supplying it for use in humans violates the respective Medicinal Products Act. Authorities and customs seize shipments.</w:t>
      </w:r>
    </w:p>
    <w:p>
      <w:pPr>
        <w:numPr>
          <w:ilvl w:val="0"/>
          <w:numId w:val="1262"/>
        </w:numPr>
        <w:pStyle w:val="Compact"/>
      </w:pPr>
      <w:r>
        <w:rPr>
          <w:bCs/>
          <w:b/>
        </w:rPr>
        <w:t xml:space="preserve">Official warnings:</w:t>
      </w:r>
      <w:r>
        <w:t xml:space="preserve"> </w:t>
      </w:r>
      <w:r>
        <w:t xml:space="preserve">Several national medicines and health authorities have warned against melanotan I and II</w:t>
      </w:r>
      <w:r>
        <w:rPr>
          <w:rStyle w:val="FootnoteReference"/>
        </w:rPr>
        <w:footnoteReference w:id="2071"/>
      </w:r>
      <w:r>
        <w:t xml:space="preserve">. To the author’s knowledge, the authorities in the United Kingdom and Ireland were among the first from 2008 onward, followed later by other European countries and Australia. In the United Kingdom, sale is explicitly illegal</w:t>
      </w:r>
      <w:r>
        <w:rPr>
          <w:rStyle w:val="FootnoteReference"/>
        </w:rPr>
        <w:footnoteReference w:id="2072"/>
      </w:r>
      <w:r>
        <w:t xml:space="preserve">.</w:t>
      </w:r>
    </w:p>
    <w:p>
      <w:pPr>
        <w:numPr>
          <w:ilvl w:val="0"/>
          <w:numId w:val="1262"/>
        </w:numPr>
        <w:pStyle w:val="Compact"/>
      </w:pPr>
      <w:r>
        <w:rPr>
          <w:bCs/>
          <w:b/>
        </w:rPr>
        <w:t xml:space="preserve">USA:</w:t>
      </w:r>
      <w:r>
        <w:t xml:space="preserve"> </w:t>
      </w:r>
      <w:r>
        <w:t xml:space="preserve">no FDA approval; distribution as a drug for use in humans is not permitted.</w:t>
      </w:r>
    </w:p>
    <w:p>
      <w:pPr>
        <w:numPr>
          <w:ilvl w:val="0"/>
          <w:numId w:val="1262"/>
        </w:numPr>
        <w:pStyle w:val="Compact"/>
      </w:pPr>
      <w:r>
        <w:rPr>
          <w:bCs/>
          <w:b/>
        </w:rPr>
        <w:t xml:space="preserve">WADA:</w:t>
      </w:r>
      <w:r>
        <w:t xml:space="preserve"> </w:t>
      </w:r>
      <w:r>
        <w:t xml:space="preserve">prohibited as a non-approved substance (S0).</w:t>
      </w:r>
    </w:p>
    <w:bookmarkEnd w:id="2073"/>
    <w:bookmarkStart w:id="2074" w:name="ongoing-studies-and-outlook-47"/>
    <w:p>
      <w:pPr>
        <w:pStyle w:val="Heading3"/>
      </w:pPr>
      <w:r>
        <w:t xml:space="preserve">Ongoing studies and outlook</w:t>
      </w:r>
    </w:p>
    <w:p>
      <w:pPr>
        <w:pStyle w:val="FirstParagraph"/>
      </w:pPr>
      <w:r>
        <w:rPr>
          <w:bCs/>
          <w:b/>
        </w:rPr>
        <w:t xml:space="preserve">Established (registered studies):</w:t>
      </w:r>
      <w:r>
        <w:t xml:space="preserve"> </w:t>
      </w:r>
      <w:r>
        <w:t xml:space="preserve">none. ClinicalTrials.gov did contain an entry on melanotan II in vitiligo; however, the sponsor of this entry has also registered entries that describe themselves as fictitious. The entry is therefore not counted here as a genuine study. Incidentally, this shows that a registry entry is not proof that a study is actually taking place.</w:t>
      </w:r>
    </w:p>
    <w:p>
      <w:pPr>
        <w:pStyle w:val="BodyText"/>
      </w:pPr>
      <w:r>
        <w:rPr>
          <w:bCs/>
          <w:b/>
        </w:rPr>
        <w:t xml:space="preserve">Author’s assessment:</w:t>
      </w:r>
      <w:r>
        <w:t xml:space="preserve"> </w:t>
      </w:r>
      <w:r>
        <w:t xml:space="preserve">There is no realistic path to approval as a tanning agent for healthy people: the benefit is cosmetic, the side effects via the brain are pronounced, and the question of moles and melanoma would have to be clarified in large, long studies. Medically meaningful applications of melanocortin agonists are being pursued with more selective molecules – afamelanotide for the skin, bremelanotide and setmelanotide for the brain. Popularity on social media is likely to further increase the number of case reports.</w:t>
      </w:r>
    </w:p>
    <w:bookmarkEnd w:id="2074"/>
    <w:bookmarkStart w:id="2075" w:name="conclusion-47"/>
    <w:p>
      <w:pPr>
        <w:pStyle w:val="Heading3"/>
      </w:pPr>
      <w:r>
        <w:t xml:space="preserve">Conclusion</w:t>
      </w:r>
    </w:p>
    <w:p>
      <w:pPr>
        <w:pStyle w:val="FirstParagraph"/>
      </w:pPr>
      <w:r>
        <w:t xml:space="preserve">Melanotan II is a research peptide from the 1990s that was tested in only around two dozen people in small studies and never received approval. It tans the skin but, via receptors in the brain, regularly triggers nausea and spontaneous erections. Case reports describe new and changed moles, melanomas, priapism and muscle breakdown; a causal link to skin cancer has not been proven, but has not been ruled out either. In laboratory analyses, gray-market products contained less active substance than stated and unknown impurities. The data are not sufficient to call melanotan II safe.</w:t>
      </w:r>
    </w:p>
    <w:bookmarkEnd w:id="2075"/>
    <w:bookmarkEnd w:id="2076"/>
    <w:bookmarkStart w:id="2136" w:name="afamelanotide"/>
    <w:p>
      <w:pPr>
        <w:pStyle w:val="Heading2"/>
      </w:pPr>
      <w:r>
        <w:t xml:space="preserve">Afamelanotide</w:t>
      </w:r>
    </w:p>
    <w:bookmarkStart w:id="2079" w:name="profile-48"/>
    <w:p>
      <w:pPr>
        <w:pStyle w:val="Heading3"/>
      </w:pPr>
      <w:r>
        <w:t xml:space="preserve">Profile</w:t>
      </w:r>
    </w:p>
    <w:p>
      <w:pPr>
        <w:numPr>
          <w:ilvl w:val="0"/>
          <w:numId w:val="1263"/>
        </w:numPr>
        <w:pStyle w:val="Compact"/>
      </w:pPr>
      <w:r>
        <w:rPr>
          <w:bCs/>
          <w:b/>
        </w:rPr>
        <w:t xml:space="preserve">Type/structure:</w:t>
      </w:r>
      <w:r>
        <w:t xml:space="preserve"> </w:t>
      </w:r>
      <w:r>
        <w:t xml:space="preserve">linear peptide of 13 amino acids. It corresponds to the body’s own hormone alpha-MSH with two building blocks exchanged (norleucine at position 4, the mirror-image D-form of phenylalanine at position 7). These changes make it more stable and more potent. Former names: melanotan I, MT-I, NDP-MSH, CUV1647.</w:t>
      </w:r>
    </w:p>
    <w:p>
      <w:pPr>
        <w:numPr>
          <w:ilvl w:val="0"/>
          <w:numId w:val="1263"/>
        </w:numPr>
        <w:pStyle w:val="Compact"/>
      </w:pPr>
      <w:r>
        <w:rPr>
          <w:bCs/>
          <w:b/>
        </w:rPr>
        <w:t xml:space="preserve">Origin:</w:t>
      </w:r>
      <w:r>
        <w:t xml:space="preserve"> </w:t>
      </w:r>
      <w:r>
        <w:t xml:space="preserve">developed at the University of Arizona together with melanotan II</w:t>
      </w:r>
      <w:r>
        <w:rPr>
          <w:rStyle w:val="FootnoteReference"/>
        </w:rPr>
        <w:footnoteReference w:id="2077"/>
      </w:r>
      <w:r>
        <w:t xml:space="preserve">; later developed into a medicine by the Australian company Clinuvel.</w:t>
      </w:r>
    </w:p>
    <w:p>
      <w:pPr>
        <w:numPr>
          <w:ilvl w:val="0"/>
          <w:numId w:val="1263"/>
        </w:numPr>
        <w:pStyle w:val="Compact"/>
      </w:pPr>
      <w:r>
        <w:rPr>
          <w:bCs/>
          <w:b/>
        </w:rPr>
        <w:t xml:space="preserve">Mechanism of action:</w:t>
      </w:r>
      <w:r>
        <w:t xml:space="preserve"> </w:t>
      </w:r>
      <w:r>
        <w:t xml:space="preserve">agonist at the melanocortin 1 receptor (MC1R) of the pigment cells. It stimulates production of the dark, light-protective pigment eumelanin – without prior UV radiation.</w:t>
      </w:r>
    </w:p>
    <w:p>
      <w:pPr>
        <w:numPr>
          <w:ilvl w:val="0"/>
          <w:numId w:val="1263"/>
        </w:numPr>
        <w:pStyle w:val="Compact"/>
      </w:pPr>
      <w:r>
        <w:rPr>
          <w:bCs/>
          <w:b/>
        </w:rPr>
        <w:t xml:space="preserve">Dosage form:</w:t>
      </w:r>
      <w:r>
        <w:t xml:space="preserve"> </w:t>
      </w:r>
      <w:r>
        <w:t xml:space="preserve">small, self-dissolving implant (16 mg) inserted under the skin that releases the active substance over weeks. It is inserted in specialized centers.</w:t>
      </w:r>
    </w:p>
    <w:p>
      <w:pPr>
        <w:numPr>
          <w:ilvl w:val="0"/>
          <w:numId w:val="1263"/>
        </w:numPr>
        <w:pStyle w:val="Compact"/>
      </w:pPr>
      <w:r>
        <w:rPr>
          <w:bCs/>
          <w:b/>
        </w:rPr>
        <w:t xml:space="preserve">Approval EU:</w:t>
      </w:r>
      <w:r>
        <w:t xml:space="preserve"> </w:t>
      </w:r>
      <w:r>
        <w:t xml:space="preserve">yes, since 2014 (Scenesse) for the prevention of phototoxicity in adults with erythropoietic protoporphyria (EPP). The approval was subject to conditions, including a post-authorization safety study and a patient registry</w:t>
      </w:r>
      <w:r>
        <w:rPr>
          <w:rStyle w:val="FootnoteReference"/>
        </w:rPr>
        <w:footnoteReference w:id="2078"/>
      </w:r>
      <w:r>
        <w:t xml:space="preserve">.</w:t>
      </w:r>
    </w:p>
    <w:p>
      <w:pPr>
        <w:numPr>
          <w:ilvl w:val="0"/>
          <w:numId w:val="1263"/>
        </w:numPr>
        <w:pStyle w:val="Compact"/>
      </w:pPr>
      <w:r>
        <w:rPr>
          <w:bCs/>
          <w:b/>
        </w:rPr>
        <w:t xml:space="preserve">Approval USA:</w:t>
      </w:r>
      <w:r>
        <w:t xml:space="preserve"> </w:t>
      </w:r>
      <w:r>
        <w:t xml:space="preserve">yes, since 2019 for adults with EPP.</w:t>
      </w:r>
    </w:p>
    <w:p>
      <w:pPr>
        <w:numPr>
          <w:ilvl w:val="0"/>
          <w:numId w:val="1263"/>
        </w:numPr>
        <w:pStyle w:val="Compact"/>
      </w:pPr>
      <w:r>
        <w:rPr>
          <w:bCs/>
          <w:b/>
        </w:rPr>
        <w:t xml:space="preserve">WADA:</w:t>
      </w:r>
      <w:r>
        <w:t xml:space="preserve"> </w:t>
      </w:r>
      <w:r>
        <w:t xml:space="preserve">not listed.</w:t>
      </w:r>
    </w:p>
    <w:p>
      <w:pPr>
        <w:numPr>
          <w:ilvl w:val="0"/>
          <w:numId w:val="1263"/>
        </w:numPr>
        <w:pStyle w:val="Compact"/>
      </w:pPr>
      <w:r>
        <w:rPr>
          <w:bCs/>
          <w:b/>
        </w:rPr>
        <w:t xml:space="preserve">Evidence level:</w:t>
      </w:r>
      <w:r>
        <w:t xml:space="preserve"> </w:t>
      </w:r>
      <w:r>
        <w:rPr>
          <w:bCs/>
          <w:b/>
        </w:rPr>
        <w:t xml:space="preserve">A</w:t>
      </w:r>
      <w:r>
        <w:t xml:space="preserve"> </w:t>
      </w:r>
      <w:r>
        <w:t xml:space="preserve">– approval in the EU and USA based on two randomized, placebo-controlled trials, supplemented by several long-term cohorts. Because the disease is rare, the studies are smaller than for common diseases.</w:t>
      </w:r>
    </w:p>
    <w:bookmarkEnd w:id="2079"/>
    <w:bookmarkStart w:id="2082" w:name="how-it-is-supposed-to-work-48"/>
    <w:p>
      <w:pPr>
        <w:pStyle w:val="Heading3"/>
      </w:pPr>
      <w:r>
        <w:t xml:space="preserve">How it is supposed to work</w:t>
      </w:r>
    </w:p>
    <w:p>
      <w:pPr>
        <w:pStyle w:val="FirstParagraph"/>
      </w:pPr>
      <w:r>
        <w:t xml:space="preserve">Erythropoietic protoporphyria (EPP) is a rare hereditary disease. In Europe, at least one in 140,000 people is affected</w:t>
      </w:r>
      <w:r>
        <w:rPr>
          <w:rStyle w:val="FootnoteReference"/>
        </w:rPr>
        <w:footnoteReference w:id="2080"/>
      </w:r>
      <w:r>
        <w:t xml:space="preserve">. Because of an enzyme defect in the production of the red blood pigment, a precursor, protoporphyrin IX, accumulates in the blood and skin. This substance is activated by visible light and then damages tissue and small blood vessels of the skin.</w:t>
      </w:r>
    </w:p>
    <w:p>
      <w:pPr>
        <w:pStyle w:val="BodyText"/>
      </w:pPr>
      <w:r>
        <w:t xml:space="preserve">The result is burning pain, often lasting for days, after just a few minutes in sunlight – frequently without visible skin changes. Those affected avoid daylight from childhood on. Conventional sunscreen hardly helps, because it is mainly visible light and not UV radiation that triggers the reaction. Some of those affected also develop liver damage because the excess protoporphyrin is excreted via the bile</w:t>
      </w:r>
      <w:r>
        <w:rPr>
          <w:rStyle w:val="FootnoteReference"/>
        </w:rPr>
        <w:footnoteReference w:id="2081"/>
      </w:r>
      <w:r>
        <w:t xml:space="preserve">.</w:t>
      </w:r>
    </w:p>
    <w:p>
      <w:pPr>
        <w:pStyle w:val="BodyText"/>
      </w:pPr>
      <w:r>
        <w:t xml:space="preserve">Afamelanotide does not address the cause but the skin: it tans the skin, and the additional eumelanin absorbs part of the light before it reaches the protoporphyrin. Laboratory experiments also suggest anti-inflammatory and antioxidant effects. How much of this plays a role in humans is unclear.</w:t>
      </w:r>
    </w:p>
    <w:p>
      <w:pPr>
        <w:pStyle w:val="BodyText"/>
      </w:pPr>
      <w:r>
        <w:t xml:space="preserve">Unlike melanotan II (chapter 2E02), afamelanotide acts mainly on the pigment receptor MC1R and only slightly on the receptors in the brain. That is why nausea and sexual side effects are much less common.</w:t>
      </w:r>
    </w:p>
    <w:bookmarkEnd w:id="2082"/>
    <w:bookmarkStart w:id="2110" w:name="human-studies-48"/>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10</w:t>
      </w:r>
      <w:r>
        <w:t xml:space="preserve"> </w:t>
      </w:r>
      <w:r>
        <w:t xml:space="preserve">human studies in PubMed (</w:t>
      </w:r>
      <w:r>
        <w:rPr>
          <w:rStyle w:val="VerbatimChar"/>
        </w:rPr>
        <w:t xml:space="preserve">humanstudien_alle</w:t>
      </w:r>
      <w:r>
        <w:t xml:space="preserve">) and</w:t>
      </w:r>
      <w:r>
        <w:t xml:space="preserve"> </w:t>
      </w:r>
      <w:r>
        <w:rPr>
          <w:bCs/>
          <w:b/>
        </w:rPr>
        <w:t xml:space="preserve">23</w:t>
      </w:r>
      <w:r>
        <w:t xml:space="preserve"> </w:t>
      </w:r>
      <w:r>
        <w:t xml:space="preserve">entries on ClinicalTrials.gov. However, the search only covers the name</w:t>
      </w:r>
      <w:r>
        <w:t xml:space="preserve"> </w:t>
      </w:r>
      <w:r>
        <w:t xml:space="preserve">“</w:t>
      </w:r>
      <w:r>
        <w:t xml:space="preserve">afamelanotide</w:t>
      </w:r>
      <w:r>
        <w:t xml:space="preserve">”</w:t>
      </w:r>
      <w:r>
        <w:t xml:space="preserve">; older studies under the names melanotan I or NDP-MSH as well as several cohort studies are not included and are discussed here in addition.</w:t>
      </w:r>
    </w:p>
    <w:bookmarkStart w:id="2086" w:name="background-melanotan-i-in-healthy-people"/>
    <w:p>
      <w:pPr>
        <w:pStyle w:val="Heading4"/>
      </w:pPr>
      <w:r>
        <w:t xml:space="preserve">Background: Melanotan I in Healthy People</w:t>
      </w:r>
    </w:p>
    <w:p>
      <w:pPr>
        <w:pStyle w:val="FirstParagraph"/>
      </w:pPr>
      <w:r>
        <w:t xml:space="preserve">In the 1990s and early 2000s, healthy volunteers in Arizona received daily injections. Their skin darkened on the face, neck and forearms; the eumelanin content of the forearm skin rose by an average of 98%</w:t>
      </w:r>
      <w:r>
        <w:rPr>
          <w:rStyle w:val="FootnoteReference"/>
        </w:rPr>
        <w:footnoteReference w:id="2083"/>
      </w:r>
      <w:r>
        <w:t xml:space="preserve">. Combined with sunlight, the skin tanned more intensely and for longer, and participants without the active substance needed 50% more sun exposure for the same tan</w:t>
      </w:r>
      <w:r>
        <w:rPr>
          <w:rStyle w:val="FootnoteReference"/>
        </w:rPr>
        <w:footnoteReference w:id="2084"/>
      </w:r>
      <w:r>
        <w:t xml:space="preserve">. In a study of 77 fair-skinned people, the effect was even stronger in carriers of certain MC1R gene variants – that is, in people with particularly sun-sensitive skin</w:t>
      </w:r>
      <w:r>
        <w:rPr>
          <w:rStyle w:val="FootnoteReference"/>
        </w:rPr>
        <w:footnoteReference w:id="2085"/>
      </w:r>
      <w:r>
        <w:t xml:space="preserve">. The plan to turn this into skin cancer protection for the general population was not pursued.</w:t>
      </w:r>
    </w:p>
    <w:bookmarkEnd w:id="2086"/>
    <w:bookmarkStart w:id="2090" w:name="the-approval-trials-in-epp"/>
    <w:p>
      <w:pPr>
        <w:pStyle w:val="Heading4"/>
      </w:pPr>
      <w:r>
        <w:t xml:space="preserve">The Approval Trials in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Harms 2009, PMID 19656325</w:t>
            </w:r>
          </w:p>
        </w:tc>
        <w:tc>
          <w:tcPr/>
          <w:p>
            <w:pPr>
              <w:pStyle w:val="Compact"/>
              <w:jc w:val="left"/>
            </w:pPr>
            <w:r>
              <w:t xml:space="preserve">5 people with EPP, open-label pilot study</w:t>
            </w:r>
          </w:p>
        </w:tc>
        <w:tc>
          <w:tcPr/>
          <w:p>
            <w:pPr>
              <w:pStyle w:val="Compact"/>
              <w:jc w:val="left"/>
            </w:pPr>
            <w:r>
              <w:t xml:space="preserve">120 days</w:t>
            </w:r>
          </w:p>
        </w:tc>
        <w:tc>
          <w:tcPr/>
          <w:p>
            <w:pPr>
              <w:pStyle w:val="Compact"/>
              <w:jc w:val="left"/>
            </w:pPr>
            <w:r>
              <w:t xml:space="preserve">Tolerance to light markedly increased</w:t>
            </w:r>
          </w:p>
        </w:tc>
      </w:tr>
      <w:tr>
        <w:tc>
          <w:tcPr/>
          <w:p>
            <w:pPr>
              <w:pStyle w:val="Compact"/>
              <w:jc w:val="left"/>
            </w:pPr>
            <w:r>
              <w:t xml:space="preserve">EU trial (Langendonk 2015), PMID 26132941</w:t>
            </w:r>
          </w:p>
        </w:tc>
        <w:tc>
          <w:tcPr/>
          <w:p>
            <w:pPr>
              <w:pStyle w:val="Compact"/>
              <w:jc w:val="left"/>
            </w:pPr>
            <w:r>
              <w:t xml:space="preserve">74 people, RCT vs. placebo implant</w:t>
            </w:r>
          </w:p>
        </w:tc>
        <w:tc>
          <w:tcPr/>
          <w:p>
            <w:pPr>
              <w:pStyle w:val="Compact"/>
              <w:jc w:val="left"/>
            </w:pPr>
            <w:r>
              <w:t xml:space="preserve">9 months</w:t>
            </w:r>
          </w:p>
        </w:tc>
        <w:tc>
          <w:tcPr/>
          <w:p>
            <w:pPr>
              <w:pStyle w:val="Compact"/>
              <w:jc w:val="left"/>
            </w:pPr>
            <w:r>
              <w:t xml:space="preserve">Pain-free time in direct sunlight median 6.0 vs. 0.8 hours; 77 vs. 146 phototoxic reactions</w:t>
            </w:r>
          </w:p>
        </w:tc>
      </w:tr>
      <w:tr>
        <w:tc>
          <w:tcPr/>
          <w:p>
            <w:pPr>
              <w:pStyle w:val="Compact"/>
              <w:jc w:val="left"/>
            </w:pPr>
            <w:r>
              <w:t xml:space="preserve">US trial (Langendonk 2015), PMID 26132941</w:t>
            </w:r>
          </w:p>
        </w:tc>
        <w:tc>
          <w:tcPr/>
          <w:p>
            <w:pPr>
              <w:pStyle w:val="Compact"/>
              <w:jc w:val="left"/>
            </w:pPr>
            <w:r>
              <w:t xml:space="preserve">94 people, RCT vs. placebo implant</w:t>
            </w:r>
          </w:p>
        </w:tc>
        <w:tc>
          <w:tcPr/>
          <w:p>
            <w:pPr>
              <w:pStyle w:val="Compact"/>
              <w:jc w:val="left"/>
            </w:pPr>
            <w:r>
              <w:t xml:space="preserve">6 months</w:t>
            </w:r>
          </w:p>
        </w:tc>
        <w:tc>
          <w:tcPr/>
          <w:p>
            <w:pPr>
              <w:pStyle w:val="Compact"/>
              <w:jc w:val="left"/>
            </w:pPr>
            <w:r>
              <w:t xml:space="preserve">Pain-free time in direct sunlight median 69.4 vs. 40.8 hours</w:t>
            </w:r>
          </w:p>
        </w:tc>
      </w:tr>
      <w:tr>
        <w:tc>
          <w:tcPr/>
          <w:p>
            <w:pPr>
              <w:pStyle w:val="Compact"/>
              <w:jc w:val="left"/>
            </w:pPr>
            <w:r>
              <w:t xml:space="preserve">Systematic review (Heerfordt 2023), PMID 36525819</w:t>
            </w:r>
          </w:p>
        </w:tc>
        <w:tc>
          <w:tcPr/>
          <w:p>
            <w:pPr>
              <w:pStyle w:val="Compact"/>
              <w:jc w:val="left"/>
            </w:pPr>
            <w:r>
              <w:t xml:space="preserve">40 studies on 18 treatments for EPP</w:t>
            </w:r>
          </w:p>
        </w:tc>
        <w:tc>
          <w:tcPr/>
          <w:p>
            <w:pPr>
              <w:pStyle w:val="Compact"/>
              <w:jc w:val="left"/>
            </w:pPr>
            <w:r>
              <w:t xml:space="preserve">–</w:t>
            </w:r>
          </w:p>
        </w:tc>
        <w:tc>
          <w:tcPr/>
          <w:p>
            <w:pPr>
              <w:pStyle w:val="Compact"/>
              <w:jc w:val="left"/>
            </w:pPr>
            <w:r>
              <w:t xml:space="preserve">moderate positive effect for afamelanotide and mineral sunscreen; no effect for beta-carotene, among others</w:t>
            </w:r>
          </w:p>
        </w:tc>
      </w:tr>
    </w:tbl>
    <w:p>
      <w:pPr>
        <w:pStyle w:val="BodyText"/>
      </w:pPr>
      <w:r>
        <w:t xml:space="preserve">In the first pilot study, five patients received two implants 60 days apart. Afterward, they tolerated considerably more light in a standardized light test, and the melanin density of the skin increased</w:t>
      </w:r>
      <w:r>
        <w:rPr>
          <w:rStyle w:val="FootnoteReference"/>
        </w:rPr>
        <w:footnoteReference w:id="2087"/>
      </w:r>
      <w:r>
        <w:t xml:space="preserve">.</w:t>
      </w:r>
    </w:p>
    <w:p>
      <w:pPr>
        <w:pStyle w:val="BodyText"/>
      </w:pPr>
      <w:r>
        <w:t xml:space="preserve">The approval is based on two double-blind trials published together in the New England Journal of Medicine</w:t>
      </w:r>
      <w:r>
        <w:rPr>
          <w:rStyle w:val="FootnoteReference"/>
        </w:rPr>
        <w:footnoteReference w:id="2088"/>
      </w:r>
      <w:r>
        <w:t xml:space="preserve">. Every 60 days, participants received an implant with afamelanotide or a sham implant. The primary endpoint was the number of hours in direct sunlight without pain, which participants recorded in a diary.</w:t>
      </w:r>
    </w:p>
    <w:p>
      <w:pPr>
        <w:pStyle w:val="BodyText"/>
      </w:pPr>
      <w:r>
        <w:t xml:space="preserve">Both trials showed an advantage for afamelanotide, and quality of life improved in both. The absolute figures, however, are sobering: in the European trial, participants spent a median of six hours pain-free in direct sunlight over nine months, compared with just under one hour under placebo. That the values are so low is also due to the disease itself: people who have experienced pain for years continue to avoid the sun even if they tolerate it better. Such diary measurements also depend heavily on weather and season, which makes the trials difficult to compare</w:t>
      </w:r>
      <w:r>
        <w:rPr>
          <w:rStyle w:val="FootnoteReference"/>
        </w:rPr>
        <w:footnoteReference w:id="2089"/>
      </w:r>
      <w:r>
        <w:t xml:space="preserve">.</w:t>
      </w:r>
    </w:p>
    <w:bookmarkEnd w:id="2090"/>
    <w:bookmarkStart w:id="2094" w:name="long-term-data-from-practice"/>
    <w:p>
      <w:pPr>
        <w:pStyle w:val="Heading4"/>
      </w:pPr>
      <w:r>
        <w:t xml:space="preserve">Long-Term Data from Practice</w:t>
      </w:r>
    </w:p>
    <w:p>
      <w:pPr>
        <w:pStyle w:val="FirstParagraph"/>
      </w:pPr>
      <w:r>
        <w:t xml:space="preserve">Because the approval trials were short and small, observations from routine care are especially important.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Biolcati 2015, PMID 25494545</w:t>
            </w:r>
          </w:p>
        </w:tc>
        <w:tc>
          <w:tcPr/>
          <w:p>
            <w:pPr>
              <w:pStyle w:val="Compact"/>
              <w:jc w:val="left"/>
            </w:pPr>
            <w:r>
              <w:t xml:space="preserve">115 people in Rome and Zurich, 1,023 implants, observational study</w:t>
            </w:r>
          </w:p>
        </w:tc>
        <w:tc>
          <w:tcPr/>
          <w:p>
            <w:pPr>
              <w:pStyle w:val="Compact"/>
              <w:jc w:val="left"/>
            </w:pPr>
            <w:r>
              <w:t xml:space="preserve">up to 8 years</w:t>
            </w:r>
          </w:p>
        </w:tc>
        <w:tc>
          <w:tcPr/>
          <w:p>
            <w:pPr>
              <w:pStyle w:val="Compact"/>
              <w:jc w:val="left"/>
            </w:pPr>
            <w:r>
              <w:t xml:space="preserve">Quality of life from 31% to 74% of the maximum score</w:t>
            </w:r>
          </w:p>
        </w:tc>
      </w:tr>
      <w:tr>
        <w:tc>
          <w:tcPr/>
          <w:p>
            <w:pPr>
              <w:pStyle w:val="Compact"/>
              <w:jc w:val="left"/>
            </w:pPr>
            <w:r>
              <w:t xml:space="preserve">Wensink 2020, PMID 32186677</w:t>
            </w:r>
          </w:p>
        </w:tc>
        <w:tc>
          <w:tcPr/>
          <w:p>
            <w:pPr>
              <w:pStyle w:val="Compact"/>
              <w:jc w:val="left"/>
            </w:pPr>
            <w:r>
              <w:t xml:space="preserve">117 people in Rotterdam, prospective cohort</w:t>
            </w:r>
          </w:p>
        </w:tc>
        <w:tc>
          <w:tcPr/>
          <w:p>
            <w:pPr>
              <w:pStyle w:val="Compact"/>
              <w:jc w:val="left"/>
            </w:pPr>
            <w:r>
              <w:t xml:space="preserve">median 2 years</w:t>
            </w:r>
          </w:p>
        </w:tc>
        <w:tc>
          <w:tcPr/>
          <w:p>
            <w:pPr>
              <w:pStyle w:val="Compact"/>
              <w:jc w:val="left"/>
            </w:pPr>
            <w:r>
              <w:t xml:space="preserve">6.1 hours more outdoors per week; 98% continued</w:t>
            </w:r>
          </w:p>
        </w:tc>
      </w:tr>
      <w:tr>
        <w:tc>
          <w:tcPr/>
          <w:p>
            <w:pPr>
              <w:pStyle w:val="Compact"/>
              <w:jc w:val="left"/>
            </w:pPr>
            <w:r>
              <w:t xml:space="preserve">Homey 2025, PMID 40082741</w:t>
            </w:r>
          </w:p>
        </w:tc>
        <w:tc>
          <w:tcPr/>
          <w:p>
            <w:pPr>
              <w:pStyle w:val="Compact"/>
              <w:jc w:val="left"/>
            </w:pPr>
            <w:r>
              <w:t xml:space="preserve">200 people in Germany, post-authorization safety study</w:t>
            </w:r>
          </w:p>
        </w:tc>
        <w:tc>
          <w:tcPr/>
          <w:p>
            <w:pPr>
              <w:pStyle w:val="Compact"/>
              <w:jc w:val="left"/>
            </w:pPr>
            <w:r>
              <w:t xml:space="preserve">ongoing</w:t>
            </w:r>
          </w:p>
        </w:tc>
        <w:tc>
          <w:tcPr/>
          <w:p>
            <w:pPr>
              <w:pStyle w:val="Compact"/>
              <w:jc w:val="left"/>
            </w:pPr>
            <w:r>
              <w:t xml:space="preserve">Quality of life significantly better; 91.0% continued</w:t>
            </w:r>
          </w:p>
        </w:tc>
      </w:tr>
      <w:tr>
        <w:tc>
          <w:tcPr/>
          <w:p>
            <w:pPr>
              <w:pStyle w:val="Compact"/>
              <w:jc w:val="left"/>
            </w:pPr>
            <w:r>
              <w:t xml:space="preserve">Seidl-Philipp 2026, PMID 41793078</w:t>
            </w:r>
          </w:p>
        </w:tc>
        <w:tc>
          <w:tcPr/>
          <w:p>
            <w:pPr>
              <w:pStyle w:val="Compact"/>
              <w:jc w:val="left"/>
            </w:pPr>
            <w:r>
              <w:t xml:space="preserve">20 people in Austria</w:t>
            </w:r>
          </w:p>
        </w:tc>
        <w:tc>
          <w:tcPr/>
          <w:p>
            <w:pPr>
              <w:pStyle w:val="Compact"/>
              <w:jc w:val="left"/>
            </w:pPr>
            <w:r>
              <w:t xml:space="preserve">2023</w:t>
            </w:r>
          </w:p>
        </w:tc>
        <w:tc>
          <w:tcPr/>
          <w:p>
            <w:pPr>
              <w:pStyle w:val="Compact"/>
              <w:jc w:val="left"/>
            </w:pPr>
            <w:r>
              <w:t xml:space="preserve">Light tolerance median 15 to 250 minutes; phototoxic reactions in 88% vs. 33%</w:t>
            </w:r>
          </w:p>
        </w:tc>
      </w:tr>
    </w:tbl>
    <w:p>
      <w:pPr>
        <w:pStyle w:val="BodyText"/>
      </w:pPr>
      <w:r>
        <w:t xml:space="preserve">The Italian-Swiss observational study included treatments since 2006. Only three people stated that the effect did not meet their expectations; 23% interrupted treatment for other reasons, such as pregnancy or cost</w:t>
      </w:r>
      <w:r>
        <w:rPr>
          <w:rStyle w:val="FootnoteReference"/>
        </w:rPr>
        <w:footnoteReference w:id="2091"/>
      </w:r>
      <w:r>
        <w:t xml:space="preserve">. In the Dutch cohort, phototoxic reactions became less painful, but their number and duration did not change significantly</w:t>
      </w:r>
      <w:r>
        <w:rPr>
          <w:rStyle w:val="FootnoteReference"/>
        </w:rPr>
        <w:footnoteReference w:id="2092"/>
      </w:r>
      <w:r>
        <w:t xml:space="preserve">. The Austrian analysis of all 20 people treated in 2023 shows particularly marked improvements in quality of life</w:t>
      </w:r>
      <w:r>
        <w:rPr>
          <w:rStyle w:val="FootnoteReference"/>
        </w:rPr>
        <w:footnoteReference w:id="2093"/>
      </w:r>
      <w:r>
        <w:t xml:space="preserve">.</w:t>
      </w:r>
    </w:p>
    <w:p>
      <w:pPr>
        <w:pStyle w:val="BodyText"/>
      </w:pPr>
      <w:r>
        <w:t xml:space="preserve">These cohorts have no control group. People who respond well are more likely to stay in treatment, and expectations of an expensive medicine influence self-reports. Nevertheless, the consistently high continuation rates for a treatment that requires a doctor’s visit every two months are a remarkable signal.</w:t>
      </w:r>
    </w:p>
    <w:bookmarkEnd w:id="2094"/>
    <w:bookmarkStart w:id="2098" w:name="further-observations-in-epp"/>
    <w:p>
      <w:pPr>
        <w:pStyle w:val="Heading4"/>
      </w:pPr>
      <w:r>
        <w:t xml:space="preserve">Further Observations in EPP</w:t>
      </w:r>
    </w:p>
    <w:p>
      <w:pPr>
        <w:numPr>
          <w:ilvl w:val="0"/>
          <w:numId w:val="1264"/>
        </w:numPr>
        <w:pStyle w:val="Compact"/>
      </w:pPr>
      <w:r>
        <w:rPr>
          <w:bCs/>
          <w:b/>
        </w:rPr>
        <w:t xml:space="preserve">Liver:</w:t>
      </w:r>
      <w:r>
        <w:t xml:space="preserve"> </w:t>
      </w:r>
      <w:r>
        <w:t xml:space="preserve">In a Swiss analysis of 70 treated patients with almost 3,000 liver values, the liver enzyme ALT and bilirubin fell the more implants had been inserted in the previous year</w:t>
      </w:r>
      <w:r>
        <w:rPr>
          <w:rStyle w:val="FootnoteReference"/>
        </w:rPr>
        <w:footnoteReference w:id="2095"/>
      </w:r>
      <w:r>
        <w:t xml:space="preserve">. This is an association from observational data, not proof of liver protection.</w:t>
      </w:r>
    </w:p>
    <w:p>
      <w:pPr>
        <w:numPr>
          <w:ilvl w:val="0"/>
          <w:numId w:val="1264"/>
        </w:numPr>
        <w:pStyle w:val="Compact"/>
      </w:pPr>
      <w:r>
        <w:rPr>
          <w:bCs/>
          <w:b/>
        </w:rPr>
        <w:t xml:space="preserve">Vitamin D:</w:t>
      </w:r>
      <w:r>
        <w:t xml:space="preserve"> </w:t>
      </w:r>
      <w:r>
        <w:t xml:space="preserve">Afamelanotide did not change vitamin D levels. In a study of 230 people, deficiency persisted in 71.8%; only supplementation with vitamin D3 raised levels</w:t>
      </w:r>
      <w:r>
        <w:rPr>
          <w:rStyle w:val="FootnoteReference"/>
        </w:rPr>
        <w:footnoteReference w:id="2096"/>
      </w:r>
      <w:r>
        <w:t xml:space="preserve">.</w:t>
      </w:r>
    </w:p>
    <w:p>
      <w:pPr>
        <w:numPr>
          <w:ilvl w:val="0"/>
          <w:numId w:val="1264"/>
        </w:numPr>
        <w:pStyle w:val="Compact"/>
      </w:pPr>
      <w:r>
        <w:rPr>
          <w:bCs/>
          <w:b/>
        </w:rPr>
        <w:t xml:space="preserve">Antibodies:</w:t>
      </w:r>
      <w:r>
        <w:t xml:space="preserve"> </w:t>
      </w:r>
      <w:r>
        <w:t xml:space="preserve">In 23 of 26 people, no antibodies against the active substance developed over up to six years; three already had measurable antibodies before treatment, which did not change</w:t>
      </w:r>
      <w:r>
        <w:rPr>
          <w:rStyle w:val="FootnoteReference"/>
        </w:rPr>
        <w:footnoteReference w:id="2097"/>
      </w:r>
      <w:r>
        <w:t xml:space="preserve">.</w:t>
      </w:r>
    </w:p>
    <w:bookmarkEnd w:id="2098"/>
    <w:bookmarkStart w:id="2103" w:name="vitiligo"/>
    <w:p>
      <w:pPr>
        <w:pStyle w:val="Heading4"/>
      </w:pPr>
      <w:r>
        <w:t xml:space="preserve">Vitiligo</w:t>
      </w:r>
    </w:p>
    <w:p>
      <w:pPr>
        <w:pStyle w:val="FirstParagraph"/>
      </w:pPr>
      <w:r>
        <w:t xml:space="preserve">In vitiligo, the immune system destroys pigment cells, resulting in white patches. Standard treatment is light therapy with narrowband UVB. Afamelanotide is intended to provide additional stimulation to the remaining pigment cells.</w:t>
      </w:r>
    </w:p>
    <w:p>
      <w:pPr>
        <w:pStyle w:val="BodyText"/>
      </w:pPr>
      <w:r>
        <w:t xml:space="preserve">A case series with four people</w:t>
      </w:r>
      <w:r>
        <w:rPr>
          <w:rStyle w:val="FootnoteReference"/>
        </w:rPr>
        <w:footnoteReference w:id="2099"/>
      </w:r>
      <w:r>
        <w:t xml:space="preserve"> </w:t>
      </w:r>
      <w:r>
        <w:t xml:space="preserve">was followed by a randomized trial with 55 participants</w:t>
      </w:r>
      <w:r>
        <w:rPr>
          <w:rStyle w:val="FootnoteReference"/>
        </w:rPr>
        <w:footnoteReference w:id="2100"/>
      </w:r>
      <w:r>
        <w:t xml:space="preserve">. The combination of light therapy and monthly implants led to new pigmentation faster than light therapy alone. After 168 days, 48.64% of the area was repigmented in the combination arm, compared with 33.26% under light therapy alone. The advantage was seen mainly in darker skin types (IV to VI). One drawback that experts point out: healthy skin also darkens, so the contrast with the white patches may initially increase</w:t>
      </w:r>
      <w:r>
        <w:rPr>
          <w:rStyle w:val="FootnoteReference"/>
        </w:rPr>
        <w:footnoteReference w:id="2101"/>
      </w:r>
      <w:r>
        <w:t xml:space="preserve">. A study in Asian patients has also been published</w:t>
      </w:r>
      <w:r>
        <w:rPr>
          <w:rStyle w:val="FootnoteReference"/>
        </w:rPr>
        <w:footnoteReference w:id="2102"/>
      </w:r>
      <w:r>
        <w:t xml:space="preserve">.</w:t>
      </w:r>
    </w:p>
    <w:bookmarkEnd w:id="2103"/>
    <w:bookmarkStart w:id="2109" w:name="other-uses-in-pilot-studies"/>
    <w:p>
      <w:pPr>
        <w:pStyle w:val="Heading4"/>
      </w:pPr>
      <w:r>
        <w:t xml:space="preserve">Other Uses in Pilot Studies</w:t>
      </w:r>
    </w:p>
    <w:p>
      <w:pPr>
        <w:pStyle w:val="FirstParagraph"/>
      </w:pPr>
      <w:r>
        <w:t xml:space="preserve">The following results come from very small, mostly open-label studies and should be understood as hypotheses:</w:t>
      </w:r>
    </w:p>
    <w:p>
      <w:pPr>
        <w:numPr>
          <w:ilvl w:val="0"/>
          <w:numId w:val="1265"/>
        </w:numPr>
        <w:pStyle w:val="Compact"/>
      </w:pPr>
      <w:r>
        <w:rPr>
          <w:bCs/>
          <w:b/>
        </w:rPr>
        <w:t xml:space="preserve">Solar urticaria</w:t>
      </w:r>
      <w:r>
        <w:t xml:space="preserve"> </w:t>
      </w:r>
      <w:r>
        <w:t xml:space="preserve">(hives caused by light): less wheal formation in 5 people after one implant</w:t>
      </w:r>
      <w:r>
        <w:rPr>
          <w:rStyle w:val="FootnoteReference"/>
        </w:rPr>
        <w:footnoteReference w:id="2104"/>
      </w:r>
      <w:r>
        <w:t xml:space="preserve">.</w:t>
      </w:r>
    </w:p>
    <w:p>
      <w:pPr>
        <w:numPr>
          <w:ilvl w:val="0"/>
          <w:numId w:val="1265"/>
        </w:numPr>
        <w:pStyle w:val="Compact"/>
      </w:pPr>
      <w:r>
        <w:rPr>
          <w:bCs/>
          <w:b/>
        </w:rPr>
        <w:t xml:space="preserve">Acne:</w:t>
      </w:r>
      <w:r>
        <w:t xml:space="preserve"> </w:t>
      </w:r>
      <w:r>
        <w:t xml:space="preserve">fewer inflammatory lesions in 3 people</w:t>
      </w:r>
      <w:r>
        <w:rPr>
          <w:rStyle w:val="FootnoteReference"/>
        </w:rPr>
        <w:footnoteReference w:id="2105"/>
      </w:r>
      <w:r>
        <w:t xml:space="preserve">.</w:t>
      </w:r>
    </w:p>
    <w:p>
      <w:pPr>
        <w:numPr>
          <w:ilvl w:val="0"/>
          <w:numId w:val="1265"/>
        </w:numPr>
        <w:pStyle w:val="Compact"/>
      </w:pPr>
      <w:r>
        <w:rPr>
          <w:bCs/>
          <w:b/>
        </w:rPr>
        <w:t xml:space="preserve">Hailey-Hailey disease</w:t>
      </w:r>
      <w:r>
        <w:t xml:space="preserve"> </w:t>
      </w:r>
      <w:r>
        <w:t xml:space="preserve">(hereditary blistering disease): healing of skin lesions in 2 people</w:t>
      </w:r>
      <w:r>
        <w:rPr>
          <w:rStyle w:val="FootnoteReference"/>
        </w:rPr>
        <w:footnoteReference w:id="2106"/>
      </w:r>
      <w:r>
        <w:t xml:space="preserve">.</w:t>
      </w:r>
    </w:p>
    <w:p>
      <w:pPr>
        <w:numPr>
          <w:ilvl w:val="0"/>
          <w:numId w:val="1265"/>
        </w:numPr>
        <w:pStyle w:val="Compact"/>
      </w:pPr>
      <w:r>
        <w:rPr>
          <w:bCs/>
          <w:b/>
        </w:rPr>
        <w:t xml:space="preserve">Stroke:</w:t>
      </w:r>
      <w:r>
        <w:t xml:space="preserve"> </w:t>
      </w:r>
      <w:r>
        <w:t xml:space="preserve">In an open-label feasibility study with 6 people, administration was feasible; one person died of a recurrent stroke, which the researchers did not attribute to the drug</w:t>
      </w:r>
      <w:r>
        <w:rPr>
          <w:rStyle w:val="FootnoteReference"/>
        </w:rPr>
        <w:footnoteReference w:id="2107"/>
      </w:r>
      <w:r>
        <w:t xml:space="preserve">.</w:t>
      </w:r>
    </w:p>
    <w:p>
      <w:pPr>
        <w:numPr>
          <w:ilvl w:val="0"/>
          <w:numId w:val="1265"/>
        </w:numPr>
        <w:pStyle w:val="Compact"/>
      </w:pPr>
      <w:r>
        <w:rPr>
          <w:bCs/>
          <w:b/>
        </w:rPr>
        <w:t xml:space="preserve">Healthy skin:</w:t>
      </w:r>
      <w:r>
        <w:t xml:space="preserve"> </w:t>
      </w:r>
      <w:r>
        <w:t xml:space="preserve">In 9 healthy volunteers, skin redness after UV irradiation was lower six days after the implant</w:t>
      </w:r>
      <w:r>
        <w:rPr>
          <w:rStyle w:val="FootnoteReference"/>
        </w:rPr>
        <w:footnoteReference w:id="2108"/>
      </w:r>
      <w:r>
        <w:t xml:space="preserve">.</w:t>
      </w:r>
    </w:p>
    <w:bookmarkEnd w:id="2109"/>
    <w:bookmarkEnd w:id="2110"/>
    <w:bookmarkStart w:id="2113" w:name="animal-and-laboratory-studies-48"/>
    <w:p>
      <w:pPr>
        <w:pStyle w:val="Heading3"/>
      </w:pPr>
      <w:r>
        <w:t xml:space="preserve">Animal and laboratory studies</w:t>
      </w:r>
    </w:p>
    <w:p>
      <w:pPr>
        <w:pStyle w:val="FirstParagraph"/>
      </w:pPr>
      <w:r>
        <w:t xml:space="preserve">In cell cultures, afamelanotide has antioxidant effects. In skin cells from people with Hailey-Hailey disease, it activated the protective factor Nrf2 and partially restored disturbed cell division</w:t>
      </w:r>
      <w:r>
        <w:rPr>
          <w:rStyle w:val="FootnoteReference"/>
        </w:rPr>
        <w:footnoteReference w:id="2111"/>
      </w:r>
      <w:r>
        <w:t xml:space="preserve">. Studies on the stability and degradation products of the active substance concern pharmaceutical quality</w:t>
      </w:r>
      <w:r>
        <w:rPr>
          <w:rStyle w:val="FootnoteReference"/>
        </w:rPr>
        <w:footnoteReference w:id="2112"/>
      </w:r>
      <w:r>
        <w:t xml:space="preserve">. Today, animal data play a minor role in the assessment in humans because the clinical data are more meaningful.</w:t>
      </w:r>
    </w:p>
    <w:bookmarkEnd w:id="2113"/>
    <w:bookmarkStart w:id="2124" w:name="risks-and-side-effects-48"/>
    <w:p>
      <w:pPr>
        <w:pStyle w:val="Heading3"/>
      </w:pPr>
      <w:r>
        <w:t xml:space="preserve">Risks and side effects</w:t>
      </w:r>
    </w:p>
    <w:bookmarkStart w:id="2118" w:name="established-1"/>
    <w:p>
      <w:pPr>
        <w:pStyle w:val="Heading4"/>
      </w:pPr>
      <w:r>
        <w:t xml:space="preserve">Established</w:t>
      </w:r>
    </w:p>
    <w:p>
      <w:pPr>
        <w:numPr>
          <w:ilvl w:val="0"/>
          <w:numId w:val="1266"/>
        </w:numPr>
        <w:pStyle w:val="Compact"/>
      </w:pPr>
      <w:r>
        <w:rPr>
          <w:bCs/>
          <w:b/>
        </w:rPr>
        <w:t xml:space="preserve">Common, mostly mild side effects:</w:t>
      </w:r>
      <w:r>
        <w:t xml:space="preserve"> </w:t>
      </w:r>
      <w:r>
        <w:t xml:space="preserve">nausea, headache, fatigue and reactions at the implant site</w:t>
      </w:r>
      <w:r>
        <w:rPr>
          <w:rStyle w:val="FootnoteReference"/>
        </w:rPr>
        <w:footnoteReference w:id="2114"/>
      </w:r>
      <w:r>
        <w:t xml:space="preserve">. Serious adverse events in the approval trials were not attributed to the active substance.</w:t>
      </w:r>
    </w:p>
    <w:p>
      <w:pPr>
        <w:numPr>
          <w:ilvl w:val="0"/>
          <w:numId w:val="1266"/>
        </w:numPr>
        <w:pStyle w:val="Compact"/>
      </w:pPr>
      <w:r>
        <w:rPr>
          <w:bCs/>
          <w:b/>
        </w:rPr>
        <w:t xml:space="preserve">Darker skin and moles:</w:t>
      </w:r>
      <w:r>
        <w:t xml:space="preserve"> </w:t>
      </w:r>
      <w:r>
        <w:t xml:space="preserve">The tanning is the intended effect. Moles and freckles also darken. In a study of 15 people with 103 moles, dermoscopy showed temporary changes that had regressed after one year; no new moles or signs of malignancy occurred</w:t>
      </w:r>
      <w:r>
        <w:rPr>
          <w:rStyle w:val="FootnoteReference"/>
        </w:rPr>
        <w:footnoteReference w:id="2115"/>
      </w:r>
      <w:r>
        <w:t xml:space="preserve">. The prescribing information calls for regular skin examinations.</w:t>
      </w:r>
    </w:p>
    <w:p>
      <w:pPr>
        <w:numPr>
          <w:ilvl w:val="0"/>
          <w:numId w:val="1266"/>
        </w:numPr>
        <w:pStyle w:val="Compact"/>
      </w:pPr>
      <w:r>
        <w:rPr>
          <w:bCs/>
          <w:b/>
        </w:rPr>
        <w:t xml:space="preserve">Pigment changes in the oral mucosa</w:t>
      </w:r>
      <w:r>
        <w:t xml:space="preserve"> </w:t>
      </w:r>
      <w:r>
        <w:t xml:space="preserve">have been described (de Baat 2020, PMID 32459219; however, the review mixes findings on the approved implant with those on gray-market melanotan), as has a case of apparent depigmentation with concurrent atopic dermatitis</w:t>
      </w:r>
      <w:r>
        <w:rPr>
          <w:rStyle w:val="FootnoteReference"/>
        </w:rPr>
        <w:footnoteReference w:id="2116"/>
      </w:r>
      <w:r>
        <w:t xml:space="preserve">.</w:t>
      </w:r>
    </w:p>
    <w:p>
      <w:pPr>
        <w:numPr>
          <w:ilvl w:val="0"/>
          <w:numId w:val="1266"/>
        </w:numPr>
        <w:pStyle w:val="Compact"/>
      </w:pPr>
      <w:r>
        <w:rPr>
          <w:bCs/>
          <w:b/>
        </w:rPr>
        <w:t xml:space="preserve">No effect on vitamin D:</w:t>
      </w:r>
      <w:r>
        <w:t xml:space="preserve"> </w:t>
      </w:r>
      <w:r>
        <w:t xml:space="preserve">see above</w:t>
      </w:r>
      <w:r>
        <w:rPr>
          <w:rStyle w:val="FootnoteReference"/>
        </w:rPr>
        <w:footnoteReference w:id="2117"/>
      </w:r>
      <w:r>
        <w:t xml:space="preserve">.</w:t>
      </w:r>
    </w:p>
    <w:bookmarkEnd w:id="2118"/>
    <w:bookmarkStart w:id="2121" w:name="open-questions-1"/>
    <w:p>
      <w:pPr>
        <w:pStyle w:val="Heading4"/>
      </w:pPr>
      <w:r>
        <w:t xml:space="preserve">Open Questions</w:t>
      </w:r>
    </w:p>
    <w:p>
      <w:pPr>
        <w:pStyle w:val="FirstParagraph"/>
      </w:pPr>
      <w:r>
        <w:t xml:space="preserve">Data on pregnancy are largely lacking; in practice, treatment is paused. Afamelanotide is not approved for children and adolescents</w:t>
      </w:r>
      <w:r>
        <w:rPr>
          <w:rStyle w:val="FootnoteReference"/>
        </w:rPr>
        <w:footnoteReference w:id="2119"/>
      </w:r>
      <w:r>
        <w:t xml:space="preserve">, even though EPP usually begins in early childhood. Individual off-label treatments of children have been published as case reports</w:t>
      </w:r>
      <w:r>
        <w:rPr>
          <w:rStyle w:val="FootnoteReference"/>
        </w:rPr>
        <w:footnoteReference w:id="2120"/>
      </w:r>
      <w:r>
        <w:t xml:space="preserve">. Whether decades of stimulation of the pigment cells affect the risk of skin cancer cannot be conclusively determined with the observation periods available so far.</w:t>
      </w:r>
    </w:p>
    <w:bookmarkEnd w:id="2121"/>
    <w:bookmarkStart w:id="2123" w:name="distinction-from-the-gray-market"/>
    <w:p>
      <w:pPr>
        <w:pStyle w:val="Heading4"/>
      </w:pPr>
      <w:r>
        <w:t xml:space="preserve">Distinction from the Gray Market</w:t>
      </w:r>
    </w:p>
    <w:p>
      <w:pPr>
        <w:pStyle w:val="FirstParagraph"/>
      </w:pPr>
      <w:r>
        <w:t xml:space="preserve">“</w:t>
      </w:r>
      <w:r>
        <w:t xml:space="preserve">Melanotan I</w:t>
      </w:r>
      <w:r>
        <w:t xml:space="preserve">”</w:t>
      </w:r>
      <w:r>
        <w:t xml:space="preserve"> </w:t>
      </w:r>
      <w:r>
        <w:t xml:space="preserve">is offered on the internet as a tanning agent. Such products share only the name of the active substance with the approved implant: they are sold as powder for self-injection, purity and content are untested, and there is no medical monitoring of the skin. The safety data from EPP treatment cannot be transferred to them</w:t>
      </w:r>
      <w:r>
        <w:rPr>
          <w:rStyle w:val="FootnoteReference"/>
        </w:rPr>
        <w:footnoteReference w:id="2122"/>
      </w:r>
      <w:r>
        <w:t xml:space="preserve">.</w:t>
      </w:r>
    </w:p>
    <w:bookmarkEnd w:id="2123"/>
    <w:bookmarkEnd w:id="2124"/>
    <w:bookmarkStart w:id="2128" w:name="legal-status-48"/>
    <w:p>
      <w:pPr>
        <w:pStyle w:val="Heading3"/>
      </w:pPr>
      <w:r>
        <w:t xml:space="preserve">Legal status</w:t>
      </w:r>
    </w:p>
    <w:p>
      <w:pPr>
        <w:pStyle w:val="FirstParagraph"/>
      </w:pPr>
      <w:r>
        <w:rPr>
          <w:iCs/>
          <w:i/>
        </w:rPr>
        <w:t xml:space="preserve">As of 2026, please check for updates.</w:t>
      </w:r>
    </w:p>
    <w:p>
      <w:pPr>
        <w:numPr>
          <w:ilvl w:val="0"/>
          <w:numId w:val="1267"/>
        </w:numPr>
        <w:pStyle w:val="Compact"/>
      </w:pPr>
      <w:r>
        <w:rPr>
          <w:bCs/>
          <w:b/>
        </w:rPr>
        <w:t xml:space="preserve">EU:</w:t>
      </w:r>
      <w:r>
        <w:t xml:space="preserve"> </w:t>
      </w:r>
      <w:r>
        <w:t xml:space="preserve">centrally approved since 2014 as an orphan medicine (Scenesse) for adults with EPP. Treatment is provided in specialized centers; a safety study and a European registry are part of the conditions</w:t>
      </w:r>
      <w:r>
        <w:rPr>
          <w:rStyle w:val="FootnoteReference"/>
        </w:rPr>
        <w:footnoteReference w:id="2125"/>
      </w:r>
      <w:r>
        <w:t xml:space="preserve">.</w:t>
      </w:r>
    </w:p>
    <w:p>
      <w:pPr>
        <w:numPr>
          <w:ilvl w:val="0"/>
          <w:numId w:val="1267"/>
        </w:numPr>
        <w:pStyle w:val="Compact"/>
      </w:pPr>
      <w:r>
        <w:rPr>
          <w:bCs/>
          <w:b/>
        </w:rPr>
        <w:t xml:space="preserve">Germany and Austria:</w:t>
      </w:r>
      <w:r>
        <w:t xml:space="preserve"> </w:t>
      </w:r>
      <w:r>
        <w:t xml:space="preserve">available through specialized porphyria and dermatology clinics; reimbursement must be clarified on a case-by-case basis. Published treatment cohorts exist from both countries</w:t>
      </w:r>
      <w:r>
        <w:rPr>
          <w:rStyle w:val="FootnoteReference"/>
        </w:rPr>
        <w:footnoteReference w:id="2126"/>
      </w:r>
      <w:r>
        <w:t xml:space="preserve">.</w:t>
      </w:r>
    </w:p>
    <w:p>
      <w:pPr>
        <w:numPr>
          <w:ilvl w:val="0"/>
          <w:numId w:val="1267"/>
        </w:numPr>
        <w:pStyle w:val="Compact"/>
      </w:pPr>
      <w:r>
        <w:rPr>
          <w:bCs/>
          <w:b/>
        </w:rPr>
        <w:t xml:space="preserve">USA:</w:t>
      </w:r>
      <w:r>
        <w:t xml:space="preserve"> </w:t>
      </w:r>
      <w:r>
        <w:t xml:space="preserve">approved since 2019 for adults with EPP and phototoxic reactions.</w:t>
      </w:r>
    </w:p>
    <w:p>
      <w:pPr>
        <w:numPr>
          <w:ilvl w:val="0"/>
          <w:numId w:val="1267"/>
        </w:numPr>
        <w:pStyle w:val="Compact"/>
      </w:pPr>
      <w:r>
        <w:rPr>
          <w:bCs/>
          <w:b/>
        </w:rPr>
        <w:t xml:space="preserve">Cost:</w:t>
      </w:r>
      <w:r>
        <w:t xml:space="preserve"> </w:t>
      </w:r>
      <w:r>
        <w:t xml:space="preserve">Afamelanotide is one of the expensive medicines for rare diseases. In England, the assessment body NICE declined funding – so far the only therapy in its program for very rare diseases to be rejected. Patient representatives criticize the calculation used</w:t>
      </w:r>
      <w:r>
        <w:rPr>
          <w:rStyle w:val="FootnoteReference"/>
        </w:rPr>
        <w:footnoteReference w:id="2127"/>
      </w:r>
      <w:r>
        <w:t xml:space="preserve">.</w:t>
      </w:r>
    </w:p>
    <w:p>
      <w:pPr>
        <w:numPr>
          <w:ilvl w:val="0"/>
          <w:numId w:val="1267"/>
        </w:numPr>
        <w:pStyle w:val="Compact"/>
      </w:pPr>
      <w:r>
        <w:rPr>
          <w:bCs/>
          <w:b/>
        </w:rPr>
        <w:t xml:space="preserve">WADA:</w:t>
      </w:r>
      <w:r>
        <w:t xml:space="preserve"> </w:t>
      </w:r>
      <w:r>
        <w:t xml:space="preserve">not listed.</w:t>
      </w:r>
    </w:p>
    <w:bookmarkEnd w:id="2128"/>
    <w:bookmarkStart w:id="2134" w:name="ongoing-studies-and-outlook-48"/>
    <w:p>
      <w:pPr>
        <w:pStyle w:val="Heading3"/>
      </w:pPr>
      <w:r>
        <w:t xml:space="preserve">Ongoing studies and outlook</w:t>
      </w:r>
    </w:p>
    <w:p>
      <w:pPr>
        <w:pStyle w:val="FirstParagraph"/>
      </w:pPr>
      <w:r>
        <w:rPr>
          <w:bCs/>
          <w:b/>
        </w:rPr>
        <w:t xml:space="preserve">Established (registered studies):</w:t>
      </w:r>
    </w:p>
    <w:p>
      <w:pPr>
        <w:numPr>
          <w:ilvl w:val="0"/>
          <w:numId w:val="1268"/>
        </w:numPr>
        <w:pStyle w:val="Compact"/>
      </w:pPr>
      <w:r>
        <w:rPr>
          <w:bCs/>
          <w:b/>
        </w:rPr>
        <w:t xml:space="preserve">Vitiligo, phase 3:</w:t>
      </w:r>
      <w:r>
        <w:t xml:space="preserve"> </w:t>
      </w:r>
      <w:r>
        <w:t xml:space="preserve">A trial with 200 people compares afamelanotide plus narrowband UVB with light therapy alone</w:t>
      </w:r>
      <w:r>
        <w:rPr>
          <w:rStyle w:val="FootnoteReference"/>
        </w:rPr>
        <w:footnoteReference w:id="2129"/>
      </w:r>
      <w:r>
        <w:t xml:space="preserve">. The planned end was June 2026; peer-reviewed results had not been published in PubMed at the time of going to press. A small study on facial vitiligo</w:t>
      </w:r>
      <w:r>
        <w:rPr>
          <w:rStyle w:val="FootnoteReference"/>
        </w:rPr>
        <w:footnoteReference w:id="2130"/>
      </w:r>
      <w:r>
        <w:t xml:space="preserve"> </w:t>
      </w:r>
      <w:r>
        <w:t xml:space="preserve">is registered.</w:t>
      </w:r>
    </w:p>
    <w:p>
      <w:pPr>
        <w:numPr>
          <w:ilvl w:val="0"/>
          <w:numId w:val="1268"/>
        </w:numPr>
        <w:pStyle w:val="Compact"/>
      </w:pPr>
      <w:r>
        <w:rPr>
          <w:bCs/>
          <w:b/>
        </w:rPr>
        <w:t xml:space="preserve">Other rare light-related diseases:</w:t>
      </w:r>
      <w:r>
        <w:t xml:space="preserve"> </w:t>
      </w:r>
      <w:r>
        <w:t xml:space="preserve">small phase 2 trials in variegate porphyria (NCT05854784, completed) and in xeroderma pigmentosum, a hereditary disease with impaired repair of UV damage</w:t>
      </w:r>
      <w:r>
        <w:rPr>
          <w:rStyle w:val="FootnoteReference"/>
        </w:rPr>
        <w:footnoteReference w:id="2131"/>
      </w:r>
      <w:r>
        <w:t xml:space="preserve">.</w:t>
      </w:r>
    </w:p>
    <w:p>
      <w:pPr>
        <w:numPr>
          <w:ilvl w:val="0"/>
          <w:numId w:val="1268"/>
        </w:numPr>
        <w:pStyle w:val="Compact"/>
      </w:pPr>
      <w:r>
        <w:rPr>
          <w:bCs/>
          <w:b/>
        </w:rPr>
        <w:t xml:space="preserve">Pharmacology:</w:t>
      </w:r>
      <w:r>
        <w:t xml:space="preserve"> </w:t>
      </w:r>
      <w:r>
        <w:t xml:space="preserve">A pharmacokinetic study in EPP with 28 people has been completed</w:t>
      </w:r>
      <w:r>
        <w:rPr>
          <w:rStyle w:val="FootnoteReference"/>
        </w:rPr>
        <w:footnoteReference w:id="2132"/>
      </w:r>
      <w:r>
        <w:t xml:space="preserve">.</w:t>
      </w:r>
    </w:p>
    <w:p>
      <w:pPr>
        <w:pStyle w:val="FirstParagraph"/>
      </w:pPr>
      <w:r>
        <w:rPr>
          <w:bCs/>
          <w:b/>
        </w:rPr>
        <w:t xml:space="preserve">New competition:</w:t>
      </w:r>
      <w:r>
        <w:t xml:space="preserve"> </w:t>
      </w:r>
      <w:r>
        <w:t xml:space="preserve">Two tablets are being developed for EPP: dersimelagon, a non-peptide MC1R agonist, and bitopertin, which acts on the production of the red blood pigment. Both showed effects versus placebo in studies; comparisons with afamelanotide are still lacking</w:t>
      </w:r>
      <w:r>
        <w:rPr>
          <w:rStyle w:val="FootnoteReference"/>
        </w:rPr>
        <w:footnoteReference w:id="2133"/>
      </w:r>
      <w:r>
        <w:t xml:space="preserve">.</w:t>
      </w:r>
    </w:p>
    <w:p>
      <w:pPr>
        <w:pStyle w:val="BodyText"/>
      </w:pPr>
      <w:r>
        <w:rPr>
          <w:bCs/>
          <w:b/>
        </w:rPr>
        <w:t xml:space="preserve">Author’s assessment:</w:t>
      </w:r>
      <w:r>
        <w:t xml:space="preserve"> </w:t>
      </w:r>
      <w:r>
        <w:t xml:space="preserve">Afamelanotide will remain the reference for EPP for the time being. Whether it plays a role in vitiligo depends on the result of the phase 3 trial; the combination with light therapy is laborious, and JAK inhibitor creams now offer other options. Approval for adolescents would be particularly important for EPP, because the disease begins in childhood.</w:t>
      </w:r>
    </w:p>
    <w:bookmarkEnd w:id="2134"/>
    <w:bookmarkStart w:id="2135" w:name="conclusion-48"/>
    <w:p>
      <w:pPr>
        <w:pStyle w:val="Heading3"/>
      </w:pPr>
      <w:r>
        <w:t xml:space="preserve">Conclusion</w:t>
      </w:r>
    </w:p>
    <w:p>
      <w:pPr>
        <w:pStyle w:val="FirstParagraph"/>
      </w:pPr>
      <w:r>
        <w:t xml:space="preserve">Afamelanotide is the best-studied peptide that stimulates skin tanning via the melanocortin system, and the only one approved in the EU. In adults with erythropoietic protoporphyria, it extended pain-free time in sunlight and improved quality of life in two randomized trials; long-term cohorts from several countries show high continuation rates with predominantly mild side effects. In vitiligo, it accelerated repigmentation under light therapy in a randomized trial; the phase 3 results are pending. The controlled implant in a specialized clinic has practically nothing in common with gray-market</w:t>
      </w:r>
      <w:r>
        <w:t xml:space="preserve"> </w:t>
      </w:r>
      <w:r>
        <w:t xml:space="preserve">“</w:t>
      </w:r>
      <w:r>
        <w:t xml:space="preserve">melanotan I</w:t>
      </w:r>
      <w:r>
        <w:t xml:space="preserve">”</w:t>
      </w:r>
      <w:r>
        <w:t xml:space="preserve"> </w:t>
      </w:r>
      <w:r>
        <w:t xml:space="preserve">for cosmetic tanning.</w:t>
      </w:r>
    </w:p>
    <w:bookmarkEnd w:id="2135"/>
    <w:bookmarkEnd w:id="2136"/>
    <w:bookmarkStart w:id="2195" w:name="kisspeptin"/>
    <w:p>
      <w:pPr>
        <w:pStyle w:val="Heading2"/>
      </w:pPr>
      <w:r>
        <w:t xml:space="preserve">Kisspeptin</w:t>
      </w:r>
    </w:p>
    <w:bookmarkStart w:id="2139" w:name="profile-49"/>
    <w:p>
      <w:pPr>
        <w:pStyle w:val="Heading3"/>
      </w:pPr>
      <w:r>
        <w:t xml:space="preserve">Profile</w:t>
      </w:r>
    </w:p>
    <w:p>
      <w:pPr>
        <w:numPr>
          <w:ilvl w:val="0"/>
          <w:numId w:val="1269"/>
        </w:numPr>
        <w:pStyle w:val="Compact"/>
      </w:pPr>
      <w:r>
        <w:rPr>
          <w:bCs/>
          <w:b/>
        </w:rPr>
        <w:t xml:space="preserve">Type/structure:</w:t>
      </w:r>
      <w:r>
        <w:t xml:space="preserve"> </w:t>
      </w:r>
      <w:r>
        <w:t xml:space="preserve">a family of the body’s own peptides. The KISS1 gene encodes a precursor protein from which pieces of different lengths are produced: kisspeptin-54 (54 amino acids, the predominant form in the blood), kisspeptin-14, -13 and -10. The shortest form, kisspeptin-10, already contains the fully active part. Studies use the natural forms as well as synthetic, more stable variants (such as MVT-602 and TAK-448).</w:t>
      </w:r>
    </w:p>
    <w:p>
      <w:pPr>
        <w:numPr>
          <w:ilvl w:val="0"/>
          <w:numId w:val="1269"/>
        </w:numPr>
        <w:pStyle w:val="Compact"/>
      </w:pPr>
      <w:r>
        <w:rPr>
          <w:bCs/>
          <w:b/>
        </w:rPr>
        <w:t xml:space="preserve">Origin:</w:t>
      </w:r>
      <w:r>
        <w:t xml:space="preserve"> </w:t>
      </w:r>
      <w:r>
        <w:t xml:space="preserve">first discovered in 1996 as a gene that suppresses metastasis of melanoma cells</w:t>
      </w:r>
      <w:r>
        <w:rPr>
          <w:rStyle w:val="FootnoteReference"/>
        </w:rPr>
        <w:footnoteReference w:id="2137"/>
      </w:r>
      <w:r>
        <w:t xml:space="preserve">. The name goes back to the town of Hershey in Pennsylvania, home of the</w:t>
      </w:r>
      <w:r>
        <w:t xml:space="preserve"> </w:t>
      </w:r>
      <w:r>
        <w:t xml:space="preserve">“</w:t>
      </w:r>
      <w:r>
        <w:t xml:space="preserve">Kisses</w:t>
      </w:r>
      <w:r>
        <w:t xml:space="preserve">”</w:t>
      </w:r>
      <w:r>
        <w:t xml:space="preserve"> </w:t>
      </w:r>
      <w:r>
        <w:t xml:space="preserve">chocolate. In 2001, the peptide was identified as the messenger of a previously</w:t>
      </w:r>
      <w:r>
        <w:t xml:space="preserve"> </w:t>
      </w:r>
      <w:r>
        <w:t xml:space="preserve">“</w:t>
      </w:r>
      <w:r>
        <w:t xml:space="preserve">orphan</w:t>
      </w:r>
      <w:r>
        <w:t xml:space="preserve">”</w:t>
      </w:r>
      <w:r>
        <w:t xml:space="preserve"> </w:t>
      </w:r>
      <w:r>
        <w:t xml:space="preserve">receptor and initially named metastin</w:t>
      </w:r>
      <w:r>
        <w:rPr>
          <w:rStyle w:val="FootnoteReference"/>
        </w:rPr>
        <w:footnoteReference w:id="2138"/>
      </w:r>
      <w:r>
        <w:t xml:space="preserve">.</w:t>
      </w:r>
    </w:p>
    <w:p>
      <w:pPr>
        <w:numPr>
          <w:ilvl w:val="0"/>
          <w:numId w:val="1269"/>
        </w:numPr>
        <w:pStyle w:val="Compact"/>
      </w:pPr>
      <w:r>
        <w:rPr>
          <w:bCs/>
          <w:b/>
        </w:rPr>
        <w:t xml:space="preserve">Mechanism of action:</w:t>
      </w:r>
      <w:r>
        <w:t xml:space="preserve"> </w:t>
      </w:r>
      <w:r>
        <w:t xml:space="preserve">agonist at the kisspeptin receptor (KISS1R, formerly GPR54) on the GnRH nerve cells in the hypothalamus. Kisspeptin is the most important known trigger for the release of GnRH and thus for the entire reproductive hormone axis.</w:t>
      </w:r>
    </w:p>
    <w:p>
      <w:pPr>
        <w:numPr>
          <w:ilvl w:val="0"/>
          <w:numId w:val="1269"/>
        </w:numPr>
        <w:pStyle w:val="Compact"/>
      </w:pPr>
      <w:r>
        <w:rPr>
          <w:bCs/>
          <w:b/>
        </w:rPr>
        <w:t xml:space="preserve">Approval EU:</w:t>
      </w:r>
      <w:r>
        <w:t xml:space="preserve"> </w:t>
      </w:r>
      <w:r>
        <w:t xml:space="preserve">no.</w:t>
      </w:r>
    </w:p>
    <w:p>
      <w:pPr>
        <w:numPr>
          <w:ilvl w:val="0"/>
          <w:numId w:val="1269"/>
        </w:numPr>
        <w:pStyle w:val="Compact"/>
      </w:pPr>
      <w:r>
        <w:rPr>
          <w:bCs/>
          <w:b/>
        </w:rPr>
        <w:t xml:space="preserve">Approval USA:</w:t>
      </w:r>
      <w:r>
        <w:t xml:space="preserve"> </w:t>
      </w:r>
      <w:r>
        <w:t xml:space="preserve">no.</w:t>
      </w:r>
    </w:p>
    <w:p>
      <w:pPr>
        <w:numPr>
          <w:ilvl w:val="0"/>
          <w:numId w:val="1269"/>
        </w:numPr>
        <w:pStyle w:val="Compact"/>
      </w:pPr>
      <w:r>
        <w:rPr>
          <w:bCs/>
          <w:b/>
        </w:rPr>
        <w:t xml:space="preserve">WADA:</w:t>
      </w:r>
      <w:r>
        <w:t xml:space="preserve"> </w:t>
      </w:r>
      <w:r>
        <w:t xml:space="preserve">not named explicitly. As a non-approved substance, kisspeptin falls under S0; in men, group S2 also covers luteinizing hormone releasing factors.</w:t>
      </w:r>
    </w:p>
    <w:p>
      <w:pPr>
        <w:numPr>
          <w:ilvl w:val="0"/>
          <w:numId w:val="1269"/>
        </w:numPr>
        <w:pStyle w:val="Compact"/>
      </w:pPr>
      <w:r>
        <w:rPr>
          <w:bCs/>
          <w:b/>
        </w:rPr>
        <w:t xml:space="preserve">Evidence level:</w:t>
      </w:r>
      <w:r>
        <w:t xml:space="preserve"> </w:t>
      </w:r>
      <w:r>
        <w:rPr>
          <w:bCs/>
          <w:b/>
        </w:rPr>
        <w:t xml:space="preserve">B</w:t>
      </w:r>
      <w:r>
        <w:t xml:space="preserve"> </w:t>
      </w:r>
      <w:r>
        <w:t xml:space="preserve">– numerous small, partly randomized studies and several randomized phase 2 trials, mainly from London and Boston. No phase 3 trial, no approval.</w:t>
      </w:r>
    </w:p>
    <w:bookmarkEnd w:id="2139"/>
    <w:bookmarkStart w:id="2141" w:name="how-it-is-supposed-to-work-49"/>
    <w:p>
      <w:pPr>
        <w:pStyle w:val="Heading3"/>
      </w:pPr>
      <w:r>
        <w:t xml:space="preserve">How it is supposed to work</w:t>
      </w:r>
    </w:p>
    <w:p>
      <w:pPr>
        <w:pStyle w:val="FirstParagraph"/>
      </w:pPr>
      <w:r>
        <w:t xml:space="preserve">Human reproduction is controlled by a chain of hormones. At the top is the hormone GnRH (gonadotropin-releasing hormone) from the hypothalamus, which is released in pulses. It causes the pituitary gland to release the hormones LH (luteinizing hormone) and FSH (follicle-stimulating hormone). These in turn control the ovaries and testes: egg maturation and ovulation, sperm production, estrogen and testosterone production. The chapter on gonadorelin (2E06) describes this axis in more detail.</w:t>
      </w:r>
    </w:p>
    <w:p>
      <w:pPr>
        <w:pStyle w:val="BodyText"/>
      </w:pPr>
      <w:r>
        <w:t xml:space="preserve">Kisspeptin sits one level above GnRH. Specialized nerve cells in the hypothalamus release it and thereby</w:t>
      </w:r>
      <w:r>
        <w:t xml:space="preserve"> </w:t>
      </w:r>
      <w:r>
        <w:t xml:space="preserve">“</w:t>
      </w:r>
      <w:r>
        <w:t xml:space="preserve">switch on</w:t>
      </w:r>
      <w:r>
        <w:t xml:space="preserve">”</w:t>
      </w:r>
      <w:r>
        <w:t xml:space="preserve"> </w:t>
      </w:r>
      <w:r>
        <w:t xml:space="preserve">the GnRH cells. How central this function is became clear in 2003: people with a defective kisspeptin receptor do not go through puberty and remain infertile</w:t>
      </w:r>
      <w:r>
        <w:rPr>
          <w:rStyle w:val="FootnoteReference"/>
        </w:rPr>
        <w:footnoteReference w:id="2140"/>
      </w:r>
      <w:r>
        <w:t xml:space="preserve">.</w:t>
      </w:r>
    </w:p>
    <w:p>
      <w:pPr>
        <w:pStyle w:val="BodyText"/>
      </w:pPr>
      <w:r>
        <w:t xml:space="preserve">Kisspeptin is of medical interest for two reasons:</w:t>
      </w:r>
    </w:p>
    <w:p>
      <w:pPr>
        <w:numPr>
          <w:ilvl w:val="0"/>
          <w:numId w:val="1270"/>
        </w:numPr>
        <w:pStyle w:val="Compact"/>
      </w:pPr>
      <w:r>
        <w:rPr>
          <w:bCs/>
          <w:b/>
        </w:rPr>
        <w:t xml:space="preserve">It acts</w:t>
      </w:r>
      <w:r>
        <w:rPr>
          <w:bCs/>
          <w:b/>
        </w:rPr>
        <w:t xml:space="preserve"> </w:t>
      </w:r>
      <w:r>
        <w:rPr>
          <w:bCs/>
          <w:b/>
        </w:rPr>
        <w:t xml:space="preserve">“</w:t>
      </w:r>
      <w:r>
        <w:rPr>
          <w:bCs/>
          <w:b/>
        </w:rPr>
        <w:t xml:space="preserve">from the top.</w:t>
      </w:r>
      <w:r>
        <w:rPr>
          <w:bCs/>
          <w:b/>
        </w:rPr>
        <w:t xml:space="preserve">”</w:t>
      </w:r>
      <w:r>
        <w:t xml:space="preserve"> </w:t>
      </w:r>
      <w:r>
        <w:t xml:space="preserve">Unlike medications that directly replace LH or FSH, kisspeptin stimulates the body’s own GnRH release. The subsequent hormone release remains subject to the natural feedback mechanisms. This makes overstimulation of the ovaries less likely.</w:t>
      </w:r>
    </w:p>
    <w:p>
      <w:pPr>
        <w:numPr>
          <w:ilvl w:val="0"/>
          <w:numId w:val="1270"/>
        </w:numPr>
        <w:pStyle w:val="Compact"/>
      </w:pPr>
      <w:r>
        <w:rPr>
          <w:bCs/>
          <w:b/>
        </w:rPr>
        <w:t xml:space="preserve">Briefly it stimulates, continuously it suppresses.</w:t>
      </w:r>
      <w:r>
        <w:t xml:space="preserve"> </w:t>
      </w:r>
      <w:r>
        <w:t xml:space="preserve">With uninterrupted administration, the receptors become accustomed to the signal (tachyphylaxis), and the hormone axis shuts down. That is a problem if you want to promote fertility – and an opportunity if you want to lower hormones, for example in prostate cancer.</w:t>
      </w:r>
    </w:p>
    <w:p>
      <w:pPr>
        <w:pStyle w:val="FirstParagraph"/>
      </w:pPr>
      <w:r>
        <w:t xml:space="preserve">Kisspeptin receptors are also found in brain regions that process emotions and sexual stimuli. This gave rise to the idea that kisspeptin could influence sexual desire.</w:t>
      </w:r>
    </w:p>
    <w:bookmarkEnd w:id="2141"/>
    <w:bookmarkStart w:id="2176" w:name="human-studies-49"/>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37</w:t>
      </w:r>
      <w:r>
        <w:t xml:space="preserve"> </w:t>
      </w:r>
      <w:r>
        <w:t xml:space="preserve">human studies in PubMed (</w:t>
      </w:r>
      <w:r>
        <w:rPr>
          <w:rStyle w:val="VerbatimChar"/>
        </w:rPr>
        <w:t xml:space="preserve">humanstudien_alle</w:t>
      </w:r>
      <w:r>
        <w:t xml:space="preserve">) and</w:t>
      </w:r>
      <w:r>
        <w:t xml:space="preserve"> </w:t>
      </w:r>
      <w:r>
        <w:rPr>
          <w:bCs/>
          <w:b/>
        </w:rPr>
        <w:t xml:space="preserve">36</w:t>
      </w:r>
      <w:r>
        <w:t xml:space="preserve"> </w:t>
      </w:r>
      <w:r>
        <w:t xml:space="preserve">entries on ClinicalTrials.gov. Not all of them administer kisspeptin as a drug: some studies only measure kisspeptin levels in the blood, for example during pregnancy. The administration of kisspeptin in humans has been driven by a few research groups, mainly at Imperial College London and Massachusetts General Hospital in Boston. Most studies have fewer than 50 participants.</w:t>
      </w:r>
    </w:p>
    <w:bookmarkStart w:id="2146" w:name="first-doses-and-fundamentals"/>
    <w:p>
      <w:pPr>
        <w:pStyle w:val="Heading4"/>
      </w:pPr>
      <w:r>
        <w:t xml:space="preserve">First Doses and Fundamentals</w:t>
      </w:r>
    </w:p>
    <w:p>
      <w:pPr>
        <w:pStyle w:val="FirstParagraph"/>
      </w:pPr>
      <w:r>
        <w:t xml:space="preserve">The first study in humans in 2005 involved six healthy men. A 90-minute infusion of kisspeptin-54 significantly increased LH, FSH and testosterone compared with saline</w:t>
      </w:r>
      <w:r>
        <w:rPr>
          <w:rStyle w:val="FootnoteReference"/>
        </w:rPr>
        <w:footnoteReference w:id="2142"/>
      </w:r>
      <w:r>
        <w:t xml:space="preserve">. The half-life in the blood was just under 28 minutes. In women, the effect depends strongly on the phase of the cycle and is strongest shortly before ovulation</w:t>
      </w:r>
      <w:r>
        <w:rPr>
          <w:rStyle w:val="FootnoteReference"/>
        </w:rPr>
        <w:footnoteReference w:id="2143"/>
      </w:r>
      <w:r>
        <w:t xml:space="preserve">.</w:t>
      </w:r>
    </w:p>
    <w:p>
      <w:pPr>
        <w:pStyle w:val="BodyText"/>
      </w:pPr>
      <w:r>
        <w:t xml:space="preserve">In healthy men, kisspeptin-10 rapidly triggered a dose-dependent rise in LH and, with continuous infusion, increased the frequency of LH pulses</w:t>
      </w:r>
      <w:r>
        <w:rPr>
          <w:rStyle w:val="FootnoteReference"/>
        </w:rPr>
        <w:footnoteReference w:id="2144"/>
      </w:r>
      <w:r>
        <w:t xml:space="preserve">. Children with delayed puberty responded very differently: some had a clear response, others none</w:t>
      </w:r>
      <w:r>
        <w:rPr>
          <w:rStyle w:val="FootnoteReference"/>
        </w:rPr>
        <w:footnoteReference w:id="2145"/>
      </w:r>
      <w:r>
        <w:t xml:space="preserve">. In the future, this could help distinguish merely delayed puberty from a permanent hormone deficiency.</w:t>
      </w:r>
    </w:p>
    <w:bookmarkEnd w:id="2146"/>
    <w:bookmarkStart w:id="2153" w:name="fertility-treatment-egg-maturation"/>
    <w:p>
      <w:pPr>
        <w:pStyle w:val="Heading4"/>
      </w:pPr>
      <w:r>
        <w:t xml:space="preserve">Fertility Treatment: Egg Maturation</w:t>
      </w:r>
    </w:p>
    <w:p>
      <w:pPr>
        <w:pStyle w:val="FirstParagraph"/>
      </w:pPr>
      <w:r>
        <w:t xml:space="preserve">The most advanced application to date is triggering egg maturation in in vitro fertilization (IVF). Normally, the hormone hCG is injected for this. hCG acts for a long time and in susceptible women can trigger ovarian hyperstimulation syndrome (OHSS) – a fluid shift that can be life-threatening in extreme cases. Kisspeptin instead triggers a shorter LH surge from the body itself.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Jayasena 2014, PMID 25036713</w:t>
            </w:r>
          </w:p>
        </w:tc>
        <w:tc>
          <w:tcPr/>
          <w:p>
            <w:pPr>
              <w:pStyle w:val="Compact"/>
              <w:jc w:val="left"/>
            </w:pPr>
            <w:r>
              <w:t xml:space="preserve">53 women undergoing IVF, dose study without control group</w:t>
            </w:r>
          </w:p>
        </w:tc>
        <w:tc>
          <w:tcPr/>
          <w:p>
            <w:pPr>
              <w:pStyle w:val="Compact"/>
              <w:jc w:val="left"/>
            </w:pPr>
            <w:r>
              <w:t xml:space="preserve">one cycle</w:t>
            </w:r>
          </w:p>
        </w:tc>
        <w:tc>
          <w:tcPr/>
          <w:p>
            <w:pPr>
              <w:pStyle w:val="Compact"/>
              <w:jc w:val="left"/>
            </w:pPr>
            <w:r>
              <w:t xml:space="preserve">Egg maturation at all doses; clinical pregnancy 23%</w:t>
            </w:r>
          </w:p>
        </w:tc>
      </w:tr>
      <w:tr>
        <w:tc>
          <w:tcPr/>
          <w:p>
            <w:pPr>
              <w:pStyle w:val="Compact"/>
              <w:jc w:val="left"/>
            </w:pPr>
            <w:r>
              <w:t xml:space="preserve">Abbara 2015, PMID 26192876</w:t>
            </w:r>
          </w:p>
        </w:tc>
        <w:tc>
          <w:tcPr/>
          <w:p>
            <w:pPr>
              <w:pStyle w:val="Compact"/>
              <w:jc w:val="left"/>
            </w:pPr>
            <w:r>
              <w:t xml:space="preserve">60 women at high risk of OHSS, randomized dose study</w:t>
            </w:r>
          </w:p>
        </w:tc>
        <w:tc>
          <w:tcPr/>
          <w:p>
            <w:pPr>
              <w:pStyle w:val="Compact"/>
              <w:jc w:val="left"/>
            </w:pPr>
            <w:r>
              <w:t xml:space="preserve">one cycle</w:t>
            </w:r>
          </w:p>
        </w:tc>
        <w:tc>
          <w:tcPr/>
          <w:p>
            <w:pPr>
              <w:pStyle w:val="Compact"/>
              <w:jc w:val="left"/>
            </w:pPr>
            <w:r>
              <w:t xml:space="preserve">Egg maturation in 95%; live birth 45% per transfer; no moderate or severe OHSS</w:t>
            </w:r>
          </w:p>
        </w:tc>
      </w:tr>
      <w:tr>
        <w:tc>
          <w:tcPr/>
          <w:p>
            <w:pPr>
              <w:pStyle w:val="Compact"/>
              <w:jc w:val="left"/>
            </w:pPr>
            <w:r>
              <w:t xml:space="preserve">Abbara 2017, PMID 28854728</w:t>
            </w:r>
          </w:p>
        </w:tc>
        <w:tc>
          <w:tcPr/>
          <w:p>
            <w:pPr>
              <w:pStyle w:val="Compact"/>
              <w:jc w:val="left"/>
            </w:pPr>
            <w:r>
              <w:t xml:space="preserve">62 women at high risk of OHSS, RCT: second dose vs. saline</w:t>
            </w:r>
          </w:p>
        </w:tc>
        <w:tc>
          <w:tcPr/>
          <w:p>
            <w:pPr>
              <w:pStyle w:val="Compact"/>
              <w:jc w:val="left"/>
            </w:pPr>
            <w:r>
              <w:t xml:space="preserve">one cycle</w:t>
            </w:r>
          </w:p>
        </w:tc>
        <w:tc>
          <w:tcPr/>
          <w:p>
            <w:pPr>
              <w:pStyle w:val="Compact"/>
              <w:jc w:val="left"/>
            </w:pPr>
            <w:r>
              <w:t xml:space="preserve">Adequate egg yield in 71% vs. 45%</w:t>
            </w:r>
          </w:p>
        </w:tc>
      </w:tr>
      <w:tr>
        <w:tc>
          <w:tcPr/>
          <w:p>
            <w:pPr>
              <w:pStyle w:val="Compact"/>
              <w:jc w:val="left"/>
            </w:pPr>
            <w:r>
              <w:t xml:space="preserve">Abbara 2024, PMID 37925096</w:t>
            </w:r>
          </w:p>
        </w:tc>
        <w:tc>
          <w:tcPr/>
          <w:p>
            <w:pPr>
              <w:pStyle w:val="Compact"/>
              <w:jc w:val="left"/>
            </w:pPr>
            <w:r>
              <w:t xml:space="preserve">24 and 75 healthy women, two RCTs with the analog MVT-602</w:t>
            </w:r>
          </w:p>
        </w:tc>
        <w:tc>
          <w:tcPr/>
          <w:p>
            <w:pPr>
              <w:pStyle w:val="Compact"/>
              <w:jc w:val="left"/>
            </w:pPr>
            <w:r>
              <w:t xml:space="preserve">single dose</w:t>
            </w:r>
          </w:p>
        </w:tc>
        <w:tc>
          <w:tcPr/>
          <w:p>
            <w:pPr>
              <w:pStyle w:val="Compact"/>
              <w:jc w:val="left"/>
            </w:pPr>
            <w:r>
              <w:t xml:space="preserve">LH rise similar to the natural mid-cycle; ovulation within 5 days in up to 100%</w:t>
            </w:r>
          </w:p>
        </w:tc>
      </w:tr>
    </w:tbl>
    <w:p>
      <w:pPr>
        <w:pStyle w:val="BodyText"/>
      </w:pPr>
      <w:r>
        <w:t xml:space="preserve">In the first study</w:t>
      </w:r>
      <w:r>
        <w:rPr>
          <w:rStyle w:val="FootnoteReference"/>
        </w:rPr>
        <w:footnoteReference w:id="2147"/>
      </w:r>
      <w:r>
        <w:t xml:space="preserve">, 53 women received a single kisspeptin injection. Eggs matured at all doses tested; embryos were transferred in 49 women, and twelve became clinically pregnant. This was the first demonstration that pregnancy is possible after kisspeptin-triggered egg maturation.</w:t>
      </w:r>
    </w:p>
    <w:p>
      <w:pPr>
        <w:pStyle w:val="BodyText"/>
      </w:pPr>
      <w:r>
        <w:t xml:space="preserve">The follow-up study focused on women at high risk of overstimulation</w:t>
      </w:r>
      <w:r>
        <w:rPr>
          <w:rStyle w:val="FootnoteReference"/>
        </w:rPr>
        <w:footnoteReference w:id="2148"/>
      </w:r>
      <w:r>
        <w:t xml:space="preserve">. None of the 60 women developed moderate or severe OHSS; the live birth rate per embryo transfer was 45%. A second kisspeptin dose ten hours after the first improved the yield of mature eggs</w:t>
      </w:r>
      <w:r>
        <w:rPr>
          <w:rStyle w:val="FootnoteReference"/>
        </w:rPr>
        <w:footnoteReference w:id="2149"/>
      </w:r>
      <w:r>
        <w:t xml:space="preserve">.</w:t>
      </w:r>
    </w:p>
    <w:p>
      <w:pPr>
        <w:pStyle w:val="BodyText"/>
      </w:pPr>
      <w:r>
        <w:rPr>
          <w:bCs/>
          <w:b/>
        </w:rPr>
        <w:t xml:space="preserve">Context:</w:t>
      </w:r>
      <w:r>
        <w:t xml:space="preserve"> </w:t>
      </w:r>
      <w:r>
        <w:t xml:space="preserve">These studies show that the principle works. However, they were not designed to compare kisspeptin directly with established alternatives – in addition to hCG, triggering with a GnRH agonist is already available for high-risk patients. The authors themselves call for such comparative studies</w:t>
      </w:r>
      <w:r>
        <w:rPr>
          <w:rStyle w:val="FootnoteReference"/>
        </w:rPr>
        <w:footnoteReference w:id="2150"/>
      </w:r>
      <w:r>
        <w:t xml:space="preserve">.</w:t>
      </w:r>
    </w:p>
    <w:p>
      <w:pPr>
        <w:pStyle w:val="BodyText"/>
      </w:pPr>
      <w:r>
        <w:t xml:space="preserve">The synthetic analog MVT-602 acts considerably longer than natural kisspeptin: in healthy women, the LH peak came after around 21 instead of 5 hours, and the total amount of LH released was about four times as large</w:t>
      </w:r>
      <w:r>
        <w:rPr>
          <w:rStyle w:val="FootnoteReference"/>
        </w:rPr>
        <w:footnoteReference w:id="2151"/>
      </w:r>
      <w:r>
        <w:t xml:space="preserve">. In two randomized studies with a total of 99 women, MVT-602 was well tolerated and, in the second study, triggered ovulation within five days in 75 to 100% of women depending on the dose – but also in 60% under placebo, because the participants were healthy</w:t>
      </w:r>
      <w:r>
        <w:rPr>
          <w:rStyle w:val="FootnoteReference"/>
        </w:rPr>
        <w:footnoteReference w:id="2152"/>
      </w:r>
      <w:r>
        <w:t xml:space="preserve">.</w:t>
      </w:r>
    </w:p>
    <w:bookmarkEnd w:id="2153"/>
    <w:bookmarkStart w:id="2159" w:name="absent-menstruation-and-pcos"/>
    <w:p>
      <w:pPr>
        <w:pStyle w:val="Heading4"/>
      </w:pPr>
      <w:r>
        <w:t xml:space="preserve">Absent Menstruation and PCOS</w:t>
      </w:r>
    </w:p>
    <w:p>
      <w:pPr>
        <w:pStyle w:val="FirstParagraph"/>
      </w:pPr>
      <w:r>
        <w:t xml:space="preserve">In hypothalamic amenorrhea, menstruation stops because the brain – often due to underweight, intense exercise or stress – releases too little GnRH. A single kisspeptin injection strongly increased LH and FSH in affected women. With twice-daily administration over two weeks, however, the effect had almost disappeared</w:t>
      </w:r>
      <w:r>
        <w:rPr>
          <w:rStyle w:val="FootnoteReference"/>
        </w:rPr>
        <w:footnoteReference w:id="2154"/>
      </w:r>
      <w:r>
        <w:t xml:space="preserve">. Twice-weekly doses led to only partial desensitization</w:t>
      </w:r>
      <w:r>
        <w:rPr>
          <w:rStyle w:val="FootnoteReference"/>
        </w:rPr>
        <w:footnoteReference w:id="2155"/>
      </w:r>
      <w:r>
        <w:t xml:space="preserve">, and a continuous infusion temporarily tripled the number of LH pulses</w:t>
      </w:r>
      <w:r>
        <w:rPr>
          <w:rStyle w:val="FootnoteReference"/>
        </w:rPr>
        <w:footnoteReference w:id="2156"/>
      </w:r>
      <w:r>
        <w:t xml:space="preserve">. In people with a genetic defect in the neurokinin B system, a kisspeptin infusion restored pulsatile hormone release</w:t>
      </w:r>
      <w:r>
        <w:rPr>
          <w:rStyle w:val="FootnoteReference"/>
        </w:rPr>
        <w:footnoteReference w:id="2157"/>
      </w:r>
      <w:r>
        <w:t xml:space="preserve">.</w:t>
      </w:r>
    </w:p>
    <w:p>
      <w:pPr>
        <w:pStyle w:val="BodyText"/>
      </w:pPr>
      <w:r>
        <w:t xml:space="preserve">In polycystic ovary syndrome (PCOS), the situation is more complicated. In a pilot study with 12 women, kisspeptin increased the LH level only slightly; two women ovulated, while nothing happened in most</w:t>
      </w:r>
      <w:r>
        <w:rPr>
          <w:rStyle w:val="FootnoteReference"/>
        </w:rPr>
        <w:footnoteReference w:id="2158"/>
      </w:r>
      <w:r>
        <w:t xml:space="preserve">.</w:t>
      </w:r>
    </w:p>
    <w:bookmarkEnd w:id="2159"/>
    <w:bookmarkStart w:id="2162" w:name="men-testosterone-and-diabetes"/>
    <w:p>
      <w:pPr>
        <w:pStyle w:val="Heading4"/>
      </w:pPr>
      <w:r>
        <w:t xml:space="preserve">Men: Testosterone and Diabetes</w:t>
      </w:r>
    </w:p>
    <w:p>
      <w:pPr>
        <w:pStyle w:val="FirstParagraph"/>
      </w:pPr>
      <w:r>
        <w:t xml:space="preserve">In five men with type 2 diabetes and low testosterone, a kisspeptin-10 infusion increased LH, LH pulse frequency and testosterone</w:t>
      </w:r>
      <w:r>
        <w:rPr>
          <w:rStyle w:val="FootnoteReference"/>
        </w:rPr>
        <w:footnoteReference w:id="2160"/>
      </w:r>
      <w:r>
        <w:t xml:space="preserve">. A new study with 15 healthy men showed that daily eight-hour infusions under the skin maintained hormone release for twelve days, while a continuous infusion had no further effect on LH and FSH after five days</w:t>
      </w:r>
      <w:r>
        <w:rPr>
          <w:rStyle w:val="FootnoteReference"/>
        </w:rPr>
        <w:footnoteReference w:id="2161"/>
      </w:r>
      <w:r>
        <w:t xml:space="preserve">. This is an important step toward a possible long-term treatment.</w:t>
      </w:r>
    </w:p>
    <w:bookmarkEnd w:id="2162"/>
    <w:bookmarkStart w:id="2166" w:name="sexual-desire-and-the-brain"/>
    <w:p>
      <w:pPr>
        <w:pStyle w:val="Heading4"/>
      </w:pPr>
      <w:r>
        <w:t xml:space="preserve">Sexual Desire and the Brain</w:t>
      </w:r>
    </w:p>
    <w:p>
      <w:pPr>
        <w:pStyle w:val="FirstParagraph"/>
      </w:pPr>
      <w:r>
        <w:t xml:space="preserve">The London group used functional magnetic resonance imaging (fMRI) to study how kisspeptin changes the processing of erotic images.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Comninos 2017, PMID 28112678</w:t>
            </w:r>
          </w:p>
        </w:tc>
        <w:tc>
          <w:tcPr/>
          <w:p>
            <w:pPr>
              <w:pStyle w:val="Compact"/>
              <w:jc w:val="left"/>
            </w:pPr>
            <w:r>
              <w:t xml:space="preserve">29 healthy young men, crossover study vs. placebo</w:t>
            </w:r>
          </w:p>
        </w:tc>
        <w:tc>
          <w:tcPr/>
          <w:p>
            <w:pPr>
              <w:pStyle w:val="Compact"/>
              <w:jc w:val="left"/>
            </w:pPr>
            <w:r>
              <w:t xml:space="preserve">single infusion</w:t>
            </w:r>
          </w:p>
        </w:tc>
        <w:tc>
          <w:tcPr/>
          <w:p>
            <w:pPr>
              <w:pStyle w:val="Compact"/>
              <w:jc w:val="left"/>
            </w:pPr>
            <w:r>
              <w:t xml:space="preserve">More activity in limbic brain regions in response to sexual stimuli; less negative mood</w:t>
            </w:r>
          </w:p>
        </w:tc>
      </w:tr>
      <w:tr>
        <w:tc>
          <w:tcPr/>
          <w:p>
            <w:pPr>
              <w:pStyle w:val="Compact"/>
              <w:jc w:val="left"/>
            </w:pPr>
            <w:r>
              <w:t xml:space="preserve">Thurston 2022, PMID 36287566</w:t>
            </w:r>
          </w:p>
        </w:tc>
        <w:tc>
          <w:tcPr/>
          <w:p>
            <w:pPr>
              <w:pStyle w:val="Compact"/>
              <w:jc w:val="left"/>
            </w:pPr>
            <w:r>
              <w:t xml:space="preserve">32 women with HSDD, double-blind crossover study</w:t>
            </w:r>
          </w:p>
        </w:tc>
        <w:tc>
          <w:tcPr/>
          <w:p>
            <w:pPr>
              <w:pStyle w:val="Compact"/>
              <w:jc w:val="left"/>
            </w:pPr>
            <w:r>
              <w:t xml:space="preserve">75 minutes</w:t>
            </w:r>
          </w:p>
        </w:tc>
        <w:tc>
          <w:tcPr/>
          <w:p>
            <w:pPr>
              <w:pStyle w:val="Compact"/>
              <w:jc w:val="left"/>
            </w:pPr>
            <w:r>
              <w:t xml:space="preserve">Altered activity in brain regions for sexual stimuli and attraction; no side effects</w:t>
            </w:r>
          </w:p>
        </w:tc>
      </w:tr>
      <w:tr>
        <w:tc>
          <w:tcPr/>
          <w:p>
            <w:pPr>
              <w:pStyle w:val="Compact"/>
              <w:jc w:val="left"/>
            </w:pPr>
            <w:r>
              <w:t xml:space="preserve">Mills 2023, PMID 36735255</w:t>
            </w:r>
          </w:p>
        </w:tc>
        <w:tc>
          <w:tcPr/>
          <w:p>
            <w:pPr>
              <w:pStyle w:val="Compact"/>
              <w:jc w:val="left"/>
            </w:pPr>
            <w:r>
              <w:t xml:space="preserve">32 men with HSDD, double-blind crossover study</w:t>
            </w:r>
          </w:p>
        </w:tc>
        <w:tc>
          <w:tcPr/>
          <w:p>
            <w:pPr>
              <w:pStyle w:val="Compact"/>
              <w:jc w:val="left"/>
            </w:pPr>
            <w:r>
              <w:t xml:space="preserve">75 minutes</w:t>
            </w:r>
          </w:p>
        </w:tc>
        <w:tc>
          <w:tcPr/>
          <w:p>
            <w:pPr>
              <w:pStyle w:val="Compact"/>
              <w:jc w:val="left"/>
            </w:pPr>
            <w:r>
              <w:t xml:space="preserve">Altered brain activity; penile tumescence during erotic videos up to 56% greater than under placebo</w:t>
            </w:r>
          </w:p>
        </w:tc>
      </w:tr>
    </w:tbl>
    <w:p>
      <w:pPr>
        <w:pStyle w:val="BodyText"/>
      </w:pPr>
      <w:r>
        <w:t xml:space="preserve">HSDD (hypoactive sexual desire disorder) means persistently low sexual desire with distress. In men with HSDD, a single kisspeptin infusion enhanced not only the activity of sexual brain regions but also measurable physical arousal and some reports of desire, such as</w:t>
      </w:r>
      <w:r>
        <w:t xml:space="preserve"> </w:t>
      </w:r>
      <w:r>
        <w:t xml:space="preserve">“</w:t>
      </w:r>
      <w:r>
        <w:t xml:space="preserve">looking forward to sex</w:t>
      </w:r>
      <w:r>
        <w:t xml:space="preserve">”</w:t>
      </w:r>
      <w:r>
        <w:rPr>
          <w:rStyle w:val="FootnoteReference"/>
        </w:rPr>
        <w:footnoteReference w:id="2163"/>
      </w:r>
      <w:r>
        <w:t xml:space="preserve">. In women with HSDD, the changes in brain activity correlated with distress and sexual aversion</w:t>
      </w:r>
      <w:r>
        <w:rPr>
          <w:rStyle w:val="FootnoteReference"/>
        </w:rPr>
        <w:footnoteReference w:id="2164"/>
      </w:r>
      <w:r>
        <w:t xml:space="preserve">.</w:t>
      </w:r>
    </w:p>
    <w:p>
      <w:pPr>
        <w:pStyle w:val="BodyText"/>
      </w:pPr>
      <w:r>
        <w:rPr>
          <w:bCs/>
          <w:b/>
        </w:rPr>
        <w:t xml:space="preserve">Context:</w:t>
      </w:r>
      <w:r>
        <w:t xml:space="preserve"> </w:t>
      </w:r>
      <w:r>
        <w:t xml:space="preserve">These studies test a single infusion in the laboratory, with brain activity as the primary endpoint. They say nothing about whether kisspeptin improves sexual experience in everyday life over weeks. Administration as an infusion is unsuitable for everyday treatment. A study with 95 people found no effect on anxiety, cortisol, blood pressure or heart rate</w:t>
      </w:r>
      <w:r>
        <w:rPr>
          <w:rStyle w:val="FootnoteReference"/>
        </w:rPr>
        <w:footnoteReference w:id="2165"/>
      </w:r>
      <w:r>
        <w:t xml:space="preserve"> </w:t>
      </w:r>
      <w:r>
        <w:t xml:space="preserve">– reassurance regarding tolerability, not proof of efficacy.</w:t>
      </w:r>
    </w:p>
    <w:bookmarkEnd w:id="2166"/>
    <w:bookmarkStart w:id="2168" w:name="nasal-spray"/>
    <w:p>
      <w:pPr>
        <w:pStyle w:val="Heading4"/>
      </w:pPr>
      <w:r>
        <w:t xml:space="preserve">Nasal Spray</w:t>
      </w:r>
    </w:p>
    <w:p>
      <w:pPr>
        <w:pStyle w:val="FirstParagraph"/>
      </w:pPr>
      <w:r>
        <w:t xml:space="preserve">A nasal spray with kisspeptin-54 increased LH in healthy men and women and in women with hypothalamic amenorrhea, without side effects</w:t>
      </w:r>
      <w:r>
        <w:rPr>
          <w:rStyle w:val="FootnoteReference"/>
        </w:rPr>
        <w:footnoteReference w:id="2167"/>
      </w:r>
      <w:r>
        <w:t xml:space="preserve">. This points to a possible route to treatment without a needle. In mice, kisspeptin was detected in the olfactory mucosa, suggesting a pathway via the olfactory system.</w:t>
      </w:r>
    </w:p>
    <w:bookmarkEnd w:id="2168"/>
    <w:bookmarkStart w:id="2172" w:name="other-findings"/>
    <w:p>
      <w:pPr>
        <w:pStyle w:val="Heading4"/>
      </w:pPr>
      <w:r>
        <w:t xml:space="preserve">Other Findings</w:t>
      </w:r>
    </w:p>
    <w:p>
      <w:pPr>
        <w:numPr>
          <w:ilvl w:val="0"/>
          <w:numId w:val="1271"/>
        </w:numPr>
        <w:pStyle w:val="Compact"/>
      </w:pPr>
      <w:r>
        <w:rPr>
          <w:bCs/>
          <w:b/>
        </w:rPr>
        <w:t xml:space="preserve">Bone:</w:t>
      </w:r>
      <w:r>
        <w:t xml:space="preserve"> </w:t>
      </w:r>
      <w:r>
        <w:t xml:space="preserve">In 26 healthy men, the bone formation marker osteocalcin rose by up to 20.3% after kisspeptin administration</w:t>
      </w:r>
      <w:r>
        <w:rPr>
          <w:rStyle w:val="FootnoteReference"/>
        </w:rPr>
        <w:footnoteReference w:id="2169"/>
      </w:r>
      <w:r>
        <w:t xml:space="preserve">.</w:t>
      </w:r>
    </w:p>
    <w:p>
      <w:pPr>
        <w:numPr>
          <w:ilvl w:val="0"/>
          <w:numId w:val="1271"/>
        </w:numPr>
        <w:pStyle w:val="Compact"/>
      </w:pPr>
      <w:r>
        <w:rPr>
          <w:bCs/>
          <w:b/>
        </w:rPr>
        <w:t xml:space="preserve">Metabolism:</w:t>
      </w:r>
      <w:r>
        <w:t xml:space="preserve"> </w:t>
      </w:r>
      <w:r>
        <w:t xml:space="preserve">In 15 healthy men, kisspeptin increased insulin secretion after a glucose load without changing appetite or food intake</w:t>
      </w:r>
      <w:r>
        <w:rPr>
          <w:rStyle w:val="FootnoteReference"/>
        </w:rPr>
        <w:footnoteReference w:id="2170"/>
      </w:r>
      <w:r>
        <w:t xml:space="preserve">.</w:t>
      </w:r>
    </w:p>
    <w:p>
      <w:pPr>
        <w:numPr>
          <w:ilvl w:val="0"/>
          <w:numId w:val="1271"/>
        </w:numPr>
        <w:pStyle w:val="Compact"/>
      </w:pPr>
      <w:r>
        <w:rPr>
          <w:bCs/>
          <w:b/>
        </w:rPr>
        <w:t xml:space="preserve">Oxytocin:</w:t>
      </w:r>
      <w:r>
        <w:t xml:space="preserve"> </w:t>
      </w:r>
      <w:r>
        <w:t xml:space="preserve">After a kisspeptin injection, the oxytocin level in the blood rose, more in men than in women</w:t>
      </w:r>
      <w:r>
        <w:rPr>
          <w:rStyle w:val="FootnoteReference"/>
        </w:rPr>
        <w:footnoteReference w:id="2171"/>
      </w:r>
      <w:r>
        <w:t xml:space="preserve">. This is being investigated as a possible test for oxytocin deficiency (chapter 2E05).</w:t>
      </w:r>
    </w:p>
    <w:bookmarkEnd w:id="2172"/>
    <w:bookmarkStart w:id="2175" w:name="the-opposite-lowering-hormones"/>
    <w:p>
      <w:pPr>
        <w:pStyle w:val="Heading4"/>
      </w:pPr>
      <w:r>
        <w:t xml:space="preserve">The Opposite: Lowering Hormones</w:t>
      </w:r>
    </w:p>
    <w:p>
      <w:pPr>
        <w:pStyle w:val="FirstParagraph"/>
      </w:pPr>
      <w:r>
        <w:t xml:space="preserve">With continuous administration, the synthetic analog TAK-448 became a hormone blocker. In healthy men over 50, testosterone fell to castration levels after one week of continuous infusion; in men with prostate cancer, a depot injection lowered testosterone and the tumor marker PSA</w:t>
      </w:r>
      <w:r>
        <w:rPr>
          <w:rStyle w:val="FootnoteReference"/>
        </w:rPr>
        <w:footnoteReference w:id="2173"/>
      </w:r>
      <w:r>
        <w:t xml:space="preserve">. Two further phase 2 trials by the manufacturer were terminated early</w:t>
      </w:r>
      <w:r>
        <w:rPr>
          <w:rStyle w:val="FootnoteReference"/>
        </w:rPr>
        <w:footnoteReference w:id="2174"/>
      </w:r>
      <w:r>
        <w:t xml:space="preserve">.</w:t>
      </w:r>
    </w:p>
    <w:bookmarkEnd w:id="2175"/>
    <w:bookmarkEnd w:id="2176"/>
    <w:bookmarkStart w:id="2181" w:name="animal-and-laboratory-studies-49"/>
    <w:p>
      <w:pPr>
        <w:pStyle w:val="Heading3"/>
      </w:pPr>
      <w:r>
        <w:t xml:space="preserve">Animal and laboratory studies</w:t>
      </w:r>
    </w:p>
    <w:p>
      <w:pPr>
        <w:pStyle w:val="FirstParagraph"/>
      </w:pPr>
      <w:r>
        <w:t xml:space="preserve">The role of kisspeptin in puberty and reproduction was first shown in mice with a knocked-out receptor gene; the animals remain sexually immature</w:t>
      </w:r>
      <w:r>
        <w:rPr>
          <w:rStyle w:val="FootnoteReference"/>
        </w:rPr>
        <w:footnoteReference w:id="2177"/>
      </w:r>
      <w:r>
        <w:t xml:space="preserve">. Originally, the peptide was described as a brake on metastasis: in cell culture and in mice, it inhibited the spread of melanoma cells</w:t>
      </w:r>
      <w:r>
        <w:rPr>
          <w:rStyle w:val="FootnoteReference"/>
        </w:rPr>
        <w:footnoteReference w:id="2178"/>
      </w:r>
      <w:r>
        <w:t xml:space="preserve">. Whether this can be used therapeutically is open.</w:t>
      </w:r>
    </w:p>
    <w:p>
      <w:pPr>
        <w:pStyle w:val="BodyText"/>
      </w:pPr>
      <w:r>
        <w:t xml:space="preserve">In rat models of PCOS, kisspeptin restored ovulation in some animals but not in others</w:t>
      </w:r>
      <w:r>
        <w:rPr>
          <w:rStyle w:val="FootnoteReference"/>
        </w:rPr>
        <w:footnoteReference w:id="2179"/>
      </w:r>
      <w:r>
        <w:t xml:space="preserve">. Basic research on kisspeptin and neurokinin B is summarized in a review</w:t>
      </w:r>
      <w:r>
        <w:rPr>
          <w:rStyle w:val="FootnoteReference"/>
        </w:rPr>
        <w:footnoteReference w:id="2180"/>
      </w:r>
      <w:r>
        <w:t xml:space="preserve">.</w:t>
      </w:r>
    </w:p>
    <w:bookmarkEnd w:id="2181"/>
    <w:bookmarkStart w:id="2189" w:name="risks-and-side-effects-49"/>
    <w:p>
      <w:pPr>
        <w:pStyle w:val="Heading3"/>
      </w:pPr>
      <w:r>
        <w:t xml:space="preserve">Risks and side effects</w:t>
      </w:r>
    </w:p>
    <w:bookmarkStart w:id="2186" w:name="established-2"/>
    <w:p>
      <w:pPr>
        <w:pStyle w:val="Heading4"/>
      </w:pPr>
      <w:r>
        <w:t xml:space="preserve">Established</w:t>
      </w:r>
    </w:p>
    <w:p>
      <w:pPr>
        <w:pStyle w:val="FirstParagraph"/>
      </w:pPr>
      <w:r>
        <w:t xml:space="preserve">In all published studies, kisspeptin was well tolerated. Several studies explicitly report no side effects</w:t>
      </w:r>
      <w:r>
        <w:rPr>
          <w:rStyle w:val="FootnoteReference"/>
        </w:rPr>
        <w:footnoteReference w:id="2182"/>
      </w:r>
      <w:r>
        <w:t xml:space="preserve">. Kisspeptin changed neither growth hormone nor prolactin nor the thyroid-stimulating TSH</w:t>
      </w:r>
      <w:r>
        <w:rPr>
          <w:rStyle w:val="FootnoteReference"/>
        </w:rPr>
        <w:footnoteReference w:id="2183"/>
      </w:r>
      <w:r>
        <w:t xml:space="preserve"> </w:t>
      </w:r>
      <w:r>
        <w:t xml:space="preserve">and had no influence on anxiety, blood pressure or heart rate</w:t>
      </w:r>
      <w:r>
        <w:rPr>
          <w:rStyle w:val="FootnoteReference"/>
        </w:rPr>
        <w:footnoteReference w:id="2184"/>
      </w:r>
      <w:r>
        <w:t xml:space="preserve">. With the analog TAK-448, mild to moderate side effects occurred in 26% of those treated</w:t>
      </w:r>
      <w:r>
        <w:rPr>
          <w:rStyle w:val="FootnoteReference"/>
        </w:rPr>
        <w:footnoteReference w:id="2185"/>
      </w:r>
      <w:r>
        <w:t xml:space="preserve">.</w:t>
      </w:r>
    </w:p>
    <w:bookmarkEnd w:id="2186"/>
    <w:bookmarkStart w:id="2187" w:name="theoretical-and-open-questions"/>
    <w:p>
      <w:pPr>
        <w:pStyle w:val="Heading4"/>
      </w:pPr>
      <w:r>
        <w:t xml:space="preserve">Theoretical and Open Questions</w:t>
      </w:r>
    </w:p>
    <w:p>
      <w:pPr>
        <w:numPr>
          <w:ilvl w:val="0"/>
          <w:numId w:val="1272"/>
        </w:numPr>
        <w:pStyle w:val="Compact"/>
      </w:pPr>
      <w:r>
        <w:rPr>
          <w:bCs/>
          <w:b/>
        </w:rPr>
        <w:t xml:space="preserve">Desensitization and hormone drop:</w:t>
      </w:r>
      <w:r>
        <w:t xml:space="preserve"> </w:t>
      </w:r>
      <w:r>
        <w:t xml:space="preserve">With continuous administration, the opposite of the desired effect can occur, as the studies on TAK-448 show. Anyone who uses kisspeptin without medical supervision therefore risks suppressing their own hormone axis.</w:t>
      </w:r>
    </w:p>
    <w:p>
      <w:pPr>
        <w:numPr>
          <w:ilvl w:val="0"/>
          <w:numId w:val="1272"/>
        </w:numPr>
        <w:pStyle w:val="Compact"/>
      </w:pPr>
      <w:r>
        <w:rPr>
          <w:bCs/>
          <w:b/>
        </w:rPr>
        <w:t xml:space="preserve">Long-term data</w:t>
      </w:r>
      <w:r>
        <w:t xml:space="preserve"> </w:t>
      </w:r>
      <w:r>
        <w:t xml:space="preserve">are lacking. The longest studies ran for eight weeks.</w:t>
      </w:r>
    </w:p>
    <w:p>
      <w:pPr>
        <w:numPr>
          <w:ilvl w:val="0"/>
          <w:numId w:val="1272"/>
        </w:numPr>
        <w:pStyle w:val="Compact"/>
      </w:pPr>
      <w:r>
        <w:rPr>
          <w:bCs/>
          <w:b/>
        </w:rPr>
        <w:t xml:space="preserve">Pregnancy:</w:t>
      </w:r>
      <w:r>
        <w:t xml:space="preserve"> </w:t>
      </w:r>
      <w:r>
        <w:t xml:space="preserve">Children have been born after use in IVF; systematic data on the health of these children have not been published.</w:t>
      </w:r>
    </w:p>
    <w:bookmarkEnd w:id="2187"/>
    <w:bookmarkStart w:id="2188" w:name="gray-market-2"/>
    <w:p>
      <w:pPr>
        <w:pStyle w:val="Heading4"/>
      </w:pPr>
      <w:r>
        <w:t xml:space="preserve">Gray Market</w:t>
      </w:r>
    </w:p>
    <w:p>
      <w:pPr>
        <w:pStyle w:val="FirstParagraph"/>
      </w:pPr>
      <w:r>
        <w:t xml:space="preserve">Kisspeptin-10 is offered on the internet as a</w:t>
      </w:r>
      <w:r>
        <w:t xml:space="preserve"> </w:t>
      </w:r>
      <w:r>
        <w:t xml:space="preserve">“</w:t>
      </w:r>
      <w:r>
        <w:t xml:space="preserve">research peptide</w:t>
      </w:r>
      <w:r>
        <w:t xml:space="preserve">”</w:t>
      </w:r>
      <w:r>
        <w:t xml:space="preserve"> </w:t>
      </w:r>
      <w:r>
        <w:t xml:space="preserve">and promoted in forums for boosting testosterone or libido. There are no studies on such products. Because of the short half-life and desensitization with frequent administration, a lasting effect with self-administration is not established; purity and content are untested (see Part I and Part IV).</w:t>
      </w:r>
    </w:p>
    <w:bookmarkEnd w:id="2188"/>
    <w:bookmarkEnd w:id="2189"/>
    <w:bookmarkStart w:id="2190" w:name="legal-status-49"/>
    <w:p>
      <w:pPr>
        <w:pStyle w:val="Heading3"/>
      </w:pPr>
      <w:r>
        <w:t xml:space="preserve">Legal status</w:t>
      </w:r>
    </w:p>
    <w:p>
      <w:pPr>
        <w:pStyle w:val="FirstParagraph"/>
      </w:pPr>
      <w:r>
        <w:rPr>
          <w:iCs/>
          <w:i/>
        </w:rPr>
        <w:t xml:space="preserve">As of 2026, please check for updates.</w:t>
      </w:r>
    </w:p>
    <w:p>
      <w:pPr>
        <w:numPr>
          <w:ilvl w:val="0"/>
          <w:numId w:val="1273"/>
        </w:numPr>
        <w:pStyle w:val="Compact"/>
      </w:pPr>
      <w:r>
        <w:rPr>
          <w:bCs/>
          <w:b/>
        </w:rPr>
        <w:t xml:space="preserve">EU, Germany, Austria:</w:t>
      </w:r>
      <w:r>
        <w:t xml:space="preserve"> </w:t>
      </w:r>
      <w:r>
        <w:t xml:space="preserve">no approval. Kisspeptin may only be used in humans within approved clinical trials. Sale for human use is not permitted.</w:t>
      </w:r>
    </w:p>
    <w:p>
      <w:pPr>
        <w:numPr>
          <w:ilvl w:val="0"/>
          <w:numId w:val="1273"/>
        </w:numPr>
        <w:pStyle w:val="Compact"/>
      </w:pPr>
      <w:r>
        <w:rPr>
          <w:bCs/>
          <w:b/>
        </w:rPr>
        <w:t xml:space="preserve">USA:</w:t>
      </w:r>
      <w:r>
        <w:t xml:space="preserve"> </w:t>
      </w:r>
      <w:r>
        <w:t xml:space="preserve">no approval; use only in studies authorized by the FDA.</w:t>
      </w:r>
    </w:p>
    <w:p>
      <w:pPr>
        <w:numPr>
          <w:ilvl w:val="0"/>
          <w:numId w:val="1273"/>
        </w:numPr>
        <w:pStyle w:val="Compact"/>
      </w:pPr>
      <w:r>
        <w:rPr>
          <w:bCs/>
          <w:b/>
        </w:rPr>
        <w:t xml:space="preserve">WADA:</w:t>
      </w:r>
      <w:r>
        <w:t xml:space="preserve"> </w:t>
      </w:r>
      <w:r>
        <w:t xml:space="preserve">In men, LH releasing factors are prohibited under S2, and non-approved substances in general under S0. Kisspeptin is not named explicitly, but in the author’s assessment falls under these groups.</w:t>
      </w:r>
    </w:p>
    <w:bookmarkEnd w:id="2190"/>
    <w:bookmarkStart w:id="2193" w:name="ongoing-studies-and-outlook-49"/>
    <w:p>
      <w:pPr>
        <w:pStyle w:val="Heading3"/>
      </w:pPr>
      <w:r>
        <w:t xml:space="preserve">Ongoing studies and outlook</w:t>
      </w:r>
    </w:p>
    <w:p>
      <w:pPr>
        <w:pStyle w:val="FirstParagraph"/>
      </w:pPr>
      <w:r>
        <w:rPr>
          <w:bCs/>
          <w:b/>
        </w:rPr>
        <w:t xml:space="preserve">Established (registered studies):</w:t>
      </w:r>
    </w:p>
    <w:p>
      <w:pPr>
        <w:numPr>
          <w:ilvl w:val="0"/>
          <w:numId w:val="1274"/>
        </w:numPr>
        <w:pStyle w:val="Compact"/>
      </w:pPr>
      <w:r>
        <w:rPr>
          <w:bCs/>
          <w:b/>
        </w:rPr>
        <w:t xml:space="preserve">Massachusetts General Hospital, Boston:</w:t>
      </w:r>
      <w:r>
        <w:t xml:space="preserve"> </w:t>
      </w:r>
      <w:r>
        <w:t xml:space="preserve">several phase 1 and phase 2 trials with repeated kisspeptin administration under the skin in congenital hormone deficiency (idiopathic hypogonadotropic hypogonadism, NCT05896293, 36 people, until 2028) and in hypothalamic amenorrhea (NCT07224438, 20 people, until 2030). Another study uses kisspeptin as a test of GnRH nerve cell function</w:t>
      </w:r>
      <w:r>
        <w:rPr>
          <w:rStyle w:val="FootnoteReference"/>
        </w:rPr>
        <w:footnoteReference w:id="2191"/>
      </w:r>
      <w:r>
        <w:t xml:space="preserve">.</w:t>
      </w:r>
    </w:p>
    <w:p>
      <w:pPr>
        <w:numPr>
          <w:ilvl w:val="0"/>
          <w:numId w:val="1274"/>
        </w:numPr>
        <w:pStyle w:val="Compact"/>
      </w:pPr>
      <w:r>
        <w:rPr>
          <w:bCs/>
          <w:b/>
        </w:rPr>
        <w:t xml:space="preserve">Imperial College London:</w:t>
      </w:r>
      <w:r>
        <w:t xml:space="preserve"> </w:t>
      </w:r>
      <w:r>
        <w:t xml:space="preserve">a study running since 2014 on hormone release with prolonged kisspeptin administration (NCT02081924, 76 people).</w:t>
      </w:r>
    </w:p>
    <w:p>
      <w:pPr>
        <w:numPr>
          <w:ilvl w:val="0"/>
          <w:numId w:val="1274"/>
        </w:numPr>
        <w:pStyle w:val="Compact"/>
      </w:pPr>
      <w:r>
        <w:t xml:space="preserve">A phase 2 trial with pulsatile kisspeptin administration in hypogonadism has been completed</w:t>
      </w:r>
      <w:r>
        <w:rPr>
          <w:rStyle w:val="FootnoteReference"/>
        </w:rPr>
        <w:footnoteReference w:id="2192"/>
      </w:r>
      <w:r>
        <w:t xml:space="preserve">; results had not been published in PubMed at the time of going to press.</w:t>
      </w:r>
    </w:p>
    <w:p>
      <w:pPr>
        <w:pStyle w:val="FirstParagraph"/>
      </w:pPr>
      <w:r>
        <w:rPr>
          <w:bCs/>
          <w:b/>
        </w:rPr>
        <w:t xml:space="preserve">Author’s assessment:</w:t>
      </w:r>
      <w:r>
        <w:t xml:space="preserve"> </w:t>
      </w:r>
      <w:r>
        <w:t xml:space="preserve">In terms of its fundamentals, kisspeptin is one of the most scientifically solid peptides in this book – its role in puberty is genetically proven. Clinical development is slow, however, because it is mainly carried by universities. Approval for egg maturation in women at risk of OHSS or as a diagnostic test for puberty disorders seems most realistic, but this would require larger comparative studies. For the treatment of low sexual desire, there is so far no evidence of any benefit in everyday life.</w:t>
      </w:r>
    </w:p>
    <w:bookmarkEnd w:id="2193"/>
    <w:bookmarkStart w:id="2194" w:name="conclusion-49"/>
    <w:p>
      <w:pPr>
        <w:pStyle w:val="Heading3"/>
      </w:pPr>
      <w:r>
        <w:t xml:space="preserve">Conclusion</w:t>
      </w:r>
    </w:p>
    <w:p>
      <w:pPr>
        <w:pStyle w:val="FirstParagraph"/>
      </w:pPr>
      <w:r>
        <w:t xml:space="preserve">Kisspeptin is the body’s master switch for the reproductive hormones, as people with a receptor defect impressively demonstrate. In small studies, it reliably triggered LH release and enabled egg maturation without severe OHSS in women at high risk of overstimulation. Laboratory studies with brain imaging suggest effects on the processing of sexual stimuli but are no proof of benefit in everyday life. The greatest practical obstacle is desensitization with frequent administration, which can go as far as suppression of the hormone axis. Kisspeptin is not approved anywhere; outside of studies, there is no tested use.</w:t>
      </w:r>
    </w:p>
    <w:bookmarkEnd w:id="2194"/>
    <w:bookmarkEnd w:id="2195"/>
    <w:bookmarkStart w:id="2275" w:name="oxytocin-nasal-spray"/>
    <w:p>
      <w:pPr>
        <w:pStyle w:val="Heading2"/>
      </w:pPr>
      <w:r>
        <w:t xml:space="preserve">Oxytocin (Nasal Spray)</w:t>
      </w:r>
    </w:p>
    <w:bookmarkStart w:id="2196" w:name="profile-50"/>
    <w:p>
      <w:pPr>
        <w:pStyle w:val="Heading3"/>
      </w:pPr>
      <w:r>
        <w:t xml:space="preserve">Profile</w:t>
      </w:r>
    </w:p>
    <w:p>
      <w:pPr>
        <w:numPr>
          <w:ilvl w:val="0"/>
          <w:numId w:val="1275"/>
        </w:numPr>
        <w:pStyle w:val="Compact"/>
      </w:pPr>
      <w:r>
        <w:rPr>
          <w:bCs/>
          <w:b/>
        </w:rPr>
        <w:t xml:space="preserve">Type/structure:</w:t>
      </w:r>
      <w:r>
        <w:t xml:space="preserve"> </w:t>
      </w:r>
      <w:r>
        <w:t xml:space="preserve">the body’s own peptide hormone of nine amino acids. Two sulfur bridges close six of them into a ring. Oxytocin is closely related to the hormone vasopressin (antidiuretic hormone), which differs in only two building blocks.</w:t>
      </w:r>
    </w:p>
    <w:p>
      <w:pPr>
        <w:numPr>
          <w:ilvl w:val="0"/>
          <w:numId w:val="1275"/>
        </w:numPr>
        <w:pStyle w:val="Compact"/>
      </w:pPr>
      <w:r>
        <w:rPr>
          <w:bCs/>
          <w:b/>
        </w:rPr>
        <w:t xml:space="preserve">Origin:</w:t>
      </w:r>
      <w:r>
        <w:t xml:space="preserve"> </w:t>
      </w:r>
      <w:r>
        <w:t xml:space="preserve">produced in nerve cells of the hypothalamus and released into the blood by the posterior pituitary gland; also a messenger within the brain. In 1953, oxytocin was the first peptide hormone to be synthesized in the laboratory; Vincent du Vigneaud received the 1955 Nobel Prize in Chemistry for this.</w:t>
      </w:r>
    </w:p>
    <w:p>
      <w:pPr>
        <w:numPr>
          <w:ilvl w:val="0"/>
          <w:numId w:val="1275"/>
        </w:numPr>
        <w:pStyle w:val="Compact"/>
      </w:pPr>
      <w:r>
        <w:rPr>
          <w:bCs/>
          <w:b/>
        </w:rPr>
        <w:t xml:space="preserve">Mechanism of action:</w:t>
      </w:r>
      <w:r>
        <w:t xml:space="preserve"> </w:t>
      </w:r>
      <w:r>
        <w:t xml:space="preserve">agonist at the oxytocin receptor. In the body, it triggers labor contractions and the milk let-down reflex; in the brain, it is involved in bonding, social behavior and stress regulation.</w:t>
      </w:r>
    </w:p>
    <w:p>
      <w:pPr>
        <w:numPr>
          <w:ilvl w:val="0"/>
          <w:numId w:val="1275"/>
        </w:numPr>
        <w:pStyle w:val="Compact"/>
      </w:pPr>
      <w:r>
        <w:rPr>
          <w:bCs/>
          <w:b/>
        </w:rPr>
        <w:t xml:space="preserve">Approval EU and USA (injection/infusion):</w:t>
      </w:r>
      <w:r>
        <w:t xml:space="preserve"> </w:t>
      </w:r>
      <w:r>
        <w:t xml:space="preserve">yes, for decades in obstetrics, for inducing and augmenting labor and for preventing heavy bleeding after childbirth.</w:t>
      </w:r>
    </w:p>
    <w:p>
      <w:pPr>
        <w:numPr>
          <w:ilvl w:val="0"/>
          <w:numId w:val="1275"/>
        </w:numPr>
        <w:pStyle w:val="Compact"/>
      </w:pPr>
      <w:r>
        <w:rPr>
          <w:bCs/>
          <w:b/>
        </w:rPr>
        <w:t xml:space="preserve">Approval as a nasal spray:</w:t>
      </w:r>
      <w:r>
        <w:t xml:space="preserve"> </w:t>
      </w:r>
      <w:r>
        <w:t xml:space="preserve">An oxytocin nasal spray was formerly approved in several European countries to promote milk flow during breastfeeding, but is no longer on the market in many places. Oxytocin is not approved anywhere for psychological, social or sexual uses.</w:t>
      </w:r>
    </w:p>
    <w:p>
      <w:pPr>
        <w:numPr>
          <w:ilvl w:val="0"/>
          <w:numId w:val="1275"/>
        </w:numPr>
        <w:pStyle w:val="Compact"/>
      </w:pPr>
      <w:r>
        <w:rPr>
          <w:bCs/>
          <w:b/>
        </w:rPr>
        <w:t xml:space="preserve">WADA:</w:t>
      </w:r>
      <w:r>
        <w:t xml:space="preserve"> </w:t>
      </w:r>
      <w:r>
        <w:t xml:space="preserve">not listed.</w:t>
      </w:r>
    </w:p>
    <w:p>
      <w:pPr>
        <w:numPr>
          <w:ilvl w:val="0"/>
          <w:numId w:val="1275"/>
        </w:numPr>
        <w:pStyle w:val="Compact"/>
      </w:pPr>
      <w:r>
        <w:rPr>
          <w:bCs/>
          <w:b/>
        </w:rPr>
        <w:t xml:space="preserve">Evidence level:</w:t>
      </w:r>
      <w:r>
        <w:t xml:space="preserve"> </w:t>
      </w:r>
      <w:r>
        <w:rPr>
          <w:bCs/>
          <w:b/>
        </w:rPr>
        <w:t xml:space="preserve">B</w:t>
      </w:r>
      <w:r>
        <w:t xml:space="preserve"> </w:t>
      </w:r>
      <w:r>
        <w:t xml:space="preserve">for use as a nasal spray – hundreds of randomized studies, but mostly small and with single doses; the few large treatment trials were negative. For obstetrics (infusion, injection), level A applies; it is not the focus of this chapter.</w:t>
      </w:r>
    </w:p>
    <w:bookmarkEnd w:id="2196"/>
    <w:bookmarkStart w:id="2208" w:name="how-it-is-supposed-to-work-50"/>
    <w:p>
      <w:pPr>
        <w:pStyle w:val="Heading3"/>
      </w:pPr>
      <w:r>
        <w:t xml:space="preserve">How it is supposed to work</w:t>
      </w:r>
    </w:p>
    <w:bookmarkStart w:id="2197" w:name="from-labor-hormone-to-cuddle-hormone"/>
    <w:p>
      <w:pPr>
        <w:pStyle w:val="Heading4"/>
      </w:pPr>
      <w:r>
        <w:t xml:space="preserve">From Labor Hormone to</w:t>
      </w:r>
      <w:r>
        <w:t xml:space="preserve"> </w:t>
      </w:r>
      <w:r>
        <w:t xml:space="preserve">“</w:t>
      </w:r>
      <w:r>
        <w:t xml:space="preserve">Cuddle Hormone</w:t>
      </w:r>
      <w:r>
        <w:t xml:space="preserve">”</w:t>
      </w:r>
    </w:p>
    <w:p>
      <w:pPr>
        <w:pStyle w:val="FirstParagraph"/>
      </w:pPr>
      <w:r>
        <w:t xml:space="preserve">Oxytocin takes its name from the Greek expression for</w:t>
      </w:r>
      <w:r>
        <w:t xml:space="preserve"> </w:t>
      </w:r>
      <w:r>
        <w:t xml:space="preserve">“</w:t>
      </w:r>
      <w:r>
        <w:t xml:space="preserve">quick birth.</w:t>
      </w:r>
      <w:r>
        <w:t xml:space="preserve">”</w:t>
      </w:r>
      <w:r>
        <w:t xml:space="preserve"> </w:t>
      </w:r>
      <w:r>
        <w:t xml:space="preserve">Its classic tasks are physical: it makes the uterus contract and squeezes milk out of the glands of the breast. Since the 1990s, a second role has come into focus. In prairie voles, which form lifelong pairs, pair bonding depends on the oxytocin system in the brain (animal experiments). In sheep and rodents, it controls mothers’ caregiving behavior toward their offspring.</w:t>
      </w:r>
    </w:p>
    <w:p>
      <w:pPr>
        <w:pStyle w:val="BodyText"/>
      </w:pPr>
      <w:r>
        <w:t xml:space="preserve">From 2005 onward, these animal findings gave rise to a wave of human studies that administered oxytocin as a nasal spray and measured social behavior. The media coined labels such as</w:t>
      </w:r>
      <w:r>
        <w:t xml:space="preserve"> </w:t>
      </w:r>
      <w:r>
        <w:t xml:space="preserve">“</w:t>
      </w:r>
      <w:r>
        <w:t xml:space="preserve">cuddle hormone,</w:t>
      </w:r>
      <w:r>
        <w:t xml:space="preserve">”</w:t>
      </w:r>
      <w:r>
        <w:t xml:space="preserve"> </w:t>
      </w:r>
      <w:r>
        <w:t xml:space="preserve">“</w:t>
      </w:r>
      <w:r>
        <w:t xml:space="preserve">trust hormone</w:t>
      </w:r>
      <w:r>
        <w:t xml:space="preserve">”</w:t>
      </w:r>
      <w:r>
        <w:t xml:space="preserve"> </w:t>
      </w:r>
      <w:r>
        <w:t xml:space="preserve">or</w:t>
      </w:r>
      <w:r>
        <w:t xml:space="preserve"> </w:t>
      </w:r>
      <w:r>
        <w:t xml:space="preserve">“</w:t>
      </w:r>
      <w:r>
        <w:t xml:space="preserve">love hormone.</w:t>
      </w:r>
      <w:r>
        <w:t xml:space="preserve">”</w:t>
      </w:r>
      <w:r>
        <w:t xml:space="preserve"> </w:t>
      </w:r>
      <w:r>
        <w:t xml:space="preserve">As this chapter shows, the evidence today is far more sobering than these catchwords.</w:t>
      </w:r>
    </w:p>
    <w:bookmarkEnd w:id="2197"/>
    <w:bookmarkStart w:id="2205" w:name="the-problem-with-the-nose"/>
    <w:p>
      <w:pPr>
        <w:pStyle w:val="Heading4"/>
      </w:pPr>
      <w:r>
        <w:t xml:space="preserve">The Problem with the Nose</w:t>
      </w:r>
    </w:p>
    <w:p>
      <w:pPr>
        <w:pStyle w:val="FirstParagraph"/>
      </w:pPr>
      <w:r>
        <w:t xml:space="preserve">As a peptide, oxytocin is too large and too water-soluble to cross the blood-brain barrier in significant amounts. The nasal spray is supposed to find a route directly into the brain via the olfactory and trigeminal nerves in the nasal mucosa. Whether this works, and to what extent, is one of the central open questions in the field:</w:t>
      </w:r>
    </w:p>
    <w:p>
      <w:pPr>
        <w:numPr>
          <w:ilvl w:val="0"/>
          <w:numId w:val="1276"/>
        </w:numPr>
        <w:pStyle w:val="Compact"/>
      </w:pPr>
      <w:r>
        <w:rPr>
          <w:bCs/>
          <w:b/>
        </w:rPr>
        <w:t xml:space="preserve">Skeptical view:</w:t>
      </w:r>
      <w:r>
        <w:t xml:space="preserve"> </w:t>
      </w:r>
      <w:r>
        <w:t xml:space="preserve">Only a tiny fraction of the sprayed amount reaches the cerebrospinal fluid, while the level in the blood rises far above natural values. Many observed effects could therefore stem from effects in the body, for example on the heart or gut, which then indirectly influence the brain</w:t>
      </w:r>
      <w:r>
        <w:rPr>
          <w:rStyle w:val="FootnoteReference"/>
        </w:rPr>
        <w:footnoteReference w:id="2198"/>
      </w:r>
      <w:r>
        <w:t xml:space="preserve">.</w:t>
      </w:r>
    </w:p>
    <w:p>
      <w:pPr>
        <w:numPr>
          <w:ilvl w:val="0"/>
          <w:numId w:val="1276"/>
        </w:numPr>
        <w:pStyle w:val="Compact"/>
      </w:pPr>
      <w:r>
        <w:rPr>
          <w:bCs/>
          <w:b/>
        </w:rPr>
        <w:t xml:space="preserve">Findings in monkeys:</w:t>
      </w:r>
      <w:r>
        <w:t xml:space="preserve"> </w:t>
      </w:r>
      <w:r>
        <w:t xml:space="preserve">In rhesus monkeys, labeled oxytocin reached the cerebrospinal fluid after both nasal and intravenous administration; the nose was not superior</w:t>
      </w:r>
      <w:r>
        <w:rPr>
          <w:rStyle w:val="FootnoteReference"/>
        </w:rPr>
        <w:footnoteReference w:id="2199"/>
      </w:r>
      <w:r>
        <w:t xml:space="preserve">. In a second study, labeled oxytocin was found after nasal – but not intravenous – administration in brain regions along the olfactory and trigeminal pathways</w:t>
      </w:r>
      <w:r>
        <w:rPr>
          <w:rStyle w:val="FootnoteReference"/>
        </w:rPr>
        <w:footnoteReference w:id="2200"/>
      </w:r>
      <w:r>
        <w:t xml:space="preserve">.</w:t>
      </w:r>
    </w:p>
    <w:p>
      <w:pPr>
        <w:numPr>
          <w:ilvl w:val="0"/>
          <w:numId w:val="1276"/>
        </w:numPr>
        <w:pStyle w:val="Compact"/>
      </w:pPr>
      <w:r>
        <w:rPr>
          <w:bCs/>
          <w:b/>
        </w:rPr>
        <w:t xml:space="preserve">Findings in humans:</w:t>
      </w:r>
      <w:r>
        <w:t xml:space="preserve"> </w:t>
      </w:r>
      <w:r>
        <w:t xml:space="preserve">One study compared nasal spray, nebulizer and infusion. The decrease in blood flow in the amygdala could be fully explained by the rise in the blood; at the same time, there were indications of direct effects via the nose in other regions</w:t>
      </w:r>
      <w:r>
        <w:rPr>
          <w:rStyle w:val="FootnoteReference"/>
        </w:rPr>
        <w:footnoteReference w:id="2201"/>
      </w:r>
      <w:r>
        <w:t xml:space="preserve">.</w:t>
      </w:r>
    </w:p>
    <w:p>
      <w:pPr>
        <w:numPr>
          <w:ilvl w:val="0"/>
          <w:numId w:val="1276"/>
        </w:numPr>
        <w:pStyle w:val="Compact"/>
      </w:pPr>
      <w:r>
        <w:rPr>
          <w:bCs/>
          <w:b/>
        </w:rPr>
        <w:t xml:space="preserve">Measurement problems:</w:t>
      </w:r>
      <w:r>
        <w:t xml:space="preserve"> </w:t>
      </w:r>
      <w:r>
        <w:t xml:space="preserve">Oxytocin levels in the blood do not reflect levels in the brain under resting conditions</w:t>
      </w:r>
      <w:r>
        <w:rPr>
          <w:rStyle w:val="FootnoteReference"/>
        </w:rPr>
        <w:footnoteReference w:id="2202"/>
      </w:r>
      <w:r>
        <w:t xml:space="preserve">. Many older studies also used measurement methods now considered unreliable</w:t>
      </w:r>
      <w:r>
        <w:rPr>
          <w:rStyle w:val="FootnoteReference"/>
        </w:rPr>
        <w:footnoteReference w:id="2203"/>
      </w:r>
      <w:r>
        <w:t xml:space="preserve">.</w:t>
      </w:r>
    </w:p>
    <w:p>
      <w:pPr>
        <w:pStyle w:val="FirstParagraph"/>
      </w:pPr>
      <w:r>
        <w:t xml:space="preserve">Experts who view the field positively overall now consider a direct route from the nose to the brain to be established, but emphasize that dose, spray technique and the sex of the participants strongly influence the results</w:t>
      </w:r>
      <w:r>
        <w:rPr>
          <w:rStyle w:val="FootnoteReference"/>
        </w:rPr>
        <w:footnoteReference w:id="2204"/>
      </w:r>
      <w:r>
        <w:t xml:space="preserve">. For readers, this means: whether an oxytocin nasal spray reaches the brain depends on many details, and even experts disagree about the magnitude.</w:t>
      </w:r>
    </w:p>
    <w:bookmarkEnd w:id="2205"/>
    <w:bookmarkStart w:id="2207" w:name="Xee5480d3a1b17b9c054982829e136d26bfee44c"/>
    <w:p>
      <w:pPr>
        <w:pStyle w:val="Heading4"/>
      </w:pPr>
      <w:r>
        <w:t xml:space="preserve">Briefly in Context: Oxytocin in Obstetrics</w:t>
      </w:r>
    </w:p>
    <w:p>
      <w:pPr>
        <w:pStyle w:val="FirstParagraph"/>
      </w:pPr>
      <w:r>
        <w:t xml:space="preserve">As an infusion or injection, oxytocin is one of the most important medicines in the world; the World Health Organization includes it on its List of Essential Medicines. It is used to induce or strengthen labor contractions and to prevent heavy bleeding after childbirth. A Cochrane review of 24 studies concluded that prophylactic oxytocin roughly halves the risk of blood loss of 500 ml or more (relative risk 0.51), although the quality of the individual studies was partly low</w:t>
      </w:r>
      <w:r>
        <w:rPr>
          <w:rStyle w:val="FootnoteReference"/>
        </w:rPr>
        <w:footnoteReference w:id="2206"/>
      </w:r>
      <w:r>
        <w:t xml:space="preserve">. This use belongs exclusively in the hands of midwives and physicians; dosage and monitoring are governed by the prescribing information. It plays no role in assessing the nasal spray for psychological questions.</w:t>
      </w:r>
    </w:p>
    <w:bookmarkEnd w:id="2207"/>
    <w:bookmarkEnd w:id="2208"/>
    <w:bookmarkStart w:id="2253" w:name="human-studies-50"/>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(term</w:t>
      </w:r>
      <w:r>
        <w:t xml:space="preserve"> </w:t>
      </w:r>
      <w:r>
        <w:t xml:space="preserve">“</w:t>
      </w:r>
      <w:r>
        <w:t xml:space="preserve">intranasal oxytocin</w:t>
      </w:r>
      <w:r>
        <w:t xml:space="preserve">”</w:t>
      </w:r>
      <w:r>
        <w:t xml:space="preserve"> </w:t>
      </w:r>
      <w:r>
        <w:t xml:space="preserve">in title or abstract) found</w:t>
      </w:r>
      <w:r>
        <w:t xml:space="preserve"> </w:t>
      </w:r>
      <w:r>
        <w:rPr>
          <w:bCs/>
          <w:b/>
        </w:rPr>
        <w:t xml:space="preserve">349</w:t>
      </w:r>
      <w:r>
        <w:t xml:space="preserve"> </w:t>
      </w:r>
      <w:r>
        <w:t xml:space="preserve">human studies in PubMed (</w:t>
      </w:r>
      <w:r>
        <w:rPr>
          <w:rStyle w:val="VerbatimChar"/>
        </w:rPr>
        <w:t xml:space="preserve">humanstudien_alle</w:t>
      </w:r>
      <w:r>
        <w:t xml:space="preserve">) and</w:t>
      </w:r>
      <w:r>
        <w:t xml:space="preserve"> </w:t>
      </w:r>
      <w:r>
        <w:rPr>
          <w:bCs/>
          <w:b/>
        </w:rPr>
        <w:t xml:space="preserve">263</w:t>
      </w:r>
      <w:r>
        <w:t xml:space="preserve"> </w:t>
      </w:r>
      <w:r>
        <w:t xml:space="preserve">entries on ClinicalTrials.gov, of which around 20 are still recruiting. In addition, there are at least 15 meta-analyses and systematic reviews. This makes oxytocin the most frequently studied peptide in humans in this part of the book. However, the vast majority of studies gave only a single dose to mostly 20 to 60 young, healthy men and measured short-term changes in laboratory tests or in the brain scanner.</w:t>
      </w:r>
    </w:p>
    <w:p>
      <w:pPr>
        <w:pStyle w:val="BodyText"/>
      </w:pPr>
      <w:r>
        <w:t xml:space="preserve">This chapter sorts the studies into four groups: basic studies in healthy people followed by the replication crisis, autism as the most important treatment field, other psychiatric disorders, and finally metabolism, pain and sexuality.</w:t>
      </w:r>
    </w:p>
    <w:bookmarkStart w:id="2212" w:name="X1871000522ec9e025ccea3d517db2832727bfa8"/>
    <w:p>
      <w:pPr>
        <w:pStyle w:val="Heading4"/>
      </w:pPr>
      <w:r>
        <w:t xml:space="preserve">Social Behavior in Healthy People: Trust, Stress, Emotions</w:t>
      </w:r>
    </w:p>
    <w:p>
      <w:pPr>
        <w:pStyle w:val="FirstParagraph"/>
      </w:pPr>
      <w:r>
        <w:rPr>
          <w:bCs/>
          <w:b/>
        </w:rPr>
        <w:t xml:space="preserve">Trust.</w:t>
      </w:r>
      <w:r>
        <w:t xml:space="preserve"> </w:t>
      </w:r>
      <w:r>
        <w:t xml:space="preserve">The study that founded the field appeared in Nature in 2005: men who had sniffed oxytocin entrusted more money to a stranger in an economic game</w:t>
      </w:r>
      <w:r>
        <w:rPr>
          <w:rStyle w:val="FootnoteReference"/>
        </w:rPr>
        <w:footnoteReference w:id="2209"/>
      </w:r>
      <w:r>
        <w:t xml:space="preserve">. In this</w:t>
      </w:r>
      <w:r>
        <w:t xml:space="preserve"> </w:t>
      </w:r>
      <w:r>
        <w:t xml:space="preserve">“</w:t>
      </w:r>
      <w:r>
        <w:t xml:space="preserve">trust game,</w:t>
      </w:r>
      <w:r>
        <w:t xml:space="preserve">”</w:t>
      </w:r>
      <w:r>
        <w:t xml:space="preserve"> </w:t>
      </w:r>
      <w:r>
        <w:t xml:space="preserve">an investor decides how much money to hand over to a trustee; the amount is multiplied, and the trustee decides how much to return. Oxytocin did not increase willingness to take risks in general, but specifically the willingness to take social risks.</w:t>
      </w:r>
    </w:p>
    <w:p>
      <w:pPr>
        <w:pStyle w:val="BodyText"/>
      </w:pPr>
      <w:r>
        <w:rPr>
          <w:bCs/>
          <w:b/>
        </w:rPr>
        <w:t xml:space="preserve">Stress.</w:t>
      </w:r>
      <w:r>
        <w:t xml:space="preserve"> </w:t>
      </w:r>
      <w:r>
        <w:t xml:space="preserve">In a study with 37 healthy men, oxytocin dampened anxiety during a standardized stress test (public speaking and mental arithmetic in front of an audience). The lowest levels of the stress hormone cortisol were found in men who received oxytocin and were additionally supported by their best friend</w:t>
      </w:r>
      <w:r>
        <w:rPr>
          <w:rStyle w:val="FootnoteReference"/>
        </w:rPr>
        <w:footnoteReference w:id="2210"/>
      </w:r>
      <w:r>
        <w:t xml:space="preserve">.</w:t>
      </w:r>
    </w:p>
    <w:p>
      <w:pPr>
        <w:pStyle w:val="BodyText"/>
      </w:pPr>
      <w:r>
        <w:rPr>
          <w:bCs/>
          <w:b/>
        </w:rPr>
        <w:t xml:space="preserve">Recognizing emotions.</w:t>
      </w:r>
      <w:r>
        <w:t xml:space="preserve"> </w:t>
      </w:r>
      <w:r>
        <w:t xml:space="preserve">A meta-analysis of 33 studies found that a single dose slightly improved the recognition of basic emotions, especially fear, in healthy people. In people with mental illness, by contrast, there was no effect</w:t>
      </w:r>
      <w:r>
        <w:rPr>
          <w:rStyle w:val="FootnoteReference"/>
        </w:rPr>
        <w:footnoteReference w:id="2211"/>
      </w:r>
      <w:r>
        <w:t xml:space="preserve">.</w:t>
      </w:r>
    </w:p>
    <w:p>
      <w:pPr>
        <w:pStyle w:val="BodyText"/>
      </w:pPr>
      <w:r>
        <w:t xml:space="preserve">Hundreds of other studies reported effects on gaze behavior, empathy, memory for faces, group affiliation, lying, generosity, jealousy and much more. Many of these findings occurred only in subgroups, for example only in men, only in anxious people or only with certain gene variants of the oxytocin receptor.</w:t>
      </w:r>
    </w:p>
    <w:bookmarkEnd w:id="2212"/>
    <w:bookmarkStart w:id="2218" w:name="the-replication-crisis"/>
    <w:p>
      <w:pPr>
        <w:pStyle w:val="Heading4"/>
      </w:pPr>
      <w:r>
        <w:t xml:space="preserve">The Replication Crisis</w:t>
      </w:r>
    </w:p>
    <w:p>
      <w:pPr>
        <w:pStyle w:val="FirstParagraph"/>
      </w:pPr>
      <w:r>
        <w:t xml:space="preserve">From around 2015, doubts grew. The term replication crisis describes the problem that many published findings in psychology and medicine are not confirmed when other researchers repeat them. Oxytocin became a prime example.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Type</w:t>
            </w:r>
          </w:p>
        </w:tc>
        <w:tc>
          <w:tcPr/>
          <w:p>
            <w:pPr>
              <w:pStyle w:val="Compact"/>
              <w:jc w:val="left"/>
            </w:pPr>
            <w:r>
              <w:t xml:space="preserve">Key message</w:t>
            </w:r>
          </w:p>
        </w:tc>
      </w:tr>
      <w:tr>
        <w:tc>
          <w:tcPr/>
          <w:p>
            <w:pPr>
              <w:pStyle w:val="Compact"/>
              <w:jc w:val="left"/>
            </w:pPr>
            <w:r>
              <w:t xml:space="preserve">Kosfeld 2005, PMID 15931222</w:t>
            </w:r>
          </w:p>
        </w:tc>
        <w:tc>
          <w:tcPr/>
          <w:p>
            <w:pPr>
              <w:pStyle w:val="Compact"/>
              <w:jc w:val="left"/>
            </w:pPr>
            <w:r>
              <w:t xml:space="preserve">original study, trust game</w:t>
            </w:r>
          </w:p>
        </w:tc>
        <w:tc>
          <w:tcPr/>
          <w:p>
            <w:pPr>
              <w:pStyle w:val="Compact"/>
              <w:jc w:val="left"/>
            </w:pPr>
            <w:r>
              <w:t xml:space="preserve">Oxytocin increases trust</w:t>
            </w:r>
          </w:p>
        </w:tc>
      </w:tr>
      <w:tr>
        <w:tc>
          <w:tcPr/>
          <w:p>
            <w:pPr>
              <w:pStyle w:val="Compact"/>
              <w:jc w:val="left"/>
            </w:pPr>
            <w:r>
              <w:t xml:space="preserve">Nave 2015, PMID 26581735</w:t>
            </w:r>
          </w:p>
        </w:tc>
        <w:tc>
          <w:tcPr/>
          <w:p>
            <w:pPr>
              <w:pStyle w:val="Compact"/>
              <w:jc w:val="left"/>
            </w:pPr>
            <w:r>
              <w:t xml:space="preserve">critical review</w:t>
            </w:r>
          </w:p>
        </w:tc>
        <w:tc>
          <w:tcPr/>
          <w:p>
            <w:pPr>
              <w:pStyle w:val="Compact"/>
              <w:jc w:val="left"/>
            </w:pPr>
            <w:r>
              <w:t xml:space="preserve">The trust effect could not be reliably replicated</w:t>
            </w:r>
          </w:p>
        </w:tc>
      </w:tr>
      <w:tr>
        <w:tc>
          <w:tcPr/>
          <w:p>
            <w:pPr>
              <w:pStyle w:val="Compact"/>
              <w:jc w:val="left"/>
            </w:pPr>
            <w:r>
              <w:t xml:space="preserve">Lane 2015, PMID 26368396</w:t>
            </w:r>
          </w:p>
        </w:tc>
        <w:tc>
          <w:tcPr/>
          <w:p>
            <w:pPr>
              <w:pStyle w:val="Compact"/>
              <w:jc w:val="left"/>
            </w:pPr>
            <w:r>
              <w:t xml:space="preserve">two replication studies (95 and 61 people)</w:t>
            </w:r>
          </w:p>
        </w:tc>
        <w:tc>
          <w:tcPr/>
          <w:p>
            <w:pPr>
              <w:pStyle w:val="Compact"/>
              <w:jc w:val="left"/>
            </w:pPr>
            <w:r>
              <w:t xml:space="preserve">Large effect in a different trust test not confirmed</w:t>
            </w:r>
          </w:p>
        </w:tc>
      </w:tr>
      <w:tr>
        <w:tc>
          <w:tcPr/>
          <w:p>
            <w:pPr>
              <w:pStyle w:val="Compact"/>
              <w:jc w:val="left"/>
            </w:pPr>
            <w:r>
              <w:t xml:space="preserve">Walum 2016, PMID 26210057</w:t>
            </w:r>
          </w:p>
        </w:tc>
        <w:tc>
          <w:tcPr/>
          <w:p>
            <w:pPr>
              <w:pStyle w:val="Compact"/>
              <w:jc w:val="left"/>
            </w:pPr>
            <w:r>
              <w:t xml:space="preserve">statistical analysis of the field</w:t>
            </w:r>
          </w:p>
        </w:tc>
        <w:tc>
          <w:tcPr/>
          <w:p>
            <w:pPr>
              <w:pStyle w:val="Compact"/>
              <w:jc w:val="left"/>
            </w:pPr>
            <w:r>
              <w:t xml:space="preserve">Studies mostly too small; most published findings probably not real effects</w:t>
            </w:r>
          </w:p>
        </w:tc>
      </w:tr>
      <w:tr>
        <w:tc>
          <w:tcPr/>
          <w:p>
            <w:pPr>
              <w:pStyle w:val="Compact"/>
              <w:jc w:val="left"/>
            </w:pPr>
            <w:r>
              <w:t xml:space="preserve">Mierop 2020, PMID 32633663</w:t>
            </w:r>
          </w:p>
        </w:tc>
        <w:tc>
          <w:tcPr/>
          <w:p>
            <w:pPr>
              <w:pStyle w:val="Compact"/>
              <w:jc w:val="left"/>
            </w:pPr>
            <w:r>
              <w:t xml:space="preserve">systematic review</w:t>
            </w:r>
          </w:p>
        </w:tc>
        <w:tc>
          <w:tcPr/>
          <w:p>
            <w:pPr>
              <w:pStyle w:val="Compact"/>
              <w:jc w:val="left"/>
            </w:pPr>
            <w:r>
              <w:t xml:space="preserve">Replication attempts for interactions mostly unsuccessful; statistical power critically low</w:t>
            </w:r>
          </w:p>
        </w:tc>
      </w:tr>
      <w:tr>
        <w:tc>
          <w:tcPr/>
          <w:p>
            <w:pPr>
              <w:pStyle w:val="Compact"/>
              <w:jc w:val="left"/>
            </w:pPr>
            <w:r>
              <w:t xml:space="preserve">Declerck 2020, PMID 32514040</w:t>
            </w:r>
          </w:p>
        </w:tc>
        <w:tc>
          <w:tcPr/>
          <w:p>
            <w:pPr>
              <w:pStyle w:val="Compact"/>
              <w:jc w:val="left"/>
            </w:pPr>
            <w:r>
              <w:t xml:space="preserve">preregistered replication study</w:t>
            </w:r>
          </w:p>
        </w:tc>
        <w:tc>
          <w:tcPr/>
          <w:p>
            <w:pPr>
              <w:pStyle w:val="Compact"/>
              <w:jc w:val="left"/>
            </w:pPr>
            <w:r>
              <w:t xml:space="preserve">No effect on trust in the original condition</w:t>
            </w:r>
          </w:p>
        </w:tc>
      </w:tr>
      <w:tr>
        <w:tc>
          <w:tcPr/>
          <w:p>
            <w:pPr>
              <w:pStyle w:val="Compact"/>
              <w:jc w:val="left"/>
            </w:pPr>
            <w:r>
              <w:t xml:space="preserve">Vogt 2026, PMID 42561025</w:t>
            </w:r>
          </w:p>
        </w:tc>
        <w:tc>
          <w:tcPr/>
          <w:p>
            <w:pPr>
              <w:pStyle w:val="Compact"/>
              <w:jc w:val="left"/>
            </w:pPr>
            <w:r>
              <w:t xml:space="preserve">preregistered study, 359 men with low baseline trust</w:t>
            </w:r>
          </w:p>
        </w:tc>
        <w:tc>
          <w:tcPr/>
          <w:p>
            <w:pPr>
              <w:pStyle w:val="Compact"/>
              <w:jc w:val="left"/>
            </w:pPr>
            <w:r>
              <w:t xml:space="preserve">Trust increased by around 15%</w:t>
            </w:r>
          </w:p>
        </w:tc>
      </w:tr>
    </w:tbl>
    <w:p>
      <w:pPr>
        <w:pStyle w:val="BodyText"/>
      </w:pPr>
      <w:r>
        <w:t xml:space="preserve">A 2015 review concluded that the totality of the data does not show that human trust is reliably associated with or caused by oxytocin</w:t>
      </w:r>
      <w:r>
        <w:rPr>
          <w:rStyle w:val="FootnoteReference"/>
        </w:rPr>
        <w:footnoteReference w:id="2213"/>
      </w:r>
      <w:r>
        <w:t xml:space="preserve">. A statistical analysis of all nasal spray studies went further: the studies were generally too small to find realistic effects, and in all likelihood most published findings did not represent real effects</w:t>
      </w:r>
      <w:r>
        <w:rPr>
          <w:rStyle w:val="FootnoteReference"/>
        </w:rPr>
        <w:footnoteReference w:id="2214"/>
      </w:r>
      <w:r>
        <w:t xml:space="preserve">.</w:t>
      </w:r>
    </w:p>
    <w:p>
      <w:pPr>
        <w:pStyle w:val="BodyText"/>
      </w:pPr>
      <w:r>
        <w:t xml:space="preserve">The most important test was a large, preregistered replication of the trust study with a statistical power of over 95%. In the condition corresponding to the original study, oxytocin showed no effect. A post hoc analysis suggested an effect only in people with low baseline trust</w:t>
      </w:r>
      <w:r>
        <w:rPr>
          <w:rStyle w:val="FootnoteReference"/>
        </w:rPr>
        <w:footnoteReference w:id="2215"/>
      </w:r>
      <w:r>
        <w:t xml:space="preserve">. Precisely this hypothesis was tested in 2026 by another preregistered study with 359 men with low baseline trust, which found an increase in trust of about 15%</w:t>
      </w:r>
      <w:r>
        <w:rPr>
          <w:rStyle w:val="FootnoteReference"/>
        </w:rPr>
        <w:footnoteReference w:id="2216"/>
      </w:r>
      <w:r>
        <w:t xml:space="preserve">.</w:t>
      </w:r>
    </w:p>
    <w:p>
      <w:pPr>
        <w:pStyle w:val="BodyText"/>
      </w:pPr>
      <w:r>
        <w:rPr>
          <w:bCs/>
          <w:b/>
        </w:rPr>
        <w:t xml:space="preserve">What this means:</w:t>
      </w:r>
      <w:r>
        <w:t xml:space="preserve"> </w:t>
      </w:r>
      <w:r>
        <w:t xml:space="preserve">The original, broad effect</w:t>
      </w:r>
      <w:r>
        <w:t xml:space="preserve"> </w:t>
      </w:r>
      <w:r>
        <w:t xml:space="preserve">“</w:t>
      </w:r>
      <w:r>
        <w:t xml:space="preserve">oxytocin makes people more trusting</w:t>
      </w:r>
      <w:r>
        <w:t xml:space="preserve">”</w:t>
      </w:r>
      <w:r>
        <w:t xml:space="preserve"> </w:t>
      </w:r>
      <w:r>
        <w:t xml:space="preserve">has not been confirmed. There may be a smaller effect in a particular subgroup and under particular conditions. That is scientifically interesting but far from any practical benefit. These experiences have changed the field: studies today are more often preregistered, are larger and also report negative results. An online platform presented in 2026 is intended to evaluate the evidence on an ongoing basis</w:t>
      </w:r>
      <w:r>
        <w:rPr>
          <w:rStyle w:val="FootnoteReference"/>
        </w:rPr>
        <w:footnoteReference w:id="2217"/>
      </w:r>
      <w:r>
        <w:t xml:space="preserve">.</w:t>
      </w:r>
    </w:p>
    <w:bookmarkEnd w:id="2218"/>
    <w:bookmarkStart w:id="2231" w:name="autism"/>
    <w:p>
      <w:pPr>
        <w:pStyle w:val="Heading4"/>
      </w:pPr>
      <w:r>
        <w:t xml:space="preserve">Autism</w:t>
      </w:r>
    </w:p>
    <w:p>
      <w:pPr>
        <w:pStyle w:val="FirstParagraph"/>
      </w:pPr>
      <w:r>
        <w:t xml:space="preserve">Autism spectrum disorders are characterized by difficulties in social communication and by restricted, repetitive behaviors. There are no medications that change these core features. Oxytocin was therefore long considered a great hope, and in some countries it was already being prescribed to children with autism outside of studies</w:t>
      </w:r>
      <w:r>
        <w:rPr>
          <w:rStyle w:val="FootnoteReference"/>
        </w:rPr>
        <w:footnoteReference w:id="2219"/>
      </w:r>
      <w:r>
        <w:t xml:space="preserve">.</w:t>
      </w:r>
    </w:p>
    <w:p>
      <w:pPr>
        <w:pStyle w:val="BodyText"/>
      </w:pPr>
      <w:r>
        <w:rPr>
          <w:bCs/>
          <w:b/>
        </w:rPr>
        <w:t xml:space="preserve">Early studies.</w:t>
      </w:r>
      <w:r>
        <w:t xml:space="preserve"> </w:t>
      </w:r>
      <w:r>
        <w:t xml:space="preserve">A 2014 systematic review found seven randomized studies with a combined total of 101 people with autism, almost all male. The studies were small (median 15 participants) and had a moderate to high risk of bias. Almost all reported at least one positive result, mostly in gaze behavior or emotion recognition</w:t>
      </w:r>
      <w:r>
        <w:rPr>
          <w:rStyle w:val="FootnoteReference"/>
        </w:rPr>
        <w:footnoteReference w:id="2220"/>
      </w:r>
      <w:r>
        <w:t xml:space="preserve">.</w:t>
      </w:r>
    </w:p>
    <w:p>
      <w:pPr>
        <w:pStyle w:val="BodyText"/>
      </w:pPr>
      <w:r>
        <w:rPr>
          <w:bCs/>
          <w:b/>
        </w:rPr>
        <w:t xml:space="preserve">Treatment studies over weeks.</w:t>
      </w:r>
      <w:r>
        <w:t xml:space="preserve"> </w:t>
      </w:r>
      <w:r>
        <w:t xml:space="preserve">These were followed by studies in which children and adults received oxytocin over several weeks: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Anagnostou 2012, PMID 23216716</w:t>
            </w:r>
          </w:p>
        </w:tc>
        <w:tc>
          <w:tcPr/>
          <w:p>
            <w:pPr>
              <w:pStyle w:val="Compact"/>
              <w:jc w:val="left"/>
            </w:pPr>
            <w:r>
              <w:t xml:space="preserve">19 adults, RCT</w:t>
            </w:r>
          </w:p>
        </w:tc>
        <w:tc>
          <w:tcPr/>
          <w:p>
            <w:pPr>
              <w:pStyle w:val="Compact"/>
              <w:jc w:val="left"/>
            </w:pPr>
            <w:r>
              <w:t xml:space="preserve">6 weeks</w:t>
            </w:r>
          </w:p>
        </w:tc>
        <w:tc>
          <w:tcPr/>
          <w:p>
            <w:pPr>
              <w:pStyle w:val="Compact"/>
              <w:jc w:val="left"/>
            </w:pPr>
            <w:r>
              <w:t xml:space="preserve">Primary endpoints not met; improvement in secondary endpoints</w:t>
            </w:r>
          </w:p>
        </w:tc>
      </w:tr>
      <w:tr>
        <w:tc>
          <w:tcPr/>
          <w:p>
            <w:pPr>
              <w:pStyle w:val="Compact"/>
              <w:jc w:val="left"/>
            </w:pPr>
            <w:r>
              <w:t xml:space="preserve">Guastella 2015, PMID 25087908</w:t>
            </w:r>
          </w:p>
        </w:tc>
        <w:tc>
          <w:tcPr/>
          <w:p>
            <w:pPr>
              <w:pStyle w:val="Compact"/>
              <w:jc w:val="left"/>
            </w:pPr>
            <w:r>
              <w:t xml:space="preserve">50 male adolescents (12–18 years), RCT</w:t>
            </w:r>
          </w:p>
        </w:tc>
        <w:tc>
          <w:tcPr/>
          <w:p>
            <w:pPr>
              <w:pStyle w:val="Compact"/>
              <w:jc w:val="left"/>
            </w:pPr>
            <w:r>
              <w:t xml:space="preserve">8 weeks</w:t>
            </w:r>
          </w:p>
        </w:tc>
        <w:tc>
          <w:tcPr/>
          <w:p>
            <w:pPr>
              <w:pStyle w:val="Compact"/>
              <w:jc w:val="left"/>
            </w:pPr>
            <w:r>
              <w:t xml:space="preserve">No benefit on primary or secondary endpoints</w:t>
            </w:r>
          </w:p>
        </w:tc>
      </w:tr>
      <w:tr>
        <w:tc>
          <w:tcPr/>
          <w:p>
            <w:pPr>
              <w:pStyle w:val="Compact"/>
              <w:jc w:val="left"/>
            </w:pPr>
            <w:r>
              <w:t xml:space="preserve">Yatawara 2016, PMID 26503762</w:t>
            </w:r>
          </w:p>
        </w:tc>
        <w:tc>
          <w:tcPr/>
          <w:p>
            <w:pPr>
              <w:pStyle w:val="Compact"/>
              <w:jc w:val="left"/>
            </w:pPr>
            <w:r>
              <w:t xml:space="preserve">31 young children, crossover study vs. placebo</w:t>
            </w:r>
          </w:p>
        </w:tc>
        <w:tc>
          <w:tcPr/>
          <w:p>
            <w:pPr>
              <w:pStyle w:val="Compact"/>
              <w:jc w:val="left"/>
            </w:pPr>
            <w:r>
              <w:t xml:space="preserve">5 weeks each</w:t>
            </w:r>
          </w:p>
        </w:tc>
        <w:tc>
          <w:tcPr/>
          <w:p>
            <w:pPr>
              <w:pStyle w:val="Compact"/>
              <w:jc w:val="left"/>
            </w:pPr>
            <w:r>
              <w:t xml:space="preserve">Social responsiveness improved according to parents</w:t>
            </w:r>
          </w:p>
        </w:tc>
      </w:tr>
      <w:tr>
        <w:tc>
          <w:tcPr/>
          <w:p>
            <w:pPr>
              <w:pStyle w:val="Compact"/>
              <w:jc w:val="left"/>
            </w:pPr>
            <w:r>
              <w:t xml:space="preserve">Parker 2017, PMID 28696286</w:t>
            </w:r>
          </w:p>
        </w:tc>
        <w:tc>
          <w:tcPr/>
          <w:p>
            <w:pPr>
              <w:pStyle w:val="Compact"/>
              <w:jc w:val="left"/>
            </w:pPr>
            <w:r>
              <w:t xml:space="preserve">32 children (6–12 years), RCT</w:t>
            </w:r>
          </w:p>
        </w:tc>
        <w:tc>
          <w:tcPr/>
          <w:p>
            <w:pPr>
              <w:pStyle w:val="Compact"/>
              <w:jc w:val="left"/>
            </w:pPr>
            <w:r>
              <w:t xml:space="preserve">4 weeks</w:t>
            </w:r>
          </w:p>
        </w:tc>
        <w:tc>
          <w:tcPr/>
          <w:p>
            <w:pPr>
              <w:pStyle w:val="Compact"/>
              <w:jc w:val="left"/>
            </w:pPr>
            <w:r>
              <w:t xml:space="preserve">Social abilities improved when baseline blood levels were taken into account; low baseline level predicted response</w:t>
            </w:r>
          </w:p>
        </w:tc>
      </w:tr>
      <w:tr>
        <w:tc>
          <w:tcPr/>
          <w:p>
            <w:pPr>
              <w:pStyle w:val="Compact"/>
              <w:jc w:val="left"/>
            </w:pPr>
            <w:r>
              <w:t xml:space="preserve">SOARS-B (Sikich 2021), PMID 34644471</w:t>
            </w:r>
          </w:p>
        </w:tc>
        <w:tc>
          <w:tcPr/>
          <w:p>
            <w:pPr>
              <w:pStyle w:val="Compact"/>
              <w:jc w:val="left"/>
            </w:pPr>
            <w:r>
              <w:t xml:space="preserve">290 children and adolescents (3–17 years), RCT</w:t>
            </w:r>
          </w:p>
        </w:tc>
        <w:tc>
          <w:tcPr/>
          <w:p>
            <w:pPr>
              <w:pStyle w:val="Compact"/>
              <w:jc w:val="left"/>
            </w:pPr>
            <w:r>
              <w:t xml:space="preserve">24 weeks</w:t>
            </w:r>
          </w:p>
        </w:tc>
        <w:tc>
          <w:tcPr/>
          <w:p>
            <w:pPr>
              <w:pStyle w:val="Compact"/>
              <w:jc w:val="left"/>
            </w:pPr>
            <w:r>
              <w:t xml:space="preserve">No difference: −3.7 vs. −3.5 points in social withdrawal</w:t>
            </w:r>
          </w:p>
        </w:tc>
      </w:tr>
      <w:tr>
        <w:tc>
          <w:tcPr/>
          <w:p>
            <w:pPr>
              <w:pStyle w:val="Compact"/>
              <w:jc w:val="left"/>
            </w:pPr>
            <w:r>
              <w:t xml:space="preserve">Guastella 2023, PMID 36302965</w:t>
            </w:r>
          </w:p>
        </w:tc>
        <w:tc>
          <w:tcPr/>
          <w:p>
            <w:pPr>
              <w:pStyle w:val="Compact"/>
              <w:jc w:val="left"/>
            </w:pPr>
            <w:r>
              <w:t xml:space="preserve">87 children (3–12 years), RCT after placebo lead-in</w:t>
            </w:r>
          </w:p>
        </w:tc>
        <w:tc>
          <w:tcPr/>
          <w:p>
            <w:pPr>
              <w:pStyle w:val="Compact"/>
              <w:jc w:val="left"/>
            </w:pPr>
            <w:r>
              <w:t xml:space="preserve">12 weeks</w:t>
            </w:r>
          </w:p>
        </w:tc>
        <w:tc>
          <w:tcPr/>
          <w:p>
            <w:pPr>
              <w:pStyle w:val="Compact"/>
              <w:jc w:val="left"/>
            </w:pPr>
            <w:r>
              <w:t xml:space="preserve">No effect overall; indication of an effect in 3- to 5-year-olds</w:t>
            </w:r>
          </w:p>
        </w:tc>
      </w:tr>
    </w:tbl>
    <w:p>
      <w:pPr>
        <w:pStyle w:val="BodyText"/>
      </w:pPr>
      <w:r>
        <w:rPr>
          <w:bCs/>
          <w:b/>
        </w:rPr>
        <w:t xml:space="preserve">The SOARS-B trial.</w:t>
      </w:r>
      <w:r>
        <w:t xml:space="preserve"> </w:t>
      </w:r>
      <w:r>
        <w:t xml:space="preserve">By far the largest and most meaningful study is SOARS-B (Study of Oxytocin in Autism to Improve Reciprocal Social Behaviors), funded by the US health authorities and published in the New England Journal of Medicine in 2021</w:t>
      </w:r>
      <w:r>
        <w:rPr>
          <w:rStyle w:val="FootnoteReference"/>
        </w:rPr>
        <w:footnoteReference w:id="2221"/>
      </w:r>
      <w:r>
        <w:t xml:space="preserve">. 290 children and adolescents between 3 and 17 years of age received oxytocin or a placebo nasal spray daily for 24 weeks. The primary endpoint was a scale for social withdrawal (ABC-mSW, 0 to 39 points).</w:t>
      </w:r>
    </w:p>
    <w:p>
      <w:pPr>
        <w:pStyle w:val="BodyText"/>
      </w:pPr>
      <w:r>
        <w:t xml:space="preserve">The result was clearly negative: the score fell by 3.7 points under oxytocin and by 3.5 points under placebo. The difference of 0.2 points was neither statistically nor clinically significant. The secondary endpoints – two further measures of social function and an intelligence test – also did not differ. Side effects were equally frequent in both groups.</w:t>
      </w:r>
    </w:p>
    <w:p>
      <w:pPr>
        <w:pStyle w:val="BodyText"/>
      </w:pPr>
      <w:r>
        <w:rPr>
          <w:bCs/>
          <w:b/>
        </w:rPr>
        <w:t xml:space="preserve">The Australian study in young children.</w:t>
      </w:r>
      <w:r>
        <w:t xml:space="preserve"> </w:t>
      </w:r>
      <w:r>
        <w:t xml:space="preserve">The group led by Adam Guastella had previously found a positive result in young children</w:t>
      </w:r>
      <w:r>
        <w:rPr>
          <w:rStyle w:val="FootnoteReference"/>
        </w:rPr>
        <w:footnoteReference w:id="2222"/>
      </w:r>
      <w:r>
        <w:t xml:space="preserve">. A larger follow-up study with 87 children added a three-week placebo lead-in phase to filter out the strong placebo effect. Overall, oxytocin showed no effect on social responsiveness. Only in the subgroup of 3- to 5-year-olds was there a hint of improvement according to parent ratings; clinician ratings and all other measures showed no benefit</w:t>
      </w:r>
      <w:r>
        <w:rPr>
          <w:rStyle w:val="FootnoteReference"/>
        </w:rPr>
        <w:footnoteReference w:id="2223"/>
      </w:r>
      <w:r>
        <w:t xml:space="preserve">. Notably, in the 2015 adolescent study, parents who believed their child was receiving oxytocin reported greater improvements – regardless of what the child actually received</w:t>
      </w:r>
      <w:r>
        <w:rPr>
          <w:rStyle w:val="FootnoteReference"/>
        </w:rPr>
        <w:footnoteReference w:id="2224"/>
      </w:r>
      <w:r>
        <w:t xml:space="preserve">.</w:t>
      </w:r>
    </w:p>
    <w:p>
      <w:pPr>
        <w:pStyle w:val="BodyText"/>
      </w:pPr>
      <w:r>
        <w:rPr>
          <w:bCs/>
          <w:b/>
        </w:rPr>
        <w:t xml:space="preserve">Biological effects without clinical benefit.</w:t>
      </w:r>
      <w:r>
        <w:t xml:space="preserve"> </w:t>
      </w:r>
      <w:r>
        <w:t xml:space="preserve">A study with 79 children found higher oxytocin levels in saliva and changes in the epigenetic marking of the receptor gene after four weeks of oxytocin</w:t>
      </w:r>
      <w:r>
        <w:rPr>
          <w:rStyle w:val="FootnoteReference"/>
        </w:rPr>
        <w:footnoteReference w:id="2225"/>
      </w:r>
      <w:r>
        <w:t xml:space="preserve">. In the brain scanner, by contrast, the same group showed no significant treatment effects on face processing</w:t>
      </w:r>
      <w:r>
        <w:rPr>
          <w:rStyle w:val="FootnoteReference"/>
        </w:rPr>
        <w:footnoteReference w:id="2226"/>
      </w:r>
      <w:r>
        <w:t xml:space="preserve">. Such biological signals are scientifically interesting but do not demonstrate improvement in everyday life.</w:t>
      </w:r>
    </w:p>
    <w:p>
      <w:pPr>
        <w:pStyle w:val="BodyText"/>
      </w:pPr>
      <w:r>
        <w:rPr>
          <w:bCs/>
          <w:b/>
        </w:rPr>
        <w:t xml:space="preserve">Meta-analyses.</w:t>
      </w:r>
      <w:r>
        <w:t xml:space="preserve"> </w:t>
      </w:r>
      <w:r>
        <w:t xml:space="preserve">The summaries reach different conclusions depending on which studies they include:</w:t>
      </w:r>
    </w:p>
    <w:p>
      <w:pPr>
        <w:numPr>
          <w:ilvl w:val="0"/>
          <w:numId w:val="1277"/>
        </w:numPr>
        <w:pStyle w:val="Compact"/>
      </w:pPr>
      <w:r>
        <w:t xml:space="preserve">A meta-analysis of 17 randomized studies with 466 people with developmental disorders found no effect on emotion recognition and a small effect on understanding the thoughts of others</w:t>
      </w:r>
      <w:r>
        <w:rPr>
          <w:rStyle w:val="FootnoteReference"/>
        </w:rPr>
        <w:footnoteReference w:id="2227"/>
      </w:r>
      <w:r>
        <w:t xml:space="preserve">.</w:t>
      </w:r>
    </w:p>
    <w:p>
      <w:pPr>
        <w:numPr>
          <w:ilvl w:val="0"/>
          <w:numId w:val="1277"/>
        </w:numPr>
        <w:pStyle w:val="Compact"/>
      </w:pPr>
      <w:r>
        <w:t xml:space="preserve">A meta-analysis of 28 studies with 726 people with autism, including uncontrolled ones, reached a more positive verdict on social function</w:t>
      </w:r>
      <w:r>
        <w:rPr>
          <w:rStyle w:val="FootnoteReference"/>
        </w:rPr>
        <w:footnoteReference w:id="2228"/>
      </w:r>
      <w:r>
        <w:t xml:space="preserve">. The inclusion of uncontrolled studies makes this result susceptible to bias.</w:t>
      </w:r>
    </w:p>
    <w:p>
      <w:pPr>
        <w:numPr>
          <w:ilvl w:val="0"/>
          <w:numId w:val="1277"/>
        </w:numPr>
        <w:pStyle w:val="Compact"/>
      </w:pPr>
      <w:r>
        <w:t xml:space="preserve">The largest meta-analysis to date across all mental disorders (42 double-blind studies, 1,922 people) found no significant effect overall. After excluding two outliers, the effect size was close to zero</w:t>
      </w:r>
      <w:r>
        <w:rPr>
          <w:rStyle w:val="FootnoteReference"/>
        </w:rPr>
        <w:footnoteReference w:id="2229"/>
      </w:r>
      <w:r>
        <w:t xml:space="preserve">.</w:t>
      </w:r>
    </w:p>
    <w:p>
      <w:pPr>
        <w:pStyle w:val="FirstParagraph"/>
      </w:pPr>
      <w:r>
        <w:rPr>
          <w:bCs/>
          <w:b/>
        </w:rPr>
        <w:t xml:space="preserve">Interim conclusion on autism:</w:t>
      </w:r>
      <w:r>
        <w:t xml:space="preserve"> </w:t>
      </w:r>
      <w:r>
        <w:t xml:space="preserve">After the large SOARS-B trial and the Australian follow-up study, there is no robust evidence that oxytocin nasal spray improves the social behavior of children and adolescents with autism in everyday life. Researchers are discussing whether certain subgroups – very young children, children with low oxytocin levels – might benefit, and propose a personalized approach</w:t>
      </w:r>
      <w:r>
        <w:rPr>
          <w:rStyle w:val="FootnoteReference"/>
        </w:rPr>
        <w:footnoteReference w:id="2230"/>
      </w:r>
      <w:r>
        <w:t xml:space="preserve">. Until this is confirmed in dedicated studies, it remains a hypothesis.</w:t>
      </w:r>
    </w:p>
    <w:bookmarkEnd w:id="2231"/>
    <w:bookmarkStart w:id="2239" w:name="other-mental-disorders"/>
    <w:p>
      <w:pPr>
        <w:pStyle w:val="Heading4"/>
      </w:pPr>
      <w:r>
        <w:t xml:space="preserve">Other Mental Disorders</w:t>
      </w:r>
    </w:p>
    <w:p>
      <w:pPr>
        <w:pStyle w:val="FirstParagraph"/>
      </w:pPr>
      <w:r>
        <w:rPr>
          <w:bCs/>
          <w:b/>
        </w:rPr>
        <w:t xml:space="preserve">Schizophrenia.</w:t>
      </w:r>
      <w:r>
        <w:t xml:space="preserve"> </w:t>
      </w:r>
      <w:r>
        <w:t xml:space="preserve">In a twelve-week study with 68 people, oxytocin did not improve social cognition</w:t>
      </w:r>
      <w:r>
        <w:rPr>
          <w:rStyle w:val="FootnoteReference"/>
        </w:rPr>
        <w:footnoteReference w:id="2232"/>
      </w:r>
      <w:r>
        <w:t xml:space="preserve">. A meta-analysis of nine studies found no consistent effect on so-called negative symptoms such as lack of drive and social withdrawal</w:t>
      </w:r>
      <w:r>
        <w:rPr>
          <w:rStyle w:val="FootnoteReference"/>
        </w:rPr>
        <w:footnoteReference w:id="2233"/>
      </w:r>
      <w:r>
        <w:t xml:space="preserve">. The large 2026 meta-analysis saw a small, just significant effect in this group (effect size 0.12) and found that studies with more women tended to show larger effects</w:t>
      </w:r>
      <w:r>
        <w:rPr>
          <w:rStyle w:val="FootnoteReference"/>
        </w:rPr>
        <w:footnoteReference w:id="2234"/>
      </w:r>
      <w:r>
        <w:t xml:space="preserve">.</w:t>
      </w:r>
    </w:p>
    <w:p>
      <w:pPr>
        <w:pStyle w:val="BodyText"/>
      </w:pPr>
      <w:r>
        <w:rPr>
          <w:bCs/>
          <w:b/>
        </w:rPr>
        <w:t xml:space="preserve">Alcohol.</w:t>
      </w:r>
      <w:r>
        <w:t xml:space="preserve"> </w:t>
      </w:r>
      <w:r>
        <w:t xml:space="preserve">In a Norwegian study with 40 people undergoing alcohol withdrawal, oxytocin did not significantly reduce the need for sedatives</w:t>
      </w:r>
      <w:r>
        <w:rPr>
          <w:rStyle w:val="FootnoteReference"/>
        </w:rPr>
        <w:footnoteReference w:id="2235"/>
      </w:r>
      <w:r>
        <w:t xml:space="preserve">. A meta-analysis of six randomized studies on alcohol dependence found no effect; a Bayesian analysis even moderately favored the absence of an effect</w:t>
      </w:r>
      <w:r>
        <w:rPr>
          <w:rStyle w:val="FootnoteReference"/>
        </w:rPr>
        <w:footnoteReference w:id="2236"/>
      </w:r>
      <w:r>
        <w:t xml:space="preserve">.</w:t>
      </w:r>
    </w:p>
    <w:p>
      <w:pPr>
        <w:pStyle w:val="BodyText"/>
      </w:pPr>
      <w:r>
        <w:rPr>
          <w:bCs/>
          <w:b/>
        </w:rPr>
        <w:t xml:space="preserve">Combination with psychotherapy.</w:t>
      </w:r>
      <w:r>
        <w:t xml:space="preserve"> </w:t>
      </w:r>
      <w:r>
        <w:t xml:space="preserve">A newer idea is to give oxytocin not on its own but as an enhancer of psychotherapy. A review of 13 studies with 518 participants found indications of fewer depressive symptoms and a better therapeutic relationship, but no effect on psychiatric symptoms overall or on social functioning; only four studies could be pooled</w:t>
      </w:r>
      <w:r>
        <w:rPr>
          <w:rStyle w:val="FootnoteReference"/>
        </w:rPr>
        <w:footnoteReference w:id="2237"/>
      </w:r>
      <w:r>
        <w:t xml:space="preserve">.</w:t>
      </w:r>
    </w:p>
    <w:p>
      <w:pPr>
        <w:pStyle w:val="BodyText"/>
      </w:pPr>
      <w:r>
        <w:rPr>
          <w:bCs/>
          <w:b/>
        </w:rPr>
        <w:t xml:space="preserve">After childbirth.</w:t>
      </w:r>
      <w:r>
        <w:t xml:space="preserve"> </w:t>
      </w:r>
      <w:r>
        <w:t xml:space="preserve">In 45 mothers with (partly subthreshold) postpartum depression, a single dose increased positive mood and positive engagement with the child, but not sensitivity in interacting with the child</w:t>
      </w:r>
      <w:r>
        <w:rPr>
          <w:rStyle w:val="FootnoteReference"/>
        </w:rPr>
        <w:footnoteReference w:id="2238"/>
      </w:r>
      <w:r>
        <w:t xml:space="preserve">.</w:t>
      </w:r>
    </w:p>
    <w:bookmarkEnd w:id="2239"/>
    <w:bookmarkStart w:id="2246" w:name="metabolism-weight-and-pain"/>
    <w:p>
      <w:pPr>
        <w:pStyle w:val="Heading4"/>
      </w:pPr>
      <w:r>
        <w:t xml:space="preserve">Metabolism, Weight and Pain</w:t>
      </w:r>
    </w:p>
    <w:p>
      <w:pPr>
        <w:pStyle w:val="FirstParagraph"/>
      </w:pPr>
      <w:r>
        <w:rPr>
          <w:bCs/>
          <w:b/>
        </w:rPr>
        <w:t xml:space="preserve">Obesity.</w:t>
      </w:r>
      <w:r>
        <w:t xml:space="preserve"> </w:t>
      </w:r>
      <w:r>
        <w:t xml:space="preserve">Because oxytocin reduces food intake and increases energy expenditure in animals, it was tested as a weight-loss drug. A meta-analysis found that a single dose reduced the amount eaten at a test meal in people without mental illness</w:t>
      </w:r>
      <w:r>
        <w:rPr>
          <w:rStyle w:val="FootnoteReference"/>
        </w:rPr>
        <w:footnoteReference w:id="2240"/>
      </w:r>
      <w:r>
        <w:t xml:space="preserve">. The decisive test was a study with 61 adults with obesity who sprayed oxytocin or placebo four times a day for eight weeks. Weight did not change: +0.20 kg under oxytocin, +0.26 kg under placebo. Body fat, liver fat and energy expenditure also remained unchanged; only at a test meal did participants eat less</w:t>
      </w:r>
      <w:r>
        <w:rPr>
          <w:rStyle w:val="FootnoteReference"/>
        </w:rPr>
        <w:footnoteReference w:id="2241"/>
      </w:r>
      <w:r>
        <w:t xml:space="preserve">. A small pilot study in 21 older people with overweight and muscle loss found a gain in muscle mass of 2.25 kg</w:t>
      </w:r>
      <w:r>
        <w:rPr>
          <w:rStyle w:val="FootnoteReference"/>
        </w:rPr>
        <w:footnoteReference w:id="2242"/>
      </w:r>
      <w:r>
        <w:t xml:space="preserve">; this needs to be confirmed in larger studies.</w:t>
      </w:r>
    </w:p>
    <w:p>
      <w:pPr>
        <w:pStyle w:val="BodyText"/>
      </w:pPr>
      <w:r>
        <w:rPr>
          <w:bCs/>
          <w:b/>
        </w:rPr>
        <w:t xml:space="preserve">Prader-Willi syndrome.</w:t>
      </w:r>
      <w:r>
        <w:t xml:space="preserve"> </w:t>
      </w:r>
      <w:r>
        <w:t xml:space="preserve">In this rare genetic disorder with insatiable hunger and reduced oxytocin in the hypothalamus, expectations were particularly high. A meta-analysis found no effect on food cravings or weight</w:t>
      </w:r>
      <w:r>
        <w:rPr>
          <w:rStyle w:val="FootnoteReference"/>
        </w:rPr>
        <w:footnoteReference w:id="2243"/>
      </w:r>
      <w:r>
        <w:t xml:space="preserve">. In a study with 23 children, food cravings and repetitive behavior even tended to improve more under placebo</w:t>
      </w:r>
      <w:r>
        <w:rPr>
          <w:rStyle w:val="FootnoteReference"/>
        </w:rPr>
        <w:footnoteReference w:id="2244"/>
      </w:r>
      <w:r>
        <w:t xml:space="preserve">.</w:t>
      </w:r>
    </w:p>
    <w:p>
      <w:pPr>
        <w:pStyle w:val="BodyText"/>
      </w:pPr>
      <w:r>
        <w:rPr>
          <w:bCs/>
          <w:b/>
        </w:rPr>
        <w:t xml:space="preserve">Pain.</w:t>
      </w:r>
      <w:r>
        <w:t xml:space="preserve"> </w:t>
      </w:r>
      <w:r>
        <w:t xml:space="preserve">A meta-analysis of 15 studies found no significant effect on pain intensity or pain unpleasantness</w:t>
      </w:r>
      <w:r>
        <w:rPr>
          <w:rStyle w:val="FootnoteReference"/>
        </w:rPr>
        <w:footnoteReference w:id="2245"/>
      </w:r>
      <w:r>
        <w:t xml:space="preserve">.</w:t>
      </w:r>
    </w:p>
    <w:bookmarkEnd w:id="2246"/>
    <w:bookmarkStart w:id="2249" w:name="sexuality"/>
    <w:p>
      <w:pPr>
        <w:pStyle w:val="Heading4"/>
      </w:pPr>
      <w:r>
        <w:t xml:space="preserve">Sexuality</w:t>
      </w:r>
    </w:p>
    <w:p>
      <w:pPr>
        <w:pStyle w:val="FirstParagraph"/>
      </w:pPr>
      <w:r>
        <w:t xml:space="preserve">Oxytocin is released during orgasm and is promoted on the internet as a means to a more intense love life. In a laboratory study with ten men, a nasal spray markedly increased the oxytocin level in the blood but did not change desire, arousal, orgasm or the refractory period according to the questionnaires</w:t>
      </w:r>
      <w:r>
        <w:rPr>
          <w:rStyle w:val="FootnoteReference"/>
        </w:rPr>
        <w:footnoteReference w:id="2247"/>
      </w:r>
      <w:r>
        <w:t xml:space="preserve">. A meta-analysis of medications for female sexual dysfunction, which also included oxytocin studies, found that around two-thirds of the improvement also occurred under placebo</w:t>
      </w:r>
      <w:r>
        <w:rPr>
          <w:rStyle w:val="FootnoteReference"/>
        </w:rPr>
        <w:footnoteReference w:id="2248"/>
      </w:r>
      <w:r>
        <w:t xml:space="preserve">. There is no robust evidence of an effect on sexuality.</w:t>
      </w:r>
    </w:p>
    <w:bookmarkEnd w:id="2249"/>
    <w:bookmarkStart w:id="2252" w:name="oxytocin-deficiency-as-a-disease"/>
    <w:p>
      <w:pPr>
        <w:pStyle w:val="Heading4"/>
      </w:pPr>
      <w:r>
        <w:t xml:space="preserve">Oxytocin Deficiency as a Disease</w:t>
      </w:r>
    </w:p>
    <w:p>
      <w:pPr>
        <w:pStyle w:val="FirstParagraph"/>
      </w:pPr>
      <w:r>
        <w:t xml:space="preserve">A new and medically plausible field is genuine oxytocin deficiency. People whose hypothalamus or pituitary gland has been damaged, for example by a tumor or surgery, often have vasopressin deficiency (formerly central diabetes insipidus). A Swiss study used the drug MDMA, which strongly releases oxytocin in healthy people, as a provocation test. In 15 healthy people, oxytocin rose sharply; in 15 patients, it barely rose; the area under the curve was 82% larger in healthy people, and the patients hardly felt the typical social and anxiolytic effects</w:t>
      </w:r>
      <w:r>
        <w:rPr>
          <w:rStyle w:val="FootnoteReference"/>
        </w:rPr>
        <w:footnoteReference w:id="2250"/>
      </w:r>
      <w:r>
        <w:t xml:space="preserve">. This suggests that many of these people also have an oxytocin deficiency. Whether replacement via nasal spray relieves their psychological symptoms is being tested in an ongoing study</w:t>
      </w:r>
      <w:r>
        <w:rPr>
          <w:rStyle w:val="FootnoteReference"/>
        </w:rPr>
        <w:footnoteReference w:id="2251"/>
      </w:r>
      <w:r>
        <w:t xml:space="preserve">. Kisspeptin is also being investigated as a possible test for oxytocin deficiency (Galbiati 2025, PMID 39965102; chapter 2E04).</w:t>
      </w:r>
    </w:p>
    <w:bookmarkEnd w:id="2252"/>
    <w:bookmarkEnd w:id="2253"/>
    <w:bookmarkStart w:id="2256" w:name="animal-and-laboratory-studies-50"/>
    <w:p>
      <w:pPr>
        <w:pStyle w:val="Heading3"/>
      </w:pPr>
      <w:r>
        <w:t xml:space="preserve">Animal and laboratory studies</w:t>
      </w:r>
    </w:p>
    <w:p>
      <w:pPr>
        <w:pStyle w:val="FirstParagraph"/>
      </w:pPr>
      <w:r>
        <w:t xml:space="preserve">The enthusiasm for oxytocin rests on convincing animal findings: in prairie voles, the oxytocin system is necessary for pair bonding, and in rodents and sheep for maternal behavior. In mice in an autism model, an agent that stimulates the oxytocin system improved measures of social behavior</w:t>
      </w:r>
      <w:r>
        <w:rPr>
          <w:rStyle w:val="FootnoteReference"/>
        </w:rPr>
        <w:footnoteReference w:id="2254"/>
      </w:r>
      <w:r>
        <w:t xml:space="preserve">. In rhesus monkeys, labeled oxytocin reached certain brain regions via the nose</w:t>
      </w:r>
      <w:r>
        <w:rPr>
          <w:rStyle w:val="FootnoteReference"/>
        </w:rPr>
        <w:footnoteReference w:id="2255"/>
      </w:r>
      <w:r>
        <w:t xml:space="preserve">.</w:t>
      </w:r>
    </w:p>
    <w:p>
      <w:pPr>
        <w:pStyle w:val="BodyText"/>
      </w:pPr>
      <w:r>
        <w:t xml:space="preserve">However, these findings can only be transferred to a limited extent: the distribution of oxytocin receptors in the brain differs greatly between species, even between closely related vole species. Many animal experiments administered oxytocin directly into the brain, which is not possible in humans.</w:t>
      </w:r>
    </w:p>
    <w:bookmarkEnd w:id="2256"/>
    <w:bookmarkStart w:id="2266" w:name="risks-and-side-effects-50"/>
    <w:p>
      <w:pPr>
        <w:pStyle w:val="Heading3"/>
      </w:pPr>
      <w:r>
        <w:t xml:space="preserve">Risks and side effects</w:t>
      </w:r>
    </w:p>
    <w:bookmarkStart w:id="2261" w:name="established-nasal-spray-in-studies"/>
    <w:p>
      <w:pPr>
        <w:pStyle w:val="Heading4"/>
      </w:pPr>
      <w:r>
        <w:t xml:space="preserve">Established: Nasal Spray in Studies</w:t>
      </w:r>
    </w:p>
    <w:p>
      <w:pPr>
        <w:pStyle w:val="FirstParagraph"/>
      </w:pPr>
      <w:r>
        <w:t xml:space="preserve">In controlled studies, oxytocin nasal spray is considered well tolerated. A systematic review of 38 randomized studies with 1,529 participants found no side effects with short-term use that occurred more frequently than under placebo. Participants were also unable to tell whether they had received oxytocin or placebo</w:t>
      </w:r>
      <w:r>
        <w:rPr>
          <w:rStyle w:val="FootnoteReference"/>
        </w:rPr>
        <w:footnoteReference w:id="2257"/>
      </w:r>
      <w:r>
        <w:t xml:space="preserve">. In SOARS-B, side effects over 24 weeks were equally frequent in both groups</w:t>
      </w:r>
      <w:r>
        <w:rPr>
          <w:rStyle w:val="FootnoteReference"/>
        </w:rPr>
        <w:footnoteReference w:id="2258"/>
      </w:r>
      <w:r>
        <w:t xml:space="preserve">. In 95 older men, no changes in blood pressure, urine or blood values occurred over four weeks</w:t>
      </w:r>
      <w:r>
        <w:rPr>
          <w:rStyle w:val="FootnoteReference"/>
        </w:rPr>
        <w:footnoteReference w:id="2259"/>
      </w:r>
      <w:r>
        <w:t xml:space="preserve">. In pediatric studies, thirst, increased urination and constipation were reported</w:t>
      </w:r>
      <w:r>
        <w:rPr>
          <w:rStyle w:val="FootnoteReference"/>
        </w:rPr>
        <w:footnoteReference w:id="2260"/>
      </w:r>
      <w:r>
        <w:t xml:space="preserve">.</w:t>
      </w:r>
    </w:p>
    <w:bookmarkEnd w:id="2261"/>
    <w:bookmarkStart w:id="2264" w:name="possible-and-worth-noting"/>
    <w:p>
      <w:pPr>
        <w:pStyle w:val="Heading4"/>
      </w:pPr>
      <w:r>
        <w:t xml:space="preserve">Possible and Worth Noting</w:t>
      </w:r>
    </w:p>
    <w:p>
      <w:pPr>
        <w:numPr>
          <w:ilvl w:val="0"/>
          <w:numId w:val="1278"/>
        </w:numPr>
        <w:pStyle w:val="Compact"/>
      </w:pPr>
      <w:r>
        <w:rPr>
          <w:bCs/>
          <w:b/>
        </w:rPr>
        <w:t xml:space="preserve">Fluid balance:</w:t>
      </w:r>
      <w:r>
        <w:t xml:space="preserve"> </w:t>
      </w:r>
      <w:r>
        <w:t xml:space="preserve">Oxytocin resembles vasopressin and in high doses can cause the body to retain water. In obstetrics, water intoxication with sodium deficiency is a known, rare complication of high-dose infusions. With the nasal spray, one case of increased intracranial pressure with a simultaneously very high fluid intake has been described</w:t>
      </w:r>
      <w:r>
        <w:rPr>
          <w:rStyle w:val="FootnoteReference"/>
        </w:rPr>
        <w:footnoteReference w:id="2262"/>
      </w:r>
      <w:r>
        <w:t xml:space="preserve">.</w:t>
      </w:r>
    </w:p>
    <w:p>
      <w:pPr>
        <w:numPr>
          <w:ilvl w:val="0"/>
          <w:numId w:val="1278"/>
        </w:numPr>
        <w:pStyle w:val="Compact"/>
      </w:pPr>
      <w:r>
        <w:rPr>
          <w:bCs/>
          <w:b/>
        </w:rPr>
        <w:t xml:space="preserve">Circulation:</w:t>
      </w:r>
      <w:r>
        <w:t xml:space="preserve"> </w:t>
      </w:r>
      <w:r>
        <w:t xml:space="preserve">In twelve healthy men, a nasal spray increased the activity of the nerves that constrict blood vessels and slightly raised diastolic blood pressure</w:t>
      </w:r>
      <w:r>
        <w:rPr>
          <w:rStyle w:val="FootnoteReference"/>
        </w:rPr>
        <w:footnoteReference w:id="2263"/>
      </w:r>
      <w:r>
        <w:t xml:space="preserve">.</w:t>
      </w:r>
    </w:p>
    <w:p>
      <w:pPr>
        <w:numPr>
          <w:ilvl w:val="0"/>
          <w:numId w:val="1278"/>
        </w:numPr>
        <w:pStyle w:val="Compact"/>
      </w:pPr>
      <w:r>
        <w:rPr>
          <w:bCs/>
          <w:b/>
        </w:rPr>
        <w:t xml:space="preserve">Pregnancy:</w:t>
      </w:r>
      <w:r>
        <w:t xml:space="preserve"> </w:t>
      </w:r>
      <w:r>
        <w:t xml:space="preserve">Because oxytocin triggers labor contractions, use during pregnancy outside medical supervision is dangerous.</w:t>
      </w:r>
    </w:p>
    <w:p>
      <w:pPr>
        <w:numPr>
          <w:ilvl w:val="0"/>
          <w:numId w:val="1278"/>
        </w:numPr>
        <w:pStyle w:val="Compact"/>
      </w:pPr>
      <w:r>
        <w:rPr>
          <w:bCs/>
          <w:b/>
        </w:rPr>
        <w:t xml:space="preserve">Long-term use:</w:t>
      </w:r>
      <w:r>
        <w:t xml:space="preserve"> </w:t>
      </w:r>
      <w:r>
        <w:t xml:space="preserve">Data covering more than six months are lacking, especially in children.</w:t>
      </w:r>
    </w:p>
    <w:p>
      <w:pPr>
        <w:numPr>
          <w:ilvl w:val="0"/>
          <w:numId w:val="1278"/>
        </w:numPr>
        <w:pStyle w:val="Compact"/>
      </w:pPr>
      <w:r>
        <w:rPr>
          <w:bCs/>
          <w:b/>
        </w:rPr>
        <w:t xml:space="preserve">Social effects:</w:t>
      </w:r>
      <w:r>
        <w:t xml:space="preserve"> </w:t>
      </w:r>
      <w:r>
        <w:t xml:space="preserve">Individual laboratory studies reported that under certain conditions oxytocin can also increase envy, distrust of strangers or favoritism toward one’s own group. These findings are just as uncertain as the positive ones.</w:t>
      </w:r>
    </w:p>
    <w:bookmarkEnd w:id="2264"/>
    <w:bookmarkStart w:id="2265" w:name="gray-market-3"/>
    <w:p>
      <w:pPr>
        <w:pStyle w:val="Heading4"/>
      </w:pPr>
      <w:r>
        <w:t xml:space="preserve">Gray Market</w:t>
      </w:r>
    </w:p>
    <w:p>
      <w:pPr>
        <w:pStyle w:val="FirstParagraph"/>
      </w:pPr>
      <w:r>
        <w:t xml:space="preserve">Oxytocin nasal sprays are sold on the internet as</w:t>
      </w:r>
      <w:r>
        <w:t xml:space="preserve"> </w:t>
      </w:r>
      <w:r>
        <w:t xml:space="preserve">“</w:t>
      </w:r>
      <w:r>
        <w:t xml:space="preserve">love</w:t>
      </w:r>
      <w:r>
        <w:t xml:space="preserve">”</w:t>
      </w:r>
      <w:r>
        <w:t xml:space="preserve"> </w:t>
      </w:r>
      <w:r>
        <w:t xml:space="preserve">or</w:t>
      </w:r>
      <w:r>
        <w:t xml:space="preserve"> </w:t>
      </w:r>
      <w:r>
        <w:t xml:space="preserve">“</w:t>
      </w:r>
      <w:r>
        <w:t xml:space="preserve">trust</w:t>
      </w:r>
      <w:r>
        <w:t xml:space="preserve">”</w:t>
      </w:r>
      <w:r>
        <w:t xml:space="preserve"> </w:t>
      </w:r>
      <w:r>
        <w:t xml:space="preserve">sprays. The content and strength of such products have not been independently tested. There is no evidence of efficacy for any of these products.</w:t>
      </w:r>
    </w:p>
    <w:bookmarkEnd w:id="2265"/>
    <w:bookmarkEnd w:id="2266"/>
    <w:bookmarkStart w:id="2267" w:name="legal-status-50"/>
    <w:p>
      <w:pPr>
        <w:pStyle w:val="Heading3"/>
      </w:pPr>
      <w:r>
        <w:t xml:space="preserve">Legal status</w:t>
      </w:r>
    </w:p>
    <w:p>
      <w:pPr>
        <w:pStyle w:val="FirstParagraph"/>
      </w:pPr>
      <w:r>
        <w:rPr>
          <w:iCs/>
          <w:i/>
        </w:rPr>
        <w:t xml:space="preserve">As of 2026, please check for updates.</w:t>
      </w:r>
    </w:p>
    <w:p>
      <w:pPr>
        <w:numPr>
          <w:ilvl w:val="0"/>
          <w:numId w:val="1279"/>
        </w:numPr>
        <w:pStyle w:val="Compact"/>
      </w:pPr>
      <w:r>
        <w:rPr>
          <w:bCs/>
          <w:b/>
        </w:rPr>
        <w:t xml:space="preserve">EU, Germany, Austria:</w:t>
      </w:r>
      <w:r>
        <w:t xml:space="preserve"> </w:t>
      </w:r>
      <w:r>
        <w:t xml:space="preserve">Oxytocin for infusion and injection is approved as a prescription medicine for obstetrics. There is no approved nasal spray for psychological or social uses; formerly approved sprays for promoting milk flow are no longer available in many places. A prescription for the treatment of autism or other conditions would be an individual off-label treatment attempt with corresponding obligations regarding informed consent and liability.</w:t>
      </w:r>
    </w:p>
    <w:p>
      <w:pPr>
        <w:numPr>
          <w:ilvl w:val="0"/>
          <w:numId w:val="1279"/>
        </w:numPr>
        <w:pStyle w:val="Compact"/>
      </w:pPr>
      <w:r>
        <w:rPr>
          <w:bCs/>
          <w:b/>
        </w:rPr>
        <w:t xml:space="preserve">USA:</w:t>
      </w:r>
      <w:r>
        <w:t xml:space="preserve"> </w:t>
      </w:r>
      <w:r>
        <w:t xml:space="preserve">Oxytocin injection (Pitocin and generics) approved for obstetrics; no approved nasal spray. Compounding pharmacies prepare nasal sprays on medical prescription; their quality is not tested in the same way as that of finished medicines.</w:t>
      </w:r>
    </w:p>
    <w:p>
      <w:pPr>
        <w:numPr>
          <w:ilvl w:val="0"/>
          <w:numId w:val="1279"/>
        </w:numPr>
        <w:pStyle w:val="Compact"/>
      </w:pPr>
      <w:r>
        <w:rPr>
          <w:bCs/>
          <w:b/>
        </w:rPr>
        <w:t xml:space="preserve">WADA:</w:t>
      </w:r>
      <w:r>
        <w:t xml:space="preserve"> </w:t>
      </w:r>
      <w:r>
        <w:t xml:space="preserve">not listed.</w:t>
      </w:r>
    </w:p>
    <w:bookmarkEnd w:id="2267"/>
    <w:bookmarkStart w:id="2273" w:name="ongoing-studies-and-outlook-50"/>
    <w:p>
      <w:pPr>
        <w:pStyle w:val="Heading3"/>
      </w:pPr>
      <w:r>
        <w:t xml:space="preserve">Ongoing studies and outlook</w:t>
      </w:r>
    </w:p>
    <w:p>
      <w:pPr>
        <w:pStyle w:val="FirstParagraph"/>
      </w:pPr>
      <w:r>
        <w:rPr>
          <w:bCs/>
          <w:b/>
        </w:rPr>
        <w:t xml:space="preserve">Established (registered studies):</w:t>
      </w:r>
      <w:r>
        <w:t xml:space="preserve"> </w:t>
      </w:r>
      <w:r>
        <w:t xml:space="preserve">Among the ongoing studies are some larger ones that could answer individual open questions:</w:t>
      </w:r>
    </w:p>
    <w:p>
      <w:pPr>
        <w:numPr>
          <w:ilvl w:val="0"/>
          <w:numId w:val="1280"/>
        </w:numPr>
        <w:pStyle w:val="Compact"/>
      </w:pPr>
      <w:r>
        <w:rPr>
          <w:bCs/>
          <w:b/>
        </w:rPr>
        <w:t xml:space="preserve">Chronic pain:</w:t>
      </w:r>
      <w:r>
        <w:t xml:space="preserve"> </w:t>
      </w:r>
      <w:r>
        <w:t xml:space="preserve">A Canadian phase 2/3 trial with 336 participants</w:t>
      </w:r>
      <w:r>
        <w:rPr>
          <w:rStyle w:val="FootnoteReference"/>
        </w:rPr>
        <w:footnoteReference w:id="2268"/>
      </w:r>
      <w:r>
        <w:t xml:space="preserve"> </w:t>
      </w:r>
      <w:r>
        <w:t xml:space="preserve">has been completed; results are pending.</w:t>
      </w:r>
    </w:p>
    <w:p>
      <w:pPr>
        <w:numPr>
          <w:ilvl w:val="0"/>
          <w:numId w:val="1280"/>
        </w:numPr>
        <w:pStyle w:val="Compact"/>
      </w:pPr>
      <w:r>
        <w:rPr>
          <w:bCs/>
          <w:b/>
        </w:rPr>
        <w:t xml:space="preserve">Psychotherapy plus oxytocin:</w:t>
      </w:r>
      <w:r>
        <w:t xml:space="preserve"> </w:t>
      </w:r>
      <w:r>
        <w:t xml:space="preserve">A study by the US Department of Veterans Affairs with 240 people is testing oxytocin as an adjunct to couples therapy in post-traumatic stress disorder (NCT06194851, until 2028). In Germany, studies are testing oxytocin as an adjunct to psychosocial treatment in schizophrenia (NCT06881810 with 98 people; NCT07265180 at the Charité with 120 people and a dose comparison).</w:t>
      </w:r>
    </w:p>
    <w:p>
      <w:pPr>
        <w:numPr>
          <w:ilvl w:val="0"/>
          <w:numId w:val="1280"/>
        </w:numPr>
        <w:pStyle w:val="Compact"/>
      </w:pPr>
      <w:r>
        <w:rPr>
          <w:bCs/>
          <w:b/>
        </w:rPr>
        <w:t xml:space="preserve">Oxytocin deficiency:</w:t>
      </w:r>
      <w:r>
        <w:t xml:space="preserve"> </w:t>
      </w:r>
      <w:r>
        <w:t xml:space="preserve">A Swiss study with 112 people is testing oxytocin replacement in vasopressin deficiency</w:t>
      </w:r>
      <w:r>
        <w:rPr>
          <w:rStyle w:val="FootnoteReference"/>
        </w:rPr>
        <w:footnoteReference w:id="2269"/>
      </w:r>
      <w:r>
        <w:t xml:space="preserve">.</w:t>
      </w:r>
    </w:p>
    <w:p>
      <w:pPr>
        <w:numPr>
          <w:ilvl w:val="0"/>
          <w:numId w:val="1280"/>
        </w:numPr>
        <w:pStyle w:val="Compact"/>
      </w:pPr>
      <w:r>
        <w:rPr>
          <w:bCs/>
          <w:b/>
        </w:rPr>
        <w:t xml:space="preserve">Autism and bone:</w:t>
      </w:r>
      <w:r>
        <w:t xml:space="preserve"> </w:t>
      </w:r>
      <w:r>
        <w:t xml:space="preserve">A study with 96 children is investigating effects on bone health</w:t>
      </w:r>
      <w:r>
        <w:rPr>
          <w:rStyle w:val="FootnoteReference"/>
        </w:rPr>
        <w:footnoteReference w:id="2270"/>
      </w:r>
      <w:r>
        <w:t xml:space="preserve">.</w:t>
      </w:r>
    </w:p>
    <w:p>
      <w:pPr>
        <w:numPr>
          <w:ilvl w:val="0"/>
          <w:numId w:val="1280"/>
        </w:numPr>
        <w:pStyle w:val="Compact"/>
      </w:pPr>
      <w:r>
        <w:rPr>
          <w:bCs/>
          <w:b/>
        </w:rPr>
        <w:t xml:space="preserve">Eating disorders:</w:t>
      </w:r>
      <w:r>
        <w:t xml:space="preserve"> </w:t>
      </w:r>
      <w:r>
        <w:t xml:space="preserve">a phase 2 trial in binge eating</w:t>
      </w:r>
      <w:r>
        <w:rPr>
          <w:rStyle w:val="FootnoteReference"/>
        </w:rPr>
        <w:footnoteReference w:id="2271"/>
      </w:r>
      <w:r>
        <w:t xml:space="preserve">.</w:t>
      </w:r>
    </w:p>
    <w:p>
      <w:pPr>
        <w:numPr>
          <w:ilvl w:val="0"/>
          <w:numId w:val="1280"/>
        </w:numPr>
        <w:pStyle w:val="Compact"/>
      </w:pPr>
      <w:r>
        <w:rPr>
          <w:bCs/>
          <w:b/>
        </w:rPr>
        <w:t xml:space="preserve">Industry development:</w:t>
      </w:r>
      <w:r>
        <w:t xml:space="preserve"> </w:t>
      </w:r>
      <w:r>
        <w:t xml:space="preserve">One company has tested a high-dose oxytocin nasal spray (TNX-1900) in chronic migraine (NCT05679908, 88 people, completed) and is planning a study on pain treatment after pituitary surgery</w:t>
      </w:r>
      <w:r>
        <w:rPr>
          <w:rStyle w:val="FootnoteReference"/>
        </w:rPr>
        <w:footnoteReference w:id="2272"/>
      </w:r>
      <w:r>
        <w:t xml:space="preserve">.</w:t>
      </w:r>
    </w:p>
    <w:p>
      <w:pPr>
        <w:pStyle w:val="FirstParagraph"/>
      </w:pPr>
      <w:r>
        <w:rPr>
          <w:bCs/>
          <w:b/>
        </w:rPr>
        <w:t xml:space="preserve">Author’s assessment:</w:t>
      </w:r>
      <w:r>
        <w:t xml:space="preserve"> </w:t>
      </w:r>
      <w:r>
        <w:t xml:space="preserve">The story of oxytocin nasal spray is a lesson in the limits of small studies. After two decades of research, there is not a single application in which a benefit has been confirmed in large, well-conducted studies. The most promising directions today are more narrowly defined: oxytocin as an adjunct to psychotherapy rather than as a medication on its own, as replacement in proven deficiency, and targeted at subgroups defined in advance. Approval for autism or social anxiety appears unlikely in the coming years.</w:t>
      </w:r>
    </w:p>
    <w:bookmarkEnd w:id="2273"/>
    <w:bookmarkStart w:id="2274" w:name="conclusion-50"/>
    <w:p>
      <w:pPr>
        <w:pStyle w:val="Heading3"/>
      </w:pPr>
      <w:r>
        <w:t xml:space="preserve">Conclusion</w:t>
      </w:r>
    </w:p>
    <w:p>
      <w:pPr>
        <w:pStyle w:val="FirstParagraph"/>
      </w:pPr>
      <w:r>
        <w:t xml:space="preserve">As an infusion, oxytocin is an indispensable medicine in obstetrics; as a nasal spray, by contrast, it is a research tool without proven therapeutic benefit. The famous finding that oxytocin increases trust did not withstand replication studies; at most, a small effect is suggested in people with low baseline trust. The largest autism study, SOARS-B with 290 children and adolescents, found no difference from placebo after 24 weeks, and results were also negative in obesity, alcohol dependence, Prader-Willi syndrome and pain. In studies, the spray was well tolerated. Anyone buying a</w:t>
      </w:r>
      <w:r>
        <w:t xml:space="preserve"> </w:t>
      </w:r>
      <w:r>
        <w:t xml:space="preserve">“</w:t>
      </w:r>
      <w:r>
        <w:t xml:space="preserve">love</w:t>
      </w:r>
      <w:r>
        <w:t xml:space="preserve">”</w:t>
      </w:r>
      <w:r>
        <w:t xml:space="preserve"> </w:t>
      </w:r>
      <w:r>
        <w:t xml:space="preserve">or</w:t>
      </w:r>
      <w:r>
        <w:t xml:space="preserve"> </w:t>
      </w:r>
      <w:r>
        <w:t xml:space="preserve">“</w:t>
      </w:r>
      <w:r>
        <w:t xml:space="preserve">trust</w:t>
      </w:r>
      <w:r>
        <w:t xml:space="preserve">”</w:t>
      </w:r>
      <w:r>
        <w:t xml:space="preserve"> </w:t>
      </w:r>
      <w:r>
        <w:t xml:space="preserve">spray today is purchasing a promise that research does not keep.</w:t>
      </w:r>
    </w:p>
    <w:bookmarkEnd w:id="2274"/>
    <w:bookmarkEnd w:id="2275"/>
    <w:bookmarkStart w:id="2313" w:name="gonadorelin"/>
    <w:p>
      <w:pPr>
        <w:pStyle w:val="Heading2"/>
      </w:pPr>
      <w:r>
        <w:t xml:space="preserve">Gonadorelin</w:t>
      </w:r>
    </w:p>
    <w:bookmarkStart w:id="2276" w:name="profile-51"/>
    <w:p>
      <w:pPr>
        <w:pStyle w:val="Heading3"/>
      </w:pPr>
      <w:r>
        <w:t xml:space="preserve">Profile</w:t>
      </w:r>
    </w:p>
    <w:p>
      <w:pPr>
        <w:numPr>
          <w:ilvl w:val="0"/>
          <w:numId w:val="1281"/>
        </w:numPr>
        <w:pStyle w:val="Compact"/>
      </w:pPr>
      <w:r>
        <w:rPr>
          <w:bCs/>
          <w:b/>
        </w:rPr>
        <w:t xml:space="preserve">Type/structure:</w:t>
      </w:r>
      <w:r>
        <w:t xml:space="preserve"> </w:t>
      </w:r>
      <w:r>
        <w:t xml:space="preserve">peptide of ten amino acids, produced synthetically and identical in sequence to the human hormone GnRH (gonadotropin-releasing hormone, also called LHRH or gonadoliberin).</w:t>
      </w:r>
    </w:p>
    <w:p>
      <w:pPr>
        <w:numPr>
          <w:ilvl w:val="0"/>
          <w:numId w:val="1281"/>
        </w:numPr>
        <w:pStyle w:val="Compact"/>
      </w:pPr>
      <w:r>
        <w:rPr>
          <w:bCs/>
          <w:b/>
        </w:rPr>
        <w:t xml:space="preserve">Origin:</w:t>
      </w:r>
      <w:r>
        <w:t xml:space="preserve"> </w:t>
      </w:r>
      <w:r>
        <w:t xml:space="preserve">GnRH was isolated and decoded from pig and sheep brains in the early 1970s; the researchers involved, Andrew Schally and Roger Guillemin, received the Nobel Prize for this in 1977. Gonadorelin is the international nonproprietary name of the synthetic hormone.</w:t>
      </w:r>
    </w:p>
    <w:p>
      <w:pPr>
        <w:numPr>
          <w:ilvl w:val="0"/>
          <w:numId w:val="1281"/>
        </w:numPr>
        <w:pStyle w:val="Compact"/>
      </w:pPr>
      <w:r>
        <w:rPr>
          <w:bCs/>
          <w:b/>
        </w:rPr>
        <w:t xml:space="preserve">Mechanism of action:</w:t>
      </w:r>
      <w:r>
        <w:t xml:space="preserve"> </w:t>
      </w:r>
      <w:r>
        <w:t xml:space="preserve">agonist at the GnRH receptor of the pituitary gland. Given in pulses, it stimulates the release of LH and FSH; given continuously, it suppresses it.</w:t>
      </w:r>
    </w:p>
    <w:p>
      <w:pPr>
        <w:numPr>
          <w:ilvl w:val="0"/>
          <w:numId w:val="1281"/>
        </w:numPr>
        <w:pStyle w:val="Compact"/>
      </w:pPr>
      <w:r>
        <w:rPr>
          <w:bCs/>
          <w:b/>
        </w:rPr>
        <w:t xml:space="preserve">Dosage forms:</w:t>
      </w:r>
      <w:r>
        <w:t xml:space="preserve"> </w:t>
      </w:r>
      <w:r>
        <w:t xml:space="preserve">injection into a vein for function tests; portable pump that delivers a small amount under the skin or into a vein every 60 to 120 minutes (pulsatile therapy); in some countries, a nasal spray for infants with undescended testes.</w:t>
      </w:r>
    </w:p>
    <w:p>
      <w:pPr>
        <w:numPr>
          <w:ilvl w:val="0"/>
          <w:numId w:val="1281"/>
        </w:numPr>
        <w:pStyle w:val="Compact"/>
      </w:pPr>
      <w:r>
        <w:rPr>
          <w:bCs/>
          <w:b/>
        </w:rPr>
        <w:t xml:space="preserve">Approval EU:</w:t>
      </w:r>
      <w:r>
        <w:t xml:space="preserve"> </w:t>
      </w:r>
      <w:r>
        <w:t xml:space="preserve">nationally approved in individual member states, for example as a diagnostic agent and for pump therapy; products and availability differ from country to country.</w:t>
      </w:r>
    </w:p>
    <w:p>
      <w:pPr>
        <w:numPr>
          <w:ilvl w:val="0"/>
          <w:numId w:val="1281"/>
        </w:numPr>
        <w:pStyle w:val="Compact"/>
      </w:pPr>
      <w:r>
        <w:rPr>
          <w:bCs/>
          <w:b/>
        </w:rPr>
        <w:t xml:space="preserve">Approval USA:</w:t>
      </w:r>
      <w:r>
        <w:t xml:space="preserve"> </w:t>
      </w:r>
      <w:r>
        <w:t xml:space="preserve">Former products (Factrel for diagnostics, Lutrepulse for the pump) are no longer on the market. To the author’s knowledge, there is currently no marketed, approved human medicine (please check for updates).</w:t>
      </w:r>
    </w:p>
    <w:p>
      <w:pPr>
        <w:numPr>
          <w:ilvl w:val="0"/>
          <w:numId w:val="1281"/>
        </w:numPr>
        <w:pStyle w:val="Compact"/>
      </w:pPr>
      <w:r>
        <w:rPr>
          <w:bCs/>
          <w:b/>
        </w:rPr>
        <w:t xml:space="preserve">WADA:</w:t>
      </w:r>
      <w:r>
        <w:t xml:space="preserve"> </w:t>
      </w:r>
      <w:r>
        <w:t xml:space="preserve">prohibited for men (group S2, where gonadorelin is named explicitly), in and out of competition.</w:t>
      </w:r>
    </w:p>
    <w:p>
      <w:pPr>
        <w:numPr>
          <w:ilvl w:val="0"/>
          <w:numId w:val="1281"/>
        </w:numPr>
        <w:pStyle w:val="Compact"/>
      </w:pPr>
      <w:r>
        <w:rPr>
          <w:bCs/>
          <w:b/>
        </w:rPr>
        <w:t xml:space="preserve">Evidence level:</w:t>
      </w:r>
      <w:r>
        <w:t xml:space="preserve"> </w:t>
      </w:r>
      <w:r>
        <w:rPr>
          <w:bCs/>
          <w:b/>
        </w:rPr>
        <w:t xml:space="preserve">B</w:t>
      </w:r>
      <w:r>
        <w:t xml:space="preserve"> </w:t>
      </w:r>
      <w:r>
        <w:t xml:space="preserve">– approved medicine with decades of use; however, the efficacy data come mainly from large case series, cohorts and a few small randomized studies.</w:t>
      </w:r>
    </w:p>
    <w:bookmarkEnd w:id="2276"/>
    <w:bookmarkStart w:id="2277" w:name="how-it-is-supposed-to-work-51"/>
    <w:p>
      <w:pPr>
        <w:pStyle w:val="Heading3"/>
      </w:pPr>
      <w:r>
        <w:t xml:space="preserve">How it is supposed to work</w:t>
      </w:r>
    </w:p>
    <w:p>
      <w:pPr>
        <w:pStyle w:val="FirstParagraph"/>
      </w:pPr>
      <w:r>
        <w:t xml:space="preserve">The reproductive hormone axis begins in the hypothalamus. There, specialized nerve cells release GnRH – not evenly, but in pulses roughly every one to two hours. Each pulse causes the pituitary gland (hypophysis) to release the hormones LH and FSH. These act on the ovaries and testes: they control egg maturation and ovulation, sperm production and the production of estrogen and testosterone. The messenger kisspeptin (chapter 2E04) sits one level higher still and switches on the GnRH nerve cells.</w:t>
      </w:r>
    </w:p>
    <w:p>
      <w:pPr>
        <w:pStyle w:val="BodyText"/>
      </w:pPr>
      <w:r>
        <w:t xml:space="preserve">The pulse rhythm is decisive. This becomes clear from an apparent contradiction:</w:t>
      </w:r>
    </w:p>
    <w:p>
      <w:pPr>
        <w:numPr>
          <w:ilvl w:val="0"/>
          <w:numId w:val="1282"/>
        </w:numPr>
        <w:pStyle w:val="Compact"/>
      </w:pPr>
      <w:r>
        <w:rPr>
          <w:bCs/>
          <w:b/>
        </w:rPr>
        <w:t xml:space="preserve">Pulsatile administration</w:t>
      </w:r>
      <w:r>
        <w:t xml:space="preserve"> </w:t>
      </w:r>
      <w:r>
        <w:t xml:space="preserve">– a small amount every 60 to 120 minutes – mimics the natural rhythm and</w:t>
      </w:r>
      <w:r>
        <w:t xml:space="preserve"> </w:t>
      </w:r>
      <w:r>
        <w:rPr>
          <w:bCs/>
          <w:b/>
        </w:rPr>
        <w:t xml:space="preserve">activates</w:t>
      </w:r>
      <w:r>
        <w:t xml:space="preserve"> </w:t>
      </w:r>
      <w:r>
        <w:t xml:space="preserve">the axis. Pump therapy for people whose hypothalamus produces too little GnRH is based on this.</w:t>
      </w:r>
    </w:p>
    <w:p>
      <w:pPr>
        <w:numPr>
          <w:ilvl w:val="0"/>
          <w:numId w:val="1282"/>
        </w:numPr>
        <w:pStyle w:val="Compact"/>
      </w:pPr>
      <w:r>
        <w:rPr>
          <w:bCs/>
          <w:b/>
        </w:rPr>
        <w:t xml:space="preserve">Continuous stimulation</w:t>
      </w:r>
      <w:r>
        <w:t xml:space="preserve">, after a brief rise, causes the receptors of the pituitary gland to switch off. The hormone axis is</w:t>
      </w:r>
      <w:r>
        <w:t xml:space="preserve"> </w:t>
      </w:r>
      <w:r>
        <w:rPr>
          <w:bCs/>
          <w:b/>
        </w:rPr>
        <w:t xml:space="preserve">suppressed</w:t>
      </w:r>
      <w:r>
        <w:t xml:space="preserve">, down to testosterone levels like those after castration.</w:t>
      </w:r>
    </w:p>
    <w:p>
      <w:pPr>
        <w:pStyle w:val="FirstParagraph"/>
      </w:pPr>
      <w:r>
        <w:t xml:space="preserve">The GnRH analogs such as leuprorelin, triptorelin or goserelin are based on the second principle. They are chemically modified, act much longer than gonadorelin and are used as depot injections for prostate cancer, endometriosis, fibroids or precocious puberty. They are not the subject of this chapter, but they considerably distort the data (see below).</w:t>
      </w:r>
    </w:p>
    <w:p>
      <w:pPr>
        <w:pStyle w:val="BodyText"/>
      </w:pPr>
      <w:r>
        <w:t xml:space="preserve">Gonadorelin itself is unsuitable for continuous blockade: it is broken down in the blood within a few minutes.</w:t>
      </w:r>
    </w:p>
    <w:bookmarkEnd w:id="2277"/>
    <w:bookmarkStart w:id="2297" w:name="human-studies-51"/>
    <w:p>
      <w:pPr>
        <w:pStyle w:val="Heading3"/>
      </w:pPr>
      <w:r>
        <w:t xml:space="preserve">Human studies</w:t>
      </w:r>
    </w:p>
    <w:p>
      <w:pPr>
        <w:pStyle w:val="FirstParagraph"/>
      </w:pPr>
      <w:r>
        <w:rPr>
          <w:bCs/>
          <w:b/>
        </w:rPr>
        <w:t xml:space="preserve">Size of the evidence base (search October 2026) – and why the numbers are misleading:</w:t>
      </w:r>
      <w:r>
        <w:t xml:space="preserve"> </w:t>
      </w:r>
      <w:r>
        <w:t xml:space="preserve">The automated search for this book found</w:t>
      </w:r>
      <w:r>
        <w:t xml:space="preserve"> </w:t>
      </w:r>
      <w:r>
        <w:rPr>
          <w:bCs/>
          <w:b/>
        </w:rPr>
        <w:t xml:space="preserve">9</w:t>
      </w:r>
      <w:r>
        <w:t xml:space="preserve"> </w:t>
      </w:r>
      <w:r>
        <w:t xml:space="preserve">human studies in PubMed (</w:t>
      </w:r>
      <w:r>
        <w:rPr>
          <w:rStyle w:val="VerbatimChar"/>
        </w:rPr>
        <w:t xml:space="preserve">humanstudien_alle</w:t>
      </w:r>
      <w:r>
        <w:t xml:space="preserve">) and, on ClinicalTrials.gov, the maximum number of</w:t>
      </w:r>
      <w:r>
        <w:t xml:space="preserve"> </w:t>
      </w:r>
      <w:r>
        <w:rPr>
          <w:bCs/>
          <w:b/>
        </w:rPr>
        <w:t xml:space="preserve">1,000</w:t>
      </w:r>
      <w:r>
        <w:t xml:space="preserve"> </w:t>
      </w:r>
      <w:r>
        <w:t xml:space="preserve">registry entries at which the query stops. Both figures are useless for assessing gonadorelin, and in opposite directions:</w:t>
      </w:r>
    </w:p>
    <w:p>
      <w:pPr>
        <w:numPr>
          <w:ilvl w:val="0"/>
          <w:numId w:val="1283"/>
        </w:numPr>
        <w:pStyle w:val="Compact"/>
      </w:pPr>
      <w:r>
        <w:rPr>
          <w:bCs/>
          <w:b/>
        </w:rPr>
        <w:t xml:space="preserve">The registry figure is greatly overestimated.</w:t>
      </w:r>
      <w:r>
        <w:t xml:space="preserve"> </w:t>
      </w:r>
      <w:r>
        <w:t xml:space="preserve">ClinicalTrials.gov maps the search term</w:t>
      </w:r>
      <w:r>
        <w:t xml:space="preserve"> </w:t>
      </w:r>
      <w:r>
        <w:t xml:space="preserve">“</w:t>
      </w:r>
      <w:r>
        <w:t xml:space="preserve">gonadorelin</w:t>
      </w:r>
      <w:r>
        <w:t xml:space="preserve">”</w:t>
      </w:r>
      <w:r>
        <w:t xml:space="preserve"> </w:t>
      </w:r>
      <w:r>
        <w:t xml:space="preserve">to the umbrella term</w:t>
      </w:r>
      <w:r>
        <w:t xml:space="preserve"> </w:t>
      </w:r>
      <w:r>
        <w:t xml:space="preserve">“</w:t>
      </w:r>
      <w:r>
        <w:t xml:space="preserve">Gonadotropin-Releasing Hormone.</w:t>
      </w:r>
      <w:r>
        <w:t xml:space="preserve">”</w:t>
      </w:r>
      <w:r>
        <w:t xml:space="preserve"> </w:t>
      </w:r>
      <w:r>
        <w:t xml:space="preserve">As a result, all studies with GnRH analogs and antagonists appear. In the titles of the 1,000 hits, the word</w:t>
      </w:r>
      <w:r>
        <w:t xml:space="preserve"> </w:t>
      </w:r>
      <w:r>
        <w:t xml:space="preserve">“</w:t>
      </w:r>
      <w:r>
        <w:t xml:space="preserve">prostate</w:t>
      </w:r>
      <w:r>
        <w:t xml:space="preserve">”</w:t>
      </w:r>
      <w:r>
        <w:t xml:space="preserve"> </w:t>
      </w:r>
      <w:r>
        <w:t xml:space="preserve">appears 340 times,</w:t>
      </w:r>
      <w:r>
        <w:t xml:space="preserve"> </w:t>
      </w:r>
      <w:r>
        <w:t xml:space="preserve">“</w:t>
      </w:r>
      <w:r>
        <w:t xml:space="preserve">androgen deprivation</w:t>
      </w:r>
      <w:r>
        <w:t xml:space="preserve">”</w:t>
      </w:r>
      <w:r>
        <w:t xml:space="preserve"> </w:t>
      </w:r>
      <w:r>
        <w:t xml:space="preserve">57 times, and leuprorelin, goserelin and triptorelin together well over a hundred times. A review of the titles found only around ten entries that actually study native GnRH or gonadorelin – for example as a pump, patch or function test.</w:t>
      </w:r>
    </w:p>
    <w:p>
      <w:pPr>
        <w:numPr>
          <w:ilvl w:val="0"/>
          <w:numId w:val="1283"/>
        </w:numPr>
        <w:pStyle w:val="Compact"/>
      </w:pPr>
      <w:r>
        <w:rPr>
          <w:bCs/>
          <w:b/>
        </w:rPr>
        <w:t xml:space="preserve">The PubMed figure is underestimated.</w:t>
      </w:r>
      <w:r>
        <w:t xml:space="preserve"> </w:t>
      </w:r>
      <w:r>
        <w:t xml:space="preserve">Most studies on the body-identical hormone use the terms</w:t>
      </w:r>
      <w:r>
        <w:t xml:space="preserve"> </w:t>
      </w:r>
      <w:r>
        <w:t xml:space="preserve">“</w:t>
      </w:r>
      <w:r>
        <w:t xml:space="preserve">GnRH</w:t>
      </w:r>
      <w:r>
        <w:t xml:space="preserve">”</w:t>
      </w:r>
      <w:r>
        <w:t xml:space="preserve"> </w:t>
      </w:r>
      <w:r>
        <w:t xml:space="preserve">or</w:t>
      </w:r>
      <w:r>
        <w:t xml:space="preserve"> </w:t>
      </w:r>
      <w:r>
        <w:t xml:space="preserve">“</w:t>
      </w:r>
      <w:r>
        <w:t xml:space="preserve">LHRH</w:t>
      </w:r>
      <w:r>
        <w:t xml:space="preserve">”</w:t>
      </w:r>
      <w:r>
        <w:t xml:space="preserve"> </w:t>
      </w:r>
      <w:r>
        <w:t xml:space="preserve">rather than the drug name. Conversely, several of the nine hits do not concern gonadorelin as a treatment at all: one paper studied a GnRH analog in prostate cancer</w:t>
      </w:r>
      <w:r>
        <w:rPr>
          <w:rStyle w:val="FootnoteReference"/>
        </w:rPr>
        <w:footnoteReference w:id="2278"/>
      </w:r>
      <w:r>
        <w:t xml:space="preserve">, others used gonadorelin only as a test substance, for example to examine the effect of a cholesterol-lowering drug or of UV light on the hormone axis</w:t>
      </w:r>
      <w:r>
        <w:rPr>
          <w:rStyle w:val="FootnoteReference"/>
        </w:rPr>
        <w:footnoteReference w:id="2279"/>
      </w:r>
      <w:r>
        <w:t xml:space="preserve">.</w:t>
      </w:r>
    </w:p>
    <w:p>
      <w:pPr>
        <w:pStyle w:val="FirstParagraph"/>
      </w:pPr>
      <w:r>
        <w:t xml:space="preserve">This chapter therefore relies on a supplementary, targeted search for studies on pulsatile GnRH therapy and the GnRH test.</w:t>
      </w:r>
    </w:p>
    <w:bookmarkStart w:id="2283" w:name="diagnostics-the-gnrh-test"/>
    <w:p>
      <w:pPr>
        <w:pStyle w:val="Heading4"/>
      </w:pPr>
      <w:r>
        <w:t xml:space="preserve">Diagnostics: the GnRH Test</w:t>
      </w:r>
    </w:p>
    <w:p>
      <w:pPr>
        <w:pStyle w:val="FirstParagraph"/>
      </w:pPr>
      <w:r>
        <w:t xml:space="preserve">In the GnRH test (also LHRH test), gonadorelin is injected into a vein; then, over one to two hours, the rise in LH and FSH is measured. The test helps above all in children with early puberty: a marked rise in LH suggests that the hormone axis in the brain is already active (central precocious puberty).</w:t>
      </w:r>
    </w:p>
    <w:p>
      <w:pPr>
        <w:pStyle w:val="BodyText"/>
      </w:pPr>
      <w:r>
        <w:t xml:space="preserve">In an analysis of 584 tests (314 of them for diagnosis), a single blood sample 40 minutes after the injection was sufficient for diagnosis: at an LH threshold of 5 IU/L, sensitivity was 98% and specificity 100%</w:t>
      </w:r>
      <w:r>
        <w:rPr>
          <w:rStyle w:val="FootnoteReference"/>
        </w:rPr>
        <w:footnoteReference w:id="2280"/>
      </w:r>
      <w:r>
        <w:t xml:space="preserve">. A review points to limitations, for example in very early stages of puberty and in overweight children, and to inconsistent cutoff values between studies</w:t>
      </w:r>
      <w:r>
        <w:rPr>
          <w:rStyle w:val="FootnoteReference"/>
        </w:rPr>
        <w:footnoteReference w:id="2281"/>
      </w:r>
      <w:r>
        <w:t xml:space="preserve">.</w:t>
      </w:r>
    </w:p>
    <w:p>
      <w:pPr>
        <w:pStyle w:val="BodyText"/>
      </w:pPr>
      <w:r>
        <w:t xml:space="preserve">Because native GnRH is expensive and unavailable in many places, a short-acting analog is increasingly used as a substitute. In a study with 341 girls, a test with triptorelin was similarly accurate to the gonadorelin test</w:t>
      </w:r>
      <w:r>
        <w:rPr>
          <w:rStyle w:val="FootnoteReference"/>
        </w:rPr>
        <w:footnoteReference w:id="2282"/>
      </w:r>
      <w:r>
        <w:t xml:space="preserve">.</w:t>
      </w:r>
    </w:p>
    <w:bookmarkEnd w:id="2283"/>
    <w:bookmarkStart w:id="2289" w:name="infertility-the-gnrh-pump-in-women"/>
    <w:p>
      <w:pPr>
        <w:pStyle w:val="Heading4"/>
      </w:pPr>
      <w:r>
        <w:t xml:space="preserve">Infertility: the GnRH Pump in Women</w:t>
      </w:r>
    </w:p>
    <w:p>
      <w:pPr>
        <w:pStyle w:val="FirstParagraph"/>
      </w:pPr>
      <w:r>
        <w:t xml:space="preserve">In hypothalamic amenorrhea, menstruation stops because the brain produces too little GnRH – often after severe weight loss, intense exercise or stress, less often for congenital reasons. A small, portable pump can replace the missing rhythm.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Santoro 1990, PMID 2122733</w:t>
            </w:r>
          </w:p>
        </w:tc>
        <w:tc>
          <w:tcPr/>
          <w:p>
            <w:pPr>
              <w:pStyle w:val="Compact"/>
              <w:jc w:val="left"/>
            </w:pPr>
            <w:r>
              <w:t xml:space="preserve">109 women with hypothalamic amenorrhea, multicenter study with intravenous pump</w:t>
            </w:r>
          </w:p>
        </w:tc>
        <w:tc>
          <w:tcPr/>
          <w:p>
            <w:pPr>
              <w:pStyle w:val="Compact"/>
              <w:jc w:val="left"/>
            </w:pPr>
            <w:r>
              <w:t xml:space="preserve">several cycles</w:t>
            </w:r>
          </w:p>
        </w:tc>
        <w:tc>
          <w:tcPr/>
          <w:p>
            <w:pPr>
              <w:pStyle w:val="Compact"/>
              <w:jc w:val="left"/>
            </w:pPr>
            <w:r>
              <w:t xml:space="preserve">Ovulation in 91% and 96%; multiples 12%</w:t>
            </w:r>
          </w:p>
        </w:tc>
      </w:tr>
      <w:tr>
        <w:tc>
          <w:tcPr/>
          <w:p>
            <w:pPr>
              <w:pStyle w:val="Compact"/>
              <w:jc w:val="left"/>
            </w:pPr>
            <w:r>
              <w:t xml:space="preserve">Filicori 1994, PMID 7962297</w:t>
            </w:r>
          </w:p>
        </w:tc>
        <w:tc>
          <w:tcPr/>
          <w:p>
            <w:pPr>
              <w:pStyle w:val="Compact"/>
              <w:jc w:val="left"/>
            </w:pPr>
            <w:r>
              <w:t xml:space="preserve">292 women, 600 cycles, various causes</w:t>
            </w:r>
          </w:p>
        </w:tc>
        <w:tc>
          <w:tcPr/>
          <w:p>
            <w:pPr>
              <w:pStyle w:val="Compact"/>
              <w:jc w:val="left"/>
            </w:pPr>
            <w:r>
              <w:t xml:space="preserve">1984–1993</w:t>
            </w:r>
          </w:p>
        </w:tc>
        <w:tc>
          <w:tcPr/>
          <w:p>
            <w:pPr>
              <w:pStyle w:val="Compact"/>
              <w:jc w:val="left"/>
            </w:pPr>
            <w:r>
              <w:t xml:space="preserve">Ovulation in 75% of cycles; pregnancy 18% per cycle; multiples 3.8%; miscarriages 30%</w:t>
            </w:r>
          </w:p>
        </w:tc>
      </w:tr>
      <w:tr>
        <w:tc>
          <w:tcPr/>
          <w:p>
            <w:pPr>
              <w:pStyle w:val="Compact"/>
              <w:jc w:val="left"/>
            </w:pPr>
            <w:r>
              <w:t xml:space="preserve">Christin-Maitre 2007, PMID 17293247</w:t>
            </w:r>
          </w:p>
        </w:tc>
        <w:tc>
          <w:tcPr/>
          <w:p>
            <w:pPr>
              <w:pStyle w:val="Compact"/>
              <w:jc w:val="left"/>
            </w:pPr>
            <w:r>
              <w:t xml:space="preserve">248 women, 829 cycles, 24 French centers, retrospective</w:t>
            </w:r>
          </w:p>
        </w:tc>
        <w:tc>
          <w:tcPr/>
          <w:p>
            <w:pPr>
              <w:pStyle w:val="Compact"/>
              <w:jc w:val="left"/>
            </w:pPr>
            <w:r>
              <w:t xml:space="preserve">3 years</w:t>
            </w:r>
          </w:p>
        </w:tc>
        <w:tc>
          <w:tcPr/>
          <w:p>
            <w:pPr>
              <w:pStyle w:val="Compact"/>
              <w:jc w:val="left"/>
            </w:pPr>
            <w:r>
              <w:t xml:space="preserve">Pregnancy 25% per cycle; multiples 8.8%; no severe hyperstimulation</w:t>
            </w:r>
          </w:p>
        </w:tc>
      </w:tr>
      <w:tr>
        <w:tc>
          <w:tcPr/>
          <w:p>
            <w:pPr>
              <w:pStyle w:val="Compact"/>
              <w:jc w:val="left"/>
            </w:pPr>
            <w:r>
              <w:t xml:space="preserve">Dubourdieu 2013, PMID 23298894</w:t>
            </w:r>
          </w:p>
        </w:tc>
        <w:tc>
          <w:tcPr/>
          <w:p>
            <w:pPr>
              <w:pStyle w:val="Compact"/>
              <w:jc w:val="left"/>
            </w:pPr>
            <w:r>
              <w:t xml:space="preserve">30 women with amenorrhea and PCOS, RCT: pump vs. gonadotropins</w:t>
            </w:r>
          </w:p>
        </w:tc>
        <w:tc>
          <w:tcPr/>
          <w:p>
            <w:pPr>
              <w:pStyle w:val="Compact"/>
              <w:jc w:val="left"/>
            </w:pPr>
            <w:r>
              <w:t xml:space="preserve">one cycle</w:t>
            </w:r>
          </w:p>
        </w:tc>
        <w:tc>
          <w:tcPr/>
          <w:p>
            <w:pPr>
              <w:pStyle w:val="Compact"/>
              <w:jc w:val="left"/>
            </w:pPr>
            <w:r>
              <w:t xml:space="preserve">Clinical pregnancy 46% vs. 0%</w:t>
            </w:r>
          </w:p>
        </w:tc>
      </w:tr>
      <w:tr>
        <w:tc>
          <w:tcPr/>
          <w:p>
            <w:pPr>
              <w:pStyle w:val="Compact"/>
              <w:jc w:val="left"/>
            </w:pPr>
            <w:r>
              <w:t xml:space="preserve">Quaas 2022, PMID 36378460</w:t>
            </w:r>
          </w:p>
        </w:tc>
        <w:tc>
          <w:tcPr/>
          <w:p>
            <w:pPr>
              <w:pStyle w:val="Compact"/>
              <w:jc w:val="left"/>
            </w:pPr>
            <w:r>
              <w:t xml:space="preserve">66 women, 212 cycles, Swiss center, retrospective</w:t>
            </w:r>
          </w:p>
        </w:tc>
        <w:tc>
          <w:tcPr/>
          <w:p>
            <w:pPr>
              <w:pStyle w:val="Compact"/>
              <w:jc w:val="left"/>
            </w:pPr>
            <w:r>
              <w:t xml:space="preserve">1996–2020</w:t>
            </w:r>
          </w:p>
        </w:tc>
        <w:tc>
          <w:tcPr/>
          <w:p>
            <w:pPr>
              <w:pStyle w:val="Compact"/>
              <w:jc w:val="left"/>
            </w:pPr>
            <w:r>
              <w:t xml:space="preserve">Live birth per treatment 65.9%; one follicle in 75% of cycles; one twin pregnancy</w:t>
            </w:r>
          </w:p>
        </w:tc>
      </w:tr>
    </w:tbl>
    <w:p>
      <w:pPr>
        <w:pStyle w:val="BodyText"/>
      </w:pPr>
      <w:r>
        <w:t xml:space="preserve">The figures show a consistent picture: in women whose problem actually lies in the hypothalamus, the pump leads to ovulation in the vast majority of cycles, often with only one maturing egg. Because the pituitary gland retains its own feedback, hyperstimulation and multiple pregnancies are less common than with directly injected gonadotropins</w:t>
      </w:r>
      <w:r>
        <w:rPr>
          <w:rStyle w:val="FootnoteReference"/>
        </w:rPr>
        <w:footnoteReference w:id="2284"/>
      </w:r>
      <w:r>
        <w:t xml:space="preserve">. In women with polycystic ovary syndrome or overweight, the pump works less well, and miscarriages were frequent in the largest single series</w:t>
      </w:r>
      <w:r>
        <w:rPr>
          <w:rStyle w:val="FootnoteReference"/>
        </w:rPr>
        <w:footnoteReference w:id="2285"/>
      </w:r>
      <w:r>
        <w:t xml:space="preserve">.</w:t>
      </w:r>
    </w:p>
    <w:p>
      <w:pPr>
        <w:pStyle w:val="BodyText"/>
      </w:pPr>
      <w:r>
        <w:t xml:space="preserve">The drawbacks are practical: the pump must be worn for weeks. With intravenous administration, complications at the access site occurred in 7% on average</w:t>
      </w:r>
      <w:r>
        <w:rPr>
          <w:rStyle w:val="FootnoteReference"/>
        </w:rPr>
        <w:footnoteReference w:id="2286"/>
      </w:r>
      <w:r>
        <w:t xml:space="preserve">. Today, the pump usually delivers under the skin; local allergic reactions occurred in 1.7% of cycles in the French study</w:t>
      </w:r>
      <w:r>
        <w:rPr>
          <w:rStyle w:val="FootnoteReference"/>
        </w:rPr>
        <w:footnoteReference w:id="2287"/>
      </w:r>
      <w:r>
        <w:t xml:space="preserve">.</w:t>
      </w:r>
    </w:p>
    <w:p>
      <w:pPr>
        <w:pStyle w:val="BodyText"/>
      </w:pPr>
      <w:r>
        <w:t xml:space="preserve">The data are old and mostly not randomized. Large comparative studies with modern gonadotropin protocols are lacking. Nevertheless, experts regard the pump as a particularly physiological and safe method for hypothalamic amenorrhea with a desire to conceive</w:t>
      </w:r>
      <w:r>
        <w:rPr>
          <w:rStyle w:val="FootnoteReference"/>
        </w:rPr>
        <w:footnoteReference w:id="2288"/>
      </w:r>
      <w:r>
        <w:t xml:space="preserve"> </w:t>
      </w:r>
      <w:r>
        <w:t xml:space="preserve">– provided it is available.</w:t>
      </w:r>
    </w:p>
    <w:bookmarkEnd w:id="2289"/>
    <w:bookmarkStart w:id="2293" w:name="men-with-hormone-deficiency"/>
    <w:p>
      <w:pPr>
        <w:pStyle w:val="Heading4"/>
      </w:pPr>
      <w:r>
        <w:t xml:space="preserve">Men with Hormone Deficiency</w:t>
      </w:r>
    </w:p>
    <w:p>
      <w:pPr>
        <w:pStyle w:val="FirstParagraph"/>
      </w:pPr>
      <w:r>
        <w:t xml:space="preserve">Men with congenital GnRH deficiency – for example in Kallmann syndrome, in which the sense of smell is also absent – can also be treated with the pump to stimulate testicular growth and sperm production.</w:t>
      </w:r>
    </w:p>
    <w:p>
      <w:pPr>
        <w:pStyle w:val="BodyText"/>
      </w:pPr>
      <w:r>
        <w:t xml:space="preserve">In an analysis of 26 men at a German university center, sperm appeared in the ejaculate in 30 of 33 treatment cycles; in 15 of 18 cases with a desire to conceive, the partner became pregnant. The pump and injected gonadotropins were equally effective</w:t>
      </w:r>
      <w:r>
        <w:rPr>
          <w:rStyle w:val="FootnoteReference"/>
        </w:rPr>
        <w:footnoteReference w:id="2290"/>
      </w:r>
      <w:r>
        <w:t xml:space="preserve">. In Chinese boys of pubertal age, the testes grew more under the pump than under hCG injections</w:t>
      </w:r>
      <w:r>
        <w:rPr>
          <w:rStyle w:val="FootnoteReference"/>
        </w:rPr>
        <w:footnoteReference w:id="2291"/>
      </w:r>
      <w:r>
        <w:t xml:space="preserve">. A small randomized study found indications that pretreatment with FSH before the pump might improve sperm production: all seven pretreated men later had sperm, compared with four of six without pretreatment</w:t>
      </w:r>
      <w:r>
        <w:rPr>
          <w:rStyle w:val="FootnoteReference"/>
        </w:rPr>
        <w:footnoteReference w:id="2292"/>
      </w:r>
      <w:r>
        <w:t xml:space="preserve">.</w:t>
      </w:r>
    </w:p>
    <w:bookmarkEnd w:id="2293"/>
    <w:bookmarkStart w:id="2296" w:name="infants-with-undescended-testes"/>
    <w:p>
      <w:pPr>
        <w:pStyle w:val="Heading4"/>
      </w:pPr>
      <w:r>
        <w:t xml:space="preserve">Infants with Undescended Testes</w:t>
      </w:r>
    </w:p>
    <w:p>
      <w:pPr>
        <w:pStyle w:val="FirstParagraph"/>
      </w:pPr>
      <w:r>
        <w:t xml:space="preserve">In some European countries, a gonadorelin nasal spray is given before or after surgery for undescended testes to promote maturation of the germ cells. A randomized study with 62 infants reported more favorable ultrasound findings after combined treatment</w:t>
      </w:r>
      <w:r>
        <w:rPr>
          <w:rStyle w:val="FootnoteReference"/>
        </w:rPr>
        <w:footnoteReference w:id="2294"/>
      </w:r>
      <w:r>
        <w:t xml:space="preserve">. Another randomized study with 36 boys, by contrast, found no difference in penile size, testicular volume or hormone levels at the time of surgery; the treatment did, however, prove safe</w:t>
      </w:r>
      <w:r>
        <w:rPr>
          <w:rStyle w:val="FootnoteReference"/>
        </w:rPr>
        <w:footnoteReference w:id="2295"/>
      </w:r>
      <w:r>
        <w:t xml:space="preserve">. The benefit is disputed; early surgery is the priority.</w:t>
      </w:r>
    </w:p>
    <w:bookmarkEnd w:id="2296"/>
    <w:bookmarkEnd w:id="2297"/>
    <w:bookmarkStart w:id="2298" w:name="animal-and-laboratory-studies-51"/>
    <w:p>
      <w:pPr>
        <w:pStyle w:val="Heading3"/>
      </w:pPr>
      <w:r>
        <w:t xml:space="preserve">Animal and laboratory studies</w:t>
      </w:r>
    </w:p>
    <w:p>
      <w:pPr>
        <w:pStyle w:val="FirstParagraph"/>
      </w:pPr>
      <w:r>
        <w:t xml:space="preserve">Gonadorelin is one of the best-understood hormones of all; its fundamentals come from animal experiments in the 1970s. Today, animal research plays hardly any role in the assessment in humans. In veterinary medicine, gonadorelin is widely used, above all in cattle to control ovulation. These products are approved for animals and not for humans.</w:t>
      </w:r>
    </w:p>
    <w:bookmarkEnd w:id="2298"/>
    <w:bookmarkStart w:id="2302" w:name="risks-and-side-effects-51"/>
    <w:p>
      <w:pPr>
        <w:pStyle w:val="Heading3"/>
      </w:pPr>
      <w:r>
        <w:t xml:space="preserve">Risks and side effects</w:t>
      </w:r>
    </w:p>
    <w:bookmarkStart w:id="2300" w:name="established-3"/>
    <w:p>
      <w:pPr>
        <w:pStyle w:val="Heading4"/>
      </w:pPr>
      <w:r>
        <w:t xml:space="preserve">Established</w:t>
      </w:r>
    </w:p>
    <w:p>
      <w:pPr>
        <w:pStyle w:val="FirstParagraph"/>
      </w:pPr>
      <w:r>
        <w:t xml:space="preserve">Gonadorelin is considered well tolerated. In the studies on pump therapy, problems with the access site (inflammation, vein irritation with intravenous administration) and local skin reactions were the main issues</w:t>
      </w:r>
      <w:r>
        <w:rPr>
          <w:rStyle w:val="FootnoteReference"/>
        </w:rPr>
        <w:footnoteReference w:id="2299"/>
      </w:r>
      <w:r>
        <w:t xml:space="preserve">. Multiple pregnancies occur, although less frequently than with gonadotropins; severe hyperstimulation is the exception. During the test, temporary headache, nausea or flushing may occur. Allergic reactions have rarely been described. Details are given in the prescribing information; use belongs in medical hands.</w:t>
      </w:r>
    </w:p>
    <w:bookmarkEnd w:id="2300"/>
    <w:bookmarkStart w:id="2301" w:name="with-incorrect-use"/>
    <w:p>
      <w:pPr>
        <w:pStyle w:val="Heading4"/>
      </w:pPr>
      <w:r>
        <w:t xml:space="preserve">With Incorrect Use</w:t>
      </w:r>
    </w:p>
    <w:p>
      <w:pPr>
        <w:pStyle w:val="FirstParagraph"/>
      </w:pPr>
      <w:r>
        <w:t xml:space="preserve">If gonadorelin is not given in the right rhythm but too frequently or continuously, it can suppress rather than stimulate the body’s own hormone axis. This is not a theoretical risk but the mechanism of action of the GnRH analogs.</w:t>
      </w:r>
    </w:p>
    <w:bookmarkEnd w:id="2301"/>
    <w:bookmarkEnd w:id="2302"/>
    <w:bookmarkStart w:id="2306" w:name="context-gonadorelin-in-bodybuilding"/>
    <w:p>
      <w:pPr>
        <w:pStyle w:val="Heading3"/>
      </w:pPr>
      <w:r>
        <w:t xml:space="preserve">Context: Gonadorelin in Bodybuilding</w:t>
      </w:r>
    </w:p>
    <w:p>
      <w:pPr>
        <w:pStyle w:val="FirstParagraph"/>
      </w:pPr>
      <w:r>
        <w:t xml:space="preserve">In internet forums and by some providers of</w:t>
      </w:r>
      <w:r>
        <w:t xml:space="preserve"> </w:t>
      </w:r>
      <w:r>
        <w:t xml:space="preserve">“</w:t>
      </w:r>
      <w:r>
        <w:t xml:space="preserve">hormone optimization,</w:t>
      </w:r>
      <w:r>
        <w:t xml:space="preserve">”</w:t>
      </w:r>
      <w:r>
        <w:t xml:space="preserve"> </w:t>
      </w:r>
      <w:r>
        <w:t xml:space="preserve">gonadorelin is promoted as part of so-called post-cycle therapy (PCT). This refers to the phase after a course of anabolic steroids: the artificially supplied hormones have suppressed the body’s own testosterone production, and gonadorelin is supposed to</w:t>
      </w:r>
      <w:r>
        <w:t xml:space="preserve"> </w:t>
      </w:r>
      <w:r>
        <w:t xml:space="preserve">“</w:t>
      </w:r>
      <w:r>
        <w:t xml:space="preserve">restart</w:t>
      </w:r>
      <w:r>
        <w:t xml:space="preserve">”</w:t>
      </w:r>
      <w:r>
        <w:t xml:space="preserve"> </w:t>
      </w:r>
      <w:r>
        <w:t xml:space="preserve">the hormone axis. In the USA, it is reportedly also offered as a substitute for hCG.</w:t>
      </w:r>
    </w:p>
    <w:p>
      <w:pPr>
        <w:pStyle w:val="BodyText"/>
      </w:pPr>
      <w:r>
        <w:t xml:space="preserve">What is known about this:</w:t>
      </w:r>
    </w:p>
    <w:p>
      <w:pPr>
        <w:numPr>
          <w:ilvl w:val="0"/>
          <w:numId w:val="1284"/>
        </w:numPr>
        <w:pStyle w:val="Compact"/>
      </w:pPr>
      <w:r>
        <w:rPr>
          <w:bCs/>
          <w:b/>
        </w:rPr>
        <w:t xml:space="preserve">There are no studies</w:t>
      </w:r>
      <w:r>
        <w:t xml:space="preserve"> </w:t>
      </w:r>
      <w:r>
        <w:t xml:space="preserve">on gonadorelin in this situation. The evidence on PCT as a whole is thin; almost only antiestrogens, hCG and aromatase inhibitors have been studied, and even for these the data are mostly observational. From a scientific point of view, PCT is mostly not recommended</w:t>
      </w:r>
      <w:r>
        <w:rPr>
          <w:rStyle w:val="FootnoteReference"/>
        </w:rPr>
        <w:footnoteReference w:id="2303"/>
      </w:r>
      <w:r>
        <w:t xml:space="preserve">.</w:t>
      </w:r>
    </w:p>
    <w:p>
      <w:pPr>
        <w:numPr>
          <w:ilvl w:val="0"/>
          <w:numId w:val="1284"/>
        </w:numPr>
        <w:pStyle w:val="Compact"/>
      </w:pPr>
      <w:r>
        <w:rPr>
          <w:bCs/>
          <w:b/>
        </w:rPr>
        <w:t xml:space="preserve">Recovery usually happens on its own.</w:t>
      </w:r>
      <w:r>
        <w:t xml:space="preserve"> </w:t>
      </w:r>
      <w:r>
        <w:t xml:space="preserve">In the Dutch HAARLEM study with 100 strength athletes, testosterone had normalized in most of them three months after the end of the steroid course; after one year, it was still below the normal range in 11%, and sperm count was still reduced in 34%</w:t>
      </w:r>
      <w:r>
        <w:rPr>
          <w:rStyle w:val="FootnoteReference"/>
        </w:rPr>
        <w:footnoteReference w:id="2304"/>
      </w:r>
      <w:r>
        <w:t xml:space="preserve">.</w:t>
      </w:r>
    </w:p>
    <w:p>
      <w:pPr>
        <w:numPr>
          <w:ilvl w:val="0"/>
          <w:numId w:val="1284"/>
        </w:numPr>
        <w:pStyle w:val="Compact"/>
      </w:pPr>
      <w:r>
        <w:rPr>
          <w:bCs/>
          <w:b/>
        </w:rPr>
        <w:t xml:space="preserve">The mechanism of action argues against naive use.</w:t>
      </w:r>
      <w:r>
        <w:t xml:space="preserve"> </w:t>
      </w:r>
      <w:r>
        <w:t xml:space="preserve">Single injections produce only brief LH peaks; frequent doses may rather blunt the pituitary gland. Without a pump and laboratory monitoring, no benefit can be expected, and a delay in recovery cannot be ruled out.</w:t>
      </w:r>
    </w:p>
    <w:p>
      <w:pPr>
        <w:numPr>
          <w:ilvl w:val="0"/>
          <w:numId w:val="1284"/>
        </w:numPr>
        <w:pStyle w:val="Compact"/>
      </w:pPr>
      <w:r>
        <w:rPr>
          <w:bCs/>
          <w:b/>
        </w:rPr>
        <w:t xml:space="preserve">Anyone who has symptoms after steroid use</w:t>
      </w:r>
      <w:r>
        <w:t xml:space="preserve">, such as lack of drive, loss of libido or unfulfilled desire to have children, should have this evaluated by a doctor, ideally in an andrology or endocrinology clinic.</w:t>
      </w:r>
    </w:p>
    <w:p>
      <w:pPr>
        <w:pStyle w:val="FirstParagraph"/>
      </w:pPr>
      <w:r>
        <w:t xml:space="preserve">In sport, gonadorelin is prohibited for men. Anti-doping laboratories have developed their own detection methods; a review describes gonadorelin as an example of a peptide that has been misused in competitive sport in recent years</w:t>
      </w:r>
      <w:r>
        <w:rPr>
          <w:rStyle w:val="FootnoteReference"/>
        </w:rPr>
        <w:footnoteReference w:id="2305"/>
      </w:r>
      <w:r>
        <w:t xml:space="preserve">.</w:t>
      </w:r>
    </w:p>
    <w:bookmarkEnd w:id="2306"/>
    <w:bookmarkStart w:id="2307" w:name="legal-status-51"/>
    <w:p>
      <w:pPr>
        <w:pStyle w:val="Heading3"/>
      </w:pPr>
      <w:r>
        <w:t xml:space="preserve">Legal status</w:t>
      </w:r>
    </w:p>
    <w:p>
      <w:pPr>
        <w:pStyle w:val="FirstParagraph"/>
      </w:pPr>
      <w:r>
        <w:rPr>
          <w:iCs/>
          <w:i/>
        </w:rPr>
        <w:t xml:space="preserve">As of 2026, please check for updates.</w:t>
      </w:r>
    </w:p>
    <w:p>
      <w:pPr>
        <w:numPr>
          <w:ilvl w:val="0"/>
          <w:numId w:val="1285"/>
        </w:numPr>
        <w:pStyle w:val="Compact"/>
      </w:pPr>
      <w:r>
        <w:rPr>
          <w:bCs/>
          <w:b/>
        </w:rPr>
        <w:t xml:space="preserve">EU:</w:t>
      </w:r>
      <w:r>
        <w:t xml:space="preserve"> </w:t>
      </w:r>
      <w:r>
        <w:t xml:space="preserve">no central EU approval; national approvals in several member states, among others as a diagnostic agent, for pulsatile pump therapy and as a nasal spray for undescended testes. The products are prescription-only.</w:t>
      </w:r>
    </w:p>
    <w:p>
      <w:pPr>
        <w:numPr>
          <w:ilvl w:val="0"/>
          <w:numId w:val="1285"/>
        </w:numPr>
        <w:pStyle w:val="Compact"/>
      </w:pPr>
      <w:r>
        <w:rPr>
          <w:bCs/>
          <w:b/>
        </w:rPr>
        <w:t xml:space="preserve">Germany:</w:t>
      </w:r>
      <w:r>
        <w:t xml:space="preserve"> </w:t>
      </w:r>
      <w:r>
        <w:t xml:space="preserve">Products for the GnRH test and for pump therapy were or are on the market; current availability fluctuates. Treatment takes place in specialized centers.</w:t>
      </w:r>
    </w:p>
    <w:p>
      <w:pPr>
        <w:numPr>
          <w:ilvl w:val="0"/>
          <w:numId w:val="1285"/>
        </w:numPr>
        <w:pStyle w:val="Compact"/>
      </w:pPr>
      <w:r>
        <w:rPr>
          <w:bCs/>
          <w:b/>
        </w:rPr>
        <w:t xml:space="preserve">Austria:</w:t>
      </w:r>
      <w:r>
        <w:t xml:space="preserve"> </w:t>
      </w:r>
      <w:r>
        <w:t xml:space="preserve">prescription-only; please check the current availability of individual products in the Austrian list of medicinal products (Arzneispezialitätenliste).</w:t>
      </w:r>
    </w:p>
    <w:p>
      <w:pPr>
        <w:numPr>
          <w:ilvl w:val="0"/>
          <w:numId w:val="1285"/>
        </w:numPr>
        <w:pStyle w:val="Compact"/>
      </w:pPr>
      <w:r>
        <w:rPr>
          <w:bCs/>
          <w:b/>
        </w:rPr>
        <w:t xml:space="preserve">USA:</w:t>
      </w:r>
      <w:r>
        <w:t xml:space="preserve"> </w:t>
      </w:r>
      <w:r>
        <w:t xml:space="preserve">The formerly approved human products are off the market. Gonadorelin is reportedly offered by compounding pharmacies; the regulatory assessment of such preparations is in flux. Veterinary medicines containing gonadorelin are not intended for humans.</w:t>
      </w:r>
    </w:p>
    <w:p>
      <w:pPr>
        <w:numPr>
          <w:ilvl w:val="0"/>
          <w:numId w:val="1285"/>
        </w:numPr>
        <w:pStyle w:val="Compact"/>
      </w:pPr>
      <w:r>
        <w:rPr>
          <w:bCs/>
          <w:b/>
        </w:rPr>
        <w:t xml:space="preserve">WADA:</w:t>
      </w:r>
      <w:r>
        <w:t xml:space="preserve"> </w:t>
      </w:r>
      <w:r>
        <w:t xml:space="preserve">S2 – prohibited for men in and out of competition.</w:t>
      </w:r>
    </w:p>
    <w:bookmarkEnd w:id="2307"/>
    <w:bookmarkStart w:id="2311" w:name="ongoing-studies-and-outlook-51"/>
    <w:p>
      <w:pPr>
        <w:pStyle w:val="Heading3"/>
      </w:pPr>
      <w:r>
        <w:t xml:space="preserve">Ongoing studies and outlook</w:t>
      </w:r>
    </w:p>
    <w:p>
      <w:pPr>
        <w:pStyle w:val="FirstParagraph"/>
      </w:pPr>
      <w:r>
        <w:rPr>
          <w:bCs/>
          <w:b/>
        </w:rPr>
        <w:t xml:space="preserve">Established (registered studies):</w:t>
      </w:r>
      <w:r>
        <w:t xml:space="preserve"> </w:t>
      </w:r>
      <w:r>
        <w:t xml:space="preserve">Among the few registry entries that actually concern native GnRH are:</w:t>
      </w:r>
    </w:p>
    <w:p>
      <w:pPr>
        <w:numPr>
          <w:ilvl w:val="0"/>
          <w:numId w:val="1286"/>
        </w:numPr>
        <w:pStyle w:val="Compact"/>
      </w:pPr>
      <w:r>
        <w:t xml:space="preserve">completed studies by the manufacturer Ferring on a skin patch that delivers GnRH in pulses through the skin via a weak electric current (NCT00296465 with 132 and NCT00796289 with 350 participants). To the author’s knowledge, results of these studies have not been published in PubMed, and the patch did not come to market;</w:t>
      </w:r>
    </w:p>
    <w:p>
      <w:pPr>
        <w:numPr>
          <w:ilvl w:val="0"/>
          <w:numId w:val="1286"/>
        </w:numPr>
        <w:pStyle w:val="Compact"/>
      </w:pPr>
      <w:r>
        <w:t xml:space="preserve">a study withdrawn in 2025 on GnRH administration with a modern tubeless insulin pump</w:t>
      </w:r>
      <w:r>
        <w:rPr>
          <w:rStyle w:val="FootnoteReference"/>
        </w:rPr>
        <w:footnoteReference w:id="2308"/>
      </w:r>
      <w:r>
        <w:t xml:space="preserve">;</w:t>
      </w:r>
    </w:p>
    <w:p>
      <w:pPr>
        <w:numPr>
          <w:ilvl w:val="0"/>
          <w:numId w:val="1286"/>
        </w:numPr>
        <w:pStyle w:val="Compact"/>
      </w:pPr>
      <w:r>
        <w:t xml:space="preserve">Chinese studies on the pump in congenital hormone deficiency</w:t>
      </w:r>
      <w:r>
        <w:rPr>
          <w:rStyle w:val="FootnoteReference"/>
        </w:rPr>
        <w:footnoteReference w:id="2309"/>
      </w:r>
      <w:r>
        <w:t xml:space="preserve"> </w:t>
      </w:r>
      <w:r>
        <w:t xml:space="preserve">and in PCOS</w:t>
      </w:r>
      <w:r>
        <w:rPr>
          <w:rStyle w:val="FootnoteReference"/>
        </w:rPr>
        <w:footnoteReference w:id="2310"/>
      </w:r>
      <w:r>
        <w:t xml:space="preserve">, both with unknown status.</w:t>
      </w:r>
    </w:p>
    <w:p>
      <w:pPr>
        <w:pStyle w:val="FirstParagraph"/>
      </w:pPr>
      <w:r>
        <w:rPr>
          <w:bCs/>
          <w:b/>
        </w:rPr>
        <w:t xml:space="preserve">Author’s assessment:</w:t>
      </w:r>
      <w:r>
        <w:t xml:space="preserve"> </w:t>
      </w:r>
      <w:r>
        <w:t xml:space="preserve">Gonadorelin is an old, well-understood drug whose importance in diagnostics is declining because short-acting analogs are cheaper and more readily available. For pump therapy in hypothalamic amenorrhea and congenital hormone deficiency, it remains a physiological option whose future depends less on new research than on whether manufacturers continue to supply these small markets. Modern tubeless pumps could make treatment more convenient. There is no evidence of benefit in the bodybuilding context.</w:t>
      </w:r>
    </w:p>
    <w:bookmarkEnd w:id="2311"/>
    <w:bookmarkStart w:id="2312" w:name="conclusion-51"/>
    <w:p>
      <w:pPr>
        <w:pStyle w:val="Heading3"/>
      </w:pPr>
      <w:r>
        <w:t xml:space="preserve">Conclusion</w:t>
      </w:r>
    </w:p>
    <w:p>
      <w:pPr>
        <w:pStyle w:val="FirstParagraph"/>
      </w:pPr>
      <w:r>
        <w:t xml:space="preserve">Gonadorelin is the synthetic counterpart of the body’s own GnRH and has been used for decades for function tests and pump therapy. Given in the right pulse rhythm, in large case series it led to ovulation in most cycles in women with hypothalamic amenorrhea, with fewer multiples than under gonadotropins, and to sperm production in men with congenital hormone deficiency. The evidence is old and mostly not randomized; registry figures are massively distorted by GnRH analogs. Its use in the bodybuilding scene after steroid courses has not been studied, contradicts the mechanism of action and is prohibited in sport.</w:t>
      </w:r>
    </w:p>
    <w:bookmarkEnd w:id="2312"/>
    <w:bookmarkEnd w:id="2313"/>
    <w:bookmarkEnd w:id="2314"/>
    <w:bookmarkStart w:id="2525" w:name="X04b71dacc7fe64636d98413001c5827877855b7"/>
    <w:p>
      <w:pPr>
        <w:pStyle w:val="Heading1"/>
      </w:pPr>
      <w:r>
        <w:t xml:space="preserve">Part II · F – Collagen, Nutrition and Cosmetics</w:t>
      </w:r>
    </w:p>
    <w:p>
      <w:pPr>
        <w:pStyle w:val="FirstParagraph"/>
      </w:pPr>
      <w:r>
        <w:t xml:space="preserve">Most people encounter the peptides in this group not in a doctor’s office but in the supermarket, the drugstore and in advertising: as a collagen drink, a blood-pressure yogurt, a sports capsule or an</w:t>
      </w:r>
      <w:r>
        <w:t xml:space="preserve"> </w:t>
      </w:r>
      <w:r>
        <w:t xml:space="preserve">“</w:t>
      </w:r>
      <w:r>
        <w:t xml:space="preserve">anti-aging peptide</w:t>
      </w:r>
      <w:r>
        <w:t xml:space="preserve">”</w:t>
      </w:r>
      <w:r>
        <w:t xml:space="preserve"> </w:t>
      </w:r>
      <w:r>
        <w:t xml:space="preserve">in a face cream. They are freely available, considered harmless and advertised with studies. That is precisely why it is worth taking a close look at what these studies show.</w:t>
      </w:r>
    </w:p>
    <w:bookmarkStart w:id="2316" w:name="what-unites-the-group"/>
    <w:p>
      <w:pPr>
        <w:pStyle w:val="Heading3"/>
      </w:pPr>
      <w:r>
        <w:t xml:space="preserve">What Unites the Group</w:t>
      </w:r>
    </w:p>
    <w:p>
      <w:pPr>
        <w:pStyle w:val="FirstParagraph"/>
      </w:pPr>
      <w:r>
        <w:t xml:space="preserve">All six substances are either fragments of proteins that occur in the body or in food (collagen peptides, lactotripeptides from milk, carnosine, GHK-Cu) or are deliberately modeled on them (Matrixyl, Argireline). None of them is approved as a medicine. They are therefore not tested according to the strict standards that apply to medicines, but according to the rules for foods or cosmetics.</w:t>
      </w:r>
    </w:p>
    <w:p>
      <w:pPr>
        <w:pStyle w:val="BodyText"/>
      </w:pPr>
      <w:r>
        <w:t xml:space="preserve">This gives rise to common patterns that recur in all chapters:</w:t>
      </w:r>
    </w:p>
    <w:p>
      <w:pPr>
        <w:numPr>
          <w:ilvl w:val="0"/>
          <w:numId w:val="1287"/>
        </w:numPr>
        <w:pStyle w:val="Compact"/>
      </w:pPr>
      <w:r>
        <w:rPr>
          <w:bCs/>
          <w:b/>
        </w:rPr>
        <w:t xml:space="preserve">Many small studies, few large ones.</w:t>
      </w:r>
      <w:r>
        <w:t xml:space="preserve"> </w:t>
      </w:r>
      <w:r>
        <w:t xml:space="preserve">Typical are 20 to 150 participants over 4 to 24 weeks. Hard endpoints such as bone fractures, heart attacks or joint replacement have never been studied.</w:t>
      </w:r>
    </w:p>
    <w:p>
      <w:pPr>
        <w:numPr>
          <w:ilvl w:val="0"/>
          <w:numId w:val="1287"/>
        </w:numPr>
        <w:pStyle w:val="Compact"/>
      </w:pPr>
      <w:r>
        <w:rPr>
          <w:bCs/>
          <w:b/>
        </w:rPr>
        <w:t xml:space="preserve">Manufacturer funding.</w:t>
      </w:r>
      <w:r>
        <w:t xml:space="preserve"> </w:t>
      </w:r>
      <w:r>
        <w:t xml:space="preserve">A large proportion of the studies were paid for by raw material or product manufacturers. For collagen, a meta-analysis shows that the benefit for the skin disappears when only independently funded studies are considered</w:t>
      </w:r>
      <w:r>
        <w:rPr>
          <w:rStyle w:val="FootnoteReference"/>
        </w:rPr>
        <w:footnoteReference w:id="2315"/>
      </w:r>
      <w:r>
        <w:t xml:space="preserve">.</w:t>
      </w:r>
    </w:p>
    <w:p>
      <w:pPr>
        <w:numPr>
          <w:ilvl w:val="0"/>
          <w:numId w:val="1287"/>
        </w:numPr>
        <w:pStyle w:val="Compact"/>
      </w:pPr>
      <w:r>
        <w:rPr>
          <w:bCs/>
          <w:b/>
        </w:rPr>
        <w:t xml:space="preserve">The problem of the site of action.</w:t>
      </w:r>
      <w:r>
        <w:t xml:space="preserve"> </w:t>
      </w:r>
      <w:r>
        <w:t xml:space="preserve">A peptide has to get to where it is supposed to act. Swallowed peptides are largely digested; peptides in creams penetrate the skin barrier only to a small extent. In every chapter, the central question is therefore whether the mechanism shown in the laboratory comes into play in the body at all.</w:t>
      </w:r>
    </w:p>
    <w:p>
      <w:pPr>
        <w:numPr>
          <w:ilvl w:val="0"/>
          <w:numId w:val="1287"/>
        </w:numPr>
        <w:pStyle w:val="Compact"/>
      </w:pPr>
      <w:r>
        <w:rPr>
          <w:bCs/>
          <w:b/>
        </w:rPr>
        <w:t xml:space="preserve">Combination products.</w:t>
      </w:r>
      <w:r>
        <w:t xml:space="preserve"> </w:t>
      </w:r>
      <w:r>
        <w:t xml:space="preserve">Many products contain several active ingredients. A positive study result can then not be attributed to the individual peptide.</w:t>
      </w:r>
    </w:p>
    <w:bookmarkEnd w:id="2316"/>
    <w:bookmarkStart w:id="2317" w:name="Xd12d06c3738ea82b8ade613dcaafd096a673b8e"/>
    <w:p>
      <w:pPr>
        <w:pStyle w:val="Heading3"/>
      </w:pPr>
      <w:r>
        <w:t xml:space="preserve">Food, Cosmetics, Medicines – Three Legal Worlds</w:t>
      </w:r>
    </w:p>
    <w:p>
      <w:pPr>
        <w:pStyle w:val="FirstParagraph"/>
      </w:pPr>
      <w:r>
        <w:t xml:space="preserve">Whether a substance counts as a food, a cosmetic or a medicine is determined not by its chemistry but by its intended purpose and presentation. Part I explains the legal framework in detail; for this group, three points are important:</w:t>
      </w:r>
    </w:p>
    <w:p>
      <w:pPr>
        <w:numPr>
          <w:ilvl w:val="0"/>
          <w:numId w:val="1288"/>
        </w:numPr>
        <w:pStyle w:val="Compact"/>
      </w:pPr>
      <w:r>
        <w:rPr>
          <w:bCs/>
          <w:b/>
        </w:rPr>
        <w:t xml:space="preserve">Foods and food supplements</w:t>
      </w:r>
      <w:r>
        <w:t xml:space="preserve"> </w:t>
      </w:r>
      <w:r>
        <w:t xml:space="preserve">(collagen peptides, lactotripeptides, carnosine) require no approval and no proof of efficacy in the EU. In return, what they may be advertised with is strictly regulated. Under the Health Claims Regulation (Regulation (EC) No 1924/2006), health claims are only permitted if they have been assessed by the European Food Safety Authority (EFSA) and authorized by the European Commission.</w:t>
      </w:r>
      <w:r>
        <w:t xml:space="preserve"> </w:t>
      </w:r>
      <w:r>
        <w:rPr>
          <w:bCs/>
          <w:b/>
        </w:rPr>
        <w:t xml:space="preserve">For collagen, collagen peptides, lactotripeptides and carnosine, there is not a single authorized health claim.</w:t>
      </w:r>
      <w:r>
        <w:t xml:space="preserve"> </w:t>
      </w:r>
      <w:r>
        <w:t xml:space="preserve">EFSA has issued negative opinions on the claims applied for – for example on joints for collagen or on blood pressure for lactotripeptides. If a collagen package nevertheless advertises skin or bone benefits, the legally permissible claim usually refers to added vitamin C, for which the claim</w:t>
      </w:r>
      <w:r>
        <w:t xml:space="preserve"> </w:t>
      </w:r>
      <w:r>
        <w:t xml:space="preserve">“</w:t>
      </w:r>
      <w:r>
        <w:t xml:space="preserve">contributes to normal collagen formation</w:t>
      </w:r>
      <w:r>
        <w:t xml:space="preserve">”</w:t>
      </w:r>
      <w:r>
        <w:t xml:space="preserve"> </w:t>
      </w:r>
      <w:r>
        <w:t xml:space="preserve">is authorized.</w:t>
      </w:r>
    </w:p>
    <w:p>
      <w:pPr>
        <w:numPr>
          <w:ilvl w:val="0"/>
          <w:numId w:val="1288"/>
        </w:numPr>
        <w:pStyle w:val="Compact"/>
      </w:pPr>
      <w:r>
        <w:rPr>
          <w:bCs/>
          <w:b/>
        </w:rPr>
        <w:t xml:space="preserve">Cosmetics</w:t>
      </w:r>
      <w:r>
        <w:t xml:space="preserve"> </w:t>
      </w:r>
      <w:r>
        <w:t xml:space="preserve">(GHK-Cu, Matrixyl, Argireline) are subject to the EU Cosmetics Regulation (Regulation (EC) No 1223/2009). They may only be applied externally, must be safe and may not claim any medicinal effect. Advertising claims must be substantiated, but there is no official efficacy assessment before sale.</w:t>
      </w:r>
    </w:p>
    <w:p>
      <w:pPr>
        <w:numPr>
          <w:ilvl w:val="0"/>
          <w:numId w:val="1288"/>
        </w:numPr>
        <w:pStyle w:val="Compact"/>
      </w:pPr>
      <w:r>
        <w:rPr>
          <w:bCs/>
          <w:b/>
        </w:rPr>
        <w:t xml:space="preserve">Medicines</w:t>
      </w:r>
      <w:r>
        <w:t xml:space="preserve"> </w:t>
      </w:r>
      <w:r>
        <w:t xml:space="preserve">must demonstrate their efficacy and safety in studies and be approved. If a cosmetic peptide is injected – as happens with GHK-Cu and Argireline on the gray market – it leaves the world of cosmetics: it becomes an unapproved medicine, without any studies or quality controls existing for this use.</w:t>
      </w:r>
    </w:p>
    <w:p>
      <w:pPr>
        <w:pStyle w:val="FirstParagraph"/>
      </w:pPr>
      <w:r>
        <w:t xml:space="preserve">Similar principles apply in the USA; there, however, food supplements may be advertised with general</w:t>
      </w:r>
      <w:r>
        <w:t xml:space="preserve"> </w:t>
      </w:r>
      <w:r>
        <w:t xml:space="preserve">“</w:t>
      </w:r>
      <w:r>
        <w:t xml:space="preserve">structure/function claims,</w:t>
      </w:r>
      <w:r>
        <w:t xml:space="preserve">”</w:t>
      </w:r>
      <w:r>
        <w:t xml:space="preserve"> </w:t>
      </w:r>
      <w:r>
        <w:t xml:space="preserve">provided they carry a notice that the FDA has not evaluated them.</w:t>
      </w:r>
    </w:p>
    <w:bookmarkEnd w:id="2317"/>
    <w:bookmarkStart w:id="2318" w:name="overview-4"/>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Collagen peptides</w:t>
            </w:r>
          </w:p>
        </w:tc>
        <w:tc>
          <w:tcPr/>
          <w:p>
            <w:pPr>
              <w:pStyle w:val="Compact"/>
              <w:jc w:val="left"/>
            </w:pPr>
            <w:r>
              <w:t xml:space="preserve">B</w:t>
            </w:r>
          </w:p>
        </w:tc>
        <w:tc>
          <w:tcPr/>
          <w:p>
            <w:pPr>
              <w:pStyle w:val="Compact"/>
              <w:jc w:val="left"/>
            </w:pPr>
            <w:r>
              <w:t xml:space="preserve">Food, no health claim</w:t>
            </w:r>
          </w:p>
        </w:tc>
        <w:tc>
          <w:tcPr/>
          <w:p>
            <w:pPr>
              <w:pStyle w:val="Compact"/>
              <w:jc w:val="left"/>
            </w:pPr>
            <w:r>
              <w:t xml:space="preserve">Small effects on joint pain; skin benefit not shown in independent studies</w:t>
            </w:r>
          </w:p>
        </w:tc>
      </w:tr>
      <w:tr>
        <w:tc>
          <w:tcPr/>
          <w:p>
            <w:pPr>
              <w:pStyle w:val="Compact"/>
              <w:jc w:val="left"/>
            </w:pPr>
            <w:r>
              <w:t xml:space="preserve">Lactotripeptides (VPP/IPP)</w:t>
            </w:r>
          </w:p>
        </w:tc>
        <w:tc>
          <w:tcPr/>
          <w:p>
            <w:pPr>
              <w:pStyle w:val="Compact"/>
              <w:jc w:val="left"/>
            </w:pPr>
            <w:r>
              <w:t xml:space="preserve">B</w:t>
            </w:r>
          </w:p>
        </w:tc>
        <w:tc>
          <w:tcPr/>
          <w:p>
            <w:pPr>
              <w:pStyle w:val="Compact"/>
              <w:jc w:val="left"/>
            </w:pPr>
            <w:r>
              <w:t xml:space="preserve">Food, blood pressure claim rejected</w:t>
            </w:r>
          </w:p>
        </w:tc>
        <w:tc>
          <w:tcPr/>
          <w:p>
            <w:pPr>
              <w:pStyle w:val="Compact"/>
              <w:jc w:val="left"/>
            </w:pPr>
            <w:r>
              <w:t xml:space="preserve">Blood pressure reduction of about 1–4 mmHg, barely detectable in Europe</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Food supplement, no health claim</w:t>
            </w:r>
          </w:p>
        </w:tc>
        <w:tc>
          <w:tcPr/>
          <w:p>
            <w:pPr>
              <w:pStyle w:val="Compact"/>
              <w:jc w:val="left"/>
            </w:pPr>
            <w:r>
              <w:t xml:space="preserve">Indications for blood sugar; in sport, the precursor beta-alanine is better supported</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 injection not approved</w:t>
            </w:r>
          </w:p>
        </w:tc>
        <w:tc>
          <w:tcPr/>
          <w:p>
            <w:pPr>
              <w:pStyle w:val="Compact"/>
              <w:jc w:val="left"/>
            </w:pPr>
            <w:r>
              <w:t xml:space="preserve">One old wound study; hardly any skin data; injection untested</w:t>
            </w:r>
          </w:p>
        </w:tc>
      </w:tr>
      <w:tr>
        <w:tc>
          <w:tcPr/>
          <w:p>
            <w:pPr>
              <w:pStyle w:val="Compact"/>
              <w:jc w:val="left"/>
            </w:pPr>
            <w:r>
              <w:t xml:space="preserve">Palmitoyl pentapeptide-4 (Matrixyl)</w:t>
            </w:r>
          </w:p>
        </w:tc>
        <w:tc>
          <w:tcPr/>
          <w:p>
            <w:pPr>
              <w:pStyle w:val="Compact"/>
              <w:jc w:val="left"/>
            </w:pPr>
            <w:r>
              <w:t xml:space="preserve">B</w:t>
            </w:r>
          </w:p>
        </w:tc>
        <w:tc>
          <w:tcPr/>
          <w:p>
            <w:pPr>
              <w:pStyle w:val="Compact"/>
              <w:jc w:val="left"/>
            </w:pPr>
            <w:r>
              <w:t xml:space="preserve">Cosmetic</w:t>
            </w:r>
          </w:p>
        </w:tc>
        <w:tc>
          <w:tcPr/>
          <w:p>
            <w:pPr>
              <w:pStyle w:val="Compact"/>
              <w:jc w:val="left"/>
            </w:pPr>
            <w:r>
              <w:t xml:space="preserve">One split-face study from 2005; skin penetration unclear</w:t>
            </w:r>
          </w:p>
        </w:tc>
      </w:tr>
      <w:tr>
        <w:tc>
          <w:tcPr/>
          <w:p>
            <w:pPr>
              <w:pStyle w:val="Compact"/>
              <w:jc w:val="left"/>
            </w:pPr>
            <w:r>
              <w:t xml:space="preserve">Acetyl hexapeptide-8 (Argireline)</w:t>
            </w:r>
          </w:p>
        </w:tc>
        <w:tc>
          <w:tcPr/>
          <w:p>
            <w:pPr>
              <w:pStyle w:val="Compact"/>
              <w:jc w:val="left"/>
            </w:pPr>
            <w:r>
              <w:t xml:space="preserve">B</w:t>
            </w:r>
          </w:p>
        </w:tc>
        <w:tc>
          <w:tcPr/>
          <w:p>
            <w:pPr>
              <w:pStyle w:val="Compact"/>
              <w:jc w:val="left"/>
            </w:pPr>
            <w:r>
              <w:t xml:space="preserve">Cosmetic</w:t>
            </w:r>
          </w:p>
        </w:tc>
        <w:tc>
          <w:tcPr/>
          <w:p>
            <w:pPr>
              <w:pStyle w:val="Compact"/>
              <w:jc w:val="left"/>
            </w:pPr>
            <w:r>
              <w:t xml:space="preserve">“</w:t>
            </w:r>
            <w:r>
              <w:t xml:space="preserve">Botox in a tube</w:t>
            </w:r>
            <w:r>
              <w:t xml:space="preserve">”</w:t>
            </w:r>
            <w:r>
              <w:t xml:space="preserve"> </w:t>
            </w:r>
            <w:r>
              <w:t xml:space="preserve">not demonstrated; barely penetrates the skin</w:t>
            </w:r>
          </w:p>
        </w:tc>
      </w:tr>
    </w:tbl>
    <w:p>
      <w:pPr>
        <w:pStyle w:val="BodyText"/>
      </w:pPr>
      <w:r>
        <w:t xml:space="preserve">In this group, level B explicitly does not mean that an effect is established, only that randomized studies exist.</w:t>
      </w:r>
    </w:p>
    <w:bookmarkEnd w:id="2318"/>
    <w:bookmarkStart w:id="2319" w:name="reading-guide-5"/>
    <w:p>
      <w:pPr>
        <w:pStyle w:val="Heading3"/>
      </w:pPr>
      <w:r>
        <w:t xml:space="preserve">Reading Guide</w:t>
      </w:r>
    </w:p>
    <w:p>
      <w:pPr>
        <w:pStyle w:val="FirstParagraph"/>
      </w:pPr>
      <w:r>
        <w:t xml:space="preserve">The chapter on</w:t>
      </w:r>
      <w:r>
        <w:t xml:space="preserve"> </w:t>
      </w:r>
      <w:r>
        <w:rPr>
          <w:bCs/>
          <w:b/>
        </w:rPr>
        <w:t xml:space="preserve">collagen peptides</w:t>
      </w:r>
      <w:r>
        <w:t xml:space="preserve"> </w:t>
      </w:r>
      <w:r>
        <w:t xml:space="preserve">is the most detailed, because there are the most studies on them and because they illustrate well how meta-analyses, manufacturer funding and the placebo effect interact. If you read only one chapter in this group, choose this one. The chapter on</w:t>
      </w:r>
      <w:r>
        <w:t xml:space="preserve"> </w:t>
      </w:r>
      <w:r>
        <w:rPr>
          <w:bCs/>
          <w:b/>
        </w:rPr>
        <w:t xml:space="preserve">lactotripeptides</w:t>
      </w:r>
      <w:r>
        <w:t xml:space="preserve"> </w:t>
      </w:r>
      <w:r>
        <w:t xml:space="preserve">is a lesson in how a convincing laboratory mechanism can shrink in larger studies. The three</w:t>
      </w:r>
      <w:r>
        <w:t xml:space="preserve"> </w:t>
      </w:r>
      <w:r>
        <w:rPr>
          <w:bCs/>
          <w:b/>
        </w:rPr>
        <w:t xml:space="preserve">cosmetic peptides</w:t>
      </w:r>
      <w:r>
        <w:t xml:space="preserve"> </w:t>
      </w:r>
      <w:r>
        <w:t xml:space="preserve">are shorter; they share the same core question – whether an active ingredient from a cream even reaches the place where it is supposed to act. The risks of gray-market injections are covered in detail in Part IV.</w:t>
      </w:r>
    </w:p>
    <w:bookmarkEnd w:id="2319"/>
    <w:bookmarkStart w:id="2371" w:name="collagen-peptides-collagen-hydrolysate"/>
    <w:p>
      <w:pPr>
        <w:pStyle w:val="Heading2"/>
      </w:pPr>
      <w:r>
        <w:t xml:space="preserve">Collagen Peptides (Collagen Hydrolysate)</w:t>
      </w:r>
    </w:p>
    <w:bookmarkStart w:id="2320" w:name="profile-52"/>
    <w:p>
      <w:pPr>
        <w:pStyle w:val="Heading3"/>
      </w:pPr>
      <w:r>
        <w:t xml:space="preserve">Profile</w:t>
      </w:r>
    </w:p>
    <w:p>
      <w:pPr>
        <w:numPr>
          <w:ilvl w:val="0"/>
          <w:numId w:val="1289"/>
        </w:numPr>
        <w:pStyle w:val="Compact"/>
      </w:pPr>
      <w:r>
        <w:rPr>
          <w:bCs/>
          <w:b/>
        </w:rPr>
        <w:t xml:space="preserve">Type/structure:</w:t>
      </w:r>
      <w:r>
        <w:t xml:space="preserve"> </w:t>
      </w:r>
      <w:r>
        <w:t xml:space="preserve">mixture of peptides of varying length, obtained by enzymatic cleavage (hydrolysis) of collagen or gelatin. Typical products contain fragments with an average molecular mass of about 2,000 to 5,000 daltons. The amino acids glycine, proline and hydroxyproline are characteristic; the essential amino acid tryptophan is absent.</w:t>
      </w:r>
    </w:p>
    <w:p>
      <w:pPr>
        <w:numPr>
          <w:ilvl w:val="0"/>
          <w:numId w:val="1289"/>
        </w:numPr>
        <w:pStyle w:val="Compact"/>
      </w:pPr>
      <w:r>
        <w:rPr>
          <w:bCs/>
          <w:b/>
        </w:rPr>
        <w:t xml:space="preserve">Origin:</w:t>
      </w:r>
      <w:r>
        <w:t xml:space="preserve"> </w:t>
      </w:r>
      <w:r>
        <w:t xml:space="preserve">skin, bones or scales of cattle, pigs, chickens and fish – by-products of meat and fish processing. Many studies use proprietary branded raw materials (e.g. Verisol, Fortigel, Bodybalance, Tendoforte) that come from a small number of manufacturers.</w:t>
      </w:r>
    </w:p>
    <w:p>
      <w:pPr>
        <w:numPr>
          <w:ilvl w:val="0"/>
          <w:numId w:val="1289"/>
        </w:numPr>
        <w:pStyle w:val="Compact"/>
      </w:pPr>
      <w:r>
        <w:rPr>
          <w:bCs/>
          <w:b/>
        </w:rPr>
        <w:t xml:space="preserve">Mechanism of action:</w:t>
      </w:r>
      <w:r>
        <w:t xml:space="preserve"> </w:t>
      </w:r>
      <w:r>
        <w:t xml:space="preserve">supply of building blocks for the body’s own connective tissue; it is also discussed that certain small peptides (above all prolyl-hydroxyproline) act as signaling substances on connective tissue cells.</w:t>
      </w:r>
    </w:p>
    <w:p>
      <w:pPr>
        <w:numPr>
          <w:ilvl w:val="0"/>
          <w:numId w:val="1289"/>
        </w:numPr>
        <w:pStyle w:val="Compact"/>
      </w:pPr>
      <w:r>
        <w:rPr>
          <w:bCs/>
          <w:b/>
        </w:rPr>
        <w:t xml:space="preserve">Distinction:</w:t>
      </w:r>
      <w:r>
        <w:t xml:space="preserve"> </w:t>
      </w:r>
      <w:r>
        <w:rPr>
          <w:iCs/>
          <w:i/>
        </w:rPr>
        <w:t xml:space="preserve">Undenatured</w:t>
      </w:r>
      <w:r>
        <w:t xml:space="preserve"> </w:t>
      </w:r>
      <w:r>
        <w:t xml:space="preserve">type II collagen (e.g. UC-II) is a different product with a different mechanism of action and is discussed separately below.</w:t>
      </w:r>
    </w:p>
    <w:p>
      <w:pPr>
        <w:numPr>
          <w:ilvl w:val="0"/>
          <w:numId w:val="1289"/>
        </w:numPr>
        <w:pStyle w:val="Compact"/>
      </w:pPr>
      <w:r>
        <w:rPr>
          <w:bCs/>
          <w:b/>
        </w:rPr>
        <w:t xml:space="preserve">Approval EU:</w:t>
      </w:r>
      <w:r>
        <w:t xml:space="preserve"> </w:t>
      </w:r>
      <w:r>
        <w:t xml:space="preserve">no approval as a medicine; marketable as a food or food supplement. For collagen itself, there is</w:t>
      </w:r>
      <w:r>
        <w:t xml:space="preserve"> </w:t>
      </w:r>
      <w:r>
        <w:rPr>
          <w:bCs/>
          <w:b/>
        </w:rPr>
        <w:t xml:space="preserve">no</w:t>
      </w:r>
      <w:r>
        <w:t xml:space="preserve"> </w:t>
      </w:r>
      <w:r>
        <w:t xml:space="preserve">authorized health claim.</w:t>
      </w:r>
    </w:p>
    <w:p>
      <w:pPr>
        <w:numPr>
          <w:ilvl w:val="0"/>
          <w:numId w:val="1289"/>
        </w:numPr>
        <w:pStyle w:val="Compact"/>
      </w:pPr>
      <w:r>
        <w:rPr>
          <w:bCs/>
          <w:b/>
        </w:rPr>
        <w:t xml:space="preserve">Approval USA:</w:t>
      </w:r>
      <w:r>
        <w:t xml:space="preserve"> </w:t>
      </w:r>
      <w:r>
        <w:t xml:space="preserve">no approval as a drug; sold as a dietary supplement.</w:t>
      </w:r>
    </w:p>
    <w:p>
      <w:pPr>
        <w:numPr>
          <w:ilvl w:val="0"/>
          <w:numId w:val="1289"/>
        </w:numPr>
        <w:pStyle w:val="Compact"/>
      </w:pPr>
      <w:r>
        <w:rPr>
          <w:bCs/>
          <w:b/>
        </w:rPr>
        <w:t xml:space="preserve">WADA:</w:t>
      </w:r>
      <w:r>
        <w:t xml:space="preserve"> </w:t>
      </w:r>
      <w:r>
        <w:t xml:space="preserve">not listed.</w:t>
      </w:r>
    </w:p>
    <w:p>
      <w:pPr>
        <w:numPr>
          <w:ilvl w:val="0"/>
          <w:numId w:val="1289"/>
        </w:numPr>
        <w:pStyle w:val="Compact"/>
      </w:pPr>
      <w:r>
        <w:rPr>
          <w:bCs/>
          <w:b/>
        </w:rPr>
        <w:t xml:space="preserve">Evidence level:</w:t>
      </w:r>
      <w:r>
        <w:t xml:space="preserve"> </w:t>
      </w:r>
      <w:r>
        <w:rPr>
          <w:bCs/>
          <w:b/>
        </w:rPr>
        <w:t xml:space="preserve">B</w:t>
      </w:r>
      <w:r>
        <w:t xml:space="preserve"> </w:t>
      </w:r>
      <w:r>
        <w:t xml:space="preserve">– numerous randomized, placebo-controlled studies, but mostly small, short and funded by manufacturers.</w:t>
      </w:r>
    </w:p>
    <w:bookmarkEnd w:id="2320"/>
    <w:bookmarkStart w:id="2325" w:name="how-it-is-supposed-to-work-52"/>
    <w:p>
      <w:pPr>
        <w:pStyle w:val="Heading3"/>
      </w:pPr>
      <w:r>
        <w:t xml:space="preserve">How it is supposed to work</w:t>
      </w:r>
    </w:p>
    <w:p>
      <w:pPr>
        <w:pStyle w:val="FirstParagraph"/>
      </w:pPr>
      <w:r>
        <w:t xml:space="preserve">Collagen is the most abundant protein in the human body. It forms the framework of skin, tendons, ligaments, cartilage and bone. Its basic unit is a triple helix of three protein chains in which a pattern repeats constantly: glycine, then any amino acid, then frequently proline or hydroxyproline. With age, collagen production in the skin declines and the collagen network becomes more fragile – visible as wrinkles and decreasing firmness.</w:t>
      </w:r>
    </w:p>
    <w:p>
      <w:pPr>
        <w:pStyle w:val="BodyText"/>
      </w:pPr>
      <w:r>
        <w:t xml:space="preserve">Advertising often suggests a simple logic: if you eat collagen, you build collagen. That is not how digestion works. Proteins are largely broken down in the stomach and small intestine into individual amino acids and very small peptides; the body reassembles its proteins from these according to its own needs. Dietary collagen is therefore not</w:t>
      </w:r>
      <w:r>
        <w:t xml:space="preserve"> </w:t>
      </w:r>
      <w:r>
        <w:t xml:space="preserve">“</w:t>
      </w:r>
      <w:r>
        <w:t xml:space="preserve">incorporated</w:t>
      </w:r>
      <w:r>
        <w:t xml:space="preserve">”</w:t>
      </w:r>
      <w:r>
        <w:t xml:space="preserve"> </w:t>
      </w:r>
      <w:r>
        <w:t xml:space="preserve">into the skin as collagen.</w:t>
      </w:r>
    </w:p>
    <w:p>
      <w:pPr>
        <w:pStyle w:val="BodyText"/>
      </w:pPr>
      <w:r>
        <w:t xml:space="preserve">There are, however, two serious hypotheses as to why collagen peptides might still have an effect:</w:t>
      </w:r>
    </w:p>
    <w:p>
      <w:pPr>
        <w:numPr>
          <w:ilvl w:val="0"/>
          <w:numId w:val="1290"/>
        </w:numPr>
        <w:pStyle w:val="Compact"/>
      </w:pPr>
      <w:r>
        <w:rPr>
          <w:bCs/>
          <w:b/>
        </w:rPr>
        <w:t xml:space="preserve">Signaling peptides.</w:t>
      </w:r>
      <w:r>
        <w:t xml:space="preserve"> </w:t>
      </w:r>
      <w:r>
        <w:t xml:space="preserve">Di- and tripeptides containing hydroxyproline are unusually stable against digestive enzymes. After drinking gelatin hydrolysate, the concentration of peptide-bound hydroxyproline in the blood of volunteers rose markedly, peaking after one to two hours; the main component was the dipeptide prolyl-hydroxyproline</w:t>
      </w:r>
      <w:r>
        <w:rPr>
          <w:rStyle w:val="FootnoteReference"/>
        </w:rPr>
        <w:footnoteReference w:id="2321"/>
      </w:r>
      <w:r>
        <w:t xml:space="preserve">. Similar results were seen for a preparation with a high proportion of tripeptides</w:t>
      </w:r>
      <w:r>
        <w:rPr>
          <w:rStyle w:val="FootnoteReference"/>
        </w:rPr>
        <w:footnoteReference w:id="2322"/>
      </w:r>
      <w:r>
        <w:t xml:space="preserve">. In cell culture and animal experiments, such peptides stimulate connective tissue cells (fibroblasts) to grow and to produce matrix building blocks. Whether the amounts reached in the blood in humans are sufficient to trigger a measurable effect in skin or cartilage has not been reliably demonstrated.</w:t>
      </w:r>
    </w:p>
    <w:p>
      <w:pPr>
        <w:numPr>
          <w:ilvl w:val="0"/>
          <w:numId w:val="1290"/>
        </w:numPr>
        <w:pStyle w:val="Compact"/>
      </w:pPr>
      <w:r>
        <w:rPr>
          <w:bCs/>
          <w:b/>
        </w:rPr>
        <w:t xml:space="preserve">Supply of building material.</w:t>
      </w:r>
      <w:r>
        <w:t xml:space="preserve"> </w:t>
      </w:r>
      <w:r>
        <w:t xml:space="preserve">Collagen peptides supply large amounts of glycine, proline and hydroxyproline. In a small study with eight men, the blood marker for new collagen formation doubled when they had taken 15 g of vitamin C-enriched gelatin one hour before a short bout of jumping exercise</w:t>
      </w:r>
      <w:r>
        <w:rPr>
          <w:rStyle w:val="FootnoteReference"/>
        </w:rPr>
        <w:footnoteReference w:id="2323"/>
      </w:r>
      <w:r>
        <w:t xml:space="preserve">. This supports the idea of timing collagen peptides with exercise, but it is a measurement in the blood, not proof of stronger tendons.</w:t>
      </w:r>
    </w:p>
    <w:p>
      <w:pPr>
        <w:pStyle w:val="FirstParagraph"/>
      </w:pPr>
      <w:r>
        <w:t xml:space="preserve">Important for context: collagen is an incomplete protein source. Because it lacks tryptophan, a gelatin-based peptide mixture is even used deliberately in research to lower the tryptophan level in the blood in the short term</w:t>
      </w:r>
      <w:r>
        <w:rPr>
          <w:rStyle w:val="FootnoteReference"/>
        </w:rPr>
        <w:footnoteReference w:id="2324"/>
      </w:r>
      <w:r>
        <w:t xml:space="preserve">. For muscle building, collagen is therefore inferior to other proteins – more on this below.</w:t>
      </w:r>
    </w:p>
    <w:bookmarkEnd w:id="2325"/>
    <w:bookmarkStart w:id="2353" w:name="human-studies-52"/>
    <w:p>
      <w:pPr>
        <w:pStyle w:val="Heading3"/>
      </w:pPr>
      <w:r>
        <w:t xml:space="preserve">Human studies</w:t>
      </w:r>
    </w:p>
    <w:p>
      <w:pPr>
        <w:pStyle w:val="FirstParagraph"/>
      </w:pPr>
      <w:r>
        <w:t xml:space="preserve">The body of evidence is extensive but inconsistent. The PubMed search evaluated for this book (collagen hydrolysate or collagen peptides in combination with intake or supplementation, search date October 2026) yielded 101 human studies. On ClinicalTrials.gov, the search</w:t>
      </w:r>
      <w:r>
        <w:t xml:space="preserve"> </w:t>
      </w:r>
      <w:r>
        <w:t xml:space="preserve">“</w:t>
      </w:r>
      <w:r>
        <w:t xml:space="preserve">collagen peptides</w:t>
      </w:r>
      <w:r>
        <w:t xml:space="preserve">”</w:t>
      </w:r>
      <w:r>
        <w:t xml:space="preserve"> </w:t>
      </w:r>
      <w:r>
        <w:t xml:space="preserve">found 237 registry entries; a considerable proportion of these, however, concern other topics (such as collagen implants in dentistry or the cancer drug endostatin, a collagen fragment). In addition, there are at least a dozen meta-analyses.</w:t>
      </w:r>
    </w:p>
    <w:p>
      <w:pPr>
        <w:pStyle w:val="BodyText"/>
      </w:pPr>
      <w:r>
        <w:t xml:space="preserve">Three features characterize almost all studies and should be kept in mind when reading:</w:t>
      </w:r>
    </w:p>
    <w:p>
      <w:pPr>
        <w:numPr>
          <w:ilvl w:val="0"/>
          <w:numId w:val="1291"/>
        </w:numPr>
        <w:pStyle w:val="Compact"/>
      </w:pPr>
      <w:r>
        <w:rPr>
          <w:bCs/>
          <w:b/>
        </w:rPr>
        <w:t xml:space="preserve">Small sample sizes and short duration:</w:t>
      </w:r>
      <w:r>
        <w:t xml:space="preserve"> </w:t>
      </w:r>
      <w:r>
        <w:t xml:space="preserve">mostly 40 to 150 participants over 8 to 24 weeks.</w:t>
      </w:r>
    </w:p>
    <w:p>
      <w:pPr>
        <w:numPr>
          <w:ilvl w:val="0"/>
          <w:numId w:val="1291"/>
        </w:numPr>
        <w:pStyle w:val="Compact"/>
      </w:pPr>
      <w:r>
        <w:rPr>
          <w:bCs/>
          <w:b/>
        </w:rPr>
        <w:t xml:space="preserve">Manufacturer funding:</w:t>
      </w:r>
      <w:r>
        <w:t xml:space="preserve"> </w:t>
      </w:r>
      <w:r>
        <w:t xml:space="preserve">A large proportion of the studies were paid for by the raw material or product manufacturers or co-authored by their employees. Proprietary peptide mixtures are frequently tested.</w:t>
      </w:r>
    </w:p>
    <w:p>
      <w:pPr>
        <w:numPr>
          <w:ilvl w:val="0"/>
          <w:numId w:val="1291"/>
        </w:numPr>
        <w:pStyle w:val="Compact"/>
      </w:pPr>
      <w:r>
        <w:rPr>
          <w:bCs/>
          <w:b/>
        </w:rPr>
        <w:t xml:space="preserve">Combination products:</w:t>
      </w:r>
      <w:r>
        <w:t xml:space="preserve"> </w:t>
      </w:r>
      <w:r>
        <w:t xml:space="preserve">Many</w:t>
      </w:r>
      <w:r>
        <w:t xml:space="preserve"> </w:t>
      </w:r>
      <w:r>
        <w:t xml:space="preserve">“</w:t>
      </w:r>
      <w:r>
        <w:t xml:space="preserve">collagen drinks</w:t>
      </w:r>
      <w:r>
        <w:t xml:space="preserve">”</w:t>
      </w:r>
      <w:r>
        <w:t xml:space="preserve"> </w:t>
      </w:r>
      <w:r>
        <w:t xml:space="preserve">additionally contain vitamin C, zinc, biotin, hyaluronic acid or plant extracts. A positive result can then not be attributed to collagen alone.</w:t>
      </w:r>
    </w:p>
    <w:bookmarkStart w:id="2328" w:name="skin-moisture-elasticity-wrinkles"/>
    <w:p>
      <w:pPr>
        <w:pStyle w:val="Heading4"/>
      </w:pPr>
      <w:r>
        <w:t xml:space="preserve">Skin: Moisture, Elasticity, Wrinkles</w:t>
      </w:r>
    </w:p>
    <w:p>
      <w:pPr>
        <w:pStyle w:val="FirstParagraph"/>
      </w:pPr>
      <w:r>
        <w:t xml:space="preserve">The skin studies are the most numerous. Measurements are usually made with devices: corneometer (moisture of the stratum corneum), cutometer (elasticity), skin replicas or 3D cameras (wrinkle depth), ultrasound (density of the dermis).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Proksch 2014a, PMID 23949208</w:t>
            </w:r>
          </w:p>
        </w:tc>
        <w:tc>
          <w:tcPr/>
          <w:p>
            <w:pPr>
              <w:pStyle w:val="Compact"/>
              <w:jc w:val="left"/>
            </w:pPr>
            <w:r>
              <w:t xml:space="preserve">69 women (35–55 yrs), 2.5 g or 5 g vs. placebo</w:t>
            </w:r>
          </w:p>
        </w:tc>
        <w:tc>
          <w:tcPr/>
          <w:p>
            <w:pPr>
              <w:pStyle w:val="Compact"/>
              <w:jc w:val="left"/>
            </w:pPr>
            <w:r>
              <w:t xml:space="preserve">8 weeks</w:t>
            </w:r>
          </w:p>
        </w:tc>
        <w:tc>
          <w:tcPr/>
          <w:p>
            <w:pPr>
              <w:pStyle w:val="Compact"/>
              <w:jc w:val="left"/>
            </w:pPr>
            <w:r>
              <w:t xml:space="preserve">Elasticity significantly better than placebo in both dose groups; moisture not significant</w:t>
            </w:r>
          </w:p>
        </w:tc>
      </w:tr>
      <w:tr>
        <w:tc>
          <w:tcPr/>
          <w:p>
            <w:pPr>
              <w:pStyle w:val="Compact"/>
              <w:jc w:val="left"/>
            </w:pPr>
            <w:r>
              <w:t xml:space="preserve">Proksch 2014b, PMID 24401291</w:t>
            </w:r>
          </w:p>
        </w:tc>
        <w:tc>
          <w:tcPr/>
          <w:p>
            <w:pPr>
              <w:pStyle w:val="Compact"/>
              <w:jc w:val="left"/>
            </w:pPr>
            <w:r>
              <w:t xml:space="preserve">114 women (45–65 yrs), 2.5 g Verisol vs. placebo</w:t>
            </w:r>
          </w:p>
        </w:tc>
        <w:tc>
          <w:tcPr/>
          <w:p>
            <w:pPr>
              <w:pStyle w:val="Compact"/>
              <w:jc w:val="left"/>
            </w:pPr>
            <w:r>
              <w:t xml:space="preserve">8 weeks</w:t>
            </w:r>
          </w:p>
        </w:tc>
        <w:tc>
          <w:tcPr/>
          <w:p>
            <w:pPr>
              <w:pStyle w:val="Compact"/>
              <w:jc w:val="left"/>
            </w:pPr>
            <w:r>
              <w:t xml:space="preserve">Eye wrinkle volume −20% vs. placebo; procollagen I in skin samples +65%</w:t>
            </w:r>
          </w:p>
        </w:tc>
      </w:tr>
      <w:tr>
        <w:tc>
          <w:tcPr/>
          <w:p>
            <w:pPr>
              <w:pStyle w:val="Compact"/>
              <w:jc w:val="left"/>
            </w:pPr>
            <w:r>
              <w:t xml:space="preserve">Kim 2018, PMID 29949889</w:t>
            </w:r>
          </w:p>
        </w:tc>
        <w:tc>
          <w:tcPr/>
          <w:p>
            <w:pPr>
              <w:pStyle w:val="Compact"/>
              <w:jc w:val="left"/>
            </w:pPr>
            <w:r>
              <w:t xml:space="preserve">64 people, 1 g low-molecular-weight peptide vs. placebo</w:t>
            </w:r>
          </w:p>
        </w:tc>
        <w:tc>
          <w:tcPr/>
          <w:p>
            <w:pPr>
              <w:pStyle w:val="Compact"/>
              <w:jc w:val="left"/>
            </w:pPr>
            <w:r>
              <w:t xml:space="preserve">12 weeks</w:t>
            </w:r>
          </w:p>
        </w:tc>
        <w:tc>
          <w:tcPr/>
          <w:p>
            <w:pPr>
              <w:pStyle w:val="Compact"/>
              <w:jc w:val="left"/>
            </w:pPr>
            <w:r>
              <w:t xml:space="preserve">Moisture and three wrinkle parameters better than placebo; elasticity partly</w:t>
            </w:r>
          </w:p>
        </w:tc>
      </w:tr>
      <w:tr>
        <w:tc>
          <w:tcPr/>
          <w:p>
            <w:pPr>
              <w:pStyle w:val="Compact"/>
              <w:jc w:val="left"/>
            </w:pPr>
            <w:r>
              <w:t xml:space="preserve">Bolke 2019, PMID 31627309</w:t>
            </w:r>
          </w:p>
        </w:tc>
        <w:tc>
          <w:tcPr/>
          <w:p>
            <w:pPr>
              <w:pStyle w:val="Compact"/>
              <w:jc w:val="left"/>
            </w:pPr>
            <w:r>
              <w:t xml:space="preserve">72 women aged 35+, drinking ampoule with 2.5 g peptides plus vitamins, zinc, acerola vs. placebo</w:t>
            </w:r>
          </w:p>
        </w:tc>
        <w:tc>
          <w:tcPr/>
          <w:p>
            <w:pPr>
              <w:pStyle w:val="Compact"/>
              <w:jc w:val="left"/>
            </w:pPr>
            <w:r>
              <w:t xml:space="preserve">12 weeks</w:t>
            </w:r>
          </w:p>
        </w:tc>
        <w:tc>
          <w:tcPr/>
          <w:p>
            <w:pPr>
              <w:pStyle w:val="Compact"/>
              <w:jc w:val="left"/>
            </w:pPr>
            <w:r>
              <w:t xml:space="preserve">Moisture, elasticity, roughness and density better than placebo (combination product)</w:t>
            </w:r>
          </w:p>
        </w:tc>
      </w:tr>
      <w:tr>
        <w:tc>
          <w:tcPr/>
          <w:p>
            <w:pPr>
              <w:pStyle w:val="Compact"/>
              <w:jc w:val="left"/>
            </w:pPr>
            <w:r>
              <w:t xml:space="preserve">Kim 2022, PMID 36516059</w:t>
            </w:r>
          </w:p>
        </w:tc>
        <w:tc>
          <w:tcPr/>
          <w:p>
            <w:pPr>
              <w:pStyle w:val="Compact"/>
              <w:jc w:val="left"/>
            </w:pPr>
            <w:r>
              <w:t xml:space="preserve">100 people, low-molecular-weight peptides vs. placebo</w:t>
            </w:r>
          </w:p>
        </w:tc>
        <w:tc>
          <w:tcPr/>
          <w:p>
            <w:pPr>
              <w:pStyle w:val="Compact"/>
              <w:jc w:val="left"/>
            </w:pPr>
            <w:r>
              <w:t xml:space="preserve">12 weeks</w:t>
            </w:r>
          </w:p>
        </w:tc>
        <w:tc>
          <w:tcPr/>
          <w:p>
            <w:pPr>
              <w:pStyle w:val="Compact"/>
              <w:jc w:val="left"/>
            </w:pPr>
            <w:r>
              <w:t xml:space="preserve">Crow’s feet, roughness, elasticity, moisture better than placebo (analysis of 84 people)</w:t>
            </w:r>
          </w:p>
        </w:tc>
      </w:tr>
      <w:tr>
        <w:tc>
          <w:tcPr/>
          <w:p>
            <w:pPr>
              <w:pStyle w:val="Compact"/>
              <w:jc w:val="left"/>
            </w:pPr>
            <w:r>
              <w:t xml:space="preserve">Vleminckx 2024, PMID 39143887</w:t>
            </w:r>
          </w:p>
        </w:tc>
        <w:tc>
          <w:tcPr/>
          <w:p>
            <w:pPr>
              <w:pStyle w:val="Compact"/>
              <w:jc w:val="left"/>
            </w:pPr>
            <w:r>
              <w:t xml:space="preserve">85 East Asian women (43–65 yrs), 5 g vs. maltodextrin</w:t>
            </w:r>
          </w:p>
        </w:tc>
        <w:tc>
          <w:tcPr/>
          <w:p>
            <w:pPr>
              <w:pStyle w:val="Compact"/>
              <w:jc w:val="left"/>
            </w:pPr>
            <w:r>
              <w:t xml:space="preserve">12 weeks</w:t>
            </w:r>
          </w:p>
        </w:tc>
        <w:tc>
          <w:tcPr/>
          <w:p>
            <w:pPr>
              <w:pStyle w:val="Compact"/>
              <w:jc w:val="left"/>
            </w:pPr>
            <w:r>
              <w:t xml:space="preserve">Skin density and moisture better than placebo after 84 days</w:t>
            </w:r>
          </w:p>
        </w:tc>
      </w:tr>
    </w:tbl>
    <w:p>
      <w:pPr>
        <w:pStyle w:val="BodyText"/>
      </w:pPr>
      <w:r>
        <w:t xml:space="preserve">Individual studies also examined cellulite (105 women, six months; improvement mainly in normal-weight women, Schunck 2015, PMID 26561784) and brittle nails. The nail study, however, was open-label and without a control group: 25 participants, nail growth +12%, broken nails −42%</w:t>
      </w:r>
      <w:r>
        <w:rPr>
          <w:rStyle w:val="FootnoteReference"/>
        </w:rPr>
        <w:footnoteReference w:id="2326"/>
      </w:r>
      <w:r>
        <w:t xml:space="preserve">. Without a comparison group, a placebo effect cannot be ruled out here.</w:t>
      </w:r>
    </w:p>
    <w:p>
      <w:pPr>
        <w:pStyle w:val="BodyText"/>
      </w:pPr>
      <w:r>
        <w:t xml:space="preserve">In patients with pressure ulcers (decubitus), a collagen hydrolysate with a high proportion of prolyl-hydroxyproline was tested in addition to standard treatment. In 120 participants, wound healing after 16 weeks was better in this group than under placebo</w:t>
      </w:r>
      <w:r>
        <w:rPr>
          <w:rStyle w:val="FootnoteReference"/>
        </w:rPr>
        <w:footnoteReference w:id="2327"/>
      </w:r>
      <w:r>
        <w:t xml:space="preserve">. A small study from 2026 in moderate atopic dermatitis reported lower use of cortisone cream with 5 g of collagen peptides (0.94 g versus 5.60 g; Proksch 2026, PMID 41758763); the authors themselves call for larger confirmatory studies.</w:t>
      </w:r>
    </w:p>
    <w:bookmarkEnd w:id="2328"/>
    <w:bookmarkStart w:id="2333" w:name="Xa1cc0f432c2f9a13e9ac74dddb1171c578072f4"/>
    <w:p>
      <w:pPr>
        <w:pStyle w:val="Heading4"/>
      </w:pPr>
      <w:r>
        <w:t xml:space="preserve">The Meta-Analyses on Skin – and the Question of Funding</w:t>
      </w:r>
    </w:p>
    <w:p>
      <w:pPr>
        <w:pStyle w:val="FirstParagraph"/>
      </w:pPr>
      <w:r>
        <w:t xml:space="preserve">If the skin studies are pooled, the picture at first glance is clear:</w:t>
      </w:r>
    </w:p>
    <w:p>
      <w:pPr>
        <w:numPr>
          <w:ilvl w:val="0"/>
          <w:numId w:val="1292"/>
        </w:numPr>
        <w:pStyle w:val="Compact"/>
      </w:pPr>
      <w:r>
        <w:t xml:space="preserve">19 studies with 1,125 participants: favorable effect on moisture, elasticity and wrinkles</w:t>
      </w:r>
      <w:r>
        <w:rPr>
          <w:rStyle w:val="FootnoteReference"/>
        </w:rPr>
        <w:footnoteReference w:id="2329"/>
      </w:r>
      <w:r>
        <w:t xml:space="preserve">.</w:t>
      </w:r>
    </w:p>
    <w:p>
      <w:pPr>
        <w:numPr>
          <w:ilvl w:val="0"/>
          <w:numId w:val="1292"/>
        </w:numPr>
        <w:pStyle w:val="Compact"/>
      </w:pPr>
      <w:r>
        <w:t xml:space="preserve">26 studies with 1,721 participants: significant improvement in moisture and elasticity; however, the authors identify several sources of bias and call for large studies</w:t>
      </w:r>
      <w:r>
        <w:rPr>
          <w:rStyle w:val="FootnoteReference"/>
        </w:rPr>
        <w:footnoteReference w:id="2330"/>
      </w:r>
      <w:r>
        <w:t xml:space="preserve">.</w:t>
      </w:r>
    </w:p>
    <w:p>
      <w:pPr>
        <w:numPr>
          <w:ilvl w:val="0"/>
          <w:numId w:val="1292"/>
        </w:numPr>
        <w:pStyle w:val="Compact"/>
      </w:pPr>
      <w:r>
        <w:t xml:space="preserve">10 studies with 646 participants: moisture and elasticity improved, with moderate heterogeneity and a predominantly unclear risk of bias</w:t>
      </w:r>
      <w:r>
        <w:rPr>
          <w:rStyle w:val="FootnoteReference"/>
        </w:rPr>
        <w:footnoteReference w:id="2331"/>
      </w:r>
      <w:r>
        <w:t xml:space="preserve">.</w:t>
      </w:r>
    </w:p>
    <w:p>
      <w:pPr>
        <w:pStyle w:val="FirstParagraph"/>
      </w:pPr>
      <w:r>
        <w:t xml:space="preserve">A 2025 meta-analysis went one step further and separated the studies by funder and quality. Across all 23 studies with 1,474 participants, an advantage was again seen. However, when only the studies</w:t>
      </w:r>
      <w:r>
        <w:t xml:space="preserve"> </w:t>
      </w:r>
      <w:r>
        <w:rPr>
          <w:iCs/>
          <w:i/>
        </w:rPr>
        <w:t xml:space="preserve">without</w:t>
      </w:r>
      <w:r>
        <w:t xml:space="preserve"> </w:t>
      </w:r>
      <w:r>
        <w:t xml:space="preserve">industry funding were considered, the effect on moisture, elasticity and wrinkles disappeared. The methodologically high-quality studies also showed no significant effect in any category; only in the low-quality studies was there an improvement in elasticity. The authors conclude that there is currently no clinical evidence to support the use of collagen supplements for the prevention or treatment of skin aging</w:t>
      </w:r>
      <w:r>
        <w:rPr>
          <w:rStyle w:val="FootnoteReference"/>
        </w:rPr>
        <w:footnoteReference w:id="2332"/>
      </w:r>
      <w:r>
        <w:t xml:space="preserve">.</w:t>
      </w:r>
    </w:p>
    <w:p>
      <w:pPr>
        <w:pStyle w:val="BodyText"/>
      </w:pPr>
      <w:r>
        <w:t xml:space="preserve">This result is not a final verdict – the number of independent studies is small, and a lack of statistical significance does not automatically mean that there is no effect. But it shows how heavily the positive overall balance depends on studies that the suppliers financed themselves. For readers, this means: the claim</w:t>
      </w:r>
      <w:r>
        <w:t xml:space="preserve"> </w:t>
      </w:r>
      <w:r>
        <w:t xml:space="preserve">“</w:t>
      </w:r>
      <w:r>
        <w:t xml:space="preserve">clinically proven</w:t>
      </w:r>
      <w:r>
        <w:t xml:space="preserve">”</w:t>
      </w:r>
      <w:r>
        <w:t xml:space="preserve"> </w:t>
      </w:r>
      <w:r>
        <w:t xml:space="preserve">on a collagen package is usually based on studies by the product’s own raw material supplier.</w:t>
      </w:r>
    </w:p>
    <w:bookmarkEnd w:id="2333"/>
    <w:bookmarkStart w:id="2339" w:name="joints-and-osteoarthritis"/>
    <w:p>
      <w:pPr>
        <w:pStyle w:val="Heading4"/>
      </w:pPr>
      <w:r>
        <w:t xml:space="preserve">Joints and Osteoarthritis</w:t>
      </w:r>
    </w:p>
    <w:p>
      <w:pPr>
        <w:pStyle w:val="FirstParagraph"/>
      </w:pPr>
      <w:r>
        <w:t xml:space="preserve">The second large group of studies concerns joint pain – both in osteoarthritis and in physically active people without a diagnosis.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Clark 2008, PMID 18416885</w:t>
            </w:r>
          </w:p>
        </w:tc>
        <w:tc>
          <w:tcPr/>
          <w:p>
            <w:pPr>
              <w:pStyle w:val="Compact"/>
              <w:jc w:val="left"/>
            </w:pPr>
            <w:r>
              <w:t xml:space="preserve">147 athletes with activity-related joint pain, 10 g vs. placebo</w:t>
            </w:r>
          </w:p>
        </w:tc>
        <w:tc>
          <w:tcPr/>
          <w:p>
            <w:pPr>
              <w:pStyle w:val="Compact"/>
              <w:jc w:val="left"/>
            </w:pPr>
            <w:r>
              <w:t xml:space="preserve">24 weeks</w:t>
            </w:r>
          </w:p>
        </w:tc>
        <w:tc>
          <w:tcPr/>
          <w:p>
            <w:pPr>
              <w:pStyle w:val="Compact"/>
              <w:jc w:val="left"/>
            </w:pPr>
            <w:r>
              <w:t xml:space="preserve">Several pain scores better than placebo; only 97 of 147 evaluable</w:t>
            </w:r>
          </w:p>
        </w:tc>
      </w:tr>
      <w:tr>
        <w:tc>
          <w:tcPr/>
          <w:p>
            <w:pPr>
              <w:pStyle w:val="Compact"/>
              <w:jc w:val="left"/>
            </w:pPr>
            <w:r>
              <w:t xml:space="preserve">Bruyère 2012, PMID 22500661</w:t>
            </w:r>
          </w:p>
        </w:tc>
        <w:tc>
          <w:tcPr/>
          <w:p>
            <w:pPr>
              <w:pStyle w:val="Compact"/>
              <w:jc w:val="left"/>
            </w:pPr>
            <w:r>
              <w:t xml:space="preserve">200 people aged 50+ with joint pain, 1.2 g vs. placebo</w:t>
            </w:r>
          </w:p>
        </w:tc>
        <w:tc>
          <w:tcPr/>
          <w:p>
            <w:pPr>
              <w:pStyle w:val="Compact"/>
              <w:jc w:val="left"/>
            </w:pPr>
            <w:r>
              <w:t xml:space="preserve">6 months</w:t>
            </w:r>
          </w:p>
        </w:tc>
        <w:tc>
          <w:tcPr/>
          <w:p>
            <w:pPr>
              <w:pStyle w:val="Compact"/>
              <w:jc w:val="left"/>
            </w:pPr>
            <w:r>
              <w:t xml:space="preserve">Response rate 51.6% vs. 36.5% after 6 months; no difference after 3 months</w:t>
            </w:r>
          </w:p>
        </w:tc>
      </w:tr>
      <w:tr>
        <w:tc>
          <w:tcPr/>
          <w:p>
            <w:pPr>
              <w:pStyle w:val="Compact"/>
              <w:jc w:val="left"/>
            </w:pPr>
            <w:r>
              <w:t xml:space="preserve">Kumar 2015, PMID 24852756</w:t>
            </w:r>
          </w:p>
        </w:tc>
        <w:tc>
          <w:tcPr/>
          <w:p>
            <w:pPr>
              <w:pStyle w:val="Compact"/>
              <w:jc w:val="left"/>
            </w:pPr>
            <w:r>
              <w:t xml:space="preserve">Knee osteoarthritis, peptides from pig skin or bovine bone vs. placebo</w:t>
            </w:r>
          </w:p>
        </w:tc>
        <w:tc>
          <w:tcPr/>
          <w:p>
            <w:pPr>
              <w:pStyle w:val="Compact"/>
              <w:jc w:val="left"/>
            </w:pPr>
            <w:r>
              <w:t xml:space="preserve">13 weeks</w:t>
            </w:r>
          </w:p>
        </w:tc>
        <w:tc>
          <w:tcPr/>
          <w:p>
            <w:pPr>
              <w:pStyle w:val="Compact"/>
              <w:jc w:val="left"/>
            </w:pPr>
            <w:r>
              <w:t xml:space="preserve">WOMAC, pain and quality-of-life scores better than placebo</w:t>
            </w:r>
          </w:p>
        </w:tc>
      </w:tr>
      <w:tr>
        <w:tc>
          <w:tcPr/>
          <w:p>
            <w:pPr>
              <w:pStyle w:val="Compact"/>
              <w:jc w:val="left"/>
            </w:pPr>
            <w:r>
              <w:t xml:space="preserve">Zdzieblik 2017, PMID 28177710</w:t>
            </w:r>
          </w:p>
        </w:tc>
        <w:tc>
          <w:tcPr/>
          <w:p>
            <w:pPr>
              <w:pStyle w:val="Compact"/>
              <w:jc w:val="left"/>
            </w:pPr>
            <w:r>
              <w:t xml:space="preserve">139 athletes with knee complaints, 5 g vs. placebo</w:t>
            </w:r>
          </w:p>
        </w:tc>
        <w:tc>
          <w:tcPr/>
          <w:p>
            <w:pPr>
              <w:pStyle w:val="Compact"/>
              <w:jc w:val="left"/>
            </w:pPr>
            <w:r>
              <w:t xml:space="preserve">12 weeks</w:t>
            </w:r>
          </w:p>
        </w:tc>
        <w:tc>
          <w:tcPr/>
          <w:p>
            <w:pPr>
              <w:pStyle w:val="Compact"/>
              <w:jc w:val="left"/>
            </w:pPr>
            <w:r>
              <w:t xml:space="preserve">Pain on exertion better than placebo (p = 0.046); pain at rest not</w:t>
            </w:r>
          </w:p>
        </w:tc>
      </w:tr>
      <w:tr>
        <w:tc>
          <w:tcPr/>
          <w:p>
            <w:pPr>
              <w:pStyle w:val="Compact"/>
              <w:jc w:val="left"/>
            </w:pPr>
            <w:r>
              <w:t xml:space="preserve">Bongers 2020, PMID 31990581</w:t>
            </w:r>
          </w:p>
        </w:tc>
        <w:tc>
          <w:tcPr/>
          <w:p>
            <w:pPr>
              <w:pStyle w:val="Compact"/>
              <w:jc w:val="left"/>
            </w:pPr>
            <w:r>
              <w:t xml:space="preserve">167 active people (median 63 yrs) with knee pain, 10 g vs. placebo</w:t>
            </w:r>
          </w:p>
        </w:tc>
        <w:tc>
          <w:tcPr/>
          <w:p>
            <w:pPr>
              <w:pStyle w:val="Compact"/>
              <w:jc w:val="left"/>
            </w:pPr>
            <w:r>
              <w:t xml:space="preserve">12 weeks</w:t>
            </w:r>
          </w:p>
        </w:tc>
        <w:tc>
          <w:tcPr/>
          <w:p>
            <w:pPr>
              <w:pStyle w:val="Compact"/>
              <w:jc w:val="left"/>
            </w:pPr>
            <w:r>
              <w:t xml:space="preserve">No difference: pain fell equally in both groups</w:t>
            </w:r>
          </w:p>
        </w:tc>
      </w:tr>
    </w:tbl>
    <w:p>
      <w:pPr>
        <w:pStyle w:val="BodyText"/>
      </w:pPr>
      <w:r>
        <w:t xml:space="preserve">The Bongers study is remarkable because it is one of the larger ones and reports a clearly negative result: knee pain and knee function improved – but under placebo just as much as under collagen. This illustrates how large the placebo effect is in joint pain.</w:t>
      </w:r>
    </w:p>
    <w:p>
      <w:pPr>
        <w:pStyle w:val="BodyText"/>
      </w:pPr>
      <w:r>
        <w:t xml:space="preserve">The meta-analyses nevertheless mostly reach a favorable result:</w:t>
      </w:r>
    </w:p>
    <w:p>
      <w:pPr>
        <w:numPr>
          <w:ilvl w:val="0"/>
          <w:numId w:val="1293"/>
        </w:numPr>
        <w:pStyle w:val="Compact"/>
      </w:pPr>
      <w:r>
        <w:t xml:space="preserve">A meta-analysis of randomized, placebo-controlled studies found a significant reduction in the total WOMAC score (an osteoarthritis questionnaire) and in the pain score on the visual analog scale; however, the WOMAC subscales for pain and functional limitation did not differ significantly</w:t>
      </w:r>
      <w:r>
        <w:rPr>
          <w:rStyle w:val="FootnoteReference"/>
        </w:rPr>
        <w:footnoteReference w:id="2334"/>
      </w:r>
      <w:r>
        <w:t xml:space="preserve">.</w:t>
      </w:r>
    </w:p>
    <w:p>
      <w:pPr>
        <w:numPr>
          <w:ilvl w:val="0"/>
          <w:numId w:val="1293"/>
        </w:numPr>
        <w:pStyle w:val="Compact"/>
      </w:pPr>
      <w:r>
        <w:t xml:space="preserve">The most comprehensive analysis to date included 35 studies with 3,165 patients with osteoarthritis. Collagen derivatives – hydrolyzed and undenatured collagen are pooled here – had small to moderate effects on pain (standardized mean difference −0.35) and function (−0.31). Side effects and study discontinuations were not more frequent than under control</w:t>
      </w:r>
      <w:r>
        <w:rPr>
          <w:rStyle w:val="FootnoteReference"/>
        </w:rPr>
        <w:footnoteReference w:id="2335"/>
      </w:r>
      <w:r>
        <w:t xml:space="preserve">.</w:t>
      </w:r>
    </w:p>
    <w:p>
      <w:pPr>
        <w:numPr>
          <w:ilvl w:val="0"/>
          <w:numId w:val="1293"/>
        </w:numPr>
        <w:pStyle w:val="Compact"/>
      </w:pPr>
      <w:r>
        <w:t xml:space="preserve">An analysis of only four studies with 507 patients with knee osteoarthritis also found pain relief, but rated all four studies as having a high risk of bias</w:t>
      </w:r>
      <w:r>
        <w:rPr>
          <w:rStyle w:val="FootnoteReference"/>
        </w:rPr>
        <w:footnoteReference w:id="2336"/>
      </w:r>
      <w:r>
        <w:t xml:space="preserve">.</w:t>
      </w:r>
    </w:p>
    <w:p>
      <w:pPr>
        <w:numPr>
          <w:ilvl w:val="0"/>
          <w:numId w:val="1293"/>
        </w:numPr>
        <w:pStyle w:val="Compact"/>
      </w:pPr>
      <w:r>
        <w:t xml:space="preserve">An updated meta-analysis with 11 studies and 870 participants reported improvements in function and pain, but with very high heterogeneity (I² 75% and 88%)</w:t>
      </w:r>
      <w:r>
        <w:rPr>
          <w:rStyle w:val="FootnoteReference"/>
        </w:rPr>
        <w:footnoteReference w:id="2337"/>
      </w:r>
      <w:r>
        <w:t xml:space="preserve">.</w:t>
      </w:r>
    </w:p>
    <w:p>
      <w:pPr>
        <w:pStyle w:val="FirstParagraph"/>
      </w:pPr>
      <w:r>
        <w:t xml:space="preserve">For context: a standardized mean difference of about 0.3 is considered a small effect. It is of a similar magnitude to that of some other food supplements for osteoarthritis and considerably smaller than the effect one would hope for from a pain medication. A large review of food supplements in osteoarthritis found large short-term effects on pain for collagen hydrolysate, but concluded overall that the quality of the evidence is very low and that no supplement showed clinically meaningful long-term effects</w:t>
      </w:r>
      <w:r>
        <w:rPr>
          <w:rStyle w:val="FootnoteReference"/>
        </w:rPr>
        <w:footnoteReference w:id="2338"/>
      </w:r>
      <w:r>
        <w:t xml:space="preserve">.</w:t>
      </w:r>
    </w:p>
    <w:bookmarkEnd w:id="2339"/>
    <w:bookmarkStart w:id="2342" w:name="X3d482f882150735c3688a660db9e7e239788fa7"/>
    <w:p>
      <w:pPr>
        <w:pStyle w:val="Heading4"/>
      </w:pPr>
      <w:r>
        <w:t xml:space="preserve">Distinction: Undenatured Type II Collagen (UC-II)</w:t>
      </w:r>
    </w:p>
    <w:p>
      <w:pPr>
        <w:pStyle w:val="FirstParagraph"/>
      </w:pPr>
      <w:r>
        <w:t xml:space="preserve">Undenatured type II collagen is gently extracted from chicken breast cartilage so that the original structure of the collagen is partly preserved. It is taken in very small amounts – 40 milligrams per day in the studies, i.e. about one hundredth to one two-hundred-fiftieth of the gram amounts of collagen hydrolysate. It is not intended to act as a building material but via so-called oral tolerance: the immune system in the gut is supposed to learn not to treat cartilage collagen as a target for attack. This idea comes from animal models of joint inflammation.</w:t>
      </w:r>
    </w:p>
    <w:p>
      <w:pPr>
        <w:pStyle w:val="BodyText"/>
      </w:pPr>
      <w:r>
        <w:t xml:space="preserve">Historically, the principle was first tested in rheumatoid arthritis. A small study with 60 patients reported a decrease in swollen and tender joints in 1993</w:t>
      </w:r>
      <w:r>
        <w:rPr>
          <w:rStyle w:val="FootnoteReference"/>
        </w:rPr>
        <w:footnoteReference w:id="2340"/>
      </w:r>
      <w:r>
        <w:t xml:space="preserve">. A larger study with 274 participants and four doses subsequently found a significant advantage only at the lowest dose and only according to one of three assessment criteria</w:t>
      </w:r>
      <w:r>
        <w:rPr>
          <w:rStyle w:val="FootnoteReference"/>
        </w:rPr>
        <w:footnoteReference w:id="2341"/>
      </w:r>
      <w:r>
        <w:t xml:space="preserve">. The approach has not become established as a rheumatoid arthritis therapy.</w:t>
      </w:r>
    </w:p>
    <w:p>
      <w:pPr>
        <w:pStyle w:val="BodyText"/>
      </w:pPr>
      <w:r>
        <w:t xml:space="preserve">For osteoarthritis and joint complaints, the available studies are mainly close to the manufacturer: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Lugo 2016, PMID 26822714</w:t>
            </w:r>
          </w:p>
        </w:tc>
        <w:tc>
          <w:tcPr/>
          <w:p>
            <w:pPr>
              <w:pStyle w:val="Compact"/>
              <w:jc w:val="left"/>
            </w:pPr>
            <w:r>
              <w:t xml:space="preserve">191 people with knee osteoarthritis, UC-II vs. glucosamine/chondroitin vs. placebo</w:t>
            </w:r>
          </w:p>
        </w:tc>
        <w:tc>
          <w:tcPr/>
          <w:p>
            <w:pPr>
              <w:pStyle w:val="Compact"/>
              <w:jc w:val="left"/>
            </w:pPr>
            <w:r>
              <w:t xml:space="preserve">180 days</w:t>
            </w:r>
          </w:p>
        </w:tc>
        <w:tc>
          <w:tcPr/>
          <w:p>
            <w:pPr>
              <w:pStyle w:val="Compact"/>
              <w:jc w:val="left"/>
            </w:pPr>
            <w:r>
              <w:t xml:space="preserve">Total WOMAC score better than placebo (p = 0.002) and than glucosamine/chondroitin (p = 0.04)</w:t>
            </w:r>
          </w:p>
        </w:tc>
      </w:tr>
      <w:tr>
        <w:tc>
          <w:tcPr/>
          <w:p>
            <w:pPr>
              <w:pStyle w:val="Compact"/>
              <w:jc w:val="left"/>
            </w:pPr>
            <w:r>
              <w:t xml:space="preserve">Lugo 2013, PMID 24153020</w:t>
            </w:r>
          </w:p>
        </w:tc>
        <w:tc>
          <w:tcPr/>
          <w:p>
            <w:pPr>
              <w:pStyle w:val="Compact"/>
              <w:jc w:val="left"/>
            </w:pPr>
            <w:r>
              <w:t xml:space="preserve">55 healthy people with activity-related knee pain, UC-II vs. placebo</w:t>
            </w:r>
          </w:p>
        </w:tc>
        <w:tc>
          <w:tcPr/>
          <w:p>
            <w:pPr>
              <w:pStyle w:val="Compact"/>
              <w:jc w:val="left"/>
            </w:pPr>
            <w:r>
              <w:t xml:space="preserve">120 days</w:t>
            </w:r>
          </w:p>
        </w:tc>
        <w:tc>
          <w:tcPr/>
          <w:p>
            <w:pPr>
              <w:pStyle w:val="Compact"/>
              <w:jc w:val="left"/>
            </w:pPr>
            <w:r>
              <w:t xml:space="preserve">Knee extension 81.0° vs. 74.0°; longer pain-free exertion</w:t>
            </w:r>
          </w:p>
        </w:tc>
      </w:tr>
      <w:tr>
        <w:tc>
          <w:tcPr/>
          <w:p>
            <w:pPr>
              <w:pStyle w:val="Compact"/>
              <w:jc w:val="left"/>
            </w:pPr>
            <w:r>
              <w:t xml:space="preserve">Yuenyongviwat 2025, PMID 40897777</w:t>
            </w:r>
          </w:p>
        </w:tc>
        <w:tc>
          <w:tcPr/>
          <w:p>
            <w:pPr>
              <w:pStyle w:val="Compact"/>
              <w:jc w:val="left"/>
            </w:pPr>
            <w:r>
              <w:t xml:space="preserve">68 people with knee osteoarthritis, UC-II plus collagen hydrolysate vs. placebo</w:t>
            </w:r>
          </w:p>
        </w:tc>
        <w:tc>
          <w:tcPr/>
          <w:p>
            <w:pPr>
              <w:pStyle w:val="Compact"/>
              <w:jc w:val="left"/>
            </w:pPr>
            <w:r>
              <w:t xml:space="preserve">12 weeks</w:t>
            </w:r>
          </w:p>
        </w:tc>
        <w:tc>
          <w:tcPr/>
          <w:p>
            <w:pPr>
              <w:pStyle w:val="Compact"/>
              <w:jc w:val="left"/>
            </w:pPr>
            <w:r>
              <w:t xml:space="preserve">No difference in pain, function, rescue medication</w:t>
            </w:r>
          </w:p>
        </w:tc>
      </w:tr>
    </w:tbl>
    <w:p>
      <w:pPr>
        <w:pStyle w:val="BodyText"/>
      </w:pPr>
      <w:r>
        <w:t xml:space="preserve">The most recent study comes from an independent research group that explicitly points out that most previous collagen studies were funded by industry. Like Bongers 2020, it found improvements in both groups, but no advantage over placebo (Yuenyongviwat 2025, PMID 40897777, registered as NCT06229951).</w:t>
      </w:r>
    </w:p>
    <w:p>
      <w:pPr>
        <w:pStyle w:val="BodyText"/>
      </w:pPr>
      <w:r>
        <w:t xml:space="preserve">Important for consumers: UC-II and collagen hydrolysate are not interchangeable. If you read studies on one product, you cannot infer anything about the other.</w:t>
      </w:r>
    </w:p>
    <w:bookmarkEnd w:id="2342"/>
    <w:bookmarkStart w:id="2343" w:name="bone"/>
    <w:p>
      <w:pPr>
        <w:pStyle w:val="Heading4"/>
      </w:pPr>
      <w:r>
        <w:t xml:space="preserve">Bone</w:t>
      </w:r>
    </w:p>
    <w:p>
      <w:pPr>
        <w:pStyle w:val="FirstParagraph"/>
      </w:pPr>
      <w:r>
        <w:t xml:space="preserve">For bone, the data are thin but interesting: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König 2018, PMID 29337906</w:t>
            </w:r>
          </w:p>
        </w:tc>
        <w:tc>
          <w:tcPr/>
          <w:p>
            <w:pPr>
              <w:pStyle w:val="Compact"/>
              <w:jc w:val="left"/>
            </w:pPr>
            <w:r>
              <w:t xml:space="preserve">131 postmenopausal women with reduced bone density, 5 g vs. placebo</w:t>
            </w:r>
          </w:p>
        </w:tc>
        <w:tc>
          <w:tcPr/>
          <w:p>
            <w:pPr>
              <w:pStyle w:val="Compact"/>
              <w:jc w:val="left"/>
            </w:pPr>
            <w:r>
              <w:t xml:space="preserve">12 months</w:t>
            </w:r>
          </w:p>
        </w:tc>
        <w:tc>
          <w:tcPr/>
          <w:p>
            <w:pPr>
              <w:pStyle w:val="Compact"/>
              <w:jc w:val="left"/>
            </w:pPr>
            <w:r>
              <w:t xml:space="preserve">T-score spine +0.1 vs. −0.03; femoral neck +0.09 vs. −0.01</w:t>
            </w:r>
          </w:p>
        </w:tc>
      </w:tr>
      <w:tr>
        <w:tc>
          <w:tcPr/>
          <w:p>
            <w:pPr>
              <w:pStyle w:val="Compact"/>
              <w:jc w:val="left"/>
            </w:pPr>
            <w:r>
              <w:t xml:space="preserve">Elam 2015, PMID 25314004</w:t>
            </w:r>
          </w:p>
        </w:tc>
        <w:tc>
          <w:tcPr/>
          <w:p>
            <w:pPr>
              <w:pStyle w:val="Compact"/>
              <w:jc w:val="left"/>
            </w:pPr>
            <w:r>
              <w:t xml:space="preserve">39 women with osteopenia, calcium-collagen chelate plus vitamin D vs. calcium plus vitamin D</w:t>
            </w:r>
          </w:p>
        </w:tc>
        <w:tc>
          <w:tcPr/>
          <w:p>
            <w:pPr>
              <w:pStyle w:val="Compact"/>
              <w:jc w:val="left"/>
            </w:pPr>
            <w:r>
              <w:t xml:space="preserve">12 months</w:t>
            </w:r>
          </w:p>
        </w:tc>
        <w:tc>
          <w:tcPr/>
          <w:p>
            <w:pPr>
              <w:pStyle w:val="Compact"/>
              <w:jc w:val="left"/>
            </w:pPr>
            <w:r>
              <w:t xml:space="preserve">Loss of whole-body bone density −1.33% vs. −3.75% (completers)</w:t>
            </w:r>
          </w:p>
        </w:tc>
      </w:tr>
      <w:tr>
        <w:tc>
          <w:tcPr/>
          <w:p>
            <w:pPr>
              <w:pStyle w:val="Compact"/>
              <w:jc w:val="left"/>
            </w:pPr>
            <w:r>
              <w:t xml:space="preserve">Lampropoulou-Adamidou 2022, PMID 34980546</w:t>
            </w:r>
          </w:p>
        </w:tc>
        <w:tc>
          <w:tcPr/>
          <w:p>
            <w:pPr>
              <w:pStyle w:val="Compact"/>
              <w:jc w:val="left"/>
            </w:pPr>
            <w:r>
              <w:t xml:space="preserve">51 women with osteopenia, 5 g peptides plus calcium/vitamin D vs. calcium/vitamin D</w:t>
            </w:r>
          </w:p>
        </w:tc>
        <w:tc>
          <w:tcPr/>
          <w:p>
            <w:pPr>
              <w:pStyle w:val="Compact"/>
              <w:jc w:val="left"/>
            </w:pPr>
            <w:r>
              <w:t xml:space="preserve">12 months</w:t>
            </w:r>
          </w:p>
        </w:tc>
        <w:tc>
          <w:tcPr/>
          <w:p>
            <w:pPr>
              <w:pStyle w:val="Compact"/>
              <w:jc w:val="left"/>
            </w:pPr>
            <w:r>
              <w:t xml:space="preserve">Higher bone density at the tibia and lumbar spine with collagen</w:t>
            </w:r>
          </w:p>
        </w:tc>
      </w:tr>
    </w:tbl>
    <w:p>
      <w:pPr>
        <w:pStyle w:val="BodyText"/>
      </w:pPr>
      <w:r>
        <w:t xml:space="preserve">The differences are small, the studies short, and no study has examined bone fractures – the endpoint that actually matters. Collagen peptides are no substitute for osteoporosis therapy with proven fracture reduction.</w:t>
      </w:r>
    </w:p>
    <w:bookmarkEnd w:id="2343"/>
    <w:bookmarkStart w:id="2350" w:name="muscles-and-tendons"/>
    <w:p>
      <w:pPr>
        <w:pStyle w:val="Heading4"/>
      </w:pPr>
      <w:r>
        <w:t xml:space="preserve">Muscles and Tendons</w:t>
      </w:r>
    </w:p>
    <w:p>
      <w:pPr>
        <w:pStyle w:val="FirstParagraph"/>
      </w:pPr>
      <w:r>
        <w:t xml:space="preserve">In sport, collagen peptides are promoted for two different goals: muscle building and strengthening tendons and ligaments.</w:t>
      </w:r>
    </w:p>
    <w:p>
      <w:pPr>
        <w:pStyle w:val="BodyText"/>
      </w:pPr>
      <w:r>
        <w:rPr>
          <w:bCs/>
          <w:b/>
        </w:rPr>
        <w:t xml:space="preserve">Muscle building.</w:t>
      </w:r>
      <w:r>
        <w:t xml:space="preserve"> </w:t>
      </w:r>
      <w:r>
        <w:t xml:space="preserve">The most frequently cited study examined 53 older men with sarcopenia (age-related muscle loss) who did twelve weeks of strength training and received 15 g of collagen peptides or placebo (silicon dioxide). Fat-free mass increased by 4.2 kg under collagen and by 2.9 kg under placebo</w:t>
      </w:r>
      <w:r>
        <w:rPr>
          <w:rStyle w:val="FootnoteReference"/>
        </w:rPr>
        <w:footnoteReference w:id="2344"/>
      </w:r>
      <w:r>
        <w:t xml:space="preserve">. The problem: the placebo group received no protein at all. The advantage could therefore simply be due to the additional protein intake.</w:t>
      </w:r>
    </w:p>
    <w:p>
      <w:pPr>
        <w:pStyle w:val="BodyText"/>
      </w:pPr>
      <w:r>
        <w:t xml:space="preserve">Comparisons with high-quality protein answer precisely this question. In 22 older women, whey protein increased muscle protein synthesis both in the short term and over six days, whereas collagen peptides did not</w:t>
      </w:r>
      <w:r>
        <w:rPr>
          <w:rStyle w:val="FootnoteReference"/>
        </w:rPr>
        <w:footnoteReference w:id="2345"/>
      </w:r>
      <w:r>
        <w:t xml:space="preserve">. In young adults, muscle thickness increased more after ten weeks of strength training with whey protein than with collagen, even when the collagen was enriched with leucine to the same content</w:t>
      </w:r>
      <w:r>
        <w:rPr>
          <w:rStyle w:val="FootnoteReference"/>
        </w:rPr>
        <w:footnoteReference w:id="2346"/>
      </w:r>
      <w:r>
        <w:t xml:space="preserve">. A study with 25 young men found no higher synthesis of muscle or connective tissue protein with 2 × 15 g of collagen per day than with placebo</w:t>
      </w:r>
      <w:r>
        <w:rPr>
          <w:rStyle w:val="FootnoteReference"/>
        </w:rPr>
        <w:footnoteReference w:id="2347"/>
      </w:r>
      <w:r>
        <w:t xml:space="preserve">.</w:t>
      </w:r>
    </w:p>
    <w:p>
      <w:pPr>
        <w:pStyle w:val="BodyText"/>
      </w:pPr>
      <w:r>
        <w:rPr>
          <w:bCs/>
          <w:b/>
        </w:rPr>
        <w:t xml:space="preserve">Tendons.</w:t>
      </w:r>
      <w:r>
        <w:t xml:space="preserve"> </w:t>
      </w:r>
      <w:r>
        <w:t xml:space="preserve">Here the results are contradictory: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Jerger 2023, PMID 37424319</w:t>
            </w:r>
          </w:p>
        </w:tc>
        <w:tc>
          <w:tcPr/>
          <w:p>
            <w:pPr>
              <w:pStyle w:val="Compact"/>
              <w:jc w:val="left"/>
            </w:pPr>
            <w:r>
              <w:t xml:space="preserve">50 men, strength training plus 5 g vs. placebo</w:t>
            </w:r>
          </w:p>
        </w:tc>
        <w:tc>
          <w:tcPr/>
          <w:p>
            <w:pPr>
              <w:pStyle w:val="Compact"/>
              <w:jc w:val="left"/>
            </w:pPr>
            <w:r>
              <w:t xml:space="preserve">14 weeks</w:t>
            </w:r>
          </w:p>
        </w:tc>
        <w:tc>
          <w:tcPr/>
          <w:p>
            <w:pPr>
              <w:pStyle w:val="Compact"/>
              <w:jc w:val="left"/>
            </w:pPr>
            <w:r>
              <w:t xml:space="preserve">Cross-sectional area of the patellar tendon increased more; stiffness and strength without group difference</w:t>
            </w:r>
          </w:p>
        </w:tc>
      </w:tr>
      <w:tr>
        <w:tc>
          <w:tcPr/>
          <w:p>
            <w:pPr>
              <w:pStyle w:val="Compact"/>
              <w:jc w:val="left"/>
            </w:pPr>
            <w:r>
              <w:t xml:space="preserve">Balshaw 2023, PMID 37436929</w:t>
            </w:r>
          </w:p>
        </w:tc>
        <w:tc>
          <w:tcPr/>
          <w:p>
            <w:pPr>
              <w:pStyle w:val="Compact"/>
              <w:jc w:val="left"/>
            </w:pPr>
            <w:r>
              <w:t xml:space="preserve">39 young men, strength training plus 15 g vs. placebo</w:t>
            </w:r>
          </w:p>
        </w:tc>
        <w:tc>
          <w:tcPr/>
          <w:p>
            <w:pPr>
              <w:pStyle w:val="Compact"/>
              <w:jc w:val="left"/>
            </w:pPr>
            <w:r>
              <w:t xml:space="preserve">15 weeks</w:t>
            </w:r>
          </w:p>
        </w:tc>
        <w:tc>
          <w:tcPr/>
          <w:p>
            <w:pPr>
              <w:pStyle w:val="Compact"/>
              <w:jc w:val="left"/>
            </w:pPr>
            <w:r>
              <w:t xml:space="preserve">No differences in tendon size or mechanics</w:t>
            </w:r>
          </w:p>
        </w:tc>
      </w:tr>
      <w:tr>
        <w:tc>
          <w:tcPr/>
          <w:p>
            <w:pPr>
              <w:pStyle w:val="Compact"/>
              <w:jc w:val="left"/>
            </w:pPr>
            <w:r>
              <w:t xml:space="preserve">Miyamoto 2025, PMID 40623147</w:t>
            </w:r>
          </w:p>
        </w:tc>
        <w:tc>
          <w:tcPr/>
          <w:p>
            <w:pPr>
              <w:pStyle w:val="Compact"/>
              <w:jc w:val="left"/>
            </w:pPr>
            <w:r>
              <w:t xml:space="preserve">50 untrained men, 10 g vs. placebo</w:t>
            </w:r>
          </w:p>
        </w:tc>
        <w:tc>
          <w:tcPr/>
          <w:p>
            <w:pPr>
              <w:pStyle w:val="Compact"/>
              <w:jc w:val="left"/>
            </w:pPr>
            <w:r>
              <w:t xml:space="preserve">16 weeks</w:t>
            </w:r>
          </w:p>
        </w:tc>
        <w:tc>
          <w:tcPr/>
          <w:p>
            <w:pPr>
              <w:pStyle w:val="Compact"/>
              <w:jc w:val="left"/>
            </w:pPr>
            <w:r>
              <w:t xml:space="preserve">Stiffness of calf muscle and Achilles tendon increased; cross-sectional area unchanged</w:t>
            </w:r>
          </w:p>
        </w:tc>
      </w:tr>
      <w:tr>
        <w:tc>
          <w:tcPr/>
          <w:p>
            <w:pPr>
              <w:pStyle w:val="Compact"/>
              <w:jc w:val="left"/>
            </w:pPr>
            <w:r>
              <w:t xml:space="preserve">Praet 2019, PMID 30609761</w:t>
            </w:r>
          </w:p>
        </w:tc>
        <w:tc>
          <w:tcPr/>
          <w:p>
            <w:pPr>
              <w:pStyle w:val="Compact"/>
              <w:jc w:val="left"/>
            </w:pPr>
            <w:r>
              <w:t xml:space="preserve">20 people with Achilles tendon complaints, crossover with training</w:t>
            </w:r>
          </w:p>
        </w:tc>
        <w:tc>
          <w:tcPr/>
          <w:p>
            <w:pPr>
              <w:pStyle w:val="Compact"/>
              <w:jc w:val="left"/>
            </w:pPr>
            <w:r>
              <w:t xml:space="preserve">6 months</w:t>
            </w:r>
          </w:p>
        </w:tc>
        <w:tc>
          <w:tcPr/>
          <w:p>
            <w:pPr>
              <w:pStyle w:val="Compact"/>
              <w:jc w:val="left"/>
            </w:pPr>
            <w:r>
              <w:t xml:space="preserve">Faster improvement on the symptom questionnaire in the collagen phase (pilot study)</w:t>
            </w:r>
          </w:p>
        </w:tc>
      </w:tr>
      <w:tr>
        <w:tc>
          <w:tcPr/>
          <w:p>
            <w:pPr>
              <w:pStyle w:val="Compact"/>
              <w:jc w:val="left"/>
            </w:pPr>
            <w:r>
              <w:t xml:space="preserve">Dressler 2018, PMID 29769831</w:t>
            </w:r>
          </w:p>
        </w:tc>
        <w:tc>
          <w:tcPr/>
          <w:p>
            <w:pPr>
              <w:pStyle w:val="Compact"/>
              <w:jc w:val="left"/>
            </w:pPr>
            <w:r>
              <w:t xml:space="preserve">50 athletes with chronic ankle instability, 5 g vs. placebo</w:t>
            </w:r>
          </w:p>
        </w:tc>
        <w:tc>
          <w:tcPr/>
          <w:p>
            <w:pPr>
              <w:pStyle w:val="Compact"/>
              <w:jc w:val="left"/>
            </w:pPr>
            <w:r>
              <w:t xml:space="preserve">6 months</w:t>
            </w:r>
          </w:p>
        </w:tc>
        <w:tc>
          <w:tcPr/>
          <w:p>
            <w:pPr>
              <w:pStyle w:val="Compact"/>
              <w:jc w:val="left"/>
            </w:pPr>
            <w:r>
              <w:t xml:space="preserve">Subjective stability better; mechanical stability unchanged</w:t>
            </w:r>
          </w:p>
        </w:tc>
      </w:tr>
    </w:tbl>
    <w:p>
      <w:pPr>
        <w:pStyle w:val="BodyText"/>
      </w:pPr>
      <w:r>
        <w:t xml:space="preserve">A meta-analysis of 19 studies with 768 healthy adults found small advantages in fat-free mass, tendon morphology, muscle architecture and maximal strength with long-term collagen intake combined with training. The certainty of the evidence was rated as moderate for body composition, very low for tendon morphology and low for the other outcomes</w:t>
      </w:r>
      <w:r>
        <w:rPr>
          <w:rStyle w:val="FootnoteReference"/>
        </w:rPr>
        <w:footnoteReference w:id="2348"/>
      </w:r>
      <w:r>
        <w:t xml:space="preserve">. An earlier systematic review concluded that collagen is not equivalent to higher-quality protein sources for muscle protein synthesis</w:t>
      </w:r>
      <w:r>
        <w:rPr>
          <w:rStyle w:val="FootnoteReference"/>
        </w:rPr>
        <w:footnoteReference w:id="2349"/>
      </w:r>
      <w:r>
        <w:t xml:space="preserve">.</w:t>
      </w:r>
    </w:p>
    <w:p>
      <w:pPr>
        <w:pStyle w:val="BodyText"/>
      </w:pPr>
      <w:r>
        <w:rPr>
          <w:bCs/>
          <w:b/>
        </w:rPr>
        <w:t xml:space="preserve">Interim conclusion on sport:</w:t>
      </w:r>
      <w:r>
        <w:t xml:space="preserve"> </w:t>
      </w:r>
      <w:r>
        <w:t xml:space="preserve">For muscle building, there are better and cheaper protein sources. For tendons and ligaments, a benefit is biologically plausible and suggested in some studies, but has not been robustly demonstrated.</w:t>
      </w:r>
    </w:p>
    <w:bookmarkEnd w:id="2350"/>
    <w:bookmarkStart w:id="2352" w:name="other-areas-of-use"/>
    <w:p>
      <w:pPr>
        <w:pStyle w:val="Heading4"/>
      </w:pPr>
      <w:r>
        <w:t xml:space="preserve">Other Areas of Use</w:t>
      </w:r>
    </w:p>
    <w:p>
      <w:pPr>
        <w:pStyle w:val="FirstParagraph"/>
      </w:pPr>
      <w:r>
        <w:t xml:space="preserve">In smaller studies, collagen peptides have been studied for blood pressure and vascular function, sleep, appetite, gum inflammation and digestive complaints, among other things. A meta-analysis of 12 placebo-controlled studies reported a reduction in systolic blood pressure of 5.04 mmHg and in LDL cholesterol of 4.09 mg/dl, but with extremely high heterogeneity among the individual studies (I² 98.9% and 93.4%)</w:t>
      </w:r>
      <w:r>
        <w:rPr>
          <w:rStyle w:val="FootnoteReference"/>
        </w:rPr>
        <w:footnoteReference w:id="2351"/>
      </w:r>
      <w:r>
        <w:t xml:space="preserve">. These areas have been studied too little to allow robust statements.</w:t>
      </w:r>
    </w:p>
    <w:bookmarkEnd w:id="2352"/>
    <w:bookmarkEnd w:id="2353"/>
    <w:bookmarkStart w:id="2357" w:name="animal-and-laboratory-studies-52"/>
    <w:p>
      <w:pPr>
        <w:pStyle w:val="Heading3"/>
      </w:pPr>
      <w:r>
        <w:t xml:space="preserve">Animal and laboratory studies</w:t>
      </w:r>
    </w:p>
    <w:p>
      <w:pPr>
        <w:pStyle w:val="FirstParagraph"/>
      </w:pPr>
      <w:r>
        <w:t xml:space="preserve">In cell cultures, collagen peptides and in particular prolyl-hydroxyproline stimulate skin fibroblasts to grow; in mice and rats, they improved the skin barrier, bone density and cartilage metabolism in experiments. In human skin samples in the laboratory (ex vivo), collagen peptides promoted the formation of collagen and glycosaminoglycans</w:t>
      </w:r>
      <w:r>
        <w:rPr>
          <w:rStyle w:val="FootnoteReference"/>
        </w:rPr>
        <w:footnoteReference w:id="2354"/>
      </w:r>
      <w:r>
        <w:t xml:space="preserve">. A systematic review of eleven mostly experimental studies concluded that collagen hydrolysates at concentrations of 50 to 500 micrograms per milliliter stimulate fibroblasts without being toxic</w:t>
      </w:r>
      <w:r>
        <w:rPr>
          <w:rStyle w:val="FootnoteReference"/>
        </w:rPr>
        <w:footnoteReference w:id="2355"/>
      </w:r>
      <w:r>
        <w:t xml:space="preserve">. In rodent experiments with a high-calorie diet, a meta-analysis described effects on weight and fat mass</w:t>
      </w:r>
      <w:r>
        <w:rPr>
          <w:rStyle w:val="FootnoteReference"/>
        </w:rPr>
        <w:footnoteReference w:id="2356"/>
      </w:r>
      <w:r>
        <w:t xml:space="preserve"> </w:t>
      </w:r>
      <w:r>
        <w:t xml:space="preserve">– a finding that has not been demonstrated in humans.</w:t>
      </w:r>
    </w:p>
    <w:p>
      <w:pPr>
        <w:pStyle w:val="BodyText"/>
      </w:pPr>
      <w:r>
        <w:t xml:space="preserve">These results make the hypotheses plausible. But they do not prove that the peptide concentrations reached in humans after drinking are sufficient at the target tissue.</w:t>
      </w:r>
    </w:p>
    <w:bookmarkEnd w:id="2357"/>
    <w:bookmarkStart w:id="2360" w:name="risks-and-side-effects-52"/>
    <w:p>
      <w:pPr>
        <w:pStyle w:val="Heading3"/>
      </w:pPr>
      <w:r>
        <w:t xml:space="preserve">Risks and side effects</w:t>
      </w:r>
    </w:p>
    <w:p>
      <w:pPr>
        <w:pStyle w:val="FirstParagraph"/>
      </w:pPr>
      <w:r>
        <w:rPr>
          <w:bCs/>
          <w:b/>
        </w:rPr>
        <w:t xml:space="preserve">Established:</w:t>
      </w:r>
      <w:r>
        <w:t xml:space="preserve"> </w:t>
      </w:r>
      <w:r>
        <w:t xml:space="preserve">In the randomized studies, side effects did not occur more frequently than under placebo. The large osteoarthritis meta-analysis found no increased risk of adverse events or study discontinuations</w:t>
      </w:r>
      <w:r>
        <w:rPr>
          <w:rStyle w:val="FootnoteReference"/>
        </w:rPr>
        <w:footnoteReference w:id="2358"/>
      </w:r>
      <w:r>
        <w:t xml:space="preserve">. Occasionally, a feeling of fullness, bloating or an unpleasant taste is reported.</w:t>
      </w:r>
    </w:p>
    <w:p>
      <w:pPr>
        <w:pStyle w:val="BodyText"/>
      </w:pPr>
      <w:r>
        <w:rPr>
          <w:bCs/>
          <w:b/>
        </w:rPr>
        <w:t xml:space="preserve">Worth noting:</w:t>
      </w:r>
    </w:p>
    <w:p>
      <w:pPr>
        <w:numPr>
          <w:ilvl w:val="0"/>
          <w:numId w:val="1294"/>
        </w:numPr>
        <w:pStyle w:val="Compact"/>
      </w:pPr>
      <w:r>
        <w:rPr>
          <w:bCs/>
          <w:b/>
        </w:rPr>
        <w:t xml:space="preserve">Allergies and intolerances:</w:t>
      </w:r>
      <w:r>
        <w:t xml:space="preserve"> </w:t>
      </w:r>
      <w:r>
        <w:t xml:space="preserve">Collagen from fish can be problematic in people with fish allergy; products from cattle or pigs are relevant for people who avoid these animals for religious or ethical reasons. The origin is stated in the ingredients list.</w:t>
      </w:r>
    </w:p>
    <w:p>
      <w:pPr>
        <w:numPr>
          <w:ilvl w:val="0"/>
          <w:numId w:val="1294"/>
        </w:numPr>
        <w:pStyle w:val="Compact"/>
      </w:pPr>
      <w:r>
        <w:rPr>
          <w:bCs/>
          <w:b/>
        </w:rPr>
        <w:t xml:space="preserve">Oxalate and kidney stones:</w:t>
      </w:r>
      <w:r>
        <w:t xml:space="preserve"> </w:t>
      </w:r>
      <w:r>
        <w:t xml:space="preserve">Hydroxyproline is partly broken down to oxalate in the body. In one study, urinary oxalate excretion rose by 43% after 30 g of gelatin per day compared with whey protein; even 5 to 10 g of gelatin led to measurable changes</w:t>
      </w:r>
      <w:r>
        <w:rPr>
          <w:rStyle w:val="FootnoteReference"/>
        </w:rPr>
        <w:footnoteReference w:id="2359"/>
      </w:r>
      <w:r>
        <w:t xml:space="preserve">. The significance for healthy people is unclear. People with calcium oxalate kidney stones or congenital hyperoxaluria should discuss intake with a doctor (a theoretical but biologically grounded risk).</w:t>
      </w:r>
    </w:p>
    <w:p>
      <w:pPr>
        <w:numPr>
          <w:ilvl w:val="0"/>
          <w:numId w:val="1294"/>
        </w:numPr>
        <w:pStyle w:val="Compact"/>
      </w:pPr>
      <w:r>
        <w:rPr>
          <w:bCs/>
          <w:b/>
        </w:rPr>
        <w:t xml:space="preserve">Amount of protein:</w:t>
      </w:r>
      <w:r>
        <w:t xml:space="preserve"> </w:t>
      </w:r>
      <w:r>
        <w:t xml:space="preserve">In kidney diseases with protein restriction, collagen also counts toward daily protein intake.</w:t>
      </w:r>
    </w:p>
    <w:p>
      <w:pPr>
        <w:numPr>
          <w:ilvl w:val="0"/>
          <w:numId w:val="1294"/>
        </w:numPr>
        <w:pStyle w:val="Compact"/>
      </w:pPr>
      <w:r>
        <w:rPr>
          <w:bCs/>
          <w:b/>
        </w:rPr>
        <w:t xml:space="preserve">Product quality:</w:t>
      </w:r>
      <w:r>
        <w:t xml:space="preserve"> </w:t>
      </w:r>
      <w:r>
        <w:t xml:space="preserve">Food supplements are not tested for efficacy before sale. The manufacturer is responsible for purity and freedom from contaminants; food control authorities only carry out spot checks.</w:t>
      </w:r>
    </w:p>
    <w:p>
      <w:pPr>
        <w:numPr>
          <w:ilvl w:val="0"/>
          <w:numId w:val="1294"/>
        </w:numPr>
        <w:pStyle w:val="Compact"/>
      </w:pPr>
      <w:r>
        <w:rPr>
          <w:bCs/>
          <w:b/>
        </w:rPr>
        <w:t xml:space="preserve">False security:</w:t>
      </w:r>
      <w:r>
        <w:t xml:space="preserve"> </w:t>
      </w:r>
      <w:r>
        <w:t xml:space="preserve">The greatest practical risk is that collagen is used instead of effective measures – for example instead of UV protection against skin aging or instead of osteoporosis treatment.</w:t>
      </w:r>
    </w:p>
    <w:bookmarkEnd w:id="2360"/>
    <w:bookmarkStart w:id="2361" w:name="legal-status-52"/>
    <w:p>
      <w:pPr>
        <w:pStyle w:val="Heading3"/>
      </w:pPr>
      <w:r>
        <w:t xml:space="preserve">Legal status</w:t>
      </w:r>
    </w:p>
    <w:p>
      <w:pPr>
        <w:numPr>
          <w:ilvl w:val="0"/>
          <w:numId w:val="1295"/>
        </w:numPr>
        <w:pStyle w:val="Compact"/>
      </w:pPr>
      <w:r>
        <w:rPr>
          <w:bCs/>
          <w:b/>
        </w:rPr>
        <w:t xml:space="preserve">EU / Austria / Germany:</w:t>
      </w:r>
      <w:r>
        <w:t xml:space="preserve"> </w:t>
      </w:r>
      <w:r>
        <w:t xml:space="preserve">Collagen peptides are foods. In Germany, food supplements must be notified to the Federal Office of Consumer Protection and Food Safety (BVL) before they are first sold; in Austria, separate rules apply. Efficacy is not assessed in either country. Under the EU Health Claims Regulation (Regulation (EC) No 1924/2006), health claims are only permitted if they are authorized in the EU list.</w:t>
      </w:r>
      <w:r>
        <w:t xml:space="preserve"> </w:t>
      </w:r>
      <w:r>
        <w:rPr>
          <w:bCs/>
          <w:b/>
        </w:rPr>
        <w:t xml:space="preserve">There is no authorized health claim for collagen or collagen peptides.</w:t>
      </w:r>
      <w:r>
        <w:t xml:space="preserve"> </w:t>
      </w:r>
      <w:r>
        <w:t xml:space="preserve">The European Food Safety Authority (EFSA) has issued negative opinions on claims applied for, for example regarding joint health, because a cause-and-effect relationship had not been demonstrated. That is why many products contain vitamin C: for vitamin C, the claim that it contributes to normal collagen formation for the normal function of skin, cartilage, bones, gums, teeth and blood vessels is authorized. The advertising statement then legally refers to the vitamin, not to the collagen. Beauty claims (</w:t>
      </w:r>
      <w:r>
        <w:t xml:space="preserve">“</w:t>
      </w:r>
      <w:r>
        <w:t xml:space="preserve">for firmer skin</w:t>
      </w:r>
      <w:r>
        <w:t xml:space="preserve">”</w:t>
      </w:r>
      <w:r>
        <w:t xml:space="preserve">) fall into a gray area and are judged differently by the courts.</w:t>
      </w:r>
    </w:p>
    <w:p>
      <w:pPr>
        <w:numPr>
          <w:ilvl w:val="0"/>
          <w:numId w:val="1295"/>
        </w:numPr>
        <w:pStyle w:val="Compact"/>
      </w:pPr>
      <w:r>
        <w:rPr>
          <w:bCs/>
          <w:b/>
        </w:rPr>
        <w:t xml:space="preserve">USA:</w:t>
      </w:r>
      <w:r>
        <w:t xml:space="preserve"> </w:t>
      </w:r>
      <w:r>
        <w:t xml:space="preserve">Collagen peptides are sold as dietary supplements. Manufacturers may make so-called structure/function claims (</w:t>
      </w:r>
      <w:r>
        <w:t xml:space="preserve">“</w:t>
      </w:r>
      <w:r>
        <w:t xml:space="preserve">supports healthy skin</w:t>
      </w:r>
      <w:r>
        <w:t xml:space="preserve">”</w:t>
      </w:r>
      <w:r>
        <w:t xml:space="preserve">), but must carry a notice that the claim has not been evaluated by the FDA. Disease-related promises are not permitted.</w:t>
      </w:r>
    </w:p>
    <w:p>
      <w:pPr>
        <w:numPr>
          <w:ilvl w:val="0"/>
          <w:numId w:val="1295"/>
        </w:numPr>
        <w:pStyle w:val="Compact"/>
      </w:pPr>
      <w:r>
        <w:rPr>
          <w:bCs/>
          <w:b/>
        </w:rPr>
        <w:t xml:space="preserve">Sport:</w:t>
      </w:r>
      <w:r>
        <w:t xml:space="preserve"> </w:t>
      </w:r>
      <w:r>
        <w:t xml:space="preserve">Collagen peptides are not on the WADA Prohibited List. As with all food supplements, there is a residual risk of contamination; elite athletes should look for tested lists (e.g. the Cologne List) (as of 2026, please check for updates).</w:t>
      </w:r>
    </w:p>
    <w:bookmarkEnd w:id="2361"/>
    <w:bookmarkStart w:id="2369" w:name="ongoing-studies-and-outlook-52"/>
    <w:p>
      <w:pPr>
        <w:pStyle w:val="Heading3"/>
      </w:pPr>
      <w:r>
        <w:t xml:space="preserve">Ongoing studies and outlook</w:t>
      </w:r>
    </w:p>
    <w:p>
      <w:pPr>
        <w:pStyle w:val="FirstParagraph"/>
      </w:pPr>
      <w:r>
        <w:rPr>
          <w:bCs/>
          <w:b/>
        </w:rPr>
        <w:t xml:space="preserve">Established (registered studies, as of October 2026):</w:t>
      </w:r>
    </w:p>
    <w:p>
      <w:pPr>
        <w:numPr>
          <w:ilvl w:val="0"/>
          <w:numId w:val="1296"/>
        </w:numPr>
        <w:pStyle w:val="Compact"/>
      </w:pPr>
      <w:r>
        <w:rPr>
          <w:bCs/>
          <w:b/>
        </w:rPr>
        <w:t xml:space="preserve">Knee osteoarthritis:</w:t>
      </w:r>
      <w:r>
        <w:t xml:space="preserve"> </w:t>
      </w:r>
      <w:r>
        <w:t xml:space="preserve">A study by the Istituto Ortopedico Rizzoli compares a collagen hydrolysate formulation with placebo in 204 participants</w:t>
      </w:r>
      <w:r>
        <w:rPr>
          <w:rStyle w:val="FootnoteReference"/>
        </w:rPr>
        <w:footnoteReference w:id="2362"/>
      </w:r>
      <w:r>
        <w:t xml:space="preserve">. A smaller study compares different forms of collagen</w:t>
      </w:r>
      <w:r>
        <w:rPr>
          <w:rStyle w:val="FootnoteReference"/>
        </w:rPr>
        <w:footnoteReference w:id="2363"/>
      </w:r>
      <w:r>
        <w:t xml:space="preserve">.</w:t>
      </w:r>
    </w:p>
    <w:p>
      <w:pPr>
        <w:numPr>
          <w:ilvl w:val="0"/>
          <w:numId w:val="1296"/>
        </w:numPr>
        <w:pStyle w:val="Compact"/>
      </w:pPr>
      <w:r>
        <w:rPr>
          <w:bCs/>
          <w:b/>
        </w:rPr>
        <w:t xml:space="preserve">Knee replacement:</w:t>
      </w:r>
      <w:r>
        <w:t xml:space="preserve"> </w:t>
      </w:r>
      <w:r>
        <w:t xml:space="preserve">Collagen peptides after total knee arthroplasty, endpoints connective tissue remodeling and wound healing</w:t>
      </w:r>
      <w:r>
        <w:rPr>
          <w:rStyle w:val="FootnoteReference"/>
        </w:rPr>
        <w:footnoteReference w:id="2364"/>
      </w:r>
      <w:r>
        <w:t xml:space="preserve">.</w:t>
      </w:r>
    </w:p>
    <w:p>
      <w:pPr>
        <w:numPr>
          <w:ilvl w:val="0"/>
          <w:numId w:val="1296"/>
        </w:numPr>
        <w:pStyle w:val="Compact"/>
      </w:pPr>
      <w:r>
        <w:rPr>
          <w:bCs/>
          <w:b/>
        </w:rPr>
        <w:t xml:space="preserve">Skin:</w:t>
      </w:r>
      <w:r>
        <w:t xml:space="preserve"> </w:t>
      </w:r>
      <w:r>
        <w:t xml:space="preserve">A comparison of oral and topical collagen application alone and combined, with 165 women planned</w:t>
      </w:r>
      <w:r>
        <w:rPr>
          <w:rStyle w:val="FootnoteReference"/>
        </w:rPr>
        <w:footnoteReference w:id="2365"/>
      </w:r>
      <w:r>
        <w:t xml:space="preserve">.</w:t>
      </w:r>
    </w:p>
    <w:p>
      <w:pPr>
        <w:numPr>
          <w:ilvl w:val="0"/>
          <w:numId w:val="1296"/>
        </w:numPr>
        <w:pStyle w:val="Compact"/>
      </w:pPr>
      <w:r>
        <w:rPr>
          <w:bCs/>
          <w:b/>
        </w:rPr>
        <w:t xml:space="preserve">Aging:</w:t>
      </w:r>
      <w:r>
        <w:t xml:space="preserve"> </w:t>
      </w:r>
      <w:r>
        <w:t xml:space="preserve">A study by the University of Vienna is investigating collagen peptides and markers of cellular aging in a planned 125 participants</w:t>
      </w:r>
      <w:r>
        <w:rPr>
          <w:rStyle w:val="FootnoteReference"/>
        </w:rPr>
        <w:footnoteReference w:id="2366"/>
      </w:r>
      <w:r>
        <w:t xml:space="preserve">.</w:t>
      </w:r>
    </w:p>
    <w:p>
      <w:pPr>
        <w:numPr>
          <w:ilvl w:val="0"/>
          <w:numId w:val="1296"/>
        </w:numPr>
        <w:pStyle w:val="Compact"/>
      </w:pPr>
      <w:r>
        <w:rPr>
          <w:bCs/>
          <w:b/>
        </w:rPr>
        <w:t xml:space="preserve">Metabolism:</w:t>
      </w:r>
      <w:r>
        <w:t xml:space="preserve"> </w:t>
      </w:r>
      <w:r>
        <w:t xml:space="preserve">A study at King’s College London is investigating quality of life, appetite and blood sugar control</w:t>
      </w:r>
      <w:r>
        <w:rPr>
          <w:rStyle w:val="FootnoteReference"/>
        </w:rPr>
        <w:footnoteReference w:id="2367"/>
      </w:r>
      <w:r>
        <w:t xml:space="preserve">.</w:t>
      </w:r>
    </w:p>
    <w:p>
      <w:pPr>
        <w:pStyle w:val="FirstParagraph"/>
      </w:pPr>
      <w:r>
        <w:rPr>
          <w:bCs/>
          <w:b/>
        </w:rPr>
        <w:t xml:space="preserve">Assessment:</w:t>
      </w:r>
      <w:r>
        <w:t xml:space="preserve"> </w:t>
      </w:r>
      <w:r>
        <w:t xml:space="preserve">The decisive question for the coming years is not whether there will be further small positive studies – that is to be expected – but whether large, independently funded studies with preregistered endpoints confirm the effects. The meta-analysis by funding source</w:t>
      </w:r>
      <w:r>
        <w:rPr>
          <w:rStyle w:val="FootnoteReference"/>
        </w:rPr>
        <w:footnoteReference w:id="2368"/>
      </w:r>
      <w:r>
        <w:t xml:space="preserve"> </w:t>
      </w:r>
      <w:r>
        <w:t xml:space="preserve">has made the bar for this visible. For joint pain, a small effect is the most likely to be established; for skin and tendons, the situation remains open. Approval as a medicine is not to be expected, since the products are already freely available as foods and no manufacturer would have to bear the effort of an approval program.</w:t>
      </w:r>
    </w:p>
    <w:bookmarkEnd w:id="2369"/>
    <w:bookmarkStart w:id="2370" w:name="conclusion-52"/>
    <w:p>
      <w:pPr>
        <w:pStyle w:val="Heading3"/>
      </w:pPr>
      <w:r>
        <w:t xml:space="preserve">Conclusion</w:t>
      </w:r>
    </w:p>
    <w:p>
      <w:pPr>
        <w:pStyle w:val="FirstParagraph"/>
      </w:pPr>
      <w:r>
        <w:t xml:space="preserve">Collagen peptides are a well-tolerated food product with a large but methodologically weak study base. For joint pain in osteoarthritis, meta-analyses show small effects, but individual larger studies found no difference from placebo. For skin, the benefit measured in manufacturer studies disappears when only independently funded or methodologically high-quality studies are considered. For muscle building, collagen is inferior to other protein sources; undenatured type II collagen is a separate product with its own, likewise limited, data. In the EU, collagen may not be advertised with health claims – advertising messages usually refer to added vitamin C.</w:t>
      </w:r>
    </w:p>
    <w:bookmarkEnd w:id="2370"/>
    <w:bookmarkEnd w:id="2371"/>
    <w:bookmarkStart w:id="2402" w:name="lactotripeptides-vpp-and-ipp"/>
    <w:p>
      <w:pPr>
        <w:pStyle w:val="Heading2"/>
      </w:pPr>
      <w:r>
        <w:t xml:space="preserve">Lactotripeptides (VPP and IPP)</w:t>
      </w:r>
    </w:p>
    <w:bookmarkStart w:id="2372" w:name="profile-53"/>
    <w:p>
      <w:pPr>
        <w:pStyle w:val="Heading3"/>
      </w:pPr>
      <w:r>
        <w:t xml:space="preserve">Profile</w:t>
      </w:r>
    </w:p>
    <w:p>
      <w:pPr>
        <w:numPr>
          <w:ilvl w:val="0"/>
          <w:numId w:val="1297"/>
        </w:numPr>
        <w:pStyle w:val="Compact"/>
      </w:pPr>
      <w:r>
        <w:rPr>
          <w:bCs/>
          <w:b/>
        </w:rPr>
        <w:t xml:space="preserve">Type/structure:</w:t>
      </w:r>
      <w:r>
        <w:t xml:space="preserve"> </w:t>
      </w:r>
      <w:r>
        <w:t xml:space="preserve">two tripeptides of three amino acids each: valine-proline-proline (VPP) and isoleucine-proline-proline (IPP). The double proline at the end makes them comparatively resistant to digestive enzymes.</w:t>
      </w:r>
    </w:p>
    <w:p>
      <w:pPr>
        <w:numPr>
          <w:ilvl w:val="0"/>
          <w:numId w:val="1297"/>
        </w:numPr>
        <w:pStyle w:val="Compact"/>
      </w:pPr>
      <w:r>
        <w:rPr>
          <w:bCs/>
          <w:b/>
        </w:rPr>
        <w:t xml:space="preserve">Origin:</w:t>
      </w:r>
      <w:r>
        <w:t xml:space="preserve"> </w:t>
      </w:r>
      <w:r>
        <w:t xml:space="preserve">fragments of the milk protein casein. They are formed when milk is fermented with certain bacteria (above all</w:t>
      </w:r>
      <w:r>
        <w:t xml:space="preserve"> </w:t>
      </w:r>
      <w:r>
        <w:rPr>
          <w:iCs/>
          <w:i/>
        </w:rPr>
        <w:t xml:space="preserve">Lactobacillus helveticus</w:t>
      </w:r>
      <w:r>
        <w:t xml:space="preserve">), or by enzymatic cleavage of casein with enzymes from the mold</w:t>
      </w:r>
      <w:r>
        <w:t xml:space="preserve"> </w:t>
      </w:r>
      <w:r>
        <w:rPr>
          <w:iCs/>
          <w:i/>
        </w:rPr>
        <w:t xml:space="preserve">Aspergillus oryzae</w:t>
      </w:r>
      <w:r>
        <w:t xml:space="preserve">. Well-known products were a Japanese sour milk drink (Calpis) and a Finnish dairy product (Evolus from Valio).</w:t>
      </w:r>
    </w:p>
    <w:p>
      <w:pPr>
        <w:numPr>
          <w:ilvl w:val="0"/>
          <w:numId w:val="1297"/>
        </w:numPr>
        <w:pStyle w:val="Compact"/>
      </w:pPr>
      <w:r>
        <w:rPr>
          <w:bCs/>
          <w:b/>
        </w:rPr>
        <w:t xml:space="preserve">Mechanism of action:</w:t>
      </w:r>
      <w:r>
        <w:t xml:space="preserve"> </w:t>
      </w:r>
      <w:r>
        <w:t xml:space="preserve">supposed to inhibit angiotensin-converting enzyme (ACE) – the same enzyme that blood pressure-lowering ACE inhibitors such as ramipril or enalapril block, only many times more weakly.</w:t>
      </w:r>
    </w:p>
    <w:p>
      <w:pPr>
        <w:numPr>
          <w:ilvl w:val="0"/>
          <w:numId w:val="1297"/>
        </w:numPr>
        <w:pStyle w:val="Compact"/>
      </w:pPr>
      <w:r>
        <w:rPr>
          <w:bCs/>
          <w:b/>
        </w:rPr>
        <w:t xml:space="preserve">Approval EU:</w:t>
      </w:r>
      <w:r>
        <w:t xml:space="preserve"> </w:t>
      </w:r>
      <w:r>
        <w:t xml:space="preserve">no approval as a medicine; used as a food ingredient or in food supplements. No authorized health claim regarding blood pressure.</w:t>
      </w:r>
    </w:p>
    <w:p>
      <w:pPr>
        <w:numPr>
          <w:ilvl w:val="0"/>
          <w:numId w:val="1297"/>
        </w:numPr>
        <w:pStyle w:val="Compact"/>
      </w:pPr>
      <w:r>
        <w:rPr>
          <w:bCs/>
          <w:b/>
        </w:rPr>
        <w:t xml:space="preserve">Approval USA:</w:t>
      </w:r>
      <w:r>
        <w:t xml:space="preserve"> </w:t>
      </w:r>
      <w:r>
        <w:t xml:space="preserve">no approval as a drug; available as a dietary supplement.</w:t>
      </w:r>
    </w:p>
    <w:p>
      <w:pPr>
        <w:numPr>
          <w:ilvl w:val="0"/>
          <w:numId w:val="1297"/>
        </w:numPr>
        <w:pStyle w:val="Compact"/>
      </w:pPr>
      <w:r>
        <w:rPr>
          <w:bCs/>
          <w:b/>
        </w:rPr>
        <w:t xml:space="preserve">WADA:</w:t>
      </w:r>
      <w:r>
        <w:t xml:space="preserve"> </w:t>
      </w:r>
      <w:r>
        <w:t xml:space="preserve">not listed.</w:t>
      </w:r>
    </w:p>
    <w:p>
      <w:pPr>
        <w:numPr>
          <w:ilvl w:val="0"/>
          <w:numId w:val="1297"/>
        </w:numPr>
        <w:pStyle w:val="Compact"/>
      </w:pPr>
      <w:r>
        <w:rPr>
          <w:bCs/>
          <w:b/>
        </w:rPr>
        <w:t xml:space="preserve">Evidence level:</w:t>
      </w:r>
      <w:r>
        <w:t xml:space="preserve"> </w:t>
      </w:r>
      <w:r>
        <w:rPr>
          <w:bCs/>
          <w:b/>
        </w:rPr>
        <w:t xml:space="preserve">B</w:t>
      </w:r>
      <w:r>
        <w:t xml:space="preserve"> </w:t>
      </w:r>
      <w:r>
        <w:t xml:space="preserve">– around 30 randomized studies with a total of several thousand participants, but each small, with contradictory results and without hard endpoints.</w:t>
      </w:r>
    </w:p>
    <w:bookmarkEnd w:id="2372"/>
    <w:bookmarkStart w:id="2376" w:name="how-it-is-supposed-to-work-53"/>
    <w:p>
      <w:pPr>
        <w:pStyle w:val="Heading3"/>
      </w:pPr>
      <w:r>
        <w:t xml:space="preserve">How it is supposed to work</w:t>
      </w:r>
    </w:p>
    <w:p>
      <w:pPr>
        <w:pStyle w:val="FirstParagraph"/>
      </w:pPr>
      <w:r>
        <w:t xml:space="preserve">Blood pressure is controlled, among other things, by the renin-angiotensin system. A central step is the conversion of inactive angiotensin I into vasoconstricting angiotensin II by the enzyme ACE. The same enzyme also breaks down bradykinin, a substance that dilates blood vessels. If ACE is inhibited, less angiotensin II and more bradykinin are formed – blood pressure falls. ACE inhibitors, one of the most important groups of blood pressure medications, are based on this principle. Of historical interest: the first ACE inhibitor, captopril, was developed from a peptide in snake venom.</w:t>
      </w:r>
    </w:p>
    <w:p>
      <w:pPr>
        <w:pStyle w:val="BodyText"/>
      </w:pPr>
      <w:r>
        <w:t xml:space="preserve">In the 1990s, Japanese researchers isolated two tripeptides from sour milk that inhibit ACE in the test tube. In rats with congenital high blood pressure, a single dose of the sour milk or of the isolated peptides VPP and IPP lowered systolic blood pressure for a few hours; in rats with normal blood pressure, nothing changed</w:t>
      </w:r>
      <w:r>
        <w:rPr>
          <w:rStyle w:val="FootnoteReference"/>
        </w:rPr>
        <w:footnoteReference w:id="2373"/>
      </w:r>
      <w:r>
        <w:t xml:space="preserve">. This gave rise to the idea of a</w:t>
      </w:r>
      <w:r>
        <w:t xml:space="preserve"> </w:t>
      </w:r>
      <w:r>
        <w:t xml:space="preserve">“</w:t>
      </w:r>
      <w:r>
        <w:t xml:space="preserve">blood pressure-lowering food.</w:t>
      </w:r>
      <w:r>
        <w:t xml:space="preserve">”</w:t>
      </w:r>
    </w:p>
    <w:p>
      <w:pPr>
        <w:pStyle w:val="BodyText"/>
      </w:pPr>
      <w:r>
        <w:t xml:space="preserve">For this to work, the peptides must reach the bloodstream intact. A small study showed that IPP is indeed detectable intact in the blood after drinking an enriched yogurt drink – but at concentrations in the picomole-per-liter range</w:t>
      </w:r>
      <w:r>
        <w:rPr>
          <w:rStyle w:val="FootnoteReference"/>
        </w:rPr>
        <w:footnoteReference w:id="2374"/>
      </w:r>
      <w:r>
        <w:t xml:space="preserve">. A Swiss study with twelve healthy men then tested directly whether the peptides inhibit ACE in the body: after seven days of fermented milk, markers of ACE activity and renin remained unchanged, whereas a single tablet of captopril lowered plasma ACE activity by 82%. IPP rose only briefly and slightly in the blood, and VPP was below the detection limit</w:t>
      </w:r>
      <w:r>
        <w:rPr>
          <w:rStyle w:val="FootnoteReference"/>
        </w:rPr>
        <w:footnoteReference w:id="2375"/>
      </w:r>
      <w:r>
        <w:t xml:space="preserve">.</w:t>
      </w:r>
    </w:p>
    <w:p>
      <w:pPr>
        <w:pStyle w:val="BodyText"/>
      </w:pPr>
      <w:r>
        <w:t xml:space="preserve">This means: the mechanism that is plausible in the laboratory could not be demonstrated in humans at the amounts tested. Other pathways are therefore also being discussed, such as improved function of the inner vessel wall via nitric oxide. So far, these come mainly from cell culture and animal experiments.</w:t>
      </w:r>
    </w:p>
    <w:bookmarkEnd w:id="2376"/>
    <w:bookmarkStart w:id="2388" w:name="human-studies-53"/>
    <w:p>
      <w:pPr>
        <w:pStyle w:val="Heading3"/>
      </w:pPr>
      <w:r>
        <w:t xml:space="preserve">Human studies</w:t>
      </w:r>
    </w:p>
    <w:p>
      <w:pPr>
        <w:pStyle w:val="FirstParagraph"/>
      </w:pPr>
      <w:r>
        <w:t xml:space="preserve">The PubMed search evaluated for this book (lactotripeptides or valyl-prolyl-proline, search date October 2026) yielded 21 human studies; on ClinicalTrials.gov, the search</w:t>
      </w:r>
      <w:r>
        <w:t xml:space="preserve"> </w:t>
      </w:r>
      <w:r>
        <w:t xml:space="preserve">“</w:t>
      </w:r>
      <w:r>
        <w:t xml:space="preserve">lactotripeptides</w:t>
      </w:r>
      <w:r>
        <w:t xml:space="preserve">”</w:t>
      </w:r>
      <w:r>
        <w:t xml:space="preserve"> </w:t>
      </w:r>
      <w:r>
        <w:t xml:space="preserve">found no registry entry. Most studies were conducted before registration became mandatory for nutrition studies. The meta-analyses refer to up to 30 randomized studies, including many Japanese studies that are not fully captured in the PubMed search.</w:t>
      </w:r>
    </w:p>
    <w:bookmarkStart w:id="2377" w:name="the-early-positive-studies"/>
    <w:p>
      <w:pPr>
        <w:pStyle w:val="Heading4"/>
      </w:pPr>
      <w:r>
        <w:t xml:space="preserve">The Early Positive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Hata 1996, PMID 8901799</w:t>
            </w:r>
          </w:p>
        </w:tc>
        <w:tc>
          <w:tcPr/>
          <w:p>
            <w:pPr>
              <w:pStyle w:val="Compact"/>
              <w:jc w:val="left"/>
            </w:pPr>
            <w:r>
              <w:t xml:space="preserve">30 older people with high blood pressure (mostly on medication), sour milk vs. acidified milk</w:t>
            </w:r>
          </w:p>
        </w:tc>
        <w:tc>
          <w:tcPr/>
          <w:p>
            <w:pPr>
              <w:pStyle w:val="Compact"/>
              <w:jc w:val="left"/>
            </w:pPr>
            <w:r>
              <w:t xml:space="preserve">8 weeks</w:t>
            </w:r>
          </w:p>
        </w:tc>
        <w:tc>
          <w:tcPr/>
          <w:p>
            <w:pPr>
              <w:pStyle w:val="Compact"/>
              <w:jc w:val="left"/>
            </w:pPr>
            <w:r>
              <w:t xml:space="preserve">Systolic −14.1 mmHg vs. baseline in the sour milk group; placebo unchanged</w:t>
            </w:r>
          </w:p>
        </w:tc>
      </w:tr>
      <w:tr>
        <w:tc>
          <w:tcPr/>
          <w:p>
            <w:pPr>
              <w:pStyle w:val="Compact"/>
              <w:jc w:val="left"/>
            </w:pPr>
            <w:r>
              <w:t xml:space="preserve">Seppo 2003, PMID 12540390</w:t>
            </w:r>
          </w:p>
        </w:tc>
        <w:tc>
          <w:tcPr/>
          <w:p>
            <w:pPr>
              <w:pStyle w:val="Compact"/>
              <w:jc w:val="left"/>
            </w:pPr>
            <w:r>
              <w:t xml:space="preserve">39 people with high blood pressure, fermented milk vs. control</w:t>
            </w:r>
          </w:p>
        </w:tc>
        <w:tc>
          <w:tcPr/>
          <w:p>
            <w:pPr>
              <w:pStyle w:val="Compact"/>
              <w:jc w:val="left"/>
            </w:pPr>
            <w:r>
              <w:t xml:space="preserve">21 weeks</w:t>
            </w:r>
          </w:p>
        </w:tc>
        <w:tc>
          <w:tcPr/>
          <w:p>
            <w:pPr>
              <w:pStyle w:val="Compact"/>
              <w:jc w:val="left"/>
            </w:pPr>
            <w:r>
              <w:t xml:space="preserve">Difference systolic 6.7 mmHg (p = 0.03), diastolic 3.6 mmHg (not significant)</w:t>
            </w:r>
          </w:p>
        </w:tc>
      </w:tr>
      <w:tr>
        <w:tc>
          <w:tcPr/>
          <w:p>
            <w:pPr>
              <w:pStyle w:val="Compact"/>
              <w:jc w:val="left"/>
            </w:pPr>
            <w:r>
              <w:t xml:space="preserve">Tuomilehto 2004, PMID 15175633</w:t>
            </w:r>
          </w:p>
        </w:tc>
        <w:tc>
          <w:tcPr/>
          <w:p>
            <w:pPr>
              <w:pStyle w:val="Compact"/>
              <w:jc w:val="left"/>
            </w:pPr>
            <w:r>
              <w:t xml:space="preserve">60 people with mild high blood pressure, crossover</w:t>
            </w:r>
          </w:p>
        </w:tc>
        <w:tc>
          <w:tcPr/>
          <w:p>
            <w:pPr>
              <w:pStyle w:val="Compact"/>
              <w:jc w:val="left"/>
            </w:pPr>
            <w:r>
              <w:t xml:space="preserve">2 × phases</w:t>
            </w:r>
          </w:p>
        </w:tc>
        <w:tc>
          <w:tcPr/>
          <w:p>
            <w:pPr>
              <w:pStyle w:val="Compact"/>
              <w:jc w:val="left"/>
            </w:pPr>
            <w:r>
              <w:t xml:space="preserve">Overall analysis: systolic difference 2.6 mmHg, not significant</w:t>
            </w:r>
          </w:p>
        </w:tc>
      </w:tr>
      <w:tr>
        <w:tc>
          <w:tcPr/>
          <w:p>
            <w:pPr>
              <w:pStyle w:val="Compact"/>
              <w:jc w:val="left"/>
            </w:pPr>
            <w:r>
              <w:t xml:space="preserve">Jauhiainen 2005, PMID 16364832</w:t>
            </w:r>
          </w:p>
        </w:tc>
        <w:tc>
          <w:tcPr/>
          <w:p>
            <w:pPr>
              <w:pStyle w:val="Compact"/>
              <w:jc w:val="left"/>
            </w:pPr>
            <w:r>
              <w:t xml:space="preserve">94 untreated people with high blood pressure, fermented milk vs. control, 24-hour monitoring</w:t>
            </w:r>
          </w:p>
        </w:tc>
        <w:tc>
          <w:tcPr/>
          <w:p>
            <w:pPr>
              <w:pStyle w:val="Compact"/>
              <w:jc w:val="left"/>
            </w:pPr>
            <w:r>
              <w:t xml:space="preserve">10 weeks</w:t>
            </w:r>
          </w:p>
        </w:tc>
        <w:tc>
          <w:tcPr/>
          <w:p>
            <w:pPr>
              <w:pStyle w:val="Compact"/>
              <w:jc w:val="left"/>
            </w:pPr>
            <w:r>
              <w:t xml:space="preserve">Systolic −4.1 mmHg, diastolic −1.8 mmHg vs. control</w:t>
            </w:r>
          </w:p>
        </w:tc>
      </w:tr>
    </w:tbl>
    <w:p>
      <w:pPr>
        <w:pStyle w:val="BodyText"/>
      </w:pPr>
      <w:r>
        <w:t xml:space="preserve">Hata’s early study was small, most participants were already taking blood pressure medication, and the comparison was mainly with baseline. Jauhiainen’s study is methodologically stronger because it used 24-hour blood pressure monitoring, which is less susceptible to the</w:t>
      </w:r>
      <w:r>
        <w:t xml:space="preserve"> </w:t>
      </w:r>
      <w:r>
        <w:t xml:space="preserve">“</w:t>
      </w:r>
      <w:r>
        <w:t xml:space="preserve">white coat effect</w:t>
      </w:r>
      <w:r>
        <w:t xml:space="preserve">”</w:t>
      </w:r>
      <w:r>
        <w:t xml:space="preserve"> </w:t>
      </w:r>
      <w:r>
        <w:t xml:space="preserve">at the doctor’s office.</w:t>
      </w:r>
    </w:p>
    <w:bookmarkEnd w:id="2377"/>
    <w:bookmarkStart w:id="2379" w:name="Xa10919ad6d5253298dc5818c193cb40596afbad"/>
    <w:p>
      <w:pPr>
        <w:pStyle w:val="Heading4"/>
      </w:pPr>
      <w:r>
        <w:t xml:space="preserve">The Negative Studies from the Netherlands</w:t>
      </w:r>
    </w:p>
    <w:p>
      <w:pPr>
        <w:pStyle w:val="FirstParagraph"/>
      </w:pPr>
      <w:r>
        <w:t xml:space="preserve">From 2008 onward, several larger, carefully conducted studies from European countries appeared that found no effect: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Engberink 2008, PMID 18086944</w:t>
            </w:r>
          </w:p>
        </w:tc>
        <w:tc>
          <w:tcPr/>
          <w:p>
            <w:pPr>
              <w:pStyle w:val="Compact"/>
              <w:jc w:val="left"/>
            </w:pPr>
            <w:r>
              <w:t xml:space="preserve">135 Dutch people with elevated systolic pressure, three production methods of LTP vs. placebo</w:t>
            </w:r>
          </w:p>
        </w:tc>
        <w:tc>
          <w:tcPr/>
          <w:p>
            <w:pPr>
              <w:pStyle w:val="Compact"/>
              <w:jc w:val="left"/>
            </w:pPr>
            <w:r>
              <w:t xml:space="preserve">8 weeks</w:t>
            </w:r>
          </w:p>
        </w:tc>
        <w:tc>
          <w:tcPr/>
          <w:p>
            <w:pPr>
              <w:pStyle w:val="Compact"/>
              <w:jc w:val="left"/>
            </w:pPr>
            <w:r>
              <w:t xml:space="preserve">No difference from placebo in office, home and 24-hour blood pressure, ACE activity or angiotensin II</w:t>
            </w:r>
          </w:p>
        </w:tc>
      </w:tr>
      <w:tr>
        <w:tc>
          <w:tcPr/>
          <w:p>
            <w:pPr>
              <w:pStyle w:val="Compact"/>
              <w:jc w:val="left"/>
            </w:pPr>
            <w:r>
              <w:t xml:space="preserve">van der Zander 2008, PMID 19064533</w:t>
            </w:r>
          </w:p>
        </w:tc>
        <w:tc>
          <w:tcPr/>
          <w:p>
            <w:pPr>
              <w:pStyle w:val="Compact"/>
              <w:jc w:val="left"/>
            </w:pPr>
            <w:r>
              <w:t xml:space="preserve">275 Dutch people with high blood pressure, enzymatically produced LTP in a yogurt drink vs. placebo</w:t>
            </w:r>
          </w:p>
        </w:tc>
        <w:tc>
          <w:tcPr/>
          <w:p>
            <w:pPr>
              <w:pStyle w:val="Compact"/>
              <w:jc w:val="left"/>
            </w:pPr>
            <w:r>
              <w:t xml:space="preserve">8 weeks</w:t>
            </w:r>
          </w:p>
        </w:tc>
        <w:tc>
          <w:tcPr/>
          <w:p>
            <w:pPr>
              <w:pStyle w:val="Compact"/>
              <w:jc w:val="left"/>
            </w:pPr>
            <w:r>
              <w:t xml:space="preserve">No difference systolic (p = 0.66) or diastolic (p = 0.72)</w:t>
            </w:r>
          </w:p>
        </w:tc>
      </w:tr>
      <w:tr>
        <w:tc>
          <w:tcPr/>
          <w:p>
            <w:pPr>
              <w:pStyle w:val="Compact"/>
              <w:jc w:val="left"/>
            </w:pPr>
            <w:r>
              <w:t xml:space="preserve">van Mierlo 2009, PMID 19106238</w:t>
            </w:r>
          </w:p>
        </w:tc>
        <w:tc>
          <w:tcPr/>
          <w:p>
            <w:pPr>
              <w:pStyle w:val="Compact"/>
              <w:jc w:val="left"/>
            </w:pPr>
            <w:r>
              <w:t xml:space="preserve">2 crossover studies with 69 and 93 untreated adults, 24-hour monitoring</w:t>
            </w:r>
          </w:p>
        </w:tc>
        <w:tc>
          <w:tcPr/>
          <w:p>
            <w:pPr>
              <w:pStyle w:val="Compact"/>
              <w:jc w:val="left"/>
            </w:pPr>
            <w:r>
              <w:t xml:space="preserve">4 weeks each</w:t>
            </w:r>
          </w:p>
        </w:tc>
        <w:tc>
          <w:tcPr/>
          <w:p>
            <w:pPr>
              <w:pStyle w:val="Compact"/>
              <w:jc w:val="left"/>
            </w:pPr>
            <w:r>
              <w:t xml:space="preserve">No difference in 24-hour blood pressure</w:t>
            </w:r>
          </w:p>
        </w:tc>
      </w:tr>
      <w:tr>
        <w:tc>
          <w:tcPr/>
          <w:p>
            <w:pPr>
              <w:pStyle w:val="Compact"/>
              <w:jc w:val="left"/>
            </w:pPr>
            <w:r>
              <w:t xml:space="preserve">Usinger 2010, PMID 20147968</w:t>
            </w:r>
          </w:p>
        </w:tc>
        <w:tc>
          <w:tcPr/>
          <w:p>
            <w:pPr>
              <w:pStyle w:val="Compact"/>
              <w:jc w:val="left"/>
            </w:pPr>
            <w:r>
              <w:t xml:space="preserve">94 people with high-normal or borderline blood pressure, 150 or 300 ml fermented milk vs. placebo</w:t>
            </w:r>
          </w:p>
        </w:tc>
        <w:tc>
          <w:tcPr/>
          <w:p>
            <w:pPr>
              <w:pStyle w:val="Compact"/>
              <w:jc w:val="left"/>
            </w:pPr>
            <w:r>
              <w:t xml:space="preserve">8 weeks</w:t>
            </w:r>
          </w:p>
        </w:tc>
        <w:tc>
          <w:tcPr/>
          <w:p>
            <w:pPr>
              <w:pStyle w:val="Compact"/>
              <w:jc w:val="left"/>
            </w:pPr>
            <w:r>
              <w:t xml:space="preserve">No significant difference in 24-hour blood pressure</w:t>
            </w:r>
          </w:p>
        </w:tc>
      </w:tr>
    </w:tbl>
    <w:p>
      <w:pPr>
        <w:pStyle w:val="BodyText"/>
      </w:pPr>
      <w:r>
        <w:t xml:space="preserve">What is remarkable about the Engberink study: it tested lactotripeptides from three sources – from concentrated fermented milk, enzymatically produced and chemically synthesized. None of the three variants lowered blood pressure or measurably inhibited ACE. A review summarized six such studies with 780 participants from the United Kingdom and the Netherlands and concluded that the newer data do not support a role for lactotripeptides in blood pressure regulation</w:t>
      </w:r>
      <w:r>
        <w:rPr>
          <w:rStyle w:val="FootnoteReference"/>
        </w:rPr>
        <w:footnoteReference w:id="2378"/>
      </w:r>
      <w:r>
        <w:t xml:space="preserve">.</w:t>
      </w:r>
    </w:p>
    <w:bookmarkEnd w:id="2379"/>
    <w:bookmarkStart w:id="2385" w:name="later-studies"/>
    <w:p>
      <w:pPr>
        <w:pStyle w:val="Heading4"/>
      </w:pPr>
      <w:r>
        <w:t xml:space="preserve">Later Studies</w:t>
      </w:r>
    </w:p>
    <w:p>
      <w:pPr>
        <w:pStyle w:val="FirstParagraph"/>
      </w:pPr>
      <w:r>
        <w:t xml:space="preserve">Even after 2010, the results remained mixed. In Finland, a dose of 50 mg of lactotripeptides per day lowered 24-hour blood pressure compared with baseline, but not significantly compared with placebo (−2.6 mmHg systolic); 5 mg per day had no effect</w:t>
      </w:r>
      <w:r>
        <w:rPr>
          <w:rStyle w:val="FootnoteReference"/>
        </w:rPr>
        <w:footnoteReference w:id="2380"/>
      </w:r>
      <w:r>
        <w:t xml:space="preserve">. A spread containing IPP, VPP and plant sterols lowered systolic blood pressure measured at home more than placebo (−4.1 versus −0.5 mmHg), but not the office or 24-hour value</w:t>
      </w:r>
      <w:r>
        <w:rPr>
          <w:rStyle w:val="FootnoteReference"/>
        </w:rPr>
        <w:footnoteReference w:id="2381"/>
      </w:r>
      <w:r>
        <w:t xml:space="preserve">. Italian studies reported favorable effects on office blood pressure and arterial stiffness</w:t>
      </w:r>
      <w:r>
        <w:rPr>
          <w:rStyle w:val="FootnoteReference"/>
        </w:rPr>
        <w:footnoteReference w:id="2382"/>
      </w:r>
      <w:r>
        <w:t xml:space="preserve">, one of them without an effect on 24-hour blood pressure. In the USA, in a study with 91 people with stage 1 and 2 high blood pressure, systolic daytime blood pressure fell by 3.6 mmHg, but not under placebo</w:t>
      </w:r>
      <w:r>
        <w:rPr>
          <w:rStyle w:val="FootnoteReference"/>
        </w:rPr>
        <w:footnoteReference w:id="2383"/>
      </w:r>
      <w:r>
        <w:t xml:space="preserve">.</w:t>
      </w:r>
    </w:p>
    <w:p>
      <w:pPr>
        <w:pStyle w:val="BodyText"/>
      </w:pPr>
      <w:r>
        <w:t xml:space="preserve">In addition, there are small studies on vascular function, cerebral blood flow, muscle fatigue and cognitive performance, mostly with 15 to 50 participants</w:t>
      </w:r>
      <w:r>
        <w:rPr>
          <w:rStyle w:val="FootnoteReference"/>
        </w:rPr>
        <w:footnoteReference w:id="2384"/>
      </w:r>
      <w:r>
        <w:t xml:space="preserve">. They should be read as indications, not as evidence.</w:t>
      </w:r>
    </w:p>
    <w:bookmarkEnd w:id="2385"/>
    <w:bookmarkStart w:id="2387" w:name="X0b9f0de3f4c7addf5f2586f5922f15fa8b8b84a"/>
    <w:p>
      <w:pPr>
        <w:pStyle w:val="Heading4"/>
      </w:pPr>
      <w:r>
        <w:t xml:space="preserve">Meta-Analyses: Small Effect, Strong Influence of Origin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Meta-analysis</w:t>
            </w:r>
          </w:p>
        </w:tc>
        <w:tc>
          <w:tcPr/>
          <w:p>
            <w:pPr>
              <w:pStyle w:val="Compact"/>
              <w:jc w:val="left"/>
            </w:pPr>
            <w:r>
              <w:t xml:space="preserve">Scope</w:t>
            </w:r>
          </w:p>
        </w:tc>
        <w:tc>
          <w:tcPr/>
          <w:p>
            <w:pPr>
              <w:pStyle w:val="Compact"/>
              <w:jc w:val="left"/>
            </w:pPr>
            <w:r>
              <w:t xml:space="preserve">Effect on systolic blood pressure</w:t>
            </w:r>
          </w:p>
        </w:tc>
      </w:tr>
      <w:tr>
        <w:tc>
          <w:tcPr/>
          <w:p>
            <w:pPr>
              <w:pStyle w:val="Compact"/>
              <w:jc w:val="left"/>
            </w:pPr>
            <w:r>
              <w:t xml:space="preserve">Cicero 2011, PMID 20811398</w:t>
            </w:r>
          </w:p>
        </w:tc>
        <w:tc>
          <w:tcPr/>
          <w:p>
            <w:pPr>
              <w:pStyle w:val="Compact"/>
              <w:jc w:val="left"/>
            </w:pPr>
            <w:r>
              <w:t xml:space="preserve">18 studies</w:t>
            </w:r>
          </w:p>
        </w:tc>
        <w:tc>
          <w:tcPr/>
          <w:p>
            <w:pPr>
              <w:pStyle w:val="Compact"/>
              <w:jc w:val="left"/>
            </w:pPr>
            <w:r>
              <w:t xml:space="preserve">−3.73 mmHg overall; Asia −6.93 mmHg; Europe −1.17 mmHg (not significant)</w:t>
            </w:r>
          </w:p>
        </w:tc>
      </w:tr>
      <w:tr>
        <w:tc>
          <w:tcPr/>
          <w:p>
            <w:pPr>
              <w:pStyle w:val="Compact"/>
              <w:jc w:val="left"/>
            </w:pPr>
            <w:r>
              <w:t xml:space="preserve">Turpeinen 2013, PMID 23305234</w:t>
            </w:r>
          </w:p>
        </w:tc>
        <w:tc>
          <w:tcPr/>
          <w:p>
            <w:pPr>
              <w:pStyle w:val="Compact"/>
              <w:jc w:val="left"/>
            </w:pPr>
            <w:r>
              <w:t xml:space="preserve">19 studies, approx. 1,500 people</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study arms, 1,919 people</w:t>
            </w:r>
          </w:p>
        </w:tc>
        <w:tc>
          <w:tcPr/>
          <w:p>
            <w:pPr>
              <w:pStyle w:val="Compact"/>
              <w:jc w:val="left"/>
            </w:pPr>
            <w:r>
              <w:t xml:space="preserve">−1.66 mmHg; in 24-hour blood pressure −1.30 mmHg</w:t>
            </w:r>
          </w:p>
        </w:tc>
      </w:tr>
      <w:tr>
        <w:tc>
          <w:tcPr/>
          <w:p>
            <w:pPr>
              <w:pStyle w:val="Compact"/>
              <w:jc w:val="left"/>
            </w:pPr>
            <w:r>
              <w:t xml:space="preserve">Cicero 2013, PMID 23382495</w:t>
            </w:r>
          </w:p>
        </w:tc>
        <w:tc>
          <w:tcPr/>
          <w:p>
            <w:pPr>
              <w:pStyle w:val="Compact"/>
              <w:jc w:val="left"/>
            </w:pPr>
            <w:r>
              <w:t xml:space="preserve">14 European studies, 1,306 people</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studies</w:t>
            </w:r>
          </w:p>
        </w:tc>
        <w:tc>
          <w:tcPr/>
          <w:p>
            <w:pPr>
              <w:pStyle w:val="Compact"/>
              <w:jc w:val="left"/>
            </w:pPr>
            <w:r>
              <w:t xml:space="preserve">−2.95 mmHg; 24-hour blood pressure not significant</w:t>
            </w:r>
          </w:p>
        </w:tc>
      </w:tr>
      <w:tr>
        <w:tc>
          <w:tcPr/>
          <w:p>
            <w:pPr>
              <w:pStyle w:val="Compact"/>
              <w:jc w:val="left"/>
            </w:pPr>
            <w:r>
              <w:t xml:space="preserve">Chanson-Rolle 2015, PMID 26536628</w:t>
            </w:r>
          </w:p>
        </w:tc>
        <w:tc>
          <w:tcPr/>
          <w:p>
            <w:pPr>
              <w:pStyle w:val="Compact"/>
              <w:jc w:val="left"/>
            </w:pPr>
            <w:r>
              <w:t xml:space="preserve">18 Japanese studies, 1,194 people</w:t>
            </w:r>
          </w:p>
        </w:tc>
        <w:tc>
          <w:tcPr/>
          <w:p>
            <w:pPr>
              <w:pStyle w:val="Compact"/>
              <w:jc w:val="left"/>
            </w:pPr>
            <w:r>
              <w:t xml:space="preserve">−5.63 mmHg</w:t>
            </w:r>
          </w:p>
        </w:tc>
      </w:tr>
    </w:tbl>
    <w:p>
      <w:pPr>
        <w:pStyle w:val="BodyText"/>
      </w:pPr>
      <w:r>
        <w:t xml:space="preserve">Three patterns run through all the analyses:</w:t>
      </w:r>
    </w:p>
    <w:p>
      <w:pPr>
        <w:numPr>
          <w:ilvl w:val="0"/>
          <w:numId w:val="1298"/>
        </w:numPr>
        <w:pStyle w:val="Compact"/>
      </w:pPr>
      <w:r>
        <w:rPr>
          <w:bCs/>
          <w:b/>
        </w:rPr>
        <w:t xml:space="preserve">The effect is small.</w:t>
      </w:r>
      <w:r>
        <w:t xml:space="preserve"> </w:t>
      </w:r>
      <w:r>
        <w:t xml:space="preserve">Pooled, it is mostly between 1 and 4 mmHg systolic – considerably less than approved blood pressure medications achieve.</w:t>
      </w:r>
    </w:p>
    <w:p>
      <w:pPr>
        <w:numPr>
          <w:ilvl w:val="0"/>
          <w:numId w:val="1298"/>
        </w:numPr>
        <w:pStyle w:val="Compact"/>
      </w:pPr>
      <w:r>
        <w:rPr>
          <w:bCs/>
          <w:b/>
        </w:rPr>
        <w:t xml:space="preserve">Asian, especially Japanese, studies show considerably larger effects than European ones.</w:t>
      </w:r>
      <w:r>
        <w:t xml:space="preserve"> </w:t>
      </w:r>
      <w:r>
        <w:t xml:space="preserve">Whether this is due to genetic differences, to diet (such as higher salt intake) or to methodological differences is unclear.</w:t>
      </w:r>
    </w:p>
    <w:p>
      <w:pPr>
        <w:numPr>
          <w:ilvl w:val="0"/>
          <w:numId w:val="1298"/>
        </w:numPr>
        <w:pStyle w:val="Compact"/>
      </w:pPr>
      <w:r>
        <w:rPr>
          <w:bCs/>
          <w:b/>
        </w:rPr>
        <w:t xml:space="preserve">Indications of publication bias.</w:t>
      </w:r>
      <w:r>
        <w:t xml:space="preserve"> </w:t>
      </w:r>
      <w:r>
        <w:t xml:space="preserve">The Fekete meta-analysis found both publication bias and a</w:t>
      </w:r>
      <w:r>
        <w:t xml:space="preserve"> </w:t>
      </w:r>
      <w:r>
        <w:t xml:space="preserve">“</w:t>
      </w:r>
      <w:r>
        <w:t xml:space="preserve">small-study effect</w:t>
      </w:r>
      <w:r>
        <w:t xml:space="preserve">”</w:t>
      </w:r>
      <w:r>
        <w:t xml:space="preserve">: small studies showed larger effects. After correction, the systolic reduction shrank and the diastolic one was no longer significant. In 24-hour blood pressure – the most reliable measurement method – the effect was not significant</w:t>
      </w:r>
      <w:r>
        <w:rPr>
          <w:rStyle w:val="FootnoteReference"/>
        </w:rPr>
        <w:footnoteReference w:id="2386"/>
      </w:r>
      <w:r>
        <w:t xml:space="preserve">.</w:t>
      </w:r>
    </w:p>
    <w:p>
      <w:pPr>
        <w:pStyle w:val="FirstParagraph"/>
      </w:pPr>
      <w:r>
        <w:t xml:space="preserve">There is no study showing that lactotripeptides prevent heart attacks, strokes or deaths. Given the small effect, such a study is not to be expected either.</w:t>
      </w:r>
    </w:p>
    <w:bookmarkEnd w:id="2387"/>
    <w:bookmarkEnd w:id="2388"/>
    <w:bookmarkStart w:id="2395" w:name="animal-and-laboratory-studies-53"/>
    <w:p>
      <w:pPr>
        <w:pStyle w:val="Heading3"/>
      </w:pPr>
      <w:r>
        <w:t xml:space="preserve">Animal and laboratory studies</w:t>
      </w:r>
    </w:p>
    <w:p>
      <w:pPr>
        <w:pStyle w:val="FirstParagraph"/>
      </w:pPr>
      <w:r>
        <w:t xml:space="preserve">In rats with congenital high blood pressure (SHR rats), VPP and IPP lowered blood pressure in a dose-dependent manner; in rats with normal blood pressure, they did not</w:t>
      </w:r>
      <w:r>
        <w:rPr>
          <w:rStyle w:val="FootnoteReference"/>
        </w:rPr>
        <w:footnoteReference w:id="2389"/>
      </w:r>
      <w:r>
        <w:t xml:space="preserve">. In cell cultures, VPP and IPP stimulated the formation of nitric oxide in vascular cells at concentrations above 100 nanomoles per liter, and in isolated rat aortas they triggered vasodilation</w:t>
      </w:r>
      <w:r>
        <w:rPr>
          <w:rStyle w:val="FootnoteReference"/>
        </w:rPr>
        <w:footnoteReference w:id="2390"/>
      </w:r>
      <w:r>
        <w:t xml:space="preserve">. For comparison: in human blood, less than 1 nanomole per liter of IPP was measured after drinking an enriched beverage</w:t>
      </w:r>
      <w:r>
        <w:rPr>
          <w:rStyle w:val="FootnoteReference"/>
        </w:rPr>
        <w:footnoteReference w:id="2391"/>
      </w:r>
      <w:r>
        <w:t xml:space="preserve">. X-ray structure analyses show that both peptides preferentially bind to one of the two active sites of the ACE molecule</w:t>
      </w:r>
      <w:r>
        <w:rPr>
          <w:rStyle w:val="FootnoteReference"/>
        </w:rPr>
        <w:footnoteReference w:id="2392"/>
      </w:r>
      <w:r>
        <w:t xml:space="preserve">. In rats and rabbits, toxicity studies – including investigations of kidney development in the offspring, because ACE inhibitors can harm the unborn child during pregnancy – found no adverse effects at the highest doses tested</w:t>
      </w:r>
      <w:r>
        <w:rPr>
          <w:rStyle w:val="FootnoteReference"/>
        </w:rPr>
        <w:footnoteReference w:id="2393"/>
      </w:r>
      <w:r>
        <w:t xml:space="preserve">. A milk protein hydrolysate containing IPP was not mutagenic in genetic tests; the highest dose tested in the 90-day study in rats was about 141 times the expected maximum intake</w:t>
      </w:r>
      <w:r>
        <w:rPr>
          <w:rStyle w:val="FootnoteReference"/>
        </w:rPr>
        <w:footnoteReference w:id="2394"/>
      </w:r>
      <w:r>
        <w:t xml:space="preserve">.</w:t>
      </w:r>
    </w:p>
    <w:bookmarkEnd w:id="2395"/>
    <w:bookmarkStart w:id="2397" w:name="risks-and-side-effects-53"/>
    <w:p>
      <w:pPr>
        <w:pStyle w:val="Heading3"/>
      </w:pPr>
      <w:r>
        <w:t xml:space="preserve">Risks and side effects</w:t>
      </w:r>
    </w:p>
    <w:p>
      <w:pPr>
        <w:pStyle w:val="FirstParagraph"/>
      </w:pPr>
      <w:r>
        <w:rPr>
          <w:bCs/>
          <w:b/>
        </w:rPr>
        <w:t xml:space="preserve">Established:</w:t>
      </w:r>
      <w:r>
        <w:t xml:space="preserve"> </w:t>
      </w:r>
      <w:r>
        <w:t xml:space="preserve">In the human studies, no more side effects occurred under lactotripeptides than under placebo</w:t>
      </w:r>
      <w:r>
        <w:rPr>
          <w:rStyle w:val="FootnoteReference"/>
        </w:rPr>
        <w:footnoteReference w:id="2396"/>
      </w:r>
      <w:r>
        <w:t xml:space="preserve">. The peptides come from milk protein, which has always been eaten; the amounts in the products are in the milligram range.</w:t>
      </w:r>
    </w:p>
    <w:p>
      <w:pPr>
        <w:pStyle w:val="BodyText"/>
      </w:pPr>
      <w:r>
        <w:rPr>
          <w:bCs/>
          <w:b/>
        </w:rPr>
        <w:t xml:space="preserve">Theoretical or worth noting:</w:t>
      </w:r>
    </w:p>
    <w:p>
      <w:pPr>
        <w:numPr>
          <w:ilvl w:val="0"/>
          <w:numId w:val="1299"/>
        </w:numPr>
        <w:pStyle w:val="Compact"/>
      </w:pPr>
      <w:r>
        <w:rPr>
          <w:bCs/>
          <w:b/>
        </w:rPr>
        <w:t xml:space="preserve">Milk allergy:</w:t>
      </w:r>
      <w:r>
        <w:t xml:space="preserve"> </w:t>
      </w:r>
      <w:r>
        <w:t xml:space="preserve">Milk- or casein-based products are unsuitable for people with cow’s milk protein allergy.</w:t>
      </w:r>
    </w:p>
    <w:p>
      <w:pPr>
        <w:numPr>
          <w:ilvl w:val="0"/>
          <w:numId w:val="1299"/>
        </w:numPr>
        <w:pStyle w:val="Compact"/>
      </w:pPr>
      <w:r>
        <w:rPr>
          <w:bCs/>
          <w:b/>
        </w:rPr>
        <w:t xml:space="preserve">Combination with blood pressure medications:</w:t>
      </w:r>
      <w:r>
        <w:t xml:space="preserve"> </w:t>
      </w:r>
      <w:r>
        <w:t xml:space="preserve">A relevant enhancement is unlikely given the weak effect, but has not been systematically studied.</w:t>
      </w:r>
    </w:p>
    <w:p>
      <w:pPr>
        <w:numPr>
          <w:ilvl w:val="0"/>
          <w:numId w:val="1299"/>
        </w:numPr>
        <w:pStyle w:val="Compact"/>
      </w:pPr>
      <w:r>
        <w:rPr>
          <w:bCs/>
          <w:b/>
        </w:rPr>
        <w:t xml:space="preserve">Pregnancy:</w:t>
      </w:r>
      <w:r>
        <w:t xml:space="preserve"> </w:t>
      </w:r>
      <w:r>
        <w:t xml:space="preserve">ACE inhibitors are contraindicated in pregnancy. For lactotripeptides, no corresponding harm was found in animal experiments; human data are lacking.</w:t>
      </w:r>
    </w:p>
    <w:p>
      <w:pPr>
        <w:numPr>
          <w:ilvl w:val="0"/>
          <w:numId w:val="1299"/>
        </w:numPr>
        <w:pStyle w:val="Compact"/>
      </w:pPr>
      <w:r>
        <w:rPr>
          <w:bCs/>
          <w:b/>
        </w:rPr>
        <w:t xml:space="preserve">The most important risk:</w:t>
      </w:r>
      <w:r>
        <w:t xml:space="preserve"> </w:t>
      </w:r>
      <w:r>
        <w:t xml:space="preserve">Anyone who treats high blood pressure that requires treatment with a milk drink instead of effective measures forgoes protection against heart attack and stroke. Weight reduction, less salt, exercise and – if necessary – medication demonstrably lower blood pressure more.</w:t>
      </w:r>
    </w:p>
    <w:bookmarkEnd w:id="2397"/>
    <w:bookmarkStart w:id="2398" w:name="legal-status-53"/>
    <w:p>
      <w:pPr>
        <w:pStyle w:val="Heading3"/>
      </w:pPr>
      <w:r>
        <w:t xml:space="preserve">Legal status</w:t>
      </w:r>
    </w:p>
    <w:p>
      <w:pPr>
        <w:numPr>
          <w:ilvl w:val="0"/>
          <w:numId w:val="1300"/>
        </w:numPr>
        <w:pStyle w:val="Compact"/>
      </w:pPr>
      <w:r>
        <w:rPr>
          <w:bCs/>
          <w:b/>
        </w:rPr>
        <w:t xml:space="preserve">EU / Austria / Germany:</w:t>
      </w:r>
      <w:r>
        <w:t xml:space="preserve"> </w:t>
      </w:r>
      <w:r>
        <w:t xml:space="preserve">Lactotripeptides are food ingredients. Health claims regarding blood pressure are</w:t>
      </w:r>
      <w:r>
        <w:t xml:space="preserve"> </w:t>
      </w:r>
      <w:r>
        <w:rPr>
          <w:bCs/>
          <w:b/>
        </w:rPr>
        <w:t xml:space="preserve">not authorized</w:t>
      </w:r>
      <w:r>
        <w:t xml:space="preserve"> </w:t>
      </w:r>
      <w:r>
        <w:t xml:space="preserve">under the Health Claims Regulation (Regulation (EC) No 1924/2006). The European Food Safety Authority (EFSA) assessed applications concerning lactotripeptides and the maintenance of normal blood pressure and concluded that a cause-and-effect relationship has not been sufficiently established. Decisive factors included the contradictory European studies. Products may therefore not be advertised in the EU with</w:t>
      </w:r>
      <w:r>
        <w:t xml:space="preserve"> </w:t>
      </w:r>
      <w:r>
        <w:t xml:space="preserve">“</w:t>
      </w:r>
      <w:r>
        <w:t xml:space="preserve">lowers blood pressure</w:t>
      </w:r>
      <w:r>
        <w:t xml:space="preserve">”</w:t>
      </w:r>
      <w:r>
        <w:t xml:space="preserve"> </w:t>
      </w:r>
      <w:r>
        <w:t xml:space="preserve">or</w:t>
      </w:r>
      <w:r>
        <w:t xml:space="preserve"> </w:t>
      </w:r>
      <w:r>
        <w:t xml:space="preserve">“</w:t>
      </w:r>
      <w:r>
        <w:t xml:space="preserve">contributes to normal blood pressure.</w:t>
      </w:r>
      <w:r>
        <w:t xml:space="preserve">”</w:t>
      </w:r>
    </w:p>
    <w:p>
      <w:pPr>
        <w:numPr>
          <w:ilvl w:val="0"/>
          <w:numId w:val="1300"/>
        </w:numPr>
        <w:pStyle w:val="Compact"/>
      </w:pPr>
      <w:r>
        <w:rPr>
          <w:bCs/>
          <w:b/>
        </w:rPr>
        <w:t xml:space="preserve">Japan:</w:t>
      </w:r>
      <w:r>
        <w:t xml:space="preserve"> </w:t>
      </w:r>
      <w:r>
        <w:t xml:space="preserve">There, such beverages were marketed as</w:t>
      </w:r>
      <w:r>
        <w:t xml:space="preserve"> </w:t>
      </w:r>
      <w:r>
        <w:t xml:space="preserve">“</w:t>
      </w:r>
      <w:r>
        <w:t xml:space="preserve">Foods for Specified Health Uses</w:t>
      </w:r>
      <w:r>
        <w:t xml:space="preserve">”</w:t>
      </w:r>
      <w:r>
        <w:t xml:space="preserve"> </w:t>
      </w:r>
      <w:r>
        <w:t xml:space="preserve">(FOSHU) with an officially approved blood pressure claim. This partly explains why a large proportion of the studies come from Japan.</w:t>
      </w:r>
    </w:p>
    <w:p>
      <w:pPr>
        <w:numPr>
          <w:ilvl w:val="0"/>
          <w:numId w:val="1300"/>
        </w:numPr>
        <w:pStyle w:val="Compact"/>
      </w:pPr>
      <w:r>
        <w:rPr>
          <w:bCs/>
          <w:b/>
        </w:rPr>
        <w:t xml:space="preserve">USA:</w:t>
      </w:r>
      <w:r>
        <w:t xml:space="preserve"> </w:t>
      </w:r>
      <w:r>
        <w:t xml:space="preserve">sold as dietary supplements; disease-related claims are not permitted.</w:t>
      </w:r>
    </w:p>
    <w:p>
      <w:pPr>
        <w:numPr>
          <w:ilvl w:val="0"/>
          <w:numId w:val="1300"/>
        </w:numPr>
        <w:pStyle w:val="Compact"/>
      </w:pPr>
      <w:r>
        <w:rPr>
          <w:bCs/>
          <w:b/>
        </w:rPr>
        <w:t xml:space="preserve">Sport:</w:t>
      </w:r>
      <w:r>
        <w:t xml:space="preserve"> </w:t>
      </w:r>
      <w:r>
        <w:t xml:space="preserve">not on the WADA Prohibited List (as of 2026, please check for updates).</w:t>
      </w:r>
    </w:p>
    <w:bookmarkEnd w:id="2398"/>
    <w:bookmarkStart w:id="2400" w:name="ongoing-studies-and-outlook-53"/>
    <w:p>
      <w:pPr>
        <w:pStyle w:val="Heading3"/>
      </w:pPr>
      <w:r>
        <w:t xml:space="preserve">Ongoing studies and outlook</w:t>
      </w:r>
    </w:p>
    <w:p>
      <w:pPr>
        <w:pStyle w:val="FirstParagraph"/>
      </w:pPr>
      <w:r>
        <w:rPr>
          <w:bCs/>
          <w:b/>
        </w:rPr>
        <w:t xml:space="preserve">Established:</w:t>
      </w:r>
      <w:r>
        <w:t xml:space="preserve"> </w:t>
      </w:r>
      <w:r>
        <w:t xml:space="preserve">On ClinicalTrials.gov, no ongoing study is registered under the term</w:t>
      </w:r>
      <w:r>
        <w:t xml:space="preserve"> </w:t>
      </w:r>
      <w:r>
        <w:t xml:space="preserve">“</w:t>
      </w:r>
      <w:r>
        <w:t xml:space="preserve">lactotripeptides.</w:t>
      </w:r>
      <w:r>
        <w:t xml:space="preserve">”</w:t>
      </w:r>
      <w:r>
        <w:t xml:space="preserve"> </w:t>
      </w:r>
      <w:r>
        <w:t xml:space="preserve">Under related terms, there is a completed study on IPP and vascular function in coronary heart disease with 54 participants</w:t>
      </w:r>
      <w:r>
        <w:rPr>
          <w:rStyle w:val="FootnoteReference"/>
        </w:rPr>
        <w:footnoteReference w:id="2399"/>
      </w:r>
      <w:r>
        <w:t xml:space="preserve">. Research on lactotripeptides has declined markedly since about 2015; new work mainly examines in general why people respond differently to food peptides.</w:t>
      </w:r>
    </w:p>
    <w:p>
      <w:pPr>
        <w:pStyle w:val="BodyText"/>
      </w:pPr>
      <w:r>
        <w:rPr>
          <w:bCs/>
          <w:b/>
        </w:rPr>
        <w:t xml:space="preserve">Assessment:</w:t>
      </w:r>
      <w:r>
        <w:t xml:space="preserve"> </w:t>
      </w:r>
      <w:r>
        <w:t xml:space="preserve">Lactotripeptides are a textbook example of how a mechanism that is convincing in the laboratory and early positive studies can shrink in larger, independent investigations. A small effect on blood pressure is possible – especially in Asian study populations – but has not been convincingly demonstrated for Europe. A renaissance is not in sight.</w:t>
      </w:r>
    </w:p>
    <w:bookmarkEnd w:id="2400"/>
    <w:bookmarkStart w:id="2401" w:name="conclusion-53"/>
    <w:p>
      <w:pPr>
        <w:pStyle w:val="Heading3"/>
      </w:pPr>
      <w:r>
        <w:t xml:space="preserve">Conclusion</w:t>
      </w:r>
    </w:p>
    <w:p>
      <w:pPr>
        <w:pStyle w:val="FirstParagraph"/>
      </w:pPr>
      <w:r>
        <w:t xml:space="preserve">Lactotripeptides are two small milk peptides that inhibit the blood pressure-regulating enzyme ACE in the test tube. In early Japanese and Finnish studies they lowered blood pressure, but in several larger Dutch studies they did not, and measurable ACE inhibition could not be demonstrated in humans. Meta-analyses show a reduction in systolic blood pressure of about 1 to 4 mmHg, with indications of publication bias and a considerably smaller effect in Europe. EFSA has rejected a blood pressure claim. They are harmless, but no substitute for blood pressure treatment.</w:t>
      </w:r>
    </w:p>
    <w:bookmarkEnd w:id="2401"/>
    <w:bookmarkEnd w:id="2402"/>
    <w:bookmarkStart w:id="2453" w:name="carnosine"/>
    <w:p>
      <w:pPr>
        <w:pStyle w:val="Heading2"/>
      </w:pPr>
      <w:r>
        <w:t xml:space="preserve">Carnosine</w:t>
      </w:r>
    </w:p>
    <w:bookmarkStart w:id="2403" w:name="profile-54"/>
    <w:p>
      <w:pPr>
        <w:pStyle w:val="Heading3"/>
      </w:pPr>
      <w:r>
        <w:t xml:space="preserve">Profile</w:t>
      </w:r>
    </w:p>
    <w:p>
      <w:pPr>
        <w:numPr>
          <w:ilvl w:val="0"/>
          <w:numId w:val="1301"/>
        </w:numPr>
        <w:pStyle w:val="Compact"/>
      </w:pPr>
      <w:r>
        <w:rPr>
          <w:bCs/>
          <w:b/>
        </w:rPr>
        <w:t xml:space="preserve">Type/structure:</w:t>
      </w:r>
      <w:r>
        <w:t xml:space="preserve"> </w:t>
      </w:r>
      <w:r>
        <w:t xml:space="preserve">dipeptide of the amino acids beta-alanine and histidine (β-alanyl-L-histidine). Related substances are anserine (in poultry and fish) and homocarnosine (in the brain); together they are called histidine-containing dipeptides.</w:t>
      </w:r>
    </w:p>
    <w:p>
      <w:pPr>
        <w:numPr>
          <w:ilvl w:val="0"/>
          <w:numId w:val="1301"/>
        </w:numPr>
        <w:pStyle w:val="Compact"/>
      </w:pPr>
      <w:r>
        <w:rPr>
          <w:bCs/>
          <w:b/>
        </w:rPr>
        <w:t xml:space="preserve">Origin:</w:t>
      </w:r>
      <w:r>
        <w:t xml:space="preserve"> </w:t>
      </w:r>
      <w:r>
        <w:t xml:space="preserve">produced by the body, in high concentration in skeletal muscle, and also in the heart and brain. Carnosine is taken in with food mainly via meat and fish; plant foods contain practically none. For food supplements, it is produced synthetically.</w:t>
      </w:r>
    </w:p>
    <w:p>
      <w:pPr>
        <w:numPr>
          <w:ilvl w:val="0"/>
          <w:numId w:val="1301"/>
        </w:numPr>
        <w:pStyle w:val="Compact"/>
      </w:pPr>
      <w:r>
        <w:rPr>
          <w:bCs/>
          <w:b/>
        </w:rPr>
        <w:t xml:space="preserve">Mechanism of action:</w:t>
      </w:r>
      <w:r>
        <w:t xml:space="preserve"> </w:t>
      </w:r>
      <w:r>
        <w:t xml:space="preserve">buffer against acidification in muscle; in the laboratory, also scavenging of reactive breakdown products of sugars and fats (anti-glycation) and antioxidant activity.</w:t>
      </w:r>
    </w:p>
    <w:p>
      <w:pPr>
        <w:numPr>
          <w:ilvl w:val="0"/>
          <w:numId w:val="1301"/>
        </w:numPr>
        <w:pStyle w:val="Compact"/>
      </w:pPr>
      <w:r>
        <w:rPr>
          <w:bCs/>
          <w:b/>
        </w:rPr>
        <w:t xml:space="preserve">Related substances:</w:t>
      </w:r>
      <w:r>
        <w:t xml:space="preserve"> </w:t>
      </w:r>
      <w:r>
        <w:t xml:space="preserve">beta-alanine (the precursor, a widespread sports supplement); zinc carnosine (polaprezinc, a medicine for stomach ulcers in Japan); N-acetylcarnosine (in eye drops).</w:t>
      </w:r>
    </w:p>
    <w:p>
      <w:pPr>
        <w:numPr>
          <w:ilvl w:val="0"/>
          <w:numId w:val="1301"/>
        </w:numPr>
        <w:pStyle w:val="Compact"/>
      </w:pPr>
      <w:r>
        <w:rPr>
          <w:bCs/>
          <w:b/>
        </w:rPr>
        <w:t xml:space="preserve">Approval EU:</w:t>
      </w:r>
      <w:r>
        <w:t xml:space="preserve"> </w:t>
      </w:r>
      <w:r>
        <w:t xml:space="preserve">no approval as a medicine for carnosine; sold as a food supplement. No authorized health claim.</w:t>
      </w:r>
    </w:p>
    <w:p>
      <w:pPr>
        <w:numPr>
          <w:ilvl w:val="0"/>
          <w:numId w:val="1301"/>
        </w:numPr>
        <w:pStyle w:val="Compact"/>
      </w:pPr>
      <w:r>
        <w:rPr>
          <w:bCs/>
          <w:b/>
        </w:rPr>
        <w:t xml:space="preserve">Approval USA:</w:t>
      </w:r>
      <w:r>
        <w:t xml:space="preserve"> </w:t>
      </w:r>
      <w:r>
        <w:t xml:space="preserve">no approval as a drug; available as a dietary supplement.</w:t>
      </w:r>
    </w:p>
    <w:p>
      <w:pPr>
        <w:numPr>
          <w:ilvl w:val="0"/>
          <w:numId w:val="1301"/>
        </w:numPr>
        <w:pStyle w:val="Compact"/>
      </w:pPr>
      <w:r>
        <w:rPr>
          <w:bCs/>
          <w:b/>
        </w:rPr>
        <w:t xml:space="preserve">WADA:</w:t>
      </w:r>
      <w:r>
        <w:t xml:space="preserve"> </w:t>
      </w:r>
      <w:r>
        <w:t xml:space="preserve">carnosine and beta-alanine are not listed.</w:t>
      </w:r>
    </w:p>
    <w:p>
      <w:pPr>
        <w:numPr>
          <w:ilvl w:val="0"/>
          <w:numId w:val="1301"/>
        </w:numPr>
        <w:pStyle w:val="Compact"/>
      </w:pPr>
      <w:r>
        <w:rPr>
          <w:bCs/>
          <w:b/>
        </w:rPr>
        <w:t xml:space="preserve">Evidence level:</w:t>
      </w:r>
      <w:r>
        <w:t xml:space="preserve"> </w:t>
      </w:r>
      <w:r>
        <w:rPr>
          <w:bCs/>
          <w:b/>
        </w:rPr>
        <w:t xml:space="preserve">B</w:t>
      </w:r>
      <w:r>
        <w:t xml:space="preserve"> </w:t>
      </w:r>
      <w:r>
        <w:t xml:space="preserve">– several small randomized studies, one larger study with just under 300 participants; many results inconsistent.</w:t>
      </w:r>
    </w:p>
    <w:bookmarkEnd w:id="2403"/>
    <w:bookmarkStart w:id="2412" w:name="how-it-is-supposed-to-work-54"/>
    <w:p>
      <w:pPr>
        <w:pStyle w:val="Heading3"/>
      </w:pPr>
      <w:r>
        <w:t xml:space="preserve">How it is supposed to work</w:t>
      </w:r>
    </w:p>
    <w:p>
      <w:pPr>
        <w:pStyle w:val="FirstParagraph"/>
      </w:pPr>
      <w:r>
        <w:t xml:space="preserve">During short, very intense exertion – a 400-meter run or a rowing race – the muscle produces more acid than it can remove. The acidity rises and muscle performance declines. Carnosine is one of the buffers in muscle that neutralize this acid. In 18 elite Belgian rowers, the carnosine content of the calf muscles was closely related to speed over 100 to 6,000 meters</w:t>
      </w:r>
      <w:r>
        <w:rPr>
          <w:rStyle w:val="FootnoteReference"/>
        </w:rPr>
        <w:footnoteReference w:id="2404"/>
      </w:r>
      <w:r>
        <w:t xml:space="preserve">.</w:t>
      </w:r>
    </w:p>
    <w:p>
      <w:pPr>
        <w:pStyle w:val="BodyText"/>
      </w:pPr>
      <w:r>
        <w:t xml:space="preserve">In addition, carnosine has further properties in the laboratory: it scavenges reactive molecules that arise with high blood sugar or during the breakdown of fats and can damage proteins (so-called glycation and lipid peroxidation). From this come the hypotheses that carnosine could be beneficial in diabetes, vascular and kidney damage, brain aging or skin aging.</w:t>
      </w:r>
    </w:p>
    <w:bookmarkStart w:id="2407" w:name="the-absorption-problem-carnosinase"/>
    <w:p>
      <w:pPr>
        <w:pStyle w:val="Heading4"/>
      </w:pPr>
      <w:r>
        <w:t xml:space="preserve">The Absorption Problem: Carnosinase</w:t>
      </w:r>
    </w:p>
    <w:p>
      <w:pPr>
        <w:pStyle w:val="FirstParagraph"/>
      </w:pPr>
      <w:r>
        <w:t xml:space="preserve">Human blood contains a very active enzyme, serum carnosinase (CN1), which rapidly splits carnosine into beta-alanine and histidine. Rodents have practically none of this enzyme in their blood – an important reason why results from animal experiments are only partly transferable. As early as 1991, a study showed that part of the swallowed carnosine is absorbed unchanged from the gut (up to 14% was found in the urine), but was only detectable in the blood if carnosinase was blocked in the sample tube. The amount in the urine varied greatly and was lower the more active the person’s carnosinase was</w:t>
      </w:r>
      <w:r>
        <w:rPr>
          <w:rStyle w:val="FootnoteReference"/>
        </w:rPr>
        <w:footnoteReference w:id="2405"/>
      </w:r>
      <w:r>
        <w:t xml:space="preserve">.</w:t>
      </w:r>
    </w:p>
    <w:p>
      <w:pPr>
        <w:pStyle w:val="BodyText"/>
      </w:pPr>
      <w:r>
        <w:t xml:space="preserve">In the largest study to date, with 2 g of carnosine per day, carnosine levels in red blood cells roughly doubled after 6 and 12 weeks, and in the urine rose about sevenfold</w:t>
      </w:r>
      <w:r>
        <w:rPr>
          <w:rStyle w:val="FootnoteReference"/>
        </w:rPr>
        <w:footnoteReference w:id="2406"/>
      </w:r>
      <w:r>
        <w:t xml:space="preserve">. So carnosine does reach the body – but how much of it gets into muscle, brain or kidney is largely unknown.</w:t>
      </w:r>
    </w:p>
    <w:bookmarkEnd w:id="2407"/>
    <w:bookmarkStart w:id="2411" w:name="X808a9267d7d2132b3e25376cc1cb9fe120aae2f"/>
    <w:p>
      <w:pPr>
        <w:pStyle w:val="Heading4"/>
      </w:pPr>
      <w:r>
        <w:t xml:space="preserve">Beta-Alanine: the Detour via the Precursor</w:t>
      </w:r>
    </w:p>
    <w:p>
      <w:pPr>
        <w:pStyle w:val="FirstParagraph"/>
      </w:pPr>
      <w:r>
        <w:t xml:space="preserve">For muscle, a different route has become established. The body builds carnosine itself in the muscle cell from beta-alanine and histidine; beta-alanine is the limiting building block. Taking beta-alanine markedly increases the carnosine content in muscle. In an early study, four weeks of beta-alanine increased muscle carnosine content by an estimated 42 to 64%; isomolar amounts of carnosine had a similar effect</w:t>
      </w:r>
      <w:r>
        <w:rPr>
          <w:rStyle w:val="FootnoteReference"/>
        </w:rPr>
        <w:footnoteReference w:id="2408"/>
      </w:r>
      <w:r>
        <w:t xml:space="preserve">. After stopping, it took 12 to 16 weeks for the level to return to baseline</w:t>
      </w:r>
      <w:r>
        <w:rPr>
          <w:rStyle w:val="FootnoteReference"/>
        </w:rPr>
        <w:footnoteReference w:id="2409"/>
      </w:r>
      <w:r>
        <w:t xml:space="preserve">. Practically everyone responds to beta-alanine</w:t>
      </w:r>
      <w:r>
        <w:rPr>
          <w:rStyle w:val="FootnoteReference"/>
        </w:rPr>
        <w:footnoteReference w:id="2410"/>
      </w:r>
      <w:r>
        <w:t xml:space="preserve">.</w:t>
      </w:r>
    </w:p>
    <w:p>
      <w:pPr>
        <w:pStyle w:val="BodyText"/>
      </w:pPr>
      <w:r>
        <w:t xml:space="preserve">Beta-alanine is not a peptide but a single amino acid. It is covered only briefly here because it raises muscle carnosine content more reliably than carnosine itself and therefore plays by far the larger role in sport.</w:t>
      </w:r>
    </w:p>
    <w:bookmarkEnd w:id="2411"/>
    <w:bookmarkEnd w:id="2412"/>
    <w:bookmarkStart w:id="2440" w:name="human-studies-54"/>
    <w:p>
      <w:pPr>
        <w:pStyle w:val="Heading3"/>
      </w:pPr>
      <w:r>
        <w:t xml:space="preserve">Human studies</w:t>
      </w:r>
    </w:p>
    <w:p>
      <w:pPr>
        <w:pStyle w:val="FirstParagraph"/>
      </w:pPr>
      <w:r>
        <w:t xml:space="preserve">The PubMed search evaluated for this book (carnosine in the title, combined with supplementation or oral administration, search date October 2026) yielded 57 human studies; ClinicalTrials.gov lists 53 registry entries. Some of these actually concern beta-alanine or zinc carnosine. The studies are spread across many small fields of application.</w:t>
      </w:r>
    </w:p>
    <w:bookmarkStart w:id="2417" w:name="sport-and-physical-performance"/>
    <w:p>
      <w:pPr>
        <w:pStyle w:val="Heading4"/>
      </w:pPr>
      <w:r>
        <w:t xml:space="preserve">Sport and Physical Performance</w:t>
      </w:r>
    </w:p>
    <w:p>
      <w:pPr>
        <w:pStyle w:val="FirstParagraph"/>
      </w:pPr>
      <w:r>
        <w:t xml:space="preserve">In athletes, the evidence for</w:t>
      </w:r>
      <w:r>
        <w:t xml:space="preserve"> </w:t>
      </w:r>
      <w:r>
        <w:rPr>
          <w:bCs/>
          <w:b/>
        </w:rPr>
        <w:t xml:space="preserve">beta-alanine</w:t>
      </w:r>
      <w:r>
        <w:t xml:space="preserve"> </w:t>
      </w:r>
      <w:r>
        <w:t xml:space="preserve">is considerably better than for carnosine. A meta-analysis of 40 double-blind, placebo-controlled studies with 1,461 participants found a small overall effect (effect size 0.18). It was most pronounced for exercise lasting 0.5 to 10 minutes and for tests of exercise capacity to exhaustion, and less so for competitive performance</w:t>
      </w:r>
      <w:r>
        <w:rPr>
          <w:rStyle w:val="FootnoteReference"/>
        </w:rPr>
        <w:footnoteReference w:id="2413"/>
      </w:r>
      <w:r>
        <w:t xml:space="preserve">. An example: in 15 sprinters, beta-alanine increased the carnosine content in calf muscles by 37 to 47% and attenuated fatigue during repeated strength sets, but did not improve 400-meter time</w:t>
      </w:r>
      <w:r>
        <w:rPr>
          <w:rStyle w:val="FootnoteReference"/>
        </w:rPr>
        <w:footnoteReference w:id="2414"/>
      </w:r>
      <w:r>
        <w:t xml:space="preserve">. Even a doubling of muscle carnosine did not improve one-hour time in cyclists</w:t>
      </w:r>
      <w:r>
        <w:rPr>
          <w:rStyle w:val="FootnoteReference"/>
        </w:rPr>
        <w:footnoteReference w:id="2415"/>
      </w:r>
      <w:r>
        <w:t xml:space="preserve"> </w:t>
      </w:r>
      <w:r>
        <w:t xml:space="preserve">– which is logical, since acid buffering plays a smaller role in endurance exercise.</w:t>
      </w:r>
    </w:p>
    <w:p>
      <w:pPr>
        <w:pStyle w:val="BodyText"/>
      </w:pPr>
      <w:r>
        <w:t xml:space="preserve">For</w:t>
      </w:r>
      <w:r>
        <w:t xml:space="preserve"> </w:t>
      </w:r>
      <w:r>
        <w:rPr>
          <w:bCs/>
          <w:b/>
        </w:rPr>
        <w:t xml:space="preserve">carnosine itself</w:t>
      </w:r>
      <w:r>
        <w:t xml:space="preserve">, there are only a few performance studies. In the NEAT study (Nucleophilic Defense Against PM Toxicity, NCT03314987), 299 adults received 2 g of carnosine or placebo for twelve weeks. There were no differences in grip strength, walking speed and most tests; significant improvements were seen only in individual subgroups (certain age and sex groups) in calf raises and the step test</w:t>
      </w:r>
      <w:r>
        <w:rPr>
          <w:rStyle w:val="FootnoteReference"/>
        </w:rPr>
        <w:footnoteReference w:id="2416"/>
      </w:r>
      <w:r>
        <w:t xml:space="preserve">. Such subgroup findings are prone to chance results and need to be confirmed.</w:t>
      </w:r>
    </w:p>
    <w:bookmarkEnd w:id="2417"/>
    <w:bookmarkStart w:id="2421" w:name="diabetes-and-metabolism"/>
    <w:p>
      <w:pPr>
        <w:pStyle w:val="Heading4"/>
      </w:pPr>
      <w:r>
        <w:t xml:space="preserve">Diabetes and Metabolism</w:t>
      </w:r>
    </w:p>
    <w:p>
      <w:pPr>
        <w:pStyle w:val="FirstParagraph"/>
      </w:pPr>
      <w:r>
        <w:t xml:space="preserve">This is the most intensively studied medical field: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de Courten 2016, PMID 27040154</w:t>
            </w:r>
          </w:p>
        </w:tc>
        <w:tc>
          <w:tcPr/>
          <w:p>
            <w:pPr>
              <w:pStyle w:val="Compact"/>
              <w:jc w:val="left"/>
            </w:pPr>
            <w:r>
              <w:t xml:space="preserve">30 adults with overweight without diabetes, 2 g vs. placebo</w:t>
            </w:r>
          </w:p>
        </w:tc>
        <w:tc>
          <w:tcPr/>
          <w:p>
            <w:pPr>
              <w:pStyle w:val="Compact"/>
              <w:jc w:val="left"/>
            </w:pPr>
            <w:r>
              <w:t xml:space="preserve">12 weeks</w:t>
            </w:r>
          </w:p>
        </w:tc>
        <w:tc>
          <w:tcPr/>
          <w:p>
            <w:pPr>
              <w:pStyle w:val="Compact"/>
              <w:jc w:val="left"/>
            </w:pPr>
            <w:r>
              <w:t xml:space="preserve">Rise in fasting insulin and insulin resistance slowed under carnosine (pilot study)</w:t>
            </w:r>
          </w:p>
        </w:tc>
      </w:tr>
      <w:tr>
        <w:tc>
          <w:tcPr/>
          <w:p>
            <w:pPr>
              <w:pStyle w:val="Compact"/>
              <w:jc w:val="left"/>
            </w:pPr>
            <w:r>
              <w:t xml:space="preserve">Houjeghani 2018, PMID 29420997</w:t>
            </w:r>
          </w:p>
        </w:tc>
        <w:tc>
          <w:tcPr/>
          <w:p>
            <w:pPr>
              <w:pStyle w:val="Compact"/>
              <w:jc w:val="left"/>
            </w:pPr>
            <w:r>
              <w:t xml:space="preserve">54 people with type 2 diabetes, 1 g vs. placebo</w:t>
            </w:r>
          </w:p>
        </w:tc>
        <w:tc>
          <w:tcPr/>
          <w:p>
            <w:pPr>
              <w:pStyle w:val="Compact"/>
              <w:jc w:val="left"/>
            </w:pPr>
            <w:r>
              <w:t xml:space="preserve">12 weeks</w:t>
            </w:r>
          </w:p>
        </w:tc>
        <w:tc>
          <w:tcPr/>
          <w:p>
            <w:pPr>
              <w:pStyle w:val="Compact"/>
              <w:jc w:val="left"/>
            </w:pPr>
            <w:r>
              <w:t xml:space="preserve">Fasting glucose −13.1 mg/dl, HbA1c −0.6 percentage points vs. placebo</w:t>
            </w:r>
          </w:p>
        </w:tc>
      </w:tr>
      <w:tr>
        <w:tc>
          <w:tcPr/>
          <w:p>
            <w:pPr>
              <w:pStyle w:val="Compact"/>
              <w:jc w:val="left"/>
            </w:pPr>
            <w:r>
              <w:t xml:space="preserve">Hariharan 2024, PMID 38172006</w:t>
            </w:r>
          </w:p>
        </w:tc>
        <w:tc>
          <w:tcPr/>
          <w:p>
            <w:pPr>
              <w:pStyle w:val="Compact"/>
              <w:jc w:val="left"/>
            </w:pPr>
            <w:r>
              <w:t xml:space="preserve">43 adults with prediabetes or type 2 diabetes, 2 g vs. placebo</w:t>
            </w:r>
          </w:p>
        </w:tc>
        <w:tc>
          <w:tcPr/>
          <w:p>
            <w:pPr>
              <w:pStyle w:val="Compact"/>
              <w:jc w:val="left"/>
            </w:pPr>
            <w:r>
              <w:t xml:space="preserve">14 weeks</w:t>
            </w:r>
          </w:p>
        </w:tc>
        <w:tc>
          <w:tcPr/>
          <w:p>
            <w:pPr>
              <w:pStyle w:val="Compact"/>
              <w:jc w:val="left"/>
            </w:pPr>
            <w:r>
              <w:t xml:space="preserve">Lower blood glucose 90 and 120 minutes after glucose load; insulin unchanged</w:t>
            </w:r>
          </w:p>
        </w:tc>
      </w:tr>
      <w:tr>
        <w:tc>
          <w:tcPr/>
          <w:p>
            <w:pPr>
              <w:pStyle w:val="Compact"/>
              <w:jc w:val="left"/>
            </w:pPr>
            <w:r>
              <w:t xml:space="preserve">Saadati 2023, PMID 38004228</w:t>
            </w:r>
          </w:p>
        </w:tc>
        <w:tc>
          <w:tcPr/>
          <w:p>
            <w:pPr>
              <w:pStyle w:val="Compact"/>
              <w:jc w:val="left"/>
            </w:pPr>
            <w:r>
              <w:t xml:space="preserve">49 adults with prediabetes or well-controlled type 2 diabetes, 2 g vs. placebo</w:t>
            </w:r>
          </w:p>
        </w:tc>
        <w:tc>
          <w:tcPr/>
          <w:p>
            <w:pPr>
              <w:pStyle w:val="Compact"/>
              <w:jc w:val="left"/>
            </w:pPr>
            <w:r>
              <w:t xml:space="preserve">14 weeks</w:t>
            </w:r>
          </w:p>
        </w:tc>
        <w:tc>
          <w:tcPr/>
          <w:p>
            <w:pPr>
              <w:pStyle w:val="Compact"/>
              <w:jc w:val="left"/>
            </w:pPr>
            <w:r>
              <w:t xml:space="preserve">No effect on vascular function, arterial stiffness, blood lipids, blood pressure, liver and kidney values</w:t>
            </w:r>
          </w:p>
        </w:tc>
      </w:tr>
      <w:tr>
        <w:tc>
          <w:tcPr/>
          <w:p>
            <w:pPr>
              <w:pStyle w:val="Compact"/>
              <w:jc w:val="left"/>
            </w:pPr>
            <w:r>
              <w:t xml:space="preserve">Elbarbary 2018, PMID 28744992</w:t>
            </w:r>
          </w:p>
        </w:tc>
        <w:tc>
          <w:tcPr/>
          <w:p>
            <w:pPr>
              <w:pStyle w:val="Compact"/>
              <w:jc w:val="left"/>
            </w:pPr>
            <w:r>
              <w:t xml:space="preserve">90 children and adolescents with type 1 diabetes and kidney damage, 1 g vs. placebo</w:t>
            </w:r>
          </w:p>
        </w:tc>
        <w:tc>
          <w:tcPr/>
          <w:p>
            <w:pPr>
              <w:pStyle w:val="Compact"/>
              <w:jc w:val="left"/>
            </w:pPr>
            <w:r>
              <w:t xml:space="preserve">12 weeks</w:t>
            </w:r>
          </w:p>
        </w:tc>
        <w:tc>
          <w:tcPr/>
          <w:p>
            <w:pPr>
              <w:pStyle w:val="Compact"/>
              <w:jc w:val="left"/>
            </w:pPr>
            <w:r>
              <w:t xml:space="preserve">Urinary albumin, HbA1c and oxidation markers improved</w:t>
            </w:r>
          </w:p>
        </w:tc>
      </w:tr>
    </w:tbl>
    <w:p>
      <w:pPr>
        <w:pStyle w:val="BodyText"/>
      </w:pPr>
      <w:r>
        <w:t xml:space="preserve">Several meta-analyses summarize these studies. An analysis of four studies with 184 participants found a reduction in HbA1c of 0.92 percentage points, but no effect on fasting glucose, insulin resistance or blood lipids</w:t>
      </w:r>
      <w:r>
        <w:rPr>
          <w:rStyle w:val="FootnoteReference"/>
        </w:rPr>
        <w:footnoteReference w:id="2418"/>
      </w:r>
      <w:r>
        <w:t xml:space="preserve">. A Bayesian meta-analysis that considered carnosine and beta-alanine together estimated an HbA1c reduction of 0.91 percentage points in humans – based on only four human studies</w:t>
      </w:r>
      <w:r>
        <w:rPr>
          <w:rStyle w:val="FootnoteReference"/>
        </w:rPr>
        <w:footnoteReference w:id="2419"/>
      </w:r>
      <w:r>
        <w:t xml:space="preserve">. A more recent meta-analysis with eight studies and 377 participants with prediabetes or type 2 diabetes found improvements in fasting glucose and HbA1c, but not in insulin or body weight</w:t>
      </w:r>
      <w:r>
        <w:rPr>
          <w:rStyle w:val="FootnoteReference"/>
        </w:rPr>
        <w:footnoteReference w:id="2420"/>
      </w:r>
      <w:r>
        <w:t xml:space="preserve">.</w:t>
      </w:r>
    </w:p>
    <w:p>
      <w:pPr>
        <w:pStyle w:val="BodyText"/>
      </w:pPr>
      <w:r>
        <w:t xml:space="preserve">The effects look considerable on paper but rest on a very narrow basis: few, small, short studies, often from single centers, with partly contradictory results (compare the similarly designed 14-week studies by Hariharan 2024 and Saadati 2023, one of which found favorable effects on blood glucose, while the other found no effects on blood vessels and metabolic values). Whether carnosine prevents long-term complications of diabetes has never been studied.</w:t>
      </w:r>
    </w:p>
    <w:bookmarkEnd w:id="2421"/>
    <w:bookmarkStart w:id="2423" w:name="inflammation-and-oxidative-stress"/>
    <w:p>
      <w:pPr>
        <w:pStyle w:val="Heading4"/>
      </w:pPr>
      <w:r>
        <w:t xml:space="preserve">Inflammation and Oxidative Stress</w:t>
      </w:r>
    </w:p>
    <w:p>
      <w:pPr>
        <w:pStyle w:val="FirstParagraph"/>
      </w:pPr>
      <w:r>
        <w:t xml:space="preserve">A meta-analysis of nine studies with 350 participants found lower levels of the inflammatory marker CRP and the oxidation marker malondialdehyde under carnosine or histidine-containing dipeptides, but no change in several other markers</w:t>
      </w:r>
      <w:r>
        <w:rPr>
          <w:rStyle w:val="FootnoteReference"/>
        </w:rPr>
        <w:footnoteReference w:id="2422"/>
      </w:r>
      <w:r>
        <w:t xml:space="preserve">. Laboratory values, however, are surrogate parameters – whether they are associated with a health benefit is open.</w:t>
      </w:r>
    </w:p>
    <w:bookmarkEnd w:id="2423"/>
    <w:bookmarkStart w:id="2431" w:name="brain-memory-and-mental-health"/>
    <w:p>
      <w:pPr>
        <w:pStyle w:val="Heading4"/>
      </w:pPr>
      <w:r>
        <w:t xml:space="preserve">Brain, Memory and Mental Health</w:t>
      </w:r>
    </w:p>
    <w:p>
      <w:pPr>
        <w:numPr>
          <w:ilvl w:val="0"/>
          <w:numId w:val="1302"/>
        </w:numPr>
        <w:pStyle w:val="Compact"/>
      </w:pPr>
      <w:r>
        <w:rPr>
          <w:bCs/>
          <w:b/>
        </w:rPr>
        <w:t xml:space="preserve">Older people:</w:t>
      </w:r>
      <w:r>
        <w:t xml:space="preserve"> </w:t>
      </w:r>
      <w:r>
        <w:t xml:space="preserve">In Japanese studies by one research group, older people received a mixture of anserine and carnosine (3:1). In 39 healthy older people, delayed recall of verbal content was better preserved than under placebo</w:t>
      </w:r>
      <w:r>
        <w:rPr>
          <w:rStyle w:val="FootnoteReference"/>
        </w:rPr>
        <w:footnoteReference w:id="2424"/>
      </w:r>
      <w:r>
        <w:t xml:space="preserve">. In 54 people with mild cognitive impairment, a global dementia severity rating was more favorable under the mixture; most other tests did not differ</w:t>
      </w:r>
      <w:r>
        <w:rPr>
          <w:rStyle w:val="FootnoteReference"/>
        </w:rPr>
        <w:footnoteReference w:id="2425"/>
      </w:r>
      <w:r>
        <w:t xml:space="preserve">.</w:t>
      </w:r>
    </w:p>
    <w:p>
      <w:pPr>
        <w:numPr>
          <w:ilvl w:val="0"/>
          <w:numId w:val="1302"/>
        </w:numPr>
        <w:pStyle w:val="Compact"/>
      </w:pPr>
      <w:r>
        <w:rPr>
          <w:bCs/>
          <w:b/>
        </w:rPr>
        <w:t xml:space="preserve">Younger adults:</w:t>
      </w:r>
      <w:r>
        <w:t xml:space="preserve"> </w:t>
      </w:r>
      <w:r>
        <w:t xml:space="preserve">In a post hoc analysis of the NEAT study, speed and efficiency in cognitive tests improved only in the youngest age group (23–35 years)</w:t>
      </w:r>
      <w:r>
        <w:rPr>
          <w:rStyle w:val="FootnoteReference"/>
        </w:rPr>
        <w:footnoteReference w:id="2426"/>
      </w:r>
      <w:r>
        <w:t xml:space="preserve">.</w:t>
      </w:r>
    </w:p>
    <w:p>
      <w:pPr>
        <w:numPr>
          <w:ilvl w:val="0"/>
          <w:numId w:val="1302"/>
        </w:numPr>
        <w:pStyle w:val="Compact"/>
      </w:pPr>
      <w:r>
        <w:rPr>
          <w:bCs/>
          <w:b/>
        </w:rPr>
        <w:t xml:space="preserve">Summary:</w:t>
      </w:r>
      <w:r>
        <w:t xml:space="preserve"> </w:t>
      </w:r>
      <w:r>
        <w:t xml:space="preserve">A 2026 meta-analysis included 13 studies. Most cognitive tests showed no difference from placebo; favorable pooled effects were based in part on three studies by the same research group. The authors rate the strength of evidence as low</w:t>
      </w:r>
      <w:r>
        <w:rPr>
          <w:rStyle w:val="FootnoteReference"/>
        </w:rPr>
        <w:footnoteReference w:id="2427"/>
      </w:r>
      <w:r>
        <w:t xml:space="preserve">. Another meta-analysis found a reduction in depression scores (moderate certainty), but emphasizes small studies with a moderate to high risk of bias</w:t>
      </w:r>
      <w:r>
        <w:rPr>
          <w:rStyle w:val="FootnoteReference"/>
        </w:rPr>
        <w:footnoteReference w:id="2428"/>
      </w:r>
      <w:r>
        <w:t xml:space="preserve">.</w:t>
      </w:r>
    </w:p>
    <w:p>
      <w:pPr>
        <w:numPr>
          <w:ilvl w:val="0"/>
          <w:numId w:val="1302"/>
        </w:numPr>
        <w:pStyle w:val="Compact"/>
      </w:pPr>
      <w:r>
        <w:rPr>
          <w:bCs/>
          <w:b/>
        </w:rPr>
        <w:t xml:space="preserve">Autism:</w:t>
      </w:r>
      <w:r>
        <w:t xml:space="preserve"> </w:t>
      </w:r>
      <w:r>
        <w:t xml:space="preserve">An early study with 31 children reported improvements on a behavior scale</w:t>
      </w:r>
      <w:r>
        <w:rPr>
          <w:rStyle w:val="FootnoteReference"/>
        </w:rPr>
        <w:footnoteReference w:id="2429"/>
      </w:r>
      <w:r>
        <w:t xml:space="preserve">. A later randomized study with 63 evaluable children, by contrast, found no difference on any endpoint</w:t>
      </w:r>
      <w:r>
        <w:rPr>
          <w:rStyle w:val="FootnoteReference"/>
        </w:rPr>
        <w:footnoteReference w:id="2430"/>
      </w:r>
      <w:r>
        <w:t xml:space="preserve">.</w:t>
      </w:r>
    </w:p>
    <w:bookmarkEnd w:id="2431"/>
    <w:bookmarkStart w:id="2436" w:name="other-applications"/>
    <w:p>
      <w:pPr>
        <w:pStyle w:val="Heading4"/>
      </w:pPr>
      <w:r>
        <w:t xml:space="preserve">Other Applications</w:t>
      </w:r>
    </w:p>
    <w:p>
      <w:pPr>
        <w:numPr>
          <w:ilvl w:val="0"/>
          <w:numId w:val="1303"/>
        </w:numPr>
        <w:pStyle w:val="Compact"/>
      </w:pPr>
      <w:r>
        <w:rPr>
          <w:bCs/>
          <w:b/>
        </w:rPr>
        <w:t xml:space="preserve">Chemotherapy-induced nerve damage:</w:t>
      </w:r>
      <w:r>
        <w:t xml:space="preserve"> </w:t>
      </w:r>
      <w:r>
        <w:t xml:space="preserve">In a randomized pilot study with 65 patients with colorectal cancer, grade 2 nerve damage occurred less frequently under oxaliplatin chemotherapy plus carnosine (1 of 30 versus 19 of 31 without carnosine)</w:t>
      </w:r>
      <w:r>
        <w:rPr>
          <w:rStyle w:val="FootnoteReference"/>
        </w:rPr>
        <w:footnoteReference w:id="2432"/>
      </w:r>
      <w:r>
        <w:t xml:space="preserve">. The study was not blinded and had no placebo; confirmation is pending.</w:t>
      </w:r>
    </w:p>
    <w:p>
      <w:pPr>
        <w:numPr>
          <w:ilvl w:val="0"/>
          <w:numId w:val="1303"/>
        </w:numPr>
        <w:pStyle w:val="Compact"/>
      </w:pPr>
      <w:r>
        <w:rPr>
          <w:bCs/>
          <w:b/>
        </w:rPr>
        <w:t xml:space="preserve">Heart failure:</w:t>
      </w:r>
      <w:r>
        <w:t xml:space="preserve"> </w:t>
      </w:r>
      <w:r>
        <w:t xml:space="preserve">In 50 patients with severe heart failure, walking distance, maximal oxygen uptake and quality of life improved under carnosine compared with standard treatment</w:t>
      </w:r>
      <w:r>
        <w:rPr>
          <w:rStyle w:val="FootnoteReference"/>
        </w:rPr>
        <w:footnoteReference w:id="2433"/>
      </w:r>
      <w:r>
        <w:t xml:space="preserve"> </w:t>
      </w:r>
      <w:r>
        <w:t xml:space="preserve">– likewise without placebo.</w:t>
      </w:r>
    </w:p>
    <w:p>
      <w:pPr>
        <w:numPr>
          <w:ilvl w:val="0"/>
          <w:numId w:val="1303"/>
        </w:numPr>
        <w:pStyle w:val="Compact"/>
      </w:pPr>
      <w:r>
        <w:rPr>
          <w:bCs/>
          <w:b/>
        </w:rPr>
        <w:t xml:space="preserve">Gulf War illness:</w:t>
      </w:r>
      <w:r>
        <w:t xml:space="preserve"> </w:t>
      </w:r>
      <w:r>
        <w:t xml:space="preserve">In a small study with 25 veterans, one cognitive test improved; fatigue and pain remained unchanged</w:t>
      </w:r>
      <w:r>
        <w:rPr>
          <w:rStyle w:val="FootnoteReference"/>
        </w:rPr>
        <w:footnoteReference w:id="2434"/>
      </w:r>
      <w:r>
        <w:t xml:space="preserve">.</w:t>
      </w:r>
    </w:p>
    <w:p>
      <w:pPr>
        <w:numPr>
          <w:ilvl w:val="0"/>
          <w:numId w:val="1303"/>
        </w:numPr>
        <w:pStyle w:val="Compact"/>
      </w:pPr>
      <w:r>
        <w:rPr>
          <w:bCs/>
          <w:b/>
        </w:rPr>
        <w:t xml:space="preserve">Skin:</w:t>
      </w:r>
      <w:r>
        <w:t xml:space="preserve"> </w:t>
      </w:r>
      <w:r>
        <w:t xml:space="preserve">A study with a</w:t>
      </w:r>
      <w:r>
        <w:t xml:space="preserve"> </w:t>
      </w:r>
      <w:r>
        <w:t xml:space="preserve">“</w:t>
      </w:r>
      <w:r>
        <w:t xml:space="preserve">non-hydrolyzable</w:t>
      </w:r>
      <w:r>
        <w:t xml:space="preserve">”</w:t>
      </w:r>
      <w:r>
        <w:t xml:space="preserve"> </w:t>
      </w:r>
      <w:r>
        <w:t xml:space="preserve">carnosine preparation reported skin improvements; it comes from the inventor of the patented formulation and mixes laboratory experiments with a clinical trial</w:t>
      </w:r>
      <w:r>
        <w:rPr>
          <w:rStyle w:val="FootnoteReference"/>
        </w:rPr>
        <w:footnoteReference w:id="2435"/>
      </w:r>
      <w:r>
        <w:t xml:space="preserve">.</w:t>
      </w:r>
    </w:p>
    <w:bookmarkEnd w:id="2436"/>
    <w:bookmarkStart w:id="2439" w:name="Xa8819bf73d50a743c8efb96860ccfef6ec103b6"/>
    <w:p>
      <w:pPr>
        <w:pStyle w:val="Heading4"/>
      </w:pPr>
      <w:r>
        <w:t xml:space="preserve">Related Substances: Zinc Carnosine and N-Acetylcarnosine</w:t>
      </w:r>
    </w:p>
    <w:p>
      <w:pPr>
        <w:pStyle w:val="FirstParagraph"/>
      </w:pPr>
      <w:r>
        <w:rPr>
          <w:bCs/>
          <w:b/>
        </w:rPr>
        <w:t xml:space="preserve">Zinc carnosine (polaprezinc)</w:t>
      </w:r>
      <w:r>
        <w:t xml:space="preserve"> </w:t>
      </w:r>
      <w:r>
        <w:t xml:space="preserve">is a compound of zinc and carnosine used in Japan as a medicine for stomach ulcers. In a multicenter study with 224 patients, it was similarly effective after eight weeks as the comparator drug rebamipide (81.5% versus 74.3% healing rate, difference not significant)</w:t>
      </w:r>
      <w:r>
        <w:rPr>
          <w:rStyle w:val="FootnoteReference"/>
        </w:rPr>
        <w:footnoteReference w:id="2437"/>
      </w:r>
      <w:r>
        <w:t xml:space="preserve">. This effect is probably closely tied to the zinc and cannot be transferred to pure carnosine.</w:t>
      </w:r>
    </w:p>
    <w:p>
      <w:pPr>
        <w:pStyle w:val="BodyText"/>
      </w:pPr>
      <w:r>
        <w:rPr>
          <w:bCs/>
          <w:b/>
        </w:rPr>
        <w:t xml:space="preserve">N-acetylcarnosine eye drops</w:t>
      </w:r>
      <w:r>
        <w:t xml:space="preserve"> </w:t>
      </w:r>
      <w:r>
        <w:t xml:space="preserve">are promoted on the internet against cataracts. A Cochrane review found only two possible studies with 114 participants whose methodology could not be traced and concluded that there is no convincing evidence that the drops reverse cataracts or prevent their progression</w:t>
      </w:r>
      <w:r>
        <w:rPr>
          <w:rStyle w:val="FootnoteReference"/>
        </w:rPr>
        <w:footnoteReference w:id="2438"/>
      </w:r>
      <w:r>
        <w:t xml:space="preserve">. The only effective treatment remains surgery.</w:t>
      </w:r>
    </w:p>
    <w:bookmarkEnd w:id="2439"/>
    <w:bookmarkEnd w:id="2440"/>
    <w:bookmarkStart w:id="2443" w:name="animal-and-laboratory-studies-54"/>
    <w:p>
      <w:pPr>
        <w:pStyle w:val="Heading3"/>
      </w:pPr>
      <w:r>
        <w:t xml:space="preserve">Animal and laboratory studies</w:t>
      </w:r>
    </w:p>
    <w:p>
      <w:pPr>
        <w:pStyle w:val="FirstParagraph"/>
      </w:pPr>
      <w:r>
        <w:t xml:space="preserve">In cell cultures and in rodents, carnosine acts as an antioxidant, inhibits protein glycation and binds reactive aldehydes. In mice and rats, it improved blood glucose, diabetic kidney damage, wound healing and vascular function in many experiments. The Matthews 2021 meta-analysis included 16 rodent studies in addition to four human studies and rated the certainty of the animal data as very low</w:t>
      </w:r>
      <w:r>
        <w:rPr>
          <w:rStyle w:val="FootnoteReference"/>
        </w:rPr>
        <w:footnoteReference w:id="2441"/>
      </w:r>
      <w:r>
        <w:t xml:space="preserve">.</w:t>
      </w:r>
    </w:p>
    <w:p>
      <w:pPr>
        <w:pStyle w:val="BodyText"/>
      </w:pPr>
      <w:r>
        <w:t xml:space="preserve">A fundamental transfer problem remains: rodents have practically no carnosinase in their blood. In mice genetically engineered to carry the human enzyme, diabetes and kidney damage were more severe</w:t>
      </w:r>
      <w:r>
        <w:rPr>
          <w:rStyle w:val="FootnoteReference"/>
        </w:rPr>
        <w:footnoteReference w:id="2442"/>
      </w:r>
      <w:r>
        <w:t xml:space="preserve">. This suggests that in humans the enzyme could considerably limit the effect of supplemented carnosine.</w:t>
      </w:r>
    </w:p>
    <w:bookmarkEnd w:id="2443"/>
    <w:bookmarkStart w:id="2446" w:name="risks-and-side-effects-54"/>
    <w:p>
      <w:pPr>
        <w:pStyle w:val="Heading3"/>
      </w:pPr>
      <w:r>
        <w:t xml:space="preserve">Risks and side effects</w:t>
      </w:r>
    </w:p>
    <w:p>
      <w:pPr>
        <w:pStyle w:val="FirstParagraph"/>
      </w:pPr>
      <w:r>
        <w:rPr>
          <w:bCs/>
          <w:b/>
        </w:rPr>
        <w:t xml:space="preserve">Established:</w:t>
      </w:r>
      <w:r>
        <w:t xml:space="preserve"> </w:t>
      </w:r>
      <w:r>
        <w:t xml:space="preserve">In the studies so far – with daily amounts of up to 2 g for up to 14 weeks – no relevant side effects were reported. In the NEAT study with just under 300 participants, there were no changes in kidney, liver or heart function or blood electrolytes</w:t>
      </w:r>
      <w:r>
        <w:rPr>
          <w:rStyle w:val="FootnoteReference"/>
        </w:rPr>
        <w:footnoteReference w:id="2444"/>
      </w:r>
      <w:r>
        <w:t xml:space="preserve">.</w:t>
      </w:r>
    </w:p>
    <w:p>
      <w:pPr>
        <w:pStyle w:val="BodyText"/>
      </w:pPr>
      <w:r>
        <w:rPr>
          <w:bCs/>
          <w:b/>
        </w:rPr>
        <w:t xml:space="preserve">Beta-alanine:</w:t>
      </w:r>
      <w:r>
        <w:t xml:space="preserve"> </w:t>
      </w:r>
      <w:r>
        <w:t xml:space="preserve">The only regularly reported side effect is a harmless but unpleasant tingling of the skin (paresthesia), usually on the face and hands, shortly after intake. A risk assessment based on 101 human studies estimated the odds of this to be about nine times higher under beta-alanine than under placebo (odds ratio 8.9); discontinuation rates did not differ, and a slight rise in one liver value remained within the normal range</w:t>
      </w:r>
      <w:r>
        <w:rPr>
          <w:rStyle w:val="FootnoteReference"/>
        </w:rPr>
        <w:footnoteReference w:id="2445"/>
      </w:r>
      <w:r>
        <w:t xml:space="preserve">.</w:t>
      </w:r>
    </w:p>
    <w:p>
      <w:pPr>
        <w:pStyle w:val="BodyText"/>
      </w:pPr>
      <w:r>
        <w:rPr>
          <w:bCs/>
          <w:b/>
        </w:rPr>
        <w:t xml:space="preserve">Theoretical or unclear:</w:t>
      </w:r>
    </w:p>
    <w:p>
      <w:pPr>
        <w:numPr>
          <w:ilvl w:val="0"/>
          <w:numId w:val="1304"/>
        </w:numPr>
        <w:pStyle w:val="Compact"/>
      </w:pPr>
      <w:r>
        <w:t xml:space="preserve">Long-term data covering more than one year are lacking.</w:t>
      </w:r>
    </w:p>
    <w:p>
      <w:pPr>
        <w:numPr>
          <w:ilvl w:val="0"/>
          <w:numId w:val="1304"/>
        </w:numPr>
        <w:pStyle w:val="Compact"/>
      </w:pPr>
      <w:r>
        <w:t xml:space="preserve">There are no safety data for pregnancy, breastfeeding and children (apart from the small studies mentioned).</w:t>
      </w:r>
    </w:p>
    <w:p>
      <w:pPr>
        <w:numPr>
          <w:ilvl w:val="0"/>
          <w:numId w:val="1304"/>
        </w:numPr>
        <w:pStyle w:val="Compact"/>
      </w:pPr>
      <w:r>
        <w:t xml:space="preserve">With diabetes medications, an enhancement of blood glucose lowering is conceivable but not established; blood glucose monitoring and consultation with a doctor are advisable.</w:t>
      </w:r>
    </w:p>
    <w:p>
      <w:pPr>
        <w:numPr>
          <w:ilvl w:val="0"/>
          <w:numId w:val="1304"/>
        </w:numPr>
        <w:pStyle w:val="Compact"/>
      </w:pPr>
      <w:r>
        <w:t xml:space="preserve">As with all food supplements, quality depends on the manufacturer.</w:t>
      </w:r>
    </w:p>
    <w:bookmarkEnd w:id="2446"/>
    <w:bookmarkStart w:id="2447" w:name="legal-status-54"/>
    <w:p>
      <w:pPr>
        <w:pStyle w:val="Heading3"/>
      </w:pPr>
      <w:r>
        <w:t xml:space="preserve">Legal status</w:t>
      </w:r>
    </w:p>
    <w:p>
      <w:pPr>
        <w:numPr>
          <w:ilvl w:val="0"/>
          <w:numId w:val="1305"/>
        </w:numPr>
        <w:pStyle w:val="Compact"/>
      </w:pPr>
      <w:r>
        <w:rPr>
          <w:bCs/>
          <w:b/>
        </w:rPr>
        <w:t xml:space="preserve">EU / Austria / Germany:</w:t>
      </w:r>
      <w:r>
        <w:t xml:space="preserve"> </w:t>
      </w:r>
      <w:r>
        <w:t xml:space="preserve">Carnosine is sold as a food supplement. There is no authorized health claim for carnosine under the Health Claims Regulation (Regulation (EC) No 1924/2006); advertising claims such as</w:t>
      </w:r>
      <w:r>
        <w:t xml:space="preserve"> </w:t>
      </w:r>
      <w:r>
        <w:t xml:space="preserve">“</w:t>
      </w:r>
      <w:r>
        <w:t xml:space="preserve">anti-aging</w:t>
      </w:r>
      <w:r>
        <w:t xml:space="preserve">”</w:t>
      </w:r>
      <w:r>
        <w:t xml:space="preserve"> </w:t>
      </w:r>
      <w:r>
        <w:t xml:space="preserve">or</w:t>
      </w:r>
      <w:r>
        <w:t xml:space="preserve"> </w:t>
      </w:r>
      <w:r>
        <w:t xml:space="preserve">“</w:t>
      </w:r>
      <w:r>
        <w:t xml:space="preserve">protects cells</w:t>
      </w:r>
      <w:r>
        <w:t xml:space="preserve">”</w:t>
      </w:r>
      <w:r>
        <w:t xml:space="preserve"> </w:t>
      </w:r>
      <w:r>
        <w:t xml:space="preserve">are therefore not permitted. Whether individual preparations are to be classified as novel foods may vary from product to product – please check for updates. Zinc carnosine is not approved as a medicine in the EU; N-acetylcarnosine eye drops have no approval as a medicine for cataracts.</w:t>
      </w:r>
    </w:p>
    <w:p>
      <w:pPr>
        <w:numPr>
          <w:ilvl w:val="0"/>
          <w:numId w:val="1305"/>
        </w:numPr>
        <w:pStyle w:val="Compact"/>
      </w:pPr>
      <w:r>
        <w:rPr>
          <w:bCs/>
          <w:b/>
        </w:rPr>
        <w:t xml:space="preserve">USA:</w:t>
      </w:r>
      <w:r>
        <w:t xml:space="preserve"> </w:t>
      </w:r>
      <w:r>
        <w:t xml:space="preserve">available as a dietary supplement, without approval as a drug.</w:t>
      </w:r>
    </w:p>
    <w:p>
      <w:pPr>
        <w:numPr>
          <w:ilvl w:val="0"/>
          <w:numId w:val="1305"/>
        </w:numPr>
        <w:pStyle w:val="Compact"/>
      </w:pPr>
      <w:r>
        <w:rPr>
          <w:bCs/>
          <w:b/>
        </w:rPr>
        <w:t xml:space="preserve">Japan:</w:t>
      </w:r>
      <w:r>
        <w:t xml:space="preserve"> </w:t>
      </w:r>
      <w:r>
        <w:t xml:space="preserve">Polaprezinc (zinc carnosine) is an approved stomach medicine.</w:t>
      </w:r>
    </w:p>
    <w:p>
      <w:pPr>
        <w:numPr>
          <w:ilvl w:val="0"/>
          <w:numId w:val="1305"/>
        </w:numPr>
        <w:pStyle w:val="Compact"/>
      </w:pPr>
      <w:r>
        <w:rPr>
          <w:bCs/>
          <w:b/>
        </w:rPr>
        <w:t xml:space="preserve">Sport:</w:t>
      </w:r>
      <w:r>
        <w:t xml:space="preserve"> </w:t>
      </w:r>
      <w:r>
        <w:t xml:space="preserve">Neither carnosine nor beta-alanine is on the WADA Prohibited List (as of 2026, please check for updates).</w:t>
      </w:r>
    </w:p>
    <w:bookmarkEnd w:id="2447"/>
    <w:bookmarkStart w:id="2451" w:name="ongoing-studies-and-outlook-54"/>
    <w:p>
      <w:pPr>
        <w:pStyle w:val="Heading3"/>
      </w:pPr>
      <w:r>
        <w:t xml:space="preserve">Ongoing studies and outlook</w:t>
      </w:r>
    </w:p>
    <w:p>
      <w:pPr>
        <w:pStyle w:val="FirstParagraph"/>
      </w:pPr>
      <w:r>
        <w:rPr>
          <w:bCs/>
          <w:b/>
        </w:rPr>
        <w:t xml:space="preserve">Established (registered studies, as of October 2026):</w:t>
      </w:r>
    </w:p>
    <w:p>
      <w:pPr>
        <w:numPr>
          <w:ilvl w:val="0"/>
          <w:numId w:val="1306"/>
        </w:numPr>
        <w:pStyle w:val="Compact"/>
      </w:pPr>
      <w:r>
        <w:rPr>
          <w:bCs/>
          <w:b/>
        </w:rPr>
        <w:t xml:space="preserve">Peripheral artery disease:</w:t>
      </w:r>
      <w:r>
        <w:t xml:space="preserve"> </w:t>
      </w:r>
      <w:r>
        <w:t xml:space="preserve">A phase 1/2 trial with a planned 144 participants is investigating carnosine in circulatory disorders of the legs</w:t>
      </w:r>
      <w:r>
        <w:rPr>
          <w:rStyle w:val="FootnoteReference"/>
        </w:rPr>
        <w:footnoteReference w:id="2448"/>
      </w:r>
      <w:r>
        <w:t xml:space="preserve">; earlier smaller studies on the same topic have been completed or are listed with unknown status.</w:t>
      </w:r>
    </w:p>
    <w:p>
      <w:pPr>
        <w:numPr>
          <w:ilvl w:val="0"/>
          <w:numId w:val="1306"/>
        </w:numPr>
        <w:pStyle w:val="Compact"/>
      </w:pPr>
      <w:r>
        <w:rPr>
          <w:bCs/>
          <w:b/>
        </w:rPr>
        <w:t xml:space="preserve">Gerotherapy:</w:t>
      </w:r>
      <w:r>
        <w:t xml:space="preserve"> </w:t>
      </w:r>
      <w:r>
        <w:t xml:space="preserve">A small phase 3 trial with 30 participants is testing combinations of substances to improve healthy lifespan, including carnosine</w:t>
      </w:r>
      <w:r>
        <w:rPr>
          <w:rStyle w:val="FootnoteReference"/>
        </w:rPr>
        <w:footnoteReference w:id="2449"/>
      </w:r>
      <w:r>
        <w:t xml:space="preserve">.</w:t>
      </w:r>
    </w:p>
    <w:p>
      <w:pPr>
        <w:numPr>
          <w:ilvl w:val="0"/>
          <w:numId w:val="1306"/>
        </w:numPr>
        <w:pStyle w:val="Compact"/>
      </w:pPr>
      <w:r>
        <w:t xml:space="preserve">The NEAT study</w:t>
      </w:r>
      <w:r>
        <w:rPr>
          <w:rStyle w:val="FootnoteReference"/>
        </w:rPr>
        <w:footnoteReference w:id="2450"/>
      </w:r>
      <w:r>
        <w:t xml:space="preserve"> </w:t>
      </w:r>
      <w:r>
        <w:t xml:space="preserve">has been completed; further analyses on blood vessels and air pollution are possible.</w:t>
      </w:r>
    </w:p>
    <w:p>
      <w:pPr>
        <w:pStyle w:val="FirstParagraph"/>
      </w:pPr>
      <w:r>
        <w:rPr>
          <w:bCs/>
          <w:b/>
        </w:rPr>
        <w:t xml:space="preserve">Assessment:</w:t>
      </w:r>
      <w:r>
        <w:t xml:space="preserve"> </w:t>
      </w:r>
      <w:r>
        <w:t xml:space="preserve">Carnosine is biologically interesting, but the human studies are small and inconsistent. For sport, the precursor beta-alanine is the better-supported route. For diabetes and brain aging, larger, longer studies with clinical endpoints would be needed. One research approach is carnosinase-resistant derivatives that are not immediately broken down in the blood – but they are still at the laboratory stage.</w:t>
      </w:r>
    </w:p>
    <w:bookmarkEnd w:id="2451"/>
    <w:bookmarkStart w:id="2452" w:name="conclusion-54"/>
    <w:p>
      <w:pPr>
        <w:pStyle w:val="Heading3"/>
      </w:pPr>
      <w:r>
        <w:t xml:space="preserve">Conclusion</w:t>
      </w:r>
    </w:p>
    <w:p>
      <w:pPr>
        <w:pStyle w:val="FirstParagraph"/>
      </w:pPr>
      <w:r>
        <w:t xml:space="preserve">Carnosine is a dipeptide produced by the body that buffers acid in muscle and in the laboratory protects cells from breakdown products of sugars and fats. In humans, it is rapidly broken down in the blood by the enzyme carnosinase, which is why animal results are only partly transferable. Small studies and meta-analyses suggest a slight improvement in long-term blood glucose in diabetes and effects on inflammatory markers; for performance, memory and skin aging, the data are weak or contradictory. For athletic performance, the precursor beta-alanine has been better studied and is associated with small advantages during short, intense exertion. Carnosine is considered well tolerated in the amounts studied.</w:t>
      </w:r>
    </w:p>
    <w:bookmarkEnd w:id="2452"/>
    <w:bookmarkEnd w:id="2453"/>
    <w:bookmarkStart w:id="2481" w:name="ghk-cu-copper-peptide"/>
    <w:p>
      <w:pPr>
        <w:pStyle w:val="Heading2"/>
      </w:pPr>
      <w:r>
        <w:t xml:space="preserve">GHK-Cu (Copper Peptide)</w:t>
      </w:r>
    </w:p>
    <w:bookmarkStart w:id="2455" w:name="profile-55"/>
    <w:p>
      <w:pPr>
        <w:pStyle w:val="Heading3"/>
      </w:pPr>
      <w:r>
        <w:t xml:space="preserve">Profile</w:t>
      </w:r>
    </w:p>
    <w:p>
      <w:pPr>
        <w:numPr>
          <w:ilvl w:val="0"/>
          <w:numId w:val="1307"/>
        </w:numPr>
        <w:pStyle w:val="Compact"/>
      </w:pPr>
      <w:r>
        <w:rPr>
          <w:bCs/>
          <w:b/>
        </w:rPr>
        <w:t xml:space="preserve">Type/structure:</w:t>
      </w:r>
      <w:r>
        <w:t xml:space="preserve"> </w:t>
      </w:r>
      <w:r>
        <w:t xml:space="preserve">tripeptide of glycine, histidine and lysine (Gly-His-Lys, GHK for short) that tightly binds a copper ion. In cosmetic ingredient lists it is usually called</w:t>
      </w:r>
      <w:r>
        <w:t xml:space="preserve"> </w:t>
      </w:r>
      <w:r>
        <w:rPr>
          <w:iCs/>
          <w:i/>
        </w:rPr>
        <w:t xml:space="preserve">Copper Tripeptide-1</w:t>
      </w:r>
      <w:r>
        <w:t xml:space="preserve">. A related form without copper but with a fatty acid residue is palmitoyl tripeptide-1 (Pal-GHK), a component of</w:t>
      </w:r>
      <w:r>
        <w:t xml:space="preserve"> </w:t>
      </w:r>
      <w:r>
        <w:t xml:space="preserve">“</w:t>
      </w:r>
      <w:r>
        <w:t xml:space="preserve">Matrixyl 3000.</w:t>
      </w:r>
      <w:r>
        <w:t xml:space="preserve">”</w:t>
      </w:r>
    </w:p>
    <w:p>
      <w:pPr>
        <w:numPr>
          <w:ilvl w:val="0"/>
          <w:numId w:val="1307"/>
        </w:numPr>
        <w:pStyle w:val="Compact"/>
      </w:pPr>
      <w:r>
        <w:rPr>
          <w:bCs/>
          <w:b/>
        </w:rPr>
        <w:t xml:space="preserve">Origin:</w:t>
      </w:r>
      <w:r>
        <w:t xml:space="preserve"> </w:t>
      </w:r>
      <w:r>
        <w:t xml:space="preserve">produced by the body. GHK was discovered in human blood plasma in the 1970s</w:t>
      </w:r>
      <w:r>
        <w:rPr>
          <w:rStyle w:val="FootnoteReference"/>
        </w:rPr>
        <w:footnoteReference w:id="2454"/>
      </w:r>
      <w:r>
        <w:t xml:space="preserve"> </w:t>
      </w:r>
      <w:r>
        <w:t xml:space="preserve">and also occurs in saliva and urine. The GHK sequence is part of collagen and could be released during its breakdown. For products, it is produced synthetically.</w:t>
      </w:r>
    </w:p>
    <w:p>
      <w:pPr>
        <w:numPr>
          <w:ilvl w:val="0"/>
          <w:numId w:val="1307"/>
        </w:numPr>
        <w:pStyle w:val="Compact"/>
      </w:pPr>
      <w:r>
        <w:rPr>
          <w:bCs/>
          <w:b/>
        </w:rPr>
        <w:t xml:space="preserve">Mechanism of action:</w:t>
      </w:r>
      <w:r>
        <w:t xml:space="preserve"> </w:t>
      </w:r>
      <w:r>
        <w:t xml:space="preserve">supposed to stimulate wound healing and connective tissue remodeling, among other things by transporting copper into cells and stimulating collagen production.</w:t>
      </w:r>
    </w:p>
    <w:p>
      <w:pPr>
        <w:numPr>
          <w:ilvl w:val="0"/>
          <w:numId w:val="1307"/>
        </w:numPr>
        <w:pStyle w:val="Compact"/>
      </w:pPr>
      <w:r>
        <w:rPr>
          <w:bCs/>
          <w:b/>
        </w:rPr>
        <w:t xml:space="preserve">Use:</w:t>
      </w:r>
      <w:r>
        <w:t xml:space="preserve"> </w:t>
      </w:r>
      <w:r>
        <w:t xml:space="preserve">permitted as an ingredient in cosmetics (creams, serums, hair care). In addition, offered on the gray market as a</w:t>
      </w:r>
      <w:r>
        <w:t xml:space="preserve"> </w:t>
      </w:r>
      <w:r>
        <w:t xml:space="preserve">“</w:t>
      </w:r>
      <w:r>
        <w:t xml:space="preserve">research peptide</w:t>
      </w:r>
      <w:r>
        <w:t xml:space="preserve">”</w:t>
      </w:r>
      <w:r>
        <w:t xml:space="preserve"> </w:t>
      </w:r>
      <w:r>
        <w:t xml:space="preserve">for injection.</w:t>
      </w:r>
    </w:p>
    <w:p>
      <w:pPr>
        <w:numPr>
          <w:ilvl w:val="0"/>
          <w:numId w:val="1307"/>
        </w:numPr>
        <w:pStyle w:val="Compact"/>
      </w:pPr>
      <w:r>
        <w:rPr>
          <w:bCs/>
          <w:b/>
        </w:rPr>
        <w:t xml:space="preserve">Approval EU:</w:t>
      </w:r>
      <w:r>
        <w:t xml:space="preserve"> </w:t>
      </w:r>
      <w:r>
        <w:t xml:space="preserve">no approval as a medicine. Usable as a cosmetic ingredient.</w:t>
      </w:r>
    </w:p>
    <w:p>
      <w:pPr>
        <w:numPr>
          <w:ilvl w:val="0"/>
          <w:numId w:val="1307"/>
        </w:numPr>
        <w:pStyle w:val="Compact"/>
      </w:pPr>
      <w:r>
        <w:rPr>
          <w:bCs/>
          <w:b/>
        </w:rPr>
        <w:t xml:space="preserve">Approval USA:</w:t>
      </w:r>
      <w:r>
        <w:t xml:space="preserve"> </w:t>
      </w:r>
      <w:r>
        <w:t xml:space="preserve">no approval as a drug; sold as a cosmetic ingredient. There are restrictions on the preparation of injectable formulations in pharmacies (see Legal Status).</w:t>
      </w:r>
    </w:p>
    <w:p>
      <w:pPr>
        <w:numPr>
          <w:ilvl w:val="0"/>
          <w:numId w:val="1307"/>
        </w:numPr>
        <w:pStyle w:val="Compact"/>
      </w:pPr>
      <w:r>
        <w:rPr>
          <w:bCs/>
          <w:b/>
        </w:rPr>
        <w:t xml:space="preserve">WADA:</w:t>
      </w:r>
      <w:r>
        <w:t xml:space="preserve"> </w:t>
      </w:r>
      <w:r>
        <w:t xml:space="preserve">not listed by name. When injected as a non-approved substance, category S0 (</w:t>
      </w:r>
      <w:r>
        <w:t xml:space="preserve">“</w:t>
      </w:r>
      <w:r>
        <w:t xml:space="preserve">non-approved substances</w:t>
      </w:r>
      <w:r>
        <w:t xml:space="preserve">”</w:t>
      </w:r>
      <w:r>
        <w:t xml:space="preserve">) may apply.</w:t>
      </w:r>
    </w:p>
    <w:p>
      <w:pPr>
        <w:numPr>
          <w:ilvl w:val="0"/>
          <w:numId w:val="1307"/>
        </w:numPr>
        <w:pStyle w:val="Compact"/>
      </w:pPr>
      <w:r>
        <w:rPr>
          <w:bCs/>
          <w:b/>
        </w:rPr>
        <w:t xml:space="preserve">Evidence level:</w:t>
      </w:r>
      <w:r>
        <w:t xml:space="preserve"> </w:t>
      </w:r>
      <w:r>
        <w:rPr>
          <w:bCs/>
          <w:b/>
        </w:rPr>
        <w:t xml:space="preserve">C</w:t>
      </w:r>
      <w:r>
        <w:t xml:space="preserve"> </w:t>
      </w:r>
      <w:r>
        <w:t xml:space="preserve">– one older randomized wound study and a few very small skin studies; for the uses promoted today (anti-aging cosmetics, injections), no robust controlled human data.</w:t>
      </w:r>
    </w:p>
    <w:bookmarkEnd w:id="2455"/>
    <w:bookmarkStart w:id="2462" w:name="how-it-is-supposed-to-work-55"/>
    <w:p>
      <w:pPr>
        <w:pStyle w:val="Heading3"/>
      </w:pPr>
      <w:r>
        <w:t xml:space="preserve">How it is supposed to work</w:t>
      </w:r>
    </w:p>
    <w:p>
      <w:pPr>
        <w:pStyle w:val="FirstParagraph"/>
      </w:pPr>
      <w:r>
        <w:t xml:space="preserve">GHK binds copper so tightly that it can transport this vital trace element into cells. Copper is needed by several enzymes that are important for connective tissue, such as lysyl oxidase, which cross-links collagen and elastin fibers. An early paper suggested as early as 1980 that GHK exerts its effect on cells by facilitating copper uptake</w:t>
      </w:r>
      <w:r>
        <w:rPr>
          <w:rStyle w:val="FootnoteReference"/>
        </w:rPr>
        <w:footnoteReference w:id="2456"/>
      </w:r>
      <w:r>
        <w:t xml:space="preserve">.</w:t>
      </w:r>
    </w:p>
    <w:p>
      <w:pPr>
        <w:pStyle w:val="BodyText"/>
      </w:pPr>
      <w:r>
        <w:t xml:space="preserve">In cell cultures, GHK-Cu stimulated collagen production by fibroblasts even at extremely low concentrations; the maximum was at about one nanomole per liter</w:t>
      </w:r>
      <w:r>
        <w:rPr>
          <w:rStyle w:val="FootnoteReference"/>
        </w:rPr>
        <w:footnoteReference w:id="2457"/>
      </w:r>
      <w:r>
        <w:t xml:space="preserve">. The discoverer of GHK, Loren Pickart, has described a large number of further effects in several reviews – on wound healing, hair growth, inflammation, nerve growth and even on the activity of thousands of genes</w:t>
      </w:r>
      <w:r>
        <w:rPr>
          <w:rStyle w:val="FootnoteReference"/>
        </w:rPr>
        <w:footnoteReference w:id="2458"/>
      </w:r>
      <w:r>
        <w:t xml:space="preserve">. These claims are based mainly on cell and animal experiments and on gene expression data from databases, not on human studies. In addition, many of these reviews come from the circle of people who have also developed GHK-Cu commercially – a fact that readers should be aware of when evaluating them.</w:t>
      </w:r>
    </w:p>
    <w:bookmarkStart w:id="2461" w:name="does-the-peptide-get-through-the-skin"/>
    <w:p>
      <w:pPr>
        <w:pStyle w:val="Heading4"/>
      </w:pPr>
      <w:r>
        <w:t xml:space="preserve">Does the Peptide Get Through the Skin?</w:t>
      </w:r>
    </w:p>
    <w:p>
      <w:pPr>
        <w:pStyle w:val="FirstParagraph"/>
      </w:pPr>
      <w:r>
        <w:t xml:space="preserve">For cosmetic use, it is decisive whether GHK-Cu overcomes the skin barrier. The stratum corneum of the skin is poorly permeable to water-soluble, charged molecules such as GHK. A 2025 review concludes that GHK could undoubtedly be considered an anti-wrinkle agent in cell experiments, but that there are strikingly few clinical studies; copper binding and fatty acid attachments improve permeability, and microneedles and other aids are being researched</w:t>
      </w:r>
      <w:r>
        <w:rPr>
          <w:rStyle w:val="FootnoteReference"/>
        </w:rPr>
        <w:footnoteReference w:id="2459"/>
      </w:r>
      <w:r>
        <w:t xml:space="preserve">. A study in three volunteers found the related Pal-GHK in all layers of the stratum corneum after application, but only between the cells and in decreasing amounts with depth</w:t>
      </w:r>
      <w:r>
        <w:rPr>
          <w:rStyle w:val="FootnoteReference"/>
        </w:rPr>
        <w:footnoteReference w:id="2460"/>
      </w:r>
      <w:r>
        <w:t xml:space="preserve">. Whether sufficient amounts reach the deeper layers of the skin where collagen is formed has not been clarified.</w:t>
      </w:r>
    </w:p>
    <w:bookmarkEnd w:id="2461"/>
    <w:bookmarkEnd w:id="2462"/>
    <w:bookmarkStart w:id="2466" w:name="human-studies-55"/>
    <w:p>
      <w:pPr>
        <w:pStyle w:val="Heading3"/>
      </w:pPr>
      <w:r>
        <w:t xml:space="preserve">Human studies</w:t>
      </w:r>
    </w:p>
    <w:p>
      <w:pPr>
        <w:pStyle w:val="FirstParagraph"/>
      </w:pPr>
      <w:r>
        <w:t xml:space="preserve">The PubMed search evaluated for this book (GHK-Cu, copper tripeptide or copper peptide GHK in title or abstract, search date October 2026) yielded only</w:t>
      </w:r>
      <w:r>
        <w:t xml:space="preserve"> </w:t>
      </w:r>
      <w:r>
        <w:rPr>
          <w:bCs/>
          <w:b/>
        </w:rPr>
        <w:t xml:space="preserve">one</w:t>
      </w:r>
      <w:r>
        <w:t xml:space="preserve"> </w:t>
      </w:r>
      <w:r>
        <w:t xml:space="preserve">human study. On ClinicalTrials.gov, the search yielded 25 entries, but almost all of them concern other copper compounds (such as radioactive copper-64 for imaging). Only one credible entry actually studies GHK or GHK-Cu; another entry on a GHK-Cu wound gel comes from a sponsor whose registry entries, according to our review, are apparently fictitious sample or test entries, and is therefore not taken into account here. An extended search additionally yielded the older wound study mentioned below as well as individual case reports.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Mulder 1994, PMID 17147644</w:t>
            </w:r>
          </w:p>
        </w:tc>
        <w:tc>
          <w:tcPr/>
          <w:p>
            <w:pPr>
              <w:pStyle w:val="Compact"/>
              <w:jc w:val="left"/>
            </w:pPr>
            <w:r>
              <w:t xml:space="preserve">People with diabetic foot ulcers, multicenter, randomized, blinded assessment, GHK-Cu gel vs. vehicle gel</w:t>
            </w:r>
          </w:p>
        </w:tc>
        <w:tc>
          <w:tcPr/>
          <w:p>
            <w:pPr>
              <w:pStyle w:val="Compact"/>
              <w:jc w:val="left"/>
            </w:pPr>
            <w:r>
              <w:t xml:space="preserve">not stated in abstract</w:t>
            </w:r>
          </w:p>
        </w:tc>
        <w:tc>
          <w:tcPr/>
          <w:p>
            <w:pPr>
              <w:pStyle w:val="Compact"/>
              <w:jc w:val="left"/>
            </w:pPr>
            <w:r>
              <w:t xml:space="preserve">Median wound area reduction 98.5% vs. 60.8%; infections 7% vs. 34%</w:t>
            </w:r>
          </w:p>
        </w:tc>
      </w:tr>
      <w:tr>
        <w:tc>
          <w:tcPr/>
          <w:p>
            <w:pPr>
              <w:pStyle w:val="Compact"/>
              <w:jc w:val="left"/>
            </w:pPr>
            <w:r>
              <w:t xml:space="preserve">Miller 2006, PMID 16847171</w:t>
            </w:r>
          </w:p>
        </w:tc>
        <w:tc>
          <w:tcPr/>
          <w:p>
            <w:pPr>
              <w:pStyle w:val="Compact"/>
              <w:jc w:val="left"/>
            </w:pPr>
            <w:r>
              <w:t xml:space="preserve">Skin care after CO₂ laser treatment, randomized, 13 evaluable</w:t>
            </w:r>
          </w:p>
        </w:tc>
        <w:tc>
          <w:tcPr/>
          <w:p>
            <w:pPr>
              <w:pStyle w:val="Compact"/>
              <w:jc w:val="left"/>
            </w:pPr>
            <w:r>
              <w:t xml:space="preserve">12 weeks</w:t>
            </w:r>
          </w:p>
        </w:tc>
        <w:tc>
          <w:tcPr/>
          <w:p>
            <w:pPr>
              <w:pStyle w:val="Compact"/>
              <w:jc w:val="left"/>
            </w:pPr>
            <w:r>
              <w:t xml:space="preserve">No difference in redness, wrinkles or skin quality by measurement and blinded assessment; higher satisfaction on questionnaire</w:t>
            </w:r>
          </w:p>
        </w:tc>
      </w:tr>
      <w:tr>
        <w:tc>
          <w:tcPr/>
          <w:p>
            <w:pPr>
              <w:pStyle w:val="Compact"/>
              <w:jc w:val="left"/>
            </w:pPr>
            <w:r>
              <w:t xml:space="preserve">Byun 2016, PMID 27064823</w:t>
            </w:r>
          </w:p>
        </w:tc>
        <w:tc>
          <w:tcPr/>
          <w:p>
            <w:pPr>
              <w:pStyle w:val="Compact"/>
              <w:jc w:val="left"/>
            </w:pPr>
            <w:r>
              <w:t xml:space="preserve">1 man, mixture of GHK-Cu, hyaluronic acid, plant extract, tranexamic acid and beta-glucan with spray device</w:t>
            </w:r>
          </w:p>
        </w:tc>
        <w:tc>
          <w:tcPr/>
          <w:p>
            <w:pPr>
              <w:pStyle w:val="Compact"/>
              <w:jc w:val="left"/>
            </w:pPr>
            <w:r>
              <w:t xml:space="preserve">12 weeks</w:t>
            </w:r>
          </w:p>
        </w:tc>
        <w:tc>
          <w:tcPr/>
          <w:p>
            <w:pPr>
              <w:pStyle w:val="Compact"/>
              <w:jc w:val="left"/>
            </w:pPr>
            <w:r>
              <w:t xml:space="preserve">Fewer eye wrinkles; more collagen in skin samples (single case, combination product)</w:t>
            </w:r>
          </w:p>
        </w:tc>
      </w:tr>
    </w:tbl>
    <w:p>
      <w:pPr>
        <w:pStyle w:val="BodyText"/>
      </w:pPr>
      <w:r>
        <w:rPr>
          <w:bCs/>
          <w:b/>
        </w:rPr>
        <w:t xml:space="preserve">The 1994 wound study</w:t>
      </w:r>
      <w:r>
        <w:t xml:space="preserve"> </w:t>
      </w:r>
      <w:r>
        <w:t xml:space="preserve">is the only controlled study that improved a clinically relevant endpoint. However, the product (developed under the name Iamin) did not obtain approval as a medicine. The abstract states neither the number of participants nor the study duration; later confirmatory studies cannot be found in PubMed.</w:t>
      </w:r>
    </w:p>
    <w:p>
      <w:pPr>
        <w:pStyle w:val="BodyText"/>
      </w:pPr>
      <w:r>
        <w:rPr>
          <w:bCs/>
          <w:b/>
        </w:rPr>
        <w:t xml:space="preserve">The 2006 laser study</w:t>
      </w:r>
      <w:r>
        <w:t xml:space="preserve"> </w:t>
      </w:r>
      <w:r>
        <w:t xml:space="preserve">is the only randomized study with a cosmetic question recorded in PubMed. With only 13 evaluable patients, it was too small to reliably detect differences – and objectively it found none.</w:t>
      </w:r>
    </w:p>
    <w:p>
      <w:pPr>
        <w:pStyle w:val="BodyText"/>
      </w:pPr>
      <w:r>
        <w:rPr>
          <w:bCs/>
          <w:b/>
        </w:rPr>
        <w:t xml:space="preserve">Cosmetic studies:</w:t>
      </w:r>
      <w:r>
        <w:t xml:space="preserve"> </w:t>
      </w:r>
      <w:r>
        <w:t xml:space="preserve">Textbooks and advertising materials cite studies according to which GHK-Cu creams improved wrinkles, skin density and elasticity. These have mostly not appeared in journals listed in PubMed or are available only as conference contributions and manufacturer reports, and could not be checked in the original for this book. A 2026 meta-analysis on oral and topically applied peptides against skin aging found that the benefit for wrinkles was mainly driven by</w:t>
      </w:r>
      <w:r>
        <w:t xml:space="preserve"> </w:t>
      </w:r>
      <w:r>
        <w:rPr>
          <w:iCs/>
          <w:i/>
        </w:rPr>
        <w:t xml:space="preserve">orally</w:t>
      </w:r>
      <w:r>
        <w:t xml:space="preserve"> </w:t>
      </w:r>
      <w:r>
        <w:t xml:space="preserve">taken peptides; the abstract does not report results specifically for GHK-Cu</w:t>
      </w:r>
      <w:r>
        <w:rPr>
          <w:rStyle w:val="FootnoteReference"/>
        </w:rPr>
        <w:footnoteReference w:id="2463"/>
      </w:r>
      <w:r>
        <w:t xml:space="preserve">.</w:t>
      </w:r>
    </w:p>
    <w:p>
      <w:pPr>
        <w:pStyle w:val="BodyText"/>
      </w:pPr>
      <w:r>
        <w:rPr>
          <w:bCs/>
          <w:b/>
        </w:rPr>
        <w:t xml:space="preserve">Injections:</w:t>
      </w:r>
      <w:r>
        <w:t xml:space="preserve"> </w:t>
      </w:r>
      <w:r>
        <w:t xml:space="preserve">There is not a single published controlled study of injected GHK-Cu in humans. A review for orthopedics and sports medicine states that there are no clinical data for use in musculoskeletal disorders and that the dose, frequency and duration of treatment are unknown</w:t>
      </w:r>
      <w:r>
        <w:rPr>
          <w:rStyle w:val="FootnoteReference"/>
        </w:rPr>
        <w:footnoteReference w:id="2464"/>
      </w:r>
      <w:r>
        <w:t xml:space="preserve">. Another review of non-approved peptides in sports medicine concludes that robust human safety data are lacking and that there is a potential for harm</w:t>
      </w:r>
      <w:r>
        <w:rPr>
          <w:rStyle w:val="FootnoteReference"/>
        </w:rPr>
        <w:footnoteReference w:id="2465"/>
      </w:r>
      <w:r>
        <w:t xml:space="preserve">.</w:t>
      </w:r>
    </w:p>
    <w:bookmarkEnd w:id="2466"/>
    <w:bookmarkStart w:id="2473" w:name="animal-and-laboratory-studies-55"/>
    <w:p>
      <w:pPr>
        <w:pStyle w:val="Heading3"/>
      </w:pPr>
      <w:r>
        <w:t xml:space="preserve">Animal and laboratory studies</w:t>
      </w:r>
    </w:p>
    <w:p>
      <w:pPr>
        <w:pStyle w:val="FirstParagraph"/>
      </w:pPr>
      <w:r>
        <w:t xml:space="preserve">The preclinical literature is extensive:</w:t>
      </w:r>
    </w:p>
    <w:p>
      <w:pPr>
        <w:numPr>
          <w:ilvl w:val="0"/>
          <w:numId w:val="1308"/>
        </w:numPr>
        <w:pStyle w:val="Compact"/>
      </w:pPr>
      <w:r>
        <w:rPr>
          <w:bCs/>
          <w:b/>
        </w:rPr>
        <w:t xml:space="preserve">Cell culture:</w:t>
      </w:r>
      <w:r>
        <w:t xml:space="preserve"> </w:t>
      </w:r>
      <w:r>
        <w:t xml:space="preserve">increased collagen production in fibroblasts</w:t>
      </w:r>
      <w:r>
        <w:rPr>
          <w:rStyle w:val="FootnoteReference"/>
        </w:rPr>
        <w:footnoteReference w:id="2467"/>
      </w:r>
      <w:r>
        <w:t xml:space="preserve">; influence on enzymes that build up and break down connective tissue.</w:t>
      </w:r>
    </w:p>
    <w:p>
      <w:pPr>
        <w:numPr>
          <w:ilvl w:val="0"/>
          <w:numId w:val="1308"/>
        </w:numPr>
        <w:pStyle w:val="Compact"/>
      </w:pPr>
      <w:r>
        <w:rPr>
          <w:bCs/>
          <w:b/>
        </w:rPr>
        <w:t xml:space="preserve">Wound healing in animals:</w:t>
      </w:r>
      <w:r>
        <w:t xml:space="preserve"> </w:t>
      </w:r>
      <w:r>
        <w:t xml:space="preserve">In rats with poorly perfused wounds, wound area decreased after 13 days by 64.5% under GHK-Cu gel, by 45.6% under the vehicle gel and by 28.2% without treatment</w:t>
      </w:r>
      <w:r>
        <w:rPr>
          <w:rStyle w:val="FootnoteReference"/>
        </w:rPr>
        <w:footnoteReference w:id="2468"/>
      </w:r>
      <w:r>
        <w:t xml:space="preserve">. In mice, liposomes containing GHK-Cu promoted the formation of new blood vessels in scalded skin and shortened healing time</w:t>
      </w:r>
      <w:r>
        <w:rPr>
          <w:rStyle w:val="FootnoteReference"/>
        </w:rPr>
        <w:footnoteReference w:id="2469"/>
      </w:r>
      <w:r>
        <w:t xml:space="preserve">.</w:t>
      </w:r>
    </w:p>
    <w:p>
      <w:pPr>
        <w:numPr>
          <w:ilvl w:val="0"/>
          <w:numId w:val="1308"/>
        </w:numPr>
        <w:pStyle w:val="Compact"/>
      </w:pPr>
      <w:r>
        <w:rPr>
          <w:bCs/>
          <w:b/>
        </w:rPr>
        <w:t xml:space="preserve">Other organs (in animals):</w:t>
      </w:r>
      <w:r>
        <w:t xml:space="preserve"> </w:t>
      </w:r>
      <w:r>
        <w:t xml:space="preserve">In mice, GHK-Cu injected into the abdominal cavity attenuated experimentally induced pulmonary fibrosis</w:t>
      </w:r>
      <w:r>
        <w:rPr>
          <w:rStyle w:val="FootnoteReference"/>
        </w:rPr>
        <w:footnoteReference w:id="2470"/>
      </w:r>
      <w:r>
        <w:t xml:space="preserve">; further mouse studies describe effects on lung damage, intestinal inflammation and muscle weakness after cigarette smoke. In rats, it improved healing after cruciate ligament reconstruction only temporarily</w:t>
      </w:r>
      <w:r>
        <w:rPr>
          <w:rStyle w:val="FootnoteReference"/>
        </w:rPr>
        <w:footnoteReference w:id="2471"/>
      </w:r>
      <w:r>
        <w:t xml:space="preserve">.</w:t>
      </w:r>
    </w:p>
    <w:p>
      <w:pPr>
        <w:numPr>
          <w:ilvl w:val="0"/>
          <w:numId w:val="1308"/>
        </w:numPr>
        <w:pStyle w:val="Compact"/>
      </w:pPr>
      <w:r>
        <w:rPr>
          <w:bCs/>
          <w:b/>
        </w:rPr>
        <w:t xml:space="preserve">Brain (in mice):</w:t>
      </w:r>
      <w:r>
        <w:t xml:space="preserve"> </w:t>
      </w:r>
      <w:r>
        <w:t xml:space="preserve">A not yet peer-reviewed preprint from 2026 described better learning performance in old mice after eight weeks of intranasal administration, and after short intraperitoneal administration only temporarily and only in males</w:t>
      </w:r>
      <w:r>
        <w:rPr>
          <w:rStyle w:val="FootnoteReference"/>
        </w:rPr>
        <w:footnoteReference w:id="2472"/>
      </w:r>
      <w:r>
        <w:t xml:space="preserve">.</w:t>
      </w:r>
    </w:p>
    <w:p>
      <w:pPr>
        <w:pStyle w:val="FirstParagraph"/>
      </w:pPr>
      <w:r>
        <w:t xml:space="preserve">These findings show biological activity but cannot readily be transferred to humans – least of all to cosmetic creams with unclear skin penetration.</w:t>
      </w:r>
    </w:p>
    <w:bookmarkEnd w:id="2473"/>
    <w:bookmarkStart w:id="2476" w:name="risks-and-side-effects-55"/>
    <w:p>
      <w:pPr>
        <w:pStyle w:val="Heading3"/>
      </w:pPr>
      <w:r>
        <w:t xml:space="preserve">Risks and side effects</w:t>
      </w:r>
    </w:p>
    <w:p>
      <w:pPr>
        <w:pStyle w:val="FirstParagraph"/>
      </w:pPr>
      <w:r>
        <w:rPr>
          <w:bCs/>
          <w:b/>
        </w:rPr>
        <w:t xml:space="preserve">Cosmetic use (established or likely):</w:t>
      </w:r>
      <w:r>
        <w:t xml:space="preserve"> </w:t>
      </w:r>
      <w:r>
        <w:t xml:space="preserve">GHK-Cu has been used in cosmetics for decades; no relevant side effects were reported in the few studies. As with any cosmetic ingredient, skin irritation and contact allergies are possible. Copper-containing serums may or may not be chemically compatible with other active ingredients (such as vitamin C or acids) – this is a question of formulation.</w:t>
      </w:r>
    </w:p>
    <w:p>
      <w:pPr>
        <w:pStyle w:val="BodyText"/>
      </w:pPr>
      <w:r>
        <w:rPr>
          <w:bCs/>
          <w:b/>
        </w:rPr>
        <w:t xml:space="preserve">Injection (theoretical, but to be taken seriously):</w:t>
      </w:r>
    </w:p>
    <w:p>
      <w:pPr>
        <w:numPr>
          <w:ilvl w:val="0"/>
          <w:numId w:val="1309"/>
        </w:numPr>
        <w:pStyle w:val="Compact"/>
      </w:pPr>
      <w:r>
        <w:rPr>
          <w:bCs/>
          <w:b/>
        </w:rPr>
        <w:t xml:space="preserve">No safety data:</w:t>
      </w:r>
      <w:r>
        <w:t xml:space="preserve"> </w:t>
      </w:r>
      <w:r>
        <w:t xml:space="preserve">There are no systematic data on tolerability, dosage or long-term consequences in humans.</w:t>
      </w:r>
    </w:p>
    <w:p>
      <w:pPr>
        <w:numPr>
          <w:ilvl w:val="0"/>
          <w:numId w:val="1309"/>
        </w:numPr>
        <w:pStyle w:val="Compact"/>
      </w:pPr>
      <w:r>
        <w:rPr>
          <w:bCs/>
          <w:b/>
        </w:rPr>
        <w:t xml:space="preserve">Inconsistent cellular effects:</w:t>
      </w:r>
      <w:r>
        <w:t xml:space="preserve"> </w:t>
      </w:r>
      <w:r>
        <w:t xml:space="preserve">Even the early laboratory work described that GHK can promote growth but can also be toxic, depending on the cell system</w:t>
      </w:r>
      <w:r>
        <w:rPr>
          <w:rStyle w:val="FootnoteReference"/>
        </w:rPr>
        <w:footnoteReference w:id="2474"/>
      </w:r>
      <w:r>
        <w:t xml:space="preserve">.</w:t>
      </w:r>
    </w:p>
    <w:p>
      <w:pPr>
        <w:numPr>
          <w:ilvl w:val="0"/>
          <w:numId w:val="1309"/>
        </w:numPr>
        <w:pStyle w:val="Compact"/>
      </w:pPr>
      <w:r>
        <w:rPr>
          <w:bCs/>
          <w:b/>
        </w:rPr>
        <w:t xml:space="preserve">Copper burden:</w:t>
      </w:r>
      <w:r>
        <w:t xml:space="preserve"> </w:t>
      </w:r>
      <w:r>
        <w:t xml:space="preserve">Copper is toxic in higher amounts. How much copper remains in the body after repeated injections has not been studied. People with Wilson’s disease, a congenital copper storage disorder, would be particularly at risk.</w:t>
      </w:r>
    </w:p>
    <w:p>
      <w:pPr>
        <w:numPr>
          <w:ilvl w:val="0"/>
          <w:numId w:val="1309"/>
        </w:numPr>
        <w:pStyle w:val="Compact"/>
      </w:pPr>
      <w:r>
        <w:rPr>
          <w:bCs/>
          <w:b/>
        </w:rPr>
        <w:t xml:space="preserve">Growth signals:</w:t>
      </w:r>
      <w:r>
        <w:t xml:space="preserve"> </w:t>
      </w:r>
      <w:r>
        <w:t xml:space="preserve">In animal experiments, GHK-Cu promotes the formation of new blood vessels (angiogenesis). Whether this poses a risk in existing tumors is unknown (theoretical risk).</w:t>
      </w:r>
    </w:p>
    <w:p>
      <w:pPr>
        <w:numPr>
          <w:ilvl w:val="0"/>
          <w:numId w:val="1309"/>
        </w:numPr>
        <w:pStyle w:val="Compact"/>
      </w:pPr>
      <w:r>
        <w:rPr>
          <w:bCs/>
          <w:b/>
        </w:rPr>
        <w:t xml:space="preserve">Gray-market quality:</w:t>
      </w:r>
      <w:r>
        <w:t xml:space="preserve"> </w:t>
      </w:r>
      <w:r>
        <w:t xml:space="preserve">“</w:t>
      </w:r>
      <w:r>
        <w:t xml:space="preserve">Research peptides</w:t>
      </w:r>
      <w:r>
        <w:t xml:space="preserve">”</w:t>
      </w:r>
      <w:r>
        <w:t xml:space="preserve"> </w:t>
      </w:r>
      <w:r>
        <w:t xml:space="preserve">are manufactured without pharmaceutical quality control. Impurities, wrong amounts or bacterial contamination are possible; injections of non-sterile products can lead to abscesses and infections. A review describes these risks for injectable</w:t>
      </w:r>
      <w:r>
        <w:t xml:space="preserve"> </w:t>
      </w:r>
      <w:r>
        <w:t xml:space="preserve">“</w:t>
      </w:r>
      <w:r>
        <w:t xml:space="preserve">biohacking</w:t>
      </w:r>
      <w:r>
        <w:t xml:space="preserve">”</w:t>
      </w:r>
      <w:r>
        <w:t xml:space="preserve"> </w:t>
      </w:r>
      <w:r>
        <w:t xml:space="preserve">peptides in general</w:t>
      </w:r>
      <w:r>
        <w:rPr>
          <w:rStyle w:val="FootnoteReference"/>
        </w:rPr>
        <w:footnoteReference w:id="2475"/>
      </w:r>
      <w:r>
        <w:t xml:space="preserve">. Part IV covers the topic in detail.</w:t>
      </w:r>
    </w:p>
    <w:bookmarkEnd w:id="2476"/>
    <w:bookmarkStart w:id="2477" w:name="legal-status-55"/>
    <w:p>
      <w:pPr>
        <w:pStyle w:val="Heading3"/>
      </w:pPr>
      <w:r>
        <w:t xml:space="preserve">Legal status</w:t>
      </w:r>
    </w:p>
    <w:p>
      <w:pPr>
        <w:numPr>
          <w:ilvl w:val="0"/>
          <w:numId w:val="1310"/>
        </w:numPr>
        <w:pStyle w:val="Compact"/>
      </w:pPr>
      <w:r>
        <w:rPr>
          <w:bCs/>
          <w:b/>
        </w:rPr>
        <w:t xml:space="preserve">EU / Austria / Germany:</w:t>
      </w:r>
      <w:r>
        <w:t xml:space="preserve"> </w:t>
      </w:r>
      <w:r>
        <w:t xml:space="preserve">GHK-Cu (Copper Tripeptide-1) may be used as an ingredient in cosmetics; the EU Cosmetics Regulation (Regulation (EC) No 1223/2009) applies. Cosmetics may only be intended for application to the skin and its appendages and may not claim medicinal effects; advertising claims must be substantiated in accordance with Regulation (EU) No 655/2013. GHK-Cu intended for injection is not a cosmetic but an unapproved medicine. Its sale for human use is not permitted; labels such as</w:t>
      </w:r>
      <w:r>
        <w:t xml:space="preserve"> </w:t>
      </w:r>
      <w:r>
        <w:t xml:space="preserve">“</w:t>
      </w:r>
      <w:r>
        <w:t xml:space="preserve">for research purposes only</w:t>
      </w:r>
      <w:r>
        <w:t xml:space="preserve">”</w:t>
      </w:r>
      <w:r>
        <w:t xml:space="preserve"> </w:t>
      </w:r>
      <w:r>
        <w:t xml:space="preserve">do not change this.</w:t>
      </w:r>
    </w:p>
    <w:p>
      <w:pPr>
        <w:numPr>
          <w:ilvl w:val="0"/>
          <w:numId w:val="1310"/>
        </w:numPr>
        <w:pStyle w:val="Compact"/>
      </w:pPr>
      <w:r>
        <w:rPr>
          <w:bCs/>
          <w:b/>
        </w:rPr>
        <w:t xml:space="preserve">USA:</w:t>
      </w:r>
      <w:r>
        <w:t xml:space="preserve"> </w:t>
      </w:r>
      <w:r>
        <w:t xml:space="preserve">Permitted in cosmetics. To our knowledge, in 2023 the FDA placed GHK-Cu for injection on a list of substances for which it sees significant safety concerns for pharmacy preparation (compounding); the classification of several peptides has since been rediscussed.</w:t>
      </w:r>
    </w:p>
    <w:p>
      <w:pPr>
        <w:numPr>
          <w:ilvl w:val="0"/>
          <w:numId w:val="1310"/>
        </w:numPr>
        <w:pStyle w:val="Compact"/>
      </w:pPr>
      <w:r>
        <w:rPr>
          <w:bCs/>
          <w:b/>
        </w:rPr>
        <w:t xml:space="preserve">Sport:</w:t>
      </w:r>
      <w:r>
        <w:t xml:space="preserve"> </w:t>
      </w:r>
      <w:r>
        <w:t xml:space="preserve">GHK-Cu is not named on the WADA list. Cosmetic creams are considered unproblematic. Injected GHK-Cu as a non-approved substance could fall under category S0; athletes should check with their National Anti-Doping Agency if in doubt (as of 2026, please check for updates).</w:t>
      </w:r>
    </w:p>
    <w:bookmarkEnd w:id="2477"/>
    <w:bookmarkStart w:id="2479" w:name="ongoing-studies-and-outlook-55"/>
    <w:p>
      <w:pPr>
        <w:pStyle w:val="Heading3"/>
      </w:pPr>
      <w:r>
        <w:t xml:space="preserve">Ongoing studies and outlook</w:t>
      </w:r>
    </w:p>
    <w:p>
      <w:pPr>
        <w:pStyle w:val="FirstParagraph"/>
      </w:pPr>
      <w:r>
        <w:rPr>
          <w:bCs/>
          <w:b/>
        </w:rPr>
        <w:t xml:space="preserve">Established (registered studies, as of October 2026):</w:t>
      </w:r>
    </w:p>
    <w:p>
      <w:pPr>
        <w:numPr>
          <w:ilvl w:val="0"/>
          <w:numId w:val="1311"/>
        </w:numPr>
        <w:pStyle w:val="Compact"/>
      </w:pPr>
      <w:r>
        <w:rPr>
          <w:bCs/>
          <w:b/>
        </w:rPr>
        <w:t xml:space="preserve">Patch:</w:t>
      </w:r>
      <w:r>
        <w:t xml:space="preserve"> </w:t>
      </w:r>
      <w:r>
        <w:t xml:space="preserve">A study with a planned 100 healthy people is to investigate whether a patch (X39) changes GHK and GHK-Cu levels in the blood; start planned for 2027</w:t>
      </w:r>
      <w:r>
        <w:rPr>
          <w:rStyle w:val="FootnoteReference"/>
        </w:rPr>
        <w:footnoteReference w:id="2478"/>
      </w:r>
      <w:r>
        <w:t xml:space="preserve">. The sponsor is a company that sells the patch.</w:t>
      </w:r>
    </w:p>
    <w:p>
      <w:pPr>
        <w:pStyle w:val="FirstParagraph"/>
      </w:pPr>
      <w:r>
        <w:rPr>
          <w:bCs/>
          <w:b/>
        </w:rPr>
        <w:t xml:space="preserve">Assessment:</w:t>
      </w:r>
      <w:r>
        <w:t xml:space="preserve"> </w:t>
      </w:r>
      <w:r>
        <w:t xml:space="preserve">A serious, registered study on a medically relevant endpoint – such as wound healing, where the only positive controlled human data come from – is not currently in sight. For cosmetic use, independent, sufficiently large, placebo-controlled studies with a cream without other active ingredients would be needed. For injections, no serious study is in sight; interest is being fueled mainly on social media and on the gray market.</w:t>
      </w:r>
    </w:p>
    <w:bookmarkEnd w:id="2479"/>
    <w:bookmarkStart w:id="2480" w:name="conclusion-55"/>
    <w:p>
      <w:pPr>
        <w:pStyle w:val="Heading3"/>
      </w:pPr>
      <w:r>
        <w:t xml:space="preserve">Conclusion</w:t>
      </w:r>
    </w:p>
    <w:p>
      <w:pPr>
        <w:pStyle w:val="FirstParagraph"/>
      </w:pPr>
      <w:r>
        <w:t xml:space="preserve">GHK-Cu is a copper peptide produced by the body that stimulates collagen production in the laboratory and accelerates wound healing in animal experiments. In humans, there is only one older randomized study on diabetic foot ulcers with a positive result and one tiny cosmetic study without a measurable effect. Whether GHK-Cu from creams reaches the skin in sufficient amounts is unclear; advertising claims are based mainly on laboratory data and manufacturer studies that have not been independently verified. As a cosmetic ingredient, it is legal and considered well tolerated. Injections of gray-market GHK-Cu have been neither studied nor approved and carry avoidable risks.</w:t>
      </w:r>
    </w:p>
    <w:bookmarkEnd w:id="2480"/>
    <w:bookmarkEnd w:id="2481"/>
    <w:bookmarkStart w:id="2500" w:name="palmitoyl-pentapeptide-4-matrixyl"/>
    <w:p>
      <w:pPr>
        <w:pStyle w:val="Heading2"/>
      </w:pPr>
      <w:r>
        <w:t xml:space="preserve">Palmitoyl Pentapeptide-4 (Matrixyl)</w:t>
      </w:r>
    </w:p>
    <w:bookmarkStart w:id="2482" w:name="profile-56"/>
    <w:p>
      <w:pPr>
        <w:pStyle w:val="Heading3"/>
      </w:pPr>
      <w:r>
        <w:t xml:space="preserve">Profile</w:t>
      </w:r>
    </w:p>
    <w:p>
      <w:pPr>
        <w:numPr>
          <w:ilvl w:val="0"/>
          <w:numId w:val="1312"/>
        </w:numPr>
        <w:pStyle w:val="Compact"/>
      </w:pPr>
      <w:r>
        <w:rPr>
          <w:bCs/>
          <w:b/>
        </w:rPr>
        <w:t xml:space="preserve">Type/structure:</w:t>
      </w:r>
      <w:r>
        <w:t xml:space="preserve"> </w:t>
      </w:r>
      <w:r>
        <w:t xml:space="preserve">pentapeptide of lysine, threonine, threonine, lysine and serine (KTTKS) to which palmitic acid (a fatty acid with 16 carbon atoms) is coupled. Short name Pal-KTTKS; formerly listed as palmitoyl pentapeptide-3. Trade name of the raw material: Matrixyl.</w:t>
      </w:r>
    </w:p>
    <w:p>
      <w:pPr>
        <w:numPr>
          <w:ilvl w:val="0"/>
          <w:numId w:val="1312"/>
        </w:numPr>
        <w:pStyle w:val="Compact"/>
      </w:pPr>
      <w:r>
        <w:rPr>
          <w:bCs/>
          <w:b/>
        </w:rPr>
        <w:t xml:space="preserve">Origin:</w:t>
      </w:r>
      <w:r>
        <w:t xml:space="preserve"> </w:t>
      </w:r>
      <w:r>
        <w:t xml:space="preserve">synthetic. The KTTKS sequence comes from the precursor molecule of type I collagen (procollagen). The fatty acid attachment is supposed to improve penetration into the skin.</w:t>
      </w:r>
    </w:p>
    <w:p>
      <w:pPr>
        <w:numPr>
          <w:ilvl w:val="0"/>
          <w:numId w:val="1312"/>
        </w:numPr>
        <w:pStyle w:val="Compact"/>
      </w:pPr>
      <w:r>
        <w:rPr>
          <w:bCs/>
          <w:b/>
        </w:rPr>
        <w:t xml:space="preserve">Mechanism of action:</w:t>
      </w:r>
      <w:r>
        <w:t xml:space="preserve"> </w:t>
      </w:r>
      <w:r>
        <w:t xml:space="preserve">as a</w:t>
      </w:r>
      <w:r>
        <w:t xml:space="preserve"> </w:t>
      </w:r>
      <w:r>
        <w:t xml:space="preserve">“</w:t>
      </w:r>
      <w:r>
        <w:t xml:space="preserve">matrikine</w:t>
      </w:r>
      <w:r>
        <w:t xml:space="preserve">”</w:t>
      </w:r>
      <w:r>
        <w:t xml:space="preserve"> </w:t>
      </w:r>
      <w:r>
        <w:t xml:space="preserve">– a fragment of the connective tissue matrix with a signaling effect – it is supposed to stimulate fibroblasts in the skin to produce collagen and other matrix components.</w:t>
      </w:r>
    </w:p>
    <w:p>
      <w:pPr>
        <w:numPr>
          <w:ilvl w:val="0"/>
          <w:numId w:val="1312"/>
        </w:numPr>
        <w:pStyle w:val="Compact"/>
      </w:pPr>
      <w:r>
        <w:rPr>
          <w:bCs/>
          <w:b/>
        </w:rPr>
        <w:t xml:space="preserve">Distinction:</w:t>
      </w:r>
      <w:r>
        <w:t xml:space="preserve"> </w:t>
      </w:r>
      <w:r>
        <w:t xml:space="preserve">“</w:t>
      </w:r>
      <w:r>
        <w:t xml:space="preserve">Matrixyl 3000</w:t>
      </w:r>
      <w:r>
        <w:t xml:space="preserve">”</w:t>
      </w:r>
      <w:r>
        <w:t xml:space="preserve"> </w:t>
      </w:r>
      <w:r>
        <w:t xml:space="preserve">is a different product, a combination of palmitoyl tripeptide-1 (Pal-GHK, see chapter GHK-Cu) and palmitoyl tetrapeptide-7.</w:t>
      </w:r>
    </w:p>
    <w:p>
      <w:pPr>
        <w:numPr>
          <w:ilvl w:val="0"/>
          <w:numId w:val="1312"/>
        </w:numPr>
        <w:pStyle w:val="Compact"/>
      </w:pPr>
      <w:r>
        <w:rPr>
          <w:bCs/>
          <w:b/>
        </w:rPr>
        <w:t xml:space="preserve">Approval EU:</w:t>
      </w:r>
      <w:r>
        <w:t xml:space="preserve"> </w:t>
      </w:r>
      <w:r>
        <w:t xml:space="preserve">not a medicine; cosmetic ingredient.</w:t>
      </w:r>
    </w:p>
    <w:p>
      <w:pPr>
        <w:numPr>
          <w:ilvl w:val="0"/>
          <w:numId w:val="1312"/>
        </w:numPr>
        <w:pStyle w:val="Compact"/>
      </w:pPr>
      <w:r>
        <w:rPr>
          <w:bCs/>
          <w:b/>
        </w:rPr>
        <w:t xml:space="preserve">Approval USA:</w:t>
      </w:r>
      <w:r>
        <w:t xml:space="preserve"> </w:t>
      </w:r>
      <w:r>
        <w:t xml:space="preserve">not a drug; cosmetic ingredient.</w:t>
      </w:r>
    </w:p>
    <w:p>
      <w:pPr>
        <w:numPr>
          <w:ilvl w:val="0"/>
          <w:numId w:val="1312"/>
        </w:numPr>
        <w:pStyle w:val="Compact"/>
      </w:pPr>
      <w:r>
        <w:rPr>
          <w:bCs/>
          <w:b/>
        </w:rPr>
        <w:t xml:space="preserve">WADA:</w:t>
      </w:r>
      <w:r>
        <w:t xml:space="preserve"> </w:t>
      </w:r>
      <w:r>
        <w:t xml:space="preserve">not listed; as a cosmetic ingredient irrelevant under sports law.</w:t>
      </w:r>
    </w:p>
    <w:p>
      <w:pPr>
        <w:numPr>
          <w:ilvl w:val="0"/>
          <w:numId w:val="1312"/>
        </w:numPr>
        <w:pStyle w:val="Compact"/>
      </w:pPr>
      <w:r>
        <w:rPr>
          <w:bCs/>
          <w:b/>
        </w:rPr>
        <w:t xml:space="preserve">Evidence level:</w:t>
      </w:r>
      <w:r>
        <w:t xml:space="preserve"> </w:t>
      </w:r>
      <w:r>
        <w:rPr>
          <w:bCs/>
          <w:b/>
        </w:rPr>
        <w:t xml:space="preserve">B</w:t>
      </w:r>
      <w:r>
        <w:t xml:space="preserve"> </w:t>
      </w:r>
      <w:r>
        <w:t xml:space="preserve">(weak) – one larger randomized split-face study from 2005 and one very small randomized study; no independent confirmatory studies.</w:t>
      </w:r>
    </w:p>
    <w:bookmarkEnd w:id="2482"/>
    <w:bookmarkStart w:id="2486" w:name="how-it-is-supposed-to-work-56"/>
    <w:p>
      <w:pPr>
        <w:pStyle w:val="Heading3"/>
      </w:pPr>
      <w:r>
        <w:t xml:space="preserve">How it is supposed to work</w:t>
      </w:r>
    </w:p>
    <w:p>
      <w:pPr>
        <w:pStyle w:val="FirstParagraph"/>
      </w:pPr>
      <w:r>
        <w:t xml:space="preserve">When connective tissue is injured, enzymes break down collagen and other matrix components into fragments. Some of these fragments act as signals: they indicate to the connective tissue cells that repair is needed. Such signaling fragments are called matrikines.</w:t>
      </w:r>
    </w:p>
    <w:p>
      <w:pPr>
        <w:pStyle w:val="BodyText"/>
      </w:pPr>
      <w:r>
        <w:t xml:space="preserve">In 1993, a research group described that the pentapeptide KTTKS – a small piece from the end of type I procollagen – strongly increases the production of type I and type III collagen and fibronectin in fibroblast cultures. KTTKS was the smallest sequence that still triggered this effect</w:t>
      </w:r>
      <w:r>
        <w:rPr>
          <w:rStyle w:val="FootnoteReference"/>
        </w:rPr>
        <w:footnoteReference w:id="2483"/>
      </w:r>
      <w:r>
        <w:t xml:space="preserve">. The cosmetics industry took up the idea: a peptide that signals to the skin that</w:t>
      </w:r>
      <w:r>
        <w:t xml:space="preserve"> </w:t>
      </w:r>
      <w:r>
        <w:t xml:space="preserve">“</w:t>
      </w:r>
      <w:r>
        <w:t xml:space="preserve">repair is needed</w:t>
      </w:r>
      <w:r>
        <w:t xml:space="preserve">”</w:t>
      </w:r>
      <w:r>
        <w:t xml:space="preserve"> </w:t>
      </w:r>
      <w:r>
        <w:t xml:space="preserve">could boost collagen production, which declines with age.</w:t>
      </w:r>
    </w:p>
    <w:p>
      <w:pPr>
        <w:pStyle w:val="BodyText"/>
      </w:pPr>
      <w:r>
        <w:t xml:space="preserve">However, pure KTTKS barely penetrates the skin. Attaching a fatty acid (palmitoylation) makes the molecule more fat-soluble. In cell culture, Pal-KTTKS stimulated collagen production by skin and corneal fibroblasts in a concentration-dependent manner; the effect occurred close to the concentration at which the molecules assemble into ribbon-like nanostructures</w:t>
      </w:r>
      <w:r>
        <w:rPr>
          <w:rStyle w:val="FootnoteReference"/>
        </w:rPr>
        <w:footnoteReference w:id="2484"/>
      </w:r>
      <w:r>
        <w:t xml:space="preserve">.</w:t>
      </w:r>
    </w:p>
    <w:p>
      <w:pPr>
        <w:pStyle w:val="BodyText"/>
      </w:pPr>
      <w:r>
        <w:t xml:space="preserve">It remains open how much Pal-KTTKS from a cream actually reaches the dermis, where the fibroblasts are located. For the related Pal-GHK, a study in volunteers showed that after application it spreads only between the cells of the stratum corneum and decreases with depth</w:t>
      </w:r>
      <w:r>
        <w:rPr>
          <w:rStyle w:val="FootnoteReference"/>
        </w:rPr>
        <w:footnoteReference w:id="2485"/>
      </w:r>
      <w:r>
        <w:t xml:space="preserve">. For Pal-KTTKS itself, comparable measurements in humans are lacking in the literature evaluated.</w:t>
      </w:r>
    </w:p>
    <w:bookmarkEnd w:id="2486"/>
    <w:bookmarkStart w:id="2489" w:name="human-studies-56"/>
    <w:p>
      <w:pPr>
        <w:pStyle w:val="Heading3"/>
      </w:pPr>
      <w:r>
        <w:t xml:space="preserve">Human studies</w:t>
      </w:r>
    </w:p>
    <w:p>
      <w:pPr>
        <w:pStyle w:val="FirstParagraph"/>
      </w:pPr>
      <w:r>
        <w:t xml:space="preserve">The PubMed search evaluated for this book (palmitoyl pentapeptide or Matrixyl in title or abstract, search date October 2026) yielded only</w:t>
      </w:r>
      <w:r>
        <w:t xml:space="preserve"> </w:t>
      </w:r>
      <w:r>
        <w:rPr>
          <w:bCs/>
          <w:b/>
        </w:rPr>
        <w:t xml:space="preserve">one</w:t>
      </w:r>
      <w:r>
        <w:t xml:space="preserve"> </w:t>
      </w:r>
      <w:r>
        <w:t xml:space="preserve">paper classified as a human study; ClinicalTrials.gov lists no registry entry. Manual review found two further controlled studies as well as studies with combination products.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Robinson 2005, PMID 18492182</w:t>
            </w:r>
          </w:p>
        </w:tc>
        <w:tc>
          <w:tcPr/>
          <w:p>
            <w:pPr>
              <w:pStyle w:val="Compact"/>
              <w:jc w:val="left"/>
            </w:pPr>
            <w:r>
              <w:t xml:space="preserve">93 fair-skinned women (35–55 yrs), moisturizer with Pal-KTTKS on one half of the face vs. the same cream without active ingredient on the other, double-blind</w:t>
            </w:r>
          </w:p>
        </w:tc>
        <w:tc>
          <w:tcPr/>
          <w:p>
            <w:pPr>
              <w:pStyle w:val="Compact"/>
              <w:jc w:val="left"/>
            </w:pPr>
            <w:r>
              <w:t xml:space="preserve">12 weeks</w:t>
            </w:r>
          </w:p>
        </w:tc>
        <w:tc>
          <w:tcPr/>
          <w:p>
            <w:pPr>
              <w:pStyle w:val="Compact"/>
              <w:jc w:val="left"/>
            </w:pPr>
            <w:r>
              <w:t xml:space="preserve">Significant reduction in wrinkles and fine lines compared with the control side, measured by image analysis and by experts; well tolerated</w:t>
            </w:r>
          </w:p>
        </w:tc>
      </w:tr>
      <w:tr>
        <w:tc>
          <w:tcPr/>
          <w:p>
            <w:pPr>
              <w:pStyle w:val="Compact"/>
              <w:jc w:val="left"/>
            </w:pPr>
            <w:r>
              <w:t xml:space="preserve">Aruan 2023, PMID 36909866</w:t>
            </w:r>
          </w:p>
        </w:tc>
        <w:tc>
          <w:tcPr/>
          <w:p>
            <w:pPr>
              <w:pStyle w:val="Compact"/>
              <w:jc w:val="left"/>
            </w:pPr>
            <w:r>
              <w:t xml:space="preserve">21 Indonesian women (26–55 yrs), cream with palmitoyl pentapeptide-4 vs. acetyl hexapeptide-3 vs. placebo, double-blind</w:t>
            </w:r>
          </w:p>
        </w:tc>
        <w:tc>
          <w:tcPr/>
          <w:p>
            <w:pPr>
              <w:pStyle w:val="Compact"/>
              <w:jc w:val="left"/>
            </w:pPr>
            <w:r>
              <w:t xml:space="preserve">8 weeks</w:t>
            </w:r>
          </w:p>
        </w:tc>
        <w:tc>
          <w:tcPr/>
          <w:p>
            <w:pPr>
              <w:pStyle w:val="Compact"/>
              <w:jc w:val="left"/>
            </w:pPr>
            <w:r>
              <w:t xml:space="preserve">Improvements</w:t>
            </w:r>
            <w:r>
              <w:t xml:space="preserve"> </w:t>
            </w:r>
            <w:r>
              <w:t xml:space="preserve">“</w:t>
            </w:r>
            <w:r>
              <w:t xml:space="preserve">in some participants</w:t>
            </w:r>
            <w:r>
              <w:t xml:space="preserve">”</w:t>
            </w:r>
            <w:r>
              <w:t xml:space="preserve">; palmitoyl pentapeptide-4 performed better than the comparison groups; no robust effect sizes in the abstract</w:t>
            </w:r>
          </w:p>
        </w:tc>
      </w:tr>
      <w:tr>
        <w:tc>
          <w:tcPr/>
          <w:p>
            <w:pPr>
              <w:pStyle w:val="Compact"/>
              <w:jc w:val="left"/>
            </w:pPr>
            <w:r>
              <w:t xml:space="preserve">Röper 2004, PMID 15127162</w:t>
            </w:r>
          </w:p>
        </w:tc>
        <w:tc>
          <w:tcPr/>
          <w:p>
            <w:pPr>
              <w:pStyle w:val="Compact"/>
              <w:jc w:val="left"/>
            </w:pPr>
            <w:r>
              <w:t xml:space="preserve">20 women with breast cancer undergoing radiotherapy, cream with Matrixyl and other active ingredients vs. dexpanthenol lotion</w:t>
            </w:r>
          </w:p>
        </w:tc>
        <w:tc>
          <w:tcPr/>
          <w:p>
            <w:pPr>
              <w:pStyle w:val="Compact"/>
              <w:jc w:val="left"/>
            </w:pPr>
            <w:r>
              <w:t xml:space="preserve">duration of therapy</w:t>
            </w:r>
          </w:p>
        </w:tc>
        <w:tc>
          <w:tcPr/>
          <w:p>
            <w:pPr>
              <w:pStyle w:val="Compact"/>
              <w:jc w:val="left"/>
            </w:pPr>
            <w:r>
              <w:t xml:space="preserve">No advantage for skin reactions; itching more frequent, one suspected allergic reaction only in the Matrixyl group</w:t>
            </w:r>
          </w:p>
        </w:tc>
      </w:tr>
    </w:tbl>
    <w:p>
      <w:pPr>
        <w:pStyle w:val="BodyText"/>
      </w:pPr>
      <w:r>
        <w:rPr>
          <w:bCs/>
          <w:b/>
        </w:rPr>
        <w:t xml:space="preserve">Robinson 2005</w:t>
      </w:r>
      <w:r>
        <w:t xml:space="preserve"> </w:t>
      </w:r>
      <w:r>
        <w:t xml:space="preserve">is the central study. The split-face design is clever because each participant is her own control. The concentration in the product was 3 ppm (parts per million). Limitations: the abstract gives no effect sizes; the study was published in a cosmetics journal and has not been repeated independently since. Only fair-skinned women with photoaged skin were studied; whether the results can be transferred to other skin types is open.</w:t>
      </w:r>
    </w:p>
    <w:p>
      <w:pPr>
        <w:pStyle w:val="BodyText"/>
      </w:pPr>
      <w:r>
        <w:rPr>
          <w:bCs/>
          <w:b/>
        </w:rPr>
        <w:t xml:space="preserve">Aruan 2023</w:t>
      </w:r>
      <w:r>
        <w:t xml:space="preserve">, with 21 participants in three groups, was too small for reliable conclusions; the authors themselves describe it as a starting point for larger studies.</w:t>
      </w:r>
    </w:p>
    <w:p>
      <w:pPr>
        <w:pStyle w:val="BodyText"/>
      </w:pPr>
      <w:r>
        <w:rPr>
          <w:bCs/>
          <w:b/>
        </w:rPr>
        <w:t xml:space="preserve">Röper 2004</w:t>
      </w:r>
      <w:r>
        <w:t xml:space="preserve"> </w:t>
      </w:r>
      <w:r>
        <w:t xml:space="preserve">tested a combination product in a medical context and found no benefit.</w:t>
      </w:r>
    </w:p>
    <w:p>
      <w:pPr>
        <w:pStyle w:val="BodyText"/>
      </w:pPr>
      <w:r>
        <w:rPr>
          <w:bCs/>
          <w:b/>
        </w:rPr>
        <w:t xml:space="preserve">Combination products:</w:t>
      </w:r>
      <w:r>
        <w:t xml:space="preserve"> </w:t>
      </w:r>
      <w:r>
        <w:t xml:space="preserve">In two split-face studies with 42 and 35 women, care products containing Pal-KTTKS together with niacinamide, another peptide, carnosine and in some cases retinyl propionate improved the smoothness of the skin around the eyes compared with untreated skin</w:t>
      </w:r>
      <w:r>
        <w:rPr>
          <w:rStyle w:val="FootnoteReference"/>
        </w:rPr>
        <w:footnoteReference w:id="2487"/>
      </w:r>
      <w:r>
        <w:t xml:space="preserve">. Because several active ingredients were tested simultaneously and compared with</w:t>
      </w:r>
      <w:r>
        <w:t xml:space="preserve"> </w:t>
      </w:r>
      <w:r>
        <w:t xml:space="preserve">“</w:t>
      </w:r>
      <w:r>
        <w:t xml:space="preserve">no treatment,</w:t>
      </w:r>
      <w:r>
        <w:t xml:space="preserve">”</w:t>
      </w:r>
      <w:r>
        <w:t xml:space="preserve"> </w:t>
      </w:r>
      <w:r>
        <w:t xml:space="preserve">the effect cannot be attributed to the peptide.</w:t>
      </w:r>
    </w:p>
    <w:p>
      <w:pPr>
        <w:pStyle w:val="BodyText"/>
      </w:pPr>
      <w:r>
        <w:rPr>
          <w:bCs/>
          <w:b/>
        </w:rPr>
        <w:t xml:space="preserve">Meta-analysis:</w:t>
      </w:r>
      <w:r>
        <w:t xml:space="preserve"> </w:t>
      </w:r>
      <w:r>
        <w:t xml:space="preserve">A meta-analysis of oral and topically applied peptides against skin aging (19 studies, 1,341 participants) found a modest overall effect on wrinkles, which was driven mainly by orally taken peptides</w:t>
      </w:r>
      <w:r>
        <w:rPr>
          <w:rStyle w:val="FootnoteReference"/>
        </w:rPr>
        <w:footnoteReference w:id="2488"/>
      </w:r>
      <w:r>
        <w:t xml:space="preserve">. This does not provide separate evidence for topically applied peptides such as Pal-KTTKS.</w:t>
      </w:r>
    </w:p>
    <w:bookmarkEnd w:id="2489"/>
    <w:bookmarkStart w:id="2493" w:name="animal-and-laboratory-studies-56"/>
    <w:p>
      <w:pPr>
        <w:pStyle w:val="Heading3"/>
      </w:pPr>
      <w:r>
        <w:t xml:space="preserve">Animal and laboratory studies</w:t>
      </w:r>
    </w:p>
    <w:p>
      <w:pPr>
        <w:numPr>
          <w:ilvl w:val="0"/>
          <w:numId w:val="1313"/>
        </w:numPr>
        <w:pStyle w:val="Compact"/>
      </w:pPr>
      <w:r>
        <w:rPr>
          <w:bCs/>
          <w:b/>
        </w:rPr>
        <w:t xml:space="preserve">Cell culture:</w:t>
      </w:r>
      <w:r>
        <w:t xml:space="preserve"> </w:t>
      </w:r>
      <w:r>
        <w:t xml:space="preserve">KTTKS and Pal-KTTKS increase the production of collagen and fibronectin in fibroblasts</w:t>
      </w:r>
      <w:r>
        <w:rPr>
          <w:rStyle w:val="FootnoteReference"/>
        </w:rPr>
        <w:footnoteReference w:id="2490"/>
      </w:r>
      <w:r>
        <w:t xml:space="preserve">. In another cell study, Pal-KTTKS at a low concentration reduced the transformation of fibroblasts into scar-forming myofibroblasts; at a higher concentration the effect was not significant</w:t>
      </w:r>
      <w:r>
        <w:rPr>
          <w:rStyle w:val="FootnoteReference"/>
        </w:rPr>
        <w:footnoteReference w:id="2491"/>
      </w:r>
      <w:r>
        <w:t xml:space="preserve">.</w:t>
      </w:r>
    </w:p>
    <w:p>
      <w:pPr>
        <w:numPr>
          <w:ilvl w:val="0"/>
          <w:numId w:val="1313"/>
        </w:numPr>
        <w:pStyle w:val="Compact"/>
      </w:pPr>
      <w:r>
        <w:rPr>
          <w:bCs/>
          <w:b/>
        </w:rPr>
        <w:t xml:space="preserve">Animal experiments:</w:t>
      </w:r>
      <w:r>
        <w:t xml:space="preserve"> </w:t>
      </w:r>
      <w:r>
        <w:t xml:space="preserve">In experimental animals, patches and creams with Matrixyl improved the healing of skin wounds compared with untreated controls</w:t>
      </w:r>
      <w:r>
        <w:rPr>
          <w:rStyle w:val="FootnoteReference"/>
        </w:rPr>
        <w:footnoteReference w:id="2492"/>
      </w:r>
      <w:r>
        <w:t xml:space="preserve">.</w:t>
      </w:r>
    </w:p>
    <w:p>
      <w:pPr>
        <w:numPr>
          <w:ilvl w:val="0"/>
          <w:numId w:val="1313"/>
        </w:numPr>
        <w:pStyle w:val="Compact"/>
      </w:pPr>
      <w:r>
        <w:rPr>
          <w:bCs/>
          <w:b/>
        </w:rPr>
        <w:t xml:space="preserve">New variants:</w:t>
      </w:r>
      <w:r>
        <w:t xml:space="preserve"> </w:t>
      </w:r>
      <w:r>
        <w:t xml:space="preserve">Research groups are coupling KTTKS to other molecules to create antibacterial or more strongly collagen-stimulating variants – so far exclusively in the laboratory.</w:t>
      </w:r>
    </w:p>
    <w:bookmarkEnd w:id="2493"/>
    <w:bookmarkStart w:id="2496" w:name="risks-and-side-effects-56"/>
    <w:p>
      <w:pPr>
        <w:pStyle w:val="Heading3"/>
      </w:pPr>
      <w:r>
        <w:t xml:space="preserve">Risks and side effects</w:t>
      </w:r>
    </w:p>
    <w:p>
      <w:pPr>
        <w:pStyle w:val="FirstParagraph"/>
      </w:pPr>
      <w:r>
        <w:rPr>
          <w:bCs/>
          <w:b/>
        </w:rPr>
        <w:t xml:space="preserve">Established:</w:t>
      </w:r>
      <w:r>
        <w:t xml:space="preserve"> </w:t>
      </w:r>
      <w:r>
        <w:t xml:space="preserve">In the Robinson study, the peptide was well tolerated. In the radiotherapy study, itching occurred more frequently under the Matrixyl-containing combination product, and a suspected allergic reaction occurred only under this product</w:t>
      </w:r>
      <w:r>
        <w:rPr>
          <w:rStyle w:val="FootnoteReference"/>
        </w:rPr>
        <w:footnoteReference w:id="2494"/>
      </w:r>
      <w:r>
        <w:t xml:space="preserve">; which component was responsible is unclear.</w:t>
      </w:r>
    </w:p>
    <w:p>
      <w:pPr>
        <w:pStyle w:val="BodyText"/>
      </w:pPr>
      <w:r>
        <w:rPr>
          <w:bCs/>
          <w:b/>
        </w:rPr>
        <w:t xml:space="preserve">General:</w:t>
      </w:r>
      <w:r>
        <w:t xml:space="preserve"> </w:t>
      </w:r>
      <w:r>
        <w:t xml:space="preserve">As with any cosmetic ingredient, irritation and contact allergies are possible, but they appear to be rare. A paper from the cosmetics industry that screened peptides for toxic and allergenic potential using bioinformatic tools found similarities between palmitoyl pentapeptide-4 and connective tissue proteins of the skin, but no indications of toxin or allergen structures</w:t>
      </w:r>
      <w:r>
        <w:rPr>
          <w:rStyle w:val="FootnoteReference"/>
        </w:rPr>
        <w:footnoteReference w:id="2495"/>
      </w:r>
      <w:r>
        <w:t xml:space="preserve">. Such computer analyses do not replace clinical observation.</w:t>
      </w:r>
    </w:p>
    <w:p>
      <w:pPr>
        <w:pStyle w:val="BodyText"/>
      </w:pPr>
      <w:r>
        <w:rPr>
          <w:bCs/>
          <w:b/>
        </w:rPr>
        <w:t xml:space="preserve">Theoretical:</w:t>
      </w:r>
      <w:r>
        <w:t xml:space="preserve"> </w:t>
      </w:r>
      <w:r>
        <w:t xml:space="preserve">A signaling substance that actually stimulates fibroblasts to produce collagen could be undesirable in people prone to excessive scarring. There are no case reports of this; the low skin penetration argues against a relevant effect.</w:t>
      </w:r>
    </w:p>
    <w:bookmarkEnd w:id="2496"/>
    <w:bookmarkStart w:id="2497" w:name="legal-status-56"/>
    <w:p>
      <w:pPr>
        <w:pStyle w:val="Heading3"/>
      </w:pPr>
      <w:r>
        <w:t xml:space="preserve">Legal status</w:t>
      </w:r>
    </w:p>
    <w:p>
      <w:pPr>
        <w:numPr>
          <w:ilvl w:val="0"/>
          <w:numId w:val="1314"/>
        </w:numPr>
        <w:pStyle w:val="Compact"/>
      </w:pPr>
      <w:r>
        <w:rPr>
          <w:bCs/>
          <w:b/>
        </w:rPr>
        <w:t xml:space="preserve">EU / Austria / Germany:</w:t>
      </w:r>
      <w:r>
        <w:t xml:space="preserve"> </w:t>
      </w:r>
      <w:r>
        <w:t xml:space="preserve">Palmitoyl pentapeptide-4 is a permitted cosmetic ingredient under the EU Cosmetics Regulation (Regulation (EC) No 1223/2009). Cosmetics are not officially tested for efficacy before sale; the manufacturer must prepare a safety assessment and be able to substantiate advertising claims in accordance with Regulation (EU) No 655/2013. Claims such as</w:t>
      </w:r>
      <w:r>
        <w:t xml:space="preserve"> </w:t>
      </w:r>
      <w:r>
        <w:t xml:space="preserve">“</w:t>
      </w:r>
      <w:r>
        <w:t xml:space="preserve">works like a wrinkle filler injection</w:t>
      </w:r>
      <w:r>
        <w:t xml:space="preserve">”</w:t>
      </w:r>
      <w:r>
        <w:t xml:space="preserve"> </w:t>
      </w:r>
      <w:r>
        <w:t xml:space="preserve">or</w:t>
      </w:r>
      <w:r>
        <w:t xml:space="preserve"> </w:t>
      </w:r>
      <w:r>
        <w:t xml:space="preserve">“</w:t>
      </w:r>
      <w:r>
        <w:t xml:space="preserve">builds collagen</w:t>
      </w:r>
      <w:r>
        <w:t xml:space="preserve">”</w:t>
      </w:r>
      <w:r>
        <w:t xml:space="preserve"> </w:t>
      </w:r>
      <w:r>
        <w:t xml:space="preserve">are therefore legally delicate if they are not covered by studies on the product.</w:t>
      </w:r>
    </w:p>
    <w:p>
      <w:pPr>
        <w:numPr>
          <w:ilvl w:val="0"/>
          <w:numId w:val="1314"/>
        </w:numPr>
        <w:pStyle w:val="Compact"/>
      </w:pPr>
      <w:r>
        <w:rPr>
          <w:bCs/>
          <w:b/>
        </w:rPr>
        <w:t xml:space="preserve">USA:</w:t>
      </w:r>
      <w:r>
        <w:t xml:space="preserve"> </w:t>
      </w:r>
      <w:r>
        <w:t xml:space="preserve">cosmetic ingredient without prior review by the FDA. Advertising claims that promise a change in skin structure can legally turn a product into a drug.</w:t>
      </w:r>
    </w:p>
    <w:p>
      <w:pPr>
        <w:numPr>
          <w:ilvl w:val="0"/>
          <w:numId w:val="1314"/>
        </w:numPr>
        <w:pStyle w:val="Compact"/>
      </w:pPr>
      <w:r>
        <w:rPr>
          <w:bCs/>
          <w:b/>
        </w:rPr>
        <w:t xml:space="preserve">Sport:</w:t>
      </w:r>
      <w:r>
        <w:t xml:space="preserve"> </w:t>
      </w:r>
      <w:r>
        <w:t xml:space="preserve">irrelevant (as of 2026, please check for updates).</w:t>
      </w:r>
    </w:p>
    <w:bookmarkEnd w:id="2497"/>
    <w:bookmarkStart w:id="2498" w:name="ongoing-studies-and-outlook-56"/>
    <w:p>
      <w:pPr>
        <w:pStyle w:val="Heading3"/>
      </w:pPr>
      <w:r>
        <w:t xml:space="preserve">Ongoing studies and outlook</w:t>
      </w:r>
    </w:p>
    <w:p>
      <w:pPr>
        <w:pStyle w:val="FirstParagraph"/>
      </w:pPr>
      <w:r>
        <w:rPr>
          <w:bCs/>
          <w:b/>
        </w:rPr>
        <w:t xml:space="preserve">Established:</w:t>
      </w:r>
      <w:r>
        <w:t xml:space="preserve"> </w:t>
      </w:r>
      <w:r>
        <w:t xml:space="preserve">On ClinicalTrials.gov, no study is registered under</w:t>
      </w:r>
      <w:r>
        <w:t xml:space="preserve"> </w:t>
      </w:r>
      <w:r>
        <w:t xml:space="preserve">“</w:t>
      </w:r>
      <w:r>
        <w:t xml:space="preserve">palmitoyl pentapeptide</w:t>
      </w:r>
      <w:r>
        <w:t xml:space="preserve">”</w:t>
      </w:r>
      <w:r>
        <w:t xml:space="preserve"> </w:t>
      </w:r>
      <w:r>
        <w:t xml:space="preserve">(as of October 2026). Cosmetic efficacy studies are generally not registered but are commissioned by the manufacturers and only partly published.</w:t>
      </w:r>
    </w:p>
    <w:p>
      <w:pPr>
        <w:pStyle w:val="BodyText"/>
      </w:pPr>
      <w:r>
        <w:rPr>
          <w:bCs/>
          <w:b/>
        </w:rPr>
        <w:t xml:space="preserve">Assessment:</w:t>
      </w:r>
      <w:r>
        <w:t xml:space="preserve"> </w:t>
      </w:r>
      <w:r>
        <w:t xml:space="preserve">Matrixyl is one of the oldest and most widely used</w:t>
      </w:r>
      <w:r>
        <w:t xml:space="preserve"> </w:t>
      </w:r>
      <w:r>
        <w:t xml:space="preserve">“</w:t>
      </w:r>
      <w:r>
        <w:t xml:space="preserve">anti-aging peptides</w:t>
      </w:r>
      <w:r>
        <w:t xml:space="preserve">”</w:t>
      </w:r>
      <w:r>
        <w:t xml:space="preserve"> </w:t>
      </w:r>
      <w:r>
        <w:t xml:space="preserve">in cosmetics. Its scientific basis – a cell culture study from 1993 and a split-face study from 2005 – is astonishingly narrow for such a widespread product. New developments aim at better skin penetration (microneedles, nanostructures) and at combinations with other peptides. Without independent, sufficiently large studies with the single active ingredient, the state of knowledge will change little.</w:t>
      </w:r>
    </w:p>
    <w:bookmarkEnd w:id="2498"/>
    <w:bookmarkStart w:id="2499" w:name="conclusion-56"/>
    <w:p>
      <w:pPr>
        <w:pStyle w:val="Heading3"/>
      </w:pPr>
      <w:r>
        <w:t xml:space="preserve">Conclusion</w:t>
      </w:r>
    </w:p>
    <w:p>
      <w:pPr>
        <w:pStyle w:val="FirstParagraph"/>
      </w:pPr>
      <w:r>
        <w:t xml:space="preserve">Palmitoyl pentapeptide-4 is a fatty acid-coupled fragment of the collagen precursor that stimulates fibroblasts to produce collagen in the laboratory. In humans, its efficacy rests mainly on a split-face study with 93 women from 2005, which showed a reduction in fine lines, and on a very small study from 2023. How much active ingredient actually reaches the deeper skin has not been clarified. As a cosmetic ingredient, it is considered well tolerated. Anyone using Matrixyl products should expect a small, cosmetic effect – not a substitute for UV protection or medically tested active ingredients such as retinoids.</w:t>
      </w:r>
    </w:p>
    <w:bookmarkEnd w:id="2499"/>
    <w:bookmarkEnd w:id="2500"/>
    <w:bookmarkStart w:id="2524" w:name="acetyl-hexapeptide-8-argireline"/>
    <w:p>
      <w:pPr>
        <w:pStyle w:val="Heading2"/>
      </w:pPr>
      <w:r>
        <w:t xml:space="preserve">Acetyl Hexapeptide-8 (Argireline)</w:t>
      </w:r>
    </w:p>
    <w:bookmarkStart w:id="2501" w:name="profile-57"/>
    <w:p>
      <w:pPr>
        <w:pStyle w:val="Heading3"/>
      </w:pPr>
      <w:r>
        <w:t xml:space="preserve">Profile</w:t>
      </w:r>
    </w:p>
    <w:p>
      <w:pPr>
        <w:numPr>
          <w:ilvl w:val="0"/>
          <w:numId w:val="1315"/>
        </w:numPr>
        <w:pStyle w:val="Compact"/>
      </w:pPr>
      <w:r>
        <w:rPr>
          <w:bCs/>
          <w:b/>
        </w:rPr>
        <w:t xml:space="preserve">Type/structure:</w:t>
      </w:r>
      <w:r>
        <w:t xml:space="preserve"> </w:t>
      </w:r>
      <w:r>
        <w:t xml:space="preserve">hexapeptide with the sequence glutamate-glutamate-methionine-glutamine-arginine-arginine (Ac-EEMQRR-NH₂), acetylated at the start and amidated at the end. Formerly called acetyl hexapeptide-3; trade name of the raw material: Argireline.</w:t>
      </w:r>
    </w:p>
    <w:p>
      <w:pPr>
        <w:numPr>
          <w:ilvl w:val="0"/>
          <w:numId w:val="1315"/>
        </w:numPr>
        <w:pStyle w:val="Compact"/>
      </w:pPr>
      <w:r>
        <w:rPr>
          <w:bCs/>
          <w:b/>
        </w:rPr>
        <w:t xml:space="preserve">Origin:</w:t>
      </w:r>
      <w:r>
        <w:t xml:space="preserve"> </w:t>
      </w:r>
      <w:r>
        <w:t xml:space="preserve">synthetic, deliberately designed in the early 2000s. The sequence is modeled on the initial segment of the nerve cell protein SNAP-25.</w:t>
      </w:r>
    </w:p>
    <w:p>
      <w:pPr>
        <w:numPr>
          <w:ilvl w:val="0"/>
          <w:numId w:val="1315"/>
        </w:numPr>
        <w:pStyle w:val="Compact"/>
      </w:pPr>
      <w:r>
        <w:rPr>
          <w:bCs/>
          <w:b/>
        </w:rPr>
        <w:t xml:space="preserve">Mechanism of action:</w:t>
      </w:r>
      <w:r>
        <w:t xml:space="preserve"> </w:t>
      </w:r>
      <w:r>
        <w:t xml:space="preserve">supposed to weaken the release of the messenger acetylcholine at the junction between nerve and muscle and thus smooth expression lines – a target similar to that of botulinum toxin, only much weaker. Hence the advertising term</w:t>
      </w:r>
      <w:r>
        <w:t xml:space="preserve"> </w:t>
      </w:r>
      <w:r>
        <w:t xml:space="preserve">“</w:t>
      </w:r>
      <w:r>
        <w:t xml:space="preserve">Botox in a tube.</w:t>
      </w:r>
      <w:r>
        <w:t xml:space="preserve">”</w:t>
      </w:r>
    </w:p>
    <w:p>
      <w:pPr>
        <w:numPr>
          <w:ilvl w:val="0"/>
          <w:numId w:val="1315"/>
        </w:numPr>
        <w:pStyle w:val="Compact"/>
      </w:pPr>
      <w:r>
        <w:rPr>
          <w:bCs/>
          <w:b/>
        </w:rPr>
        <w:t xml:space="preserve">Approval EU:</w:t>
      </w:r>
      <w:r>
        <w:t xml:space="preserve"> </w:t>
      </w:r>
      <w:r>
        <w:t xml:space="preserve">not a medicine; cosmetic ingredient.</w:t>
      </w:r>
    </w:p>
    <w:p>
      <w:pPr>
        <w:numPr>
          <w:ilvl w:val="0"/>
          <w:numId w:val="1315"/>
        </w:numPr>
        <w:pStyle w:val="Compact"/>
      </w:pPr>
      <w:r>
        <w:rPr>
          <w:bCs/>
          <w:b/>
        </w:rPr>
        <w:t xml:space="preserve">Approval USA:</w:t>
      </w:r>
      <w:r>
        <w:t xml:space="preserve"> </w:t>
      </w:r>
      <w:r>
        <w:t xml:space="preserve">not a drug; cosmetic ingredient.</w:t>
      </w:r>
    </w:p>
    <w:p>
      <w:pPr>
        <w:numPr>
          <w:ilvl w:val="0"/>
          <w:numId w:val="1315"/>
        </w:numPr>
        <w:pStyle w:val="Compact"/>
      </w:pPr>
      <w:r>
        <w:rPr>
          <w:bCs/>
          <w:b/>
        </w:rPr>
        <w:t xml:space="preserve">WADA:</w:t>
      </w:r>
      <w:r>
        <w:t xml:space="preserve"> </w:t>
      </w:r>
      <w:r>
        <w:t xml:space="preserve">not listed.</w:t>
      </w:r>
    </w:p>
    <w:p>
      <w:pPr>
        <w:numPr>
          <w:ilvl w:val="0"/>
          <w:numId w:val="1315"/>
        </w:numPr>
        <w:pStyle w:val="Compact"/>
      </w:pPr>
      <w:r>
        <w:rPr>
          <w:bCs/>
          <w:b/>
        </w:rPr>
        <w:t xml:space="preserve">Evidence level:</w:t>
      </w:r>
      <w:r>
        <w:t xml:space="preserve"> </w:t>
      </w:r>
      <w:r>
        <w:rPr>
          <w:bCs/>
          <w:b/>
        </w:rPr>
        <w:t xml:space="preserve">B</w:t>
      </w:r>
      <w:r>
        <w:t xml:space="preserve"> </w:t>
      </w:r>
      <w:r>
        <w:t xml:space="preserve">(weak) – a few small randomized studies with mostly short durations and inconsistent results.</w:t>
      </w:r>
    </w:p>
    <w:bookmarkEnd w:id="2501"/>
    <w:bookmarkStart w:id="2505" w:name="how-it-is-supposed-to-work-57"/>
    <w:p>
      <w:pPr>
        <w:pStyle w:val="Heading3"/>
      </w:pPr>
      <w:r>
        <w:t xml:space="preserve">How it is supposed to work</w:t>
      </w:r>
    </w:p>
    <w:p>
      <w:pPr>
        <w:pStyle w:val="FirstParagraph"/>
      </w:pPr>
      <w:r>
        <w:t xml:space="preserve">For a muscle to contract, a nerve cell must release the messenger acetylcholine. To do this, small vesicles filled with the messenger fuse with the cell membrane. This fusion is mediated by a protein complex, the SNARE complex, in which the protein SNAP-25, among others, is involved. Botulinum toxin type A cleaves SNAP-25 and thereby paralyzes the release of the messenger for months – the muscle relaxes and the overlying wrinkle smooths out.</w:t>
      </w:r>
    </w:p>
    <w:p>
      <w:pPr>
        <w:pStyle w:val="BodyText"/>
      </w:pPr>
      <w:r>
        <w:t xml:space="preserve">Argireline was designed as a mimic of the initial segment of SNAP-25. The idea: the short peptide competes with the real SNAP-25 for its place in the SNARE complex and disrupts its formation. In the first description, Argireline inhibited the release of messengers in cell experiments with a</w:t>
      </w:r>
      <w:r>
        <w:t xml:space="preserve"> </w:t>
      </w:r>
      <w:r>
        <w:rPr>
          <w:iCs/>
          <w:i/>
        </w:rPr>
        <w:t xml:space="preserve">potency</w:t>
      </w:r>
      <w:r>
        <w:t xml:space="preserve"> </w:t>
      </w:r>
      <w:r>
        <w:t xml:space="preserve">similar to botulinum toxin A, but, as expected, achieved a much lower</w:t>
      </w:r>
      <w:r>
        <w:t xml:space="preserve"> </w:t>
      </w:r>
      <w:r>
        <w:rPr>
          <w:iCs/>
          <w:i/>
        </w:rPr>
        <w:t xml:space="preserve">efficacy</w:t>
      </w:r>
      <w:r>
        <w:t xml:space="preserve"> </w:t>
      </w:r>
      <w:r>
        <w:t xml:space="preserve">– that is, a considerably smaller maximum effect</w:t>
      </w:r>
      <w:r>
        <w:rPr>
          <w:rStyle w:val="FootnoteReference"/>
        </w:rPr>
        <w:footnoteReference w:id="2502"/>
      </w:r>
      <w:r>
        <w:t xml:space="preserve">.</w:t>
      </w:r>
    </w:p>
    <w:p>
      <w:pPr>
        <w:pStyle w:val="BodyText"/>
      </w:pPr>
      <w:r>
        <w:t xml:space="preserve">The decisive catch: to work, Argireline from a cream would have to pass through the epidermis and dermis to the nerve endings at the facial muscles. The molecule is water-soluble, electrically charged and comparatively large for the skin. In a laboratory experiment with skin from body donors, most of it remained on the skin surface after 24 hours; 0.22% of the applied peptide was found in the stratum corneum, 0.01% in the epidermis, and nothing was detectable in the dermis and below</w:t>
      </w:r>
      <w:r>
        <w:rPr>
          <w:rStyle w:val="FootnoteReference"/>
        </w:rPr>
        <w:footnoteReference w:id="2503"/>
      </w:r>
      <w:r>
        <w:t xml:space="preserve">. A 2025 review states that it remains unclear whether the peptide reaches the neuromuscular junction at all</w:t>
      </w:r>
      <w:r>
        <w:rPr>
          <w:rStyle w:val="FootnoteReference"/>
        </w:rPr>
        <w:footnoteReference w:id="2504"/>
      </w:r>
      <w:r>
        <w:t xml:space="preserve">.</w:t>
      </w:r>
    </w:p>
    <w:p>
      <w:pPr>
        <w:pStyle w:val="BodyText"/>
      </w:pPr>
      <w:r>
        <w:t xml:space="preserve">This does not rule out effects on the skin – for example on moisture or via nerve endings in the upper layers of the skin – but it makes the advertised</w:t>
      </w:r>
      <w:r>
        <w:t xml:space="preserve"> </w:t>
      </w:r>
      <w:r>
        <w:t xml:space="preserve">“</w:t>
      </w:r>
      <w:r>
        <w:t xml:space="preserve">Botox mechanism</w:t>
      </w:r>
      <w:r>
        <w:t xml:space="preserve">”</w:t>
      </w:r>
      <w:r>
        <w:t xml:space="preserve"> </w:t>
      </w:r>
      <w:r>
        <w:t xml:space="preserve">unlikely when applied to the skin.</w:t>
      </w:r>
    </w:p>
    <w:bookmarkEnd w:id="2505"/>
    <w:bookmarkStart w:id="2512" w:name="human-studies-57"/>
    <w:p>
      <w:pPr>
        <w:pStyle w:val="Heading3"/>
      </w:pPr>
      <w:r>
        <w:t xml:space="preserve">Human studies</w:t>
      </w:r>
    </w:p>
    <w:p>
      <w:pPr>
        <w:pStyle w:val="FirstParagraph"/>
      </w:pPr>
      <w:r>
        <w:t xml:space="preserve">The PubMed search evaluated for this book (acetyl hexapeptide or Argireline in title or abstract, search date October 2026) yielded three papers classified as human studies; ClinicalTrials.gov lists seven registry entries. Review turned up a few more small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Blanes-Mira 2002, PMID 18498523</w:t>
            </w:r>
          </w:p>
        </w:tc>
        <w:tc>
          <w:tcPr/>
          <w:p>
            <w:pPr>
              <w:pStyle w:val="Compact"/>
              <w:jc w:val="left"/>
            </w:pPr>
            <w:r>
              <w:t xml:space="preserve">healthy women, emulsion with 10% Argireline (details in abstract sparse)</w:t>
            </w:r>
          </w:p>
        </w:tc>
        <w:tc>
          <w:tcPr/>
          <w:p>
            <w:pPr>
              <w:pStyle w:val="Compact"/>
              <w:jc w:val="left"/>
            </w:pPr>
            <w:r>
              <w:t xml:space="preserve">30 days</w:t>
            </w:r>
          </w:p>
        </w:tc>
        <w:tc>
          <w:tcPr/>
          <w:p>
            <w:pPr>
              <w:pStyle w:val="Compact"/>
              <w:jc w:val="left"/>
            </w:pPr>
            <w:r>
              <w:t xml:space="preserve">Wrinkle depth reduced by up to 30%</w:t>
            </w:r>
          </w:p>
        </w:tc>
      </w:tr>
      <w:tr>
        <w:tc>
          <w:tcPr/>
          <w:p>
            <w:pPr>
              <w:pStyle w:val="Compact"/>
              <w:jc w:val="left"/>
            </w:pPr>
            <w:r>
              <w:t xml:space="preserve">Wang 2013, PMID 23417317</w:t>
            </w:r>
          </w:p>
        </w:tc>
        <w:tc>
          <w:tcPr/>
          <w:p>
            <w:pPr>
              <w:pStyle w:val="Compact"/>
              <w:jc w:val="left"/>
            </w:pPr>
            <w:r>
              <w:t xml:space="preserve">60 Chinese adults with periorbital wrinkles, Argireline vs. placebo in a 3:1 ratio</w:t>
            </w:r>
          </w:p>
        </w:tc>
        <w:tc>
          <w:tcPr/>
          <w:p>
            <w:pPr>
              <w:pStyle w:val="Compact"/>
              <w:jc w:val="left"/>
            </w:pPr>
            <w:r>
              <w:t xml:space="preserve">4 weeks</w:t>
            </w:r>
          </w:p>
        </w:tc>
        <w:tc>
          <w:tcPr/>
          <w:p>
            <w:pPr>
              <w:pStyle w:val="Compact"/>
              <w:jc w:val="left"/>
            </w:pPr>
            <w:r>
              <w:t xml:space="preserve">Subjective</w:t>
            </w:r>
            <w:r>
              <w:t xml:space="preserve"> </w:t>
            </w:r>
            <w:r>
              <w:t xml:space="preserve">“</w:t>
            </w:r>
            <w:r>
              <w:t xml:space="preserve">overall efficacy</w:t>
            </w:r>
            <w:r>
              <w:t xml:space="preserve">”</w:t>
            </w:r>
            <w:r>
              <w:t xml:space="preserve"> </w:t>
            </w:r>
            <w:r>
              <w:t xml:space="preserve">48.9% vs. 0%; roughness values in skin replicas decreased</w:t>
            </w:r>
          </w:p>
        </w:tc>
      </w:tr>
      <w:tr>
        <w:tc>
          <w:tcPr/>
          <w:p>
            <w:pPr>
              <w:pStyle w:val="Compact"/>
              <w:jc w:val="left"/>
            </w:pPr>
            <w:r>
              <w:t xml:space="preserve">Raikou 2017, PMID 28150423</w:t>
            </w:r>
          </w:p>
        </w:tc>
        <w:tc>
          <w:tcPr/>
          <w:p>
            <w:pPr>
              <w:pStyle w:val="Compact"/>
              <w:jc w:val="left"/>
            </w:pPr>
            <w:r>
              <w:t xml:space="preserve">24 healthy people, four groups: Argireline, tripeptide-10 citrulline, both or neither</w:t>
            </w:r>
          </w:p>
        </w:tc>
        <w:tc>
          <w:tcPr/>
          <w:p>
            <w:pPr>
              <w:pStyle w:val="Compact"/>
              <w:jc w:val="left"/>
            </w:pPr>
            <w:r>
              <w:t xml:space="preserve">60 days</w:t>
            </w:r>
          </w:p>
        </w:tc>
        <w:tc>
          <w:tcPr/>
          <w:p>
            <w:pPr>
              <w:pStyle w:val="Compact"/>
              <w:jc w:val="left"/>
            </w:pPr>
            <w:r>
              <w:t xml:space="preserve">Some wrinkle parameters and transepidermal water loss better with Argireline</w:t>
            </w:r>
          </w:p>
        </w:tc>
      </w:tr>
      <w:tr>
        <w:tc>
          <w:tcPr/>
          <w:p>
            <w:pPr>
              <w:pStyle w:val="Compact"/>
              <w:jc w:val="left"/>
            </w:pPr>
            <w:r>
              <w:t xml:space="preserve">Henseler 2023, PMID 38024099</w:t>
            </w:r>
          </w:p>
        </w:tc>
        <w:tc>
          <w:tcPr/>
          <w:p>
            <w:pPr>
              <w:pStyle w:val="Compact"/>
              <w:jc w:val="left"/>
            </w:pPr>
            <w:r>
              <w:t xml:space="preserve">19 women, split-face comparison: hyaluronic serum with vs. without Argireline, double-blind</w:t>
            </w:r>
          </w:p>
        </w:tc>
        <w:tc>
          <w:tcPr/>
          <w:p>
            <w:pPr>
              <w:pStyle w:val="Compact"/>
              <w:jc w:val="left"/>
            </w:pPr>
            <w:r>
              <w:t xml:space="preserve">4 weeks</w:t>
            </w:r>
          </w:p>
        </w:tc>
        <w:tc>
          <w:tcPr/>
          <w:p>
            <w:pPr>
              <w:pStyle w:val="Compact"/>
              <w:jc w:val="left"/>
            </w:pPr>
            <w:r>
              <w:t xml:space="preserve">No significant difference between the halves of the face</w:t>
            </w:r>
          </w:p>
        </w:tc>
      </w:tr>
      <w:tr>
        <w:tc>
          <w:tcPr/>
          <w:p>
            <w:pPr>
              <w:pStyle w:val="Compact"/>
              <w:jc w:val="left"/>
            </w:pPr>
            <w:r>
              <w:t xml:space="preserve">Aruan 2023, PMID 36909866</w:t>
            </w:r>
          </w:p>
        </w:tc>
        <w:tc>
          <w:tcPr/>
          <w:p>
            <w:pPr>
              <w:pStyle w:val="Compact"/>
              <w:jc w:val="left"/>
            </w:pPr>
            <w:r>
              <w:t xml:space="preserve">21 women, acetyl hexapeptide-3 vs. palmitoyl pentapeptide-4 vs. placebo</w:t>
            </w:r>
          </w:p>
        </w:tc>
        <w:tc>
          <w:tcPr/>
          <w:p>
            <w:pPr>
              <w:pStyle w:val="Compact"/>
              <w:jc w:val="left"/>
            </w:pPr>
            <w:r>
              <w:t xml:space="preserve">8 weeks</w:t>
            </w:r>
          </w:p>
        </w:tc>
        <w:tc>
          <w:tcPr/>
          <w:p>
            <w:pPr>
              <w:pStyle w:val="Compact"/>
              <w:jc w:val="left"/>
            </w:pPr>
            <w:r>
              <w:t xml:space="preserve">Palmitoyl pentapeptide-4 performed better than Argireline and placebo</w:t>
            </w:r>
          </w:p>
        </w:tc>
      </w:tr>
    </w:tbl>
    <w:p>
      <w:pPr>
        <w:pStyle w:val="BodyText"/>
      </w:pPr>
      <w:r>
        <w:rPr>
          <w:bCs/>
          <w:b/>
        </w:rPr>
        <w:t xml:space="preserve">Putting the positive studies in context:</w:t>
      </w:r>
    </w:p>
    <w:p>
      <w:pPr>
        <w:numPr>
          <w:ilvl w:val="0"/>
          <w:numId w:val="1316"/>
        </w:numPr>
        <w:pStyle w:val="Compact"/>
      </w:pPr>
      <w:r>
        <w:t xml:space="preserve">The first description from 2002 comes from the developers, and the abstract states neither the number of participants nor a control group. It tested a concentration of 10% – far above what a US safety assessment later considered adequately studied (see Risks).</w:t>
      </w:r>
    </w:p>
    <w:p>
      <w:pPr>
        <w:numPr>
          <w:ilvl w:val="0"/>
          <w:numId w:val="1316"/>
        </w:numPr>
        <w:pStyle w:val="Compact"/>
      </w:pPr>
      <w:r>
        <w:t xml:space="preserve">The Chinese study (Wang 2013) is the largest. The groups were of unequal size (about 45 versus 15), the main assessment was subjective, and the same clinical data appear together with mouse experiments in another publication by the same group</w:t>
      </w:r>
      <w:r>
        <w:rPr>
          <w:rStyle w:val="FootnoteReference"/>
        </w:rPr>
        <w:footnoteReference w:id="2506"/>
      </w:r>
      <w:r>
        <w:t xml:space="preserve">. In comparisons with baseline, only the Argireline group showed decreasing roughness values – a direct statistical comparison of the groups is not reported in the abstract.</w:t>
      </w:r>
    </w:p>
    <w:p>
      <w:pPr>
        <w:numPr>
          <w:ilvl w:val="0"/>
          <w:numId w:val="1316"/>
        </w:numPr>
        <w:pStyle w:val="Compact"/>
      </w:pPr>
      <w:r>
        <w:t xml:space="preserve">The Raikou study had only six participants per group and a large number of individual comparisons; some differences were significant, others were not.</w:t>
      </w:r>
    </w:p>
    <w:p>
      <w:pPr>
        <w:pStyle w:val="FirstParagraph"/>
      </w:pPr>
      <w:r>
        <w:rPr>
          <w:bCs/>
          <w:b/>
        </w:rPr>
        <w:t xml:space="preserve">The negative study:</w:t>
      </w:r>
      <w:r>
        <w:t xml:space="preserve"> </w:t>
      </w:r>
      <w:r>
        <w:t xml:space="preserve">A double-blind split-face study from a plastic surgery practice with objective camera measurement (Henseler 2023) found no difference between the half of the face with and without Argireline. The investigators concluded that an effect had not been demonstrated and that Argireline should not be classified as an alternative to botulinum toxin. With 19 participants, however, this study was also small.</w:t>
      </w:r>
    </w:p>
    <w:bookmarkStart w:id="2511" w:name="other-applications-1"/>
    <w:p>
      <w:pPr>
        <w:pStyle w:val="Heading4"/>
      </w:pPr>
      <w:r>
        <w:t xml:space="preserve">Other Applications</w:t>
      </w:r>
    </w:p>
    <w:p>
      <w:pPr>
        <w:numPr>
          <w:ilvl w:val="0"/>
          <w:numId w:val="1317"/>
        </w:numPr>
        <w:pStyle w:val="Compact"/>
      </w:pPr>
      <w:r>
        <w:rPr>
          <w:bCs/>
          <w:b/>
        </w:rPr>
        <w:t xml:space="preserve">Eyelid spasm (blepharospasm):</w:t>
      </w:r>
      <w:r>
        <w:t xml:space="preserve"> </w:t>
      </w:r>
      <w:r>
        <w:t xml:space="preserve">In this neurological disorder, the eyelid muscles cramp involuntarily; standard treatment is the injection of botulinum toxin every three months. In a pilot study with 24 patients, an Argireline cream was supposed to prolong the duration of effect of the injection. There was a non-significant trend (3.7 versus 3.0 months until symptoms returned) and no relevant side effects (Lungu 2013, PMID 23146065; registered as NCT00942851). A follow-up study was terminated after eight participants</w:t>
      </w:r>
      <w:r>
        <w:rPr>
          <w:rStyle w:val="FootnoteReference"/>
        </w:rPr>
        <w:footnoteReference w:id="2507"/>
      </w:r>
      <w:r>
        <w:t xml:space="preserve">.</w:t>
      </w:r>
    </w:p>
    <w:p>
      <w:pPr>
        <w:numPr>
          <w:ilvl w:val="0"/>
          <w:numId w:val="1317"/>
        </w:numPr>
        <w:pStyle w:val="Compact"/>
      </w:pPr>
      <w:r>
        <w:rPr>
          <w:bCs/>
          <w:b/>
        </w:rPr>
        <w:t xml:space="preserve">Microneedle patches:</w:t>
      </w:r>
      <w:r>
        <w:t xml:space="preserve"> </w:t>
      </w:r>
      <w:r>
        <w:t xml:space="preserve">In a Korean split-face study with 52 women, a hyaluronic microneedle patch with Argireline improved wrinkles more than the patch alone</w:t>
      </w:r>
      <w:r>
        <w:rPr>
          <w:rStyle w:val="FootnoteReference"/>
        </w:rPr>
        <w:footnoteReference w:id="2508"/>
      </w:r>
      <w:r>
        <w:t xml:space="preserve">. Here the peptide is delivered into the skin by tiny needles – the result cannot be transferred to normal creams.</w:t>
      </w:r>
    </w:p>
    <w:p>
      <w:pPr>
        <w:numPr>
          <w:ilvl w:val="0"/>
          <w:numId w:val="1317"/>
        </w:numPr>
        <w:pStyle w:val="Compact"/>
      </w:pPr>
      <w:r>
        <w:rPr>
          <w:bCs/>
          <w:b/>
        </w:rPr>
        <w:t xml:space="preserve">Combination products:</w:t>
      </w:r>
      <w:r>
        <w:t xml:space="preserve"> </w:t>
      </w:r>
      <w:r>
        <w:t xml:space="preserve">Many studies test serums that contain Argireline together with retinol, hyaluronic acid or other peptides. Their results cannot be attributed to the individual peptide.</w:t>
      </w:r>
    </w:p>
    <w:p>
      <w:pPr>
        <w:numPr>
          <w:ilvl w:val="0"/>
          <w:numId w:val="1317"/>
        </w:numPr>
        <w:pStyle w:val="Compact"/>
      </w:pPr>
      <w:r>
        <w:rPr>
          <w:bCs/>
          <w:b/>
        </w:rPr>
        <w:t xml:space="preserve">Registered small studies:</w:t>
      </w:r>
      <w:r>
        <w:t xml:space="preserve"> </w:t>
      </w:r>
      <w:r>
        <w:t xml:space="preserve">ClinicalTrials.gov lists, among others, a completed study on oily skin with 14 participants</w:t>
      </w:r>
      <w:r>
        <w:rPr>
          <w:rStyle w:val="FootnoteReference"/>
        </w:rPr>
        <w:footnoteReference w:id="2509"/>
      </w:r>
      <w:r>
        <w:t xml:space="preserve"> </w:t>
      </w:r>
      <w:r>
        <w:t xml:space="preserve">and a study on periorbital wrinkles described as phase 3 with 70 participants</w:t>
      </w:r>
      <w:r>
        <w:rPr>
          <w:rStyle w:val="FootnoteReference"/>
        </w:rPr>
        <w:footnoteReference w:id="2510"/>
      </w:r>
      <w:r>
        <w:t xml:space="preserve">; whether the latter corresponds to the Chinese study mentioned above could not be clearly determined.</w:t>
      </w:r>
    </w:p>
    <w:bookmarkEnd w:id="2511"/>
    <w:bookmarkEnd w:id="2512"/>
    <w:bookmarkStart w:id="2517" w:name="animal-and-laboratory-studies-57"/>
    <w:p>
      <w:pPr>
        <w:pStyle w:val="Heading3"/>
      </w:pPr>
      <w:r>
        <w:t xml:space="preserve">Animal and laboratory studies</w:t>
      </w:r>
    </w:p>
    <w:p>
      <w:pPr>
        <w:numPr>
          <w:ilvl w:val="0"/>
          <w:numId w:val="1318"/>
        </w:numPr>
        <w:pStyle w:val="Compact"/>
      </w:pPr>
      <w:r>
        <w:rPr>
          <w:bCs/>
          <w:b/>
        </w:rPr>
        <w:t xml:space="preserve">Cell experiments:</w:t>
      </w:r>
      <w:r>
        <w:t xml:space="preserve"> </w:t>
      </w:r>
      <w:r>
        <w:t xml:space="preserve">inhibition of messenger release and disruption of SNARE complex formation</w:t>
      </w:r>
      <w:r>
        <w:rPr>
          <w:rStyle w:val="FootnoteReference"/>
        </w:rPr>
        <w:footnoteReference w:id="2513"/>
      </w:r>
      <w:r>
        <w:t xml:space="preserve">. In cell cultures of human skin fibroblasts and other cell lines, Argireline inhibited cell proliferation in a dose-dependent manner, but only at concentrations 18 to 10,000 times higher than those of the comparator substance doxorubicin, a cancer drug</w:t>
      </w:r>
      <w:r>
        <w:rPr>
          <w:rStyle w:val="FootnoteReference"/>
        </w:rPr>
        <w:footnoteReference w:id="2514"/>
      </w:r>
      <w:r>
        <w:t xml:space="preserve">.</w:t>
      </w:r>
    </w:p>
    <w:p>
      <w:pPr>
        <w:numPr>
          <w:ilvl w:val="0"/>
          <w:numId w:val="1318"/>
        </w:numPr>
        <w:pStyle w:val="Compact"/>
      </w:pPr>
      <w:r>
        <w:rPr>
          <w:bCs/>
          <w:b/>
        </w:rPr>
        <w:t xml:space="preserve">Animal experiments:</w:t>
      </w:r>
      <w:r>
        <w:t xml:space="preserve"> </w:t>
      </w:r>
      <w:r>
        <w:t xml:space="preserve">In mice with artificially accelerated aging (induced by D-galactose), the proportion of type I collagen fibers in the skin increased under Argireline</w:t>
      </w:r>
      <w:r>
        <w:rPr>
          <w:rStyle w:val="FootnoteReference"/>
        </w:rPr>
        <w:footnoteReference w:id="2515"/>
      </w:r>
      <w:r>
        <w:t xml:space="preserve">.</w:t>
      </w:r>
    </w:p>
    <w:p>
      <w:pPr>
        <w:numPr>
          <w:ilvl w:val="0"/>
          <w:numId w:val="1318"/>
        </w:numPr>
        <w:pStyle w:val="Compact"/>
      </w:pPr>
      <w:r>
        <w:rPr>
          <w:bCs/>
          <w:b/>
        </w:rPr>
        <w:t xml:space="preserve">Skin penetration:</w:t>
      </w:r>
      <w:r>
        <w:t xml:space="preserve"> </w:t>
      </w:r>
      <w:r>
        <w:t xml:space="preserve">In addition to the study on body donor skin</w:t>
      </w:r>
      <w:r>
        <w:rPr>
          <w:rStyle w:val="FootnoteReference"/>
        </w:rPr>
        <w:footnoteReference w:id="2516"/>
      </w:r>
      <w:r>
        <w:t xml:space="preserve">, numerous laboratory studies are investigating emulsions, microneedles, iontophoresis and chemical modifications to deliver more active ingredient into the skin.</w:t>
      </w:r>
    </w:p>
    <w:bookmarkEnd w:id="2517"/>
    <w:bookmarkStart w:id="2520" w:name="risks-and-side-effects-57"/>
    <w:p>
      <w:pPr>
        <w:pStyle w:val="Heading3"/>
      </w:pPr>
      <w:r>
        <w:t xml:space="preserve">Risks and side effects</w:t>
      </w:r>
    </w:p>
    <w:p>
      <w:pPr>
        <w:pStyle w:val="FirstParagraph"/>
      </w:pPr>
      <w:r>
        <w:rPr>
          <w:bCs/>
          <w:b/>
        </w:rPr>
        <w:t xml:space="preserve">As a cream (established):</w:t>
      </w:r>
      <w:r>
        <w:t xml:space="preserve"> </w:t>
      </w:r>
      <w:r>
        <w:t xml:space="preserve">No relevant side effects were observed in the studies; skin irritation and allergies are possible, as with any cosmetic ingredient. The independent US expert panel on the safety of cosmetic ingredients (Cosmetic Ingredient Review) concluded in 2025 that acetyl hexapeptide-8 is safe at the concentrations currently in use of up to 0.005%. For higher concentrations, the available data were insufficient for a safety statement</w:t>
      </w:r>
      <w:r>
        <w:rPr>
          <w:rStyle w:val="FootnoteReference"/>
        </w:rPr>
        <w:footnoteReference w:id="2518"/>
      </w:r>
      <w:r>
        <w:t xml:space="preserve">.</w:t>
      </w:r>
    </w:p>
    <w:p>
      <w:pPr>
        <w:pStyle w:val="BodyText"/>
      </w:pPr>
      <w:r>
        <w:rPr>
          <w:bCs/>
          <w:b/>
        </w:rPr>
        <w:t xml:space="preserve">As an injection:</w:t>
      </w:r>
      <w:r>
        <w:t xml:space="preserve"> </w:t>
      </w:r>
      <w:r>
        <w:t xml:space="preserve">Argireline is sometimes also injected into the skin, for example in beauty salons or via gray-market products. There is no approval and there are no studies for this. A case report describes a 45-year-old woman who developed redness, nodules and abscesses after Argireline injections into the forehead and temples; the cause was an infection with the difficult-to-treat bacterium</w:t>
      </w:r>
      <w:r>
        <w:t xml:space="preserve"> </w:t>
      </w:r>
      <w:r>
        <w:rPr>
          <w:iCs/>
          <w:i/>
        </w:rPr>
        <w:t xml:space="preserve">Mycobacterium abscessus</w:t>
      </w:r>
      <w:r>
        <w:t xml:space="preserve">, which required five months of antibiotic therapy</w:t>
      </w:r>
      <w:r>
        <w:rPr>
          <w:rStyle w:val="FootnoteReference"/>
        </w:rPr>
        <w:footnoteReference w:id="2519"/>
      </w:r>
      <w:r>
        <w:t xml:space="preserve">. The risk here lies less in the peptide itself than in non-sterile products and procedures.</w:t>
      </w:r>
    </w:p>
    <w:p>
      <w:pPr>
        <w:pStyle w:val="BodyText"/>
      </w:pPr>
      <w:r>
        <w:rPr>
          <w:bCs/>
          <w:b/>
        </w:rPr>
        <w:t xml:space="preserve">Theoretical:</w:t>
      </w:r>
      <w:r>
        <w:t xml:space="preserve"> </w:t>
      </w:r>
      <w:r>
        <w:t xml:space="preserve">If Argireline reached neuromuscular junctions in significant amounts, undesirable muscle weakness would be conceivable – as with botulinum toxin. There is no indication of this with topical use.</w:t>
      </w:r>
    </w:p>
    <w:bookmarkEnd w:id="2520"/>
    <w:bookmarkStart w:id="2521" w:name="legal-status-57"/>
    <w:p>
      <w:pPr>
        <w:pStyle w:val="Heading3"/>
      </w:pPr>
      <w:r>
        <w:t xml:space="preserve">Legal status</w:t>
      </w:r>
    </w:p>
    <w:p>
      <w:pPr>
        <w:numPr>
          <w:ilvl w:val="0"/>
          <w:numId w:val="1319"/>
        </w:numPr>
        <w:pStyle w:val="Compact"/>
      </w:pPr>
      <w:r>
        <w:rPr>
          <w:bCs/>
          <w:b/>
        </w:rPr>
        <w:t xml:space="preserve">EU / Austria / Germany:</w:t>
      </w:r>
      <w:r>
        <w:t xml:space="preserve"> </w:t>
      </w:r>
      <w:r>
        <w:t xml:space="preserve">Acetyl hexapeptide-8 is a permitted cosmetic ingredient under the EU Cosmetics Regulation (Regulation (EC) No 1223/2009). Advertising claims must be substantiated in accordance with Regulation (EU) No 655/2013. Comparisons with botulinum toxin (</w:t>
      </w:r>
      <w:r>
        <w:t xml:space="preserve">“</w:t>
      </w:r>
      <w:r>
        <w:t xml:space="preserve">like Botox</w:t>
      </w:r>
      <w:r>
        <w:t xml:space="preserve">”</w:t>
      </w:r>
      <w:r>
        <w:t xml:space="preserve">) are misleading if they suggest a comparable effect. An injection is not a cosmetic use; a product intended for injection would be an unapproved medicine or medical device and may not be marketed as such.</w:t>
      </w:r>
    </w:p>
    <w:p>
      <w:pPr>
        <w:numPr>
          <w:ilvl w:val="0"/>
          <w:numId w:val="1319"/>
        </w:numPr>
        <w:pStyle w:val="Compact"/>
      </w:pPr>
      <w:r>
        <w:rPr>
          <w:bCs/>
          <w:b/>
        </w:rPr>
        <w:t xml:space="preserve">USA:</w:t>
      </w:r>
      <w:r>
        <w:t xml:space="preserve"> </w:t>
      </w:r>
      <w:r>
        <w:t xml:space="preserve">cosmetic ingredient without prior review by the FDA; claims that promise an effect on muscles can legally turn a product into a drug.</w:t>
      </w:r>
    </w:p>
    <w:p>
      <w:pPr>
        <w:numPr>
          <w:ilvl w:val="0"/>
          <w:numId w:val="1319"/>
        </w:numPr>
        <w:pStyle w:val="Compact"/>
      </w:pPr>
      <w:r>
        <w:rPr>
          <w:bCs/>
          <w:b/>
        </w:rPr>
        <w:t xml:space="preserve">Sport:</w:t>
      </w:r>
      <w:r>
        <w:t xml:space="preserve"> </w:t>
      </w:r>
      <w:r>
        <w:t xml:space="preserve">irrelevant (as of 2026, please check for updates).</w:t>
      </w:r>
    </w:p>
    <w:bookmarkEnd w:id="2521"/>
    <w:bookmarkStart w:id="2522" w:name="ongoing-studies-and-outlook-57"/>
    <w:p>
      <w:pPr>
        <w:pStyle w:val="Heading3"/>
      </w:pPr>
      <w:r>
        <w:t xml:space="preserve">Ongoing studies and outlook</w:t>
      </w:r>
    </w:p>
    <w:p>
      <w:pPr>
        <w:pStyle w:val="FirstParagraph"/>
      </w:pPr>
      <w:r>
        <w:rPr>
          <w:bCs/>
          <w:b/>
        </w:rPr>
        <w:t xml:space="preserve">Established:</w:t>
      </w:r>
      <w:r>
        <w:t xml:space="preserve"> </w:t>
      </w:r>
      <w:r>
        <w:t xml:space="preserve">On ClinicalTrials.gov (as of October 2026), there is no ongoing study with acetyl hexapeptide-8 as a single active ingredient; the listed entries have been completed or terminated. Cosmetic efficacy studies are rarely registered.</w:t>
      </w:r>
    </w:p>
    <w:p>
      <w:pPr>
        <w:pStyle w:val="BodyText"/>
      </w:pPr>
      <w:r>
        <w:rPr>
          <w:bCs/>
          <w:b/>
        </w:rPr>
        <w:t xml:space="preserve">Assessment:</w:t>
      </w:r>
      <w:r>
        <w:t xml:space="preserve"> </w:t>
      </w:r>
      <w:r>
        <w:t xml:space="preserve">Argireline is an example of a rationally designed peptide whose laboratory finding is convincing but whose path to the site of action remains unresolved. Research is therefore focusing on delivery systems such as microneedles and nanocarriers. Whether these achieve an effect that is visible to users and goes beyond that of a good moisturizer must be shown by larger, independent studies. Based on current knowledge, a genuine alternative to botulinum toxin is not to be expected.</w:t>
      </w:r>
    </w:p>
    <w:bookmarkEnd w:id="2522"/>
    <w:bookmarkStart w:id="2523" w:name="conclusion-57"/>
    <w:p>
      <w:pPr>
        <w:pStyle w:val="Heading3"/>
      </w:pPr>
      <w:r>
        <w:t xml:space="preserve">Conclusion</w:t>
      </w:r>
    </w:p>
    <w:p>
      <w:pPr>
        <w:pStyle w:val="FirstParagraph"/>
      </w:pPr>
      <w:r>
        <w:t xml:space="preserve">Acetyl hexapeptide-8 is a synthetic peptide that in the laboratory inhibits the release of messengers at nerve cells similarly to botulinum toxin, but much more weakly. From creams, it barely penetrates the skin; in a laboratory experiment, it remained almost entirely in the superficial layers. Small, short studies – some by the developers, some with combination products – report fewer fine lines; a blinded split-face study with objective measurement, by contrast, found no difference. As a cream, it is considered safe at the usual concentrations; injections have been neither studied nor approved and can lead to serious infections. The advertising term</w:t>
      </w:r>
      <w:r>
        <w:t xml:space="preserve"> </w:t>
      </w:r>
      <w:r>
        <w:t xml:space="preserve">“</w:t>
      </w:r>
      <w:r>
        <w:t xml:space="preserve">Botox in a tube</w:t>
      </w:r>
      <w:r>
        <w:t xml:space="preserve">”</w:t>
      </w:r>
      <w:r>
        <w:t xml:space="preserve"> </w:t>
      </w:r>
      <w:r>
        <w:t xml:space="preserve">is not supported by the data.</w:t>
      </w:r>
    </w:p>
    <w:bookmarkEnd w:id="2523"/>
    <w:bookmarkEnd w:id="2524"/>
    <w:bookmarkEnd w:id="2525"/>
    <w:bookmarkStart w:id="2604" w:name="part-iii-the-big-comparison"/>
    <w:p>
      <w:pPr>
        <w:pStyle w:val="Heading1"/>
      </w:pPr>
      <w:r>
        <w:t xml:space="preserve">Part III – The Big Comparison</w:t>
      </w:r>
    </w:p>
    <w:p>
      <w:pPr>
        <w:pStyle w:val="FirstParagraph"/>
      </w:pPr>
      <w:r>
        <w:t xml:space="preserve">In Part II, each peptide was considered individually. This part places the results side by side and answers three questions: How well studied is a peptide compared with the others? How do the weight-loss and diabetes medications compare with each other? And what remains of the promises from the internet if only human studies are allowed to count?</w:t>
      </w:r>
    </w:p>
    <w:p>
      <w:pPr>
        <w:pStyle w:val="BodyText"/>
      </w:pPr>
      <w:r>
        <w:t xml:space="preserve">The tables are condensations. The sources and limitations of each figure can be found in the chapters of Part II. All information on approval and doping status reflects the status as of 2026 and should be checked for updates.</w:t>
      </w:r>
    </w:p>
    <w:bookmarkStart w:id="2538" w:name="all-peptides-at-a-glance"/>
    <w:p>
      <w:pPr>
        <w:pStyle w:val="Heading2"/>
      </w:pPr>
      <w:r>
        <w:t xml:space="preserve">All Peptides at a Glance</w:t>
      </w:r>
    </w:p>
    <w:bookmarkStart w:id="2526" w:name="how-to-read-the-tables"/>
    <w:p>
      <w:pPr>
        <w:pStyle w:val="Heading3"/>
      </w:pPr>
      <w:r>
        <w:t xml:space="preserve">How to Read the Tables</w:t>
      </w:r>
    </w:p>
    <w:p>
      <w:pPr>
        <w:pStyle w:val="FirstParagraph"/>
      </w:pPr>
      <w:r>
        <w:t xml:space="preserve">For each group from Part II, two tables follow: the first with evidence level, approval and size of the evidence base, the second with the most important study result and the main risk.</w:t>
      </w:r>
    </w:p>
    <w:p>
      <w:pPr>
        <w:pStyle w:val="BodyText"/>
      </w:pPr>
      <w:r>
        <w:rPr>
          <w:bCs/>
          <w:b/>
        </w:rPr>
        <w:t xml:space="preserve">Evidence level</w:t>
      </w:r>
      <w:r>
        <w:t xml:space="preserve"> </w:t>
      </w:r>
      <w:r>
        <w:t xml:space="preserve">(as in Part II):</w:t>
      </w:r>
    </w:p>
    <w:p>
      <w:pPr>
        <w:numPr>
          <w:ilvl w:val="0"/>
          <w:numId w:val="1320"/>
        </w:numPr>
        <w:pStyle w:val="Compact"/>
      </w:pPr>
      <w:r>
        <w:rPr>
          <w:bCs/>
          <w:b/>
        </w:rPr>
        <w:t xml:space="preserve">A</w:t>
      </w:r>
      <w:r>
        <w:t xml:space="preserve">: several large randomized studies in humans, usually with approval</w:t>
      </w:r>
    </w:p>
    <w:p>
      <w:pPr>
        <w:numPr>
          <w:ilvl w:val="0"/>
          <w:numId w:val="1320"/>
        </w:numPr>
        <w:pStyle w:val="Compact"/>
      </w:pPr>
      <w:r>
        <w:rPr>
          <w:bCs/>
          <w:b/>
        </w:rPr>
        <w:t xml:space="preserve">B</w:t>
      </w:r>
      <w:r>
        <w:t xml:space="preserve">: individual randomized studies in humans</w:t>
      </w:r>
    </w:p>
    <w:p>
      <w:pPr>
        <w:numPr>
          <w:ilvl w:val="0"/>
          <w:numId w:val="1320"/>
        </w:numPr>
        <w:pStyle w:val="Compact"/>
      </w:pPr>
      <w:r>
        <w:rPr>
          <w:bCs/>
          <w:b/>
        </w:rPr>
        <w:t xml:space="preserve">C</w:t>
      </w:r>
      <w:r>
        <w:t xml:space="preserve">: only small or uncontrolled human studies</w:t>
      </w:r>
    </w:p>
    <w:p>
      <w:pPr>
        <w:numPr>
          <w:ilvl w:val="0"/>
          <w:numId w:val="1320"/>
        </w:numPr>
        <w:pStyle w:val="Compact"/>
      </w:pPr>
      <w:r>
        <w:rPr>
          <w:bCs/>
          <w:b/>
        </w:rPr>
        <w:t xml:space="preserve">D</w:t>
      </w:r>
      <w:r>
        <w:t xml:space="preserve">: only animal and laboratory studies</w:t>
      </w:r>
    </w:p>
    <w:p>
      <w:pPr>
        <w:pStyle w:val="FirstParagraph"/>
      </w:pPr>
      <w:r>
        <w:t xml:space="preserve">The level describes</w:t>
      </w:r>
      <w:r>
        <w:t xml:space="preserve"> </w:t>
      </w:r>
      <w:r>
        <w:rPr>
          <w:iCs/>
          <w:i/>
        </w:rPr>
        <w:t xml:space="preserve">how well</w:t>
      </w:r>
      <w:r>
        <w:t xml:space="preserve"> </w:t>
      </w:r>
      <w:r>
        <w:t xml:space="preserve">something has been studied, not</w:t>
      </w:r>
      <w:r>
        <w:t xml:space="preserve"> </w:t>
      </w:r>
      <w:r>
        <w:rPr>
          <w:iCs/>
          <w:i/>
        </w:rPr>
        <w:t xml:space="preserve">whether</w:t>
      </w:r>
      <w:r>
        <w:t xml:space="preserve"> </w:t>
      </w:r>
      <w:r>
        <w:t xml:space="preserve">it works – and applies only to the use studied.</w:t>
      </w:r>
    </w:p>
    <w:p>
      <w:pPr>
        <w:pStyle w:val="BodyText"/>
      </w:pPr>
      <w:r>
        <w:rPr>
          <w:bCs/>
          <w:b/>
        </w:rPr>
        <w:t xml:space="preserve">Human studies / registry:</w:t>
      </w:r>
      <w:r>
        <w:t xml:space="preserve"> </w:t>
      </w:r>
      <w:r>
        <w:t xml:space="preserve">The figures come from the automated search for this book (October 2026, methodology in the appendix): publications classified as human studies in PubMed and entries in the ClinicalTrials.gov study registry. They show only the order of magnitude, depend heavily on the search term and partly contain irrelevant hits, while older papers under other names may be missing. Where a figure is clearly misleading, it is marked</w:t>
      </w:r>
      <w:r>
        <w:t xml:space="preserve"> </w:t>
      </w:r>
      <w:r>
        <w:t xml:space="preserve">“</w:t>
      </w:r>
      <w:r>
        <w:t xml:space="preserve">(note)</w:t>
      </w:r>
      <w:r>
        <w:t xml:space="preserve">”</w:t>
      </w:r>
      <w:r>
        <w:t xml:space="preserve"> </w:t>
      </w:r>
      <w:r>
        <w:t xml:space="preserve">and explained below the table. Registry entries from a sponsor whose entries proved on review to be apparently fictitious sample or test entries are not counted.</w:t>
      </w:r>
    </w:p>
    <w:bookmarkEnd w:id="2526"/>
    <w:bookmarkStart w:id="2527" w:name="a.-metabolism-and-weight"/>
    <w:p>
      <w:pPr>
        <w:pStyle w:val="Heading3"/>
      </w:pPr>
      <w:r>
        <w:t xml:space="preserve">A. Metabolism and Weight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yes / yes (also generics)</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158 / 143</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yes / yes (injection and tablet)</w:t>
            </w:r>
          </w:p>
        </w:tc>
        <w:tc>
          <w:tcPr/>
          <w:p>
            <w:pPr>
              <w:pStyle w:val="Compact"/>
              <w:jc w:val="left"/>
            </w:pPr>
            <w:r>
              <w:t xml:space="preserve">342 / 793</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144 / 307</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no / no (only China,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15 / 44</w:t>
            </w:r>
          </w:p>
        </w:tc>
      </w:tr>
      <w:tr>
        <w:tc>
          <w:tcPr/>
          <w:p>
            <w:pPr>
              <w:pStyle w:val="Compact"/>
              <w:jc w:val="left"/>
            </w:pPr>
            <w:r>
              <w:t xml:space="preserve">Amycretin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 (note)</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no / yes</w:t>
            </w:r>
          </w:p>
        </w:tc>
        <w:tc>
          <w:tcPr/>
          <w:p>
            <w:pPr>
              <w:pStyle w:val="Compact"/>
              <w:jc w:val="left"/>
            </w:pPr>
            <w:r>
              <w:t xml:space="preserve">76 / 64</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yes / yes (rare genetic forms)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Orforglipron (not a peptide)</w:t>
            </w:r>
          </w:p>
        </w:tc>
        <w:tc>
          <w:tcPr/>
          <w:p>
            <w:pPr>
              <w:pStyle w:val="Compact"/>
              <w:jc w:val="left"/>
            </w:pPr>
            <w:r>
              <w:t xml:space="preserve">A</w:t>
            </w:r>
          </w:p>
        </w:tc>
        <w:tc>
          <w:tcPr/>
          <w:p>
            <w:pPr>
              <w:pStyle w:val="Compact"/>
              <w:jc w:val="left"/>
            </w:pPr>
            <w:r>
              <w:t xml:space="preserve">no / application submitted (please check)</w:t>
            </w:r>
          </w:p>
        </w:tc>
        <w:tc>
          <w:tcPr/>
          <w:p>
            <w:pPr>
              <w:pStyle w:val="Compact"/>
              <w:jc w:val="left"/>
            </w:pPr>
            <w:r>
              <w:t xml:space="preserve">20 / 53</w:t>
            </w:r>
          </w:p>
        </w:tc>
      </w:tr>
    </w:tbl>
    <w:p>
      <w:pPr>
        <w:pStyle w:val="BodyText"/>
      </w:pPr>
      <w:r>
        <w:t xml:space="preserve">Note on the table: For</w:t>
      </w:r>
      <w:r>
        <w:t xml:space="preserve"> </w:t>
      </w:r>
      <w:r>
        <w:rPr>
          <w:bCs/>
          <w:b/>
        </w:rPr>
        <w:t xml:space="preserve">amycretin</w:t>
      </w:r>
      <w:r>
        <w:t xml:space="preserve">, the registry search found only one entry; under the name zenagamtide and the development code, around 30 studies are registered, including the phase 3 program started in 2026. For</w:t>
      </w:r>
      <w:r>
        <w:t xml:space="preserve"> </w:t>
      </w:r>
      <w:r>
        <w:rPr>
          <w:bCs/>
          <w:b/>
        </w:rPr>
        <w:t xml:space="preserve">mazdutide</w:t>
      </w:r>
      <w:r>
        <w:t xml:space="preserve">, the studies come almost exclusively from China; for</w:t>
      </w:r>
      <w:r>
        <w:t xml:space="preserve"> </w:t>
      </w:r>
      <w:r>
        <w:rPr>
          <w:bCs/>
          <w:b/>
        </w:rPr>
        <w:t xml:space="preserve">orforglipron</w:t>
      </w:r>
      <w:r>
        <w:t xml:space="preserve">, approval was pending at the time of going to press.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Exenatide</w:t>
            </w:r>
          </w:p>
        </w:tc>
        <w:tc>
          <w:tcPr/>
          <w:p>
            <w:pPr>
              <w:pStyle w:val="Compact"/>
              <w:jc w:val="left"/>
            </w:pPr>
            <w:r>
              <w:t xml:space="preserve">EXSCEL: cardiovascular risk not increased, but not significantly reduced either (HR 0.91; PMID 28910237)</w:t>
            </w:r>
          </w:p>
        </w:tc>
        <w:tc>
          <w:tcPr/>
          <w:p>
            <w:pPr>
              <w:pStyle w:val="Compact"/>
              <w:jc w:val="left"/>
            </w:pPr>
            <w:r>
              <w:t xml:space="preserve">Nausea, nodules, antibodies</w:t>
            </w:r>
          </w:p>
        </w:tc>
      </w:tr>
      <w:tr>
        <w:tc>
          <w:tcPr/>
          <w:p>
            <w:pPr>
              <w:pStyle w:val="Compact"/>
              <w:jc w:val="left"/>
            </w:pPr>
            <w:r>
              <w:t xml:space="preserve">Liraglutide</w:t>
            </w:r>
          </w:p>
        </w:tc>
        <w:tc>
          <w:tcPr/>
          <w:p>
            <w:pPr>
              <w:pStyle w:val="Compact"/>
              <w:jc w:val="left"/>
            </w:pPr>
            <w:r>
              <w:t xml:space="preserve">LEADER: 13% fewer cardiovascular events (PMID 27295427); SCALE: −8.4 vs. −2.8 kg (PMID 26132939)</w:t>
            </w:r>
          </w:p>
        </w:tc>
        <w:tc>
          <w:tcPr/>
          <w:p>
            <w:pPr>
              <w:pStyle w:val="Compact"/>
              <w:jc w:val="left"/>
            </w:pPr>
            <w:r>
              <w:t xml:space="preserve">Gastrointestinal complaints, gallbladder</w:t>
            </w:r>
          </w:p>
        </w:tc>
      </w:tr>
      <w:tr>
        <w:tc>
          <w:tcPr/>
          <w:p>
            <w:pPr>
              <w:pStyle w:val="Compact"/>
              <w:jc w:val="left"/>
            </w:pPr>
            <w:r>
              <w:t xml:space="preserve">Dulaglutide</w:t>
            </w:r>
          </w:p>
        </w:tc>
        <w:tc>
          <w:tcPr/>
          <w:p>
            <w:pPr>
              <w:pStyle w:val="Compact"/>
              <w:jc w:val="left"/>
            </w:pPr>
            <w:r>
              <w:t xml:space="preserve">REWIND: 12% fewer major cardiovascular events in 9,901 participants (PMID 31189511)</w:t>
            </w:r>
          </w:p>
        </w:tc>
        <w:tc>
          <w:tcPr/>
          <w:p>
            <w:pPr>
              <w:pStyle w:val="Compact"/>
              <w:jc w:val="left"/>
            </w:pPr>
            <w:r>
              <w:t xml:space="preserve">Gastrointestinal; hypoglycemia in combination</w:t>
            </w:r>
          </w:p>
        </w:tc>
      </w:tr>
      <w:tr>
        <w:tc>
          <w:tcPr/>
          <w:p>
            <w:pPr>
              <w:pStyle w:val="Compact"/>
              <w:jc w:val="left"/>
            </w:pPr>
            <w:r>
              <w:t xml:space="preserve">Semaglutide</w:t>
            </w:r>
          </w:p>
        </w:tc>
        <w:tc>
          <w:tcPr/>
          <w:p>
            <w:pPr>
              <w:pStyle w:val="Compact"/>
              <w:jc w:val="left"/>
            </w:pPr>
            <w:r>
              <w:t xml:space="preserve">STEP 1: −14.9% vs. −2.4% (PMID 33567185); SELECT: 20% fewer cardiovascular events (PMID 37952131)</w:t>
            </w:r>
          </w:p>
        </w:tc>
        <w:tc>
          <w:tcPr/>
          <w:p>
            <w:pPr>
              <w:pStyle w:val="Compact"/>
              <w:jc w:val="left"/>
            </w:pPr>
            <w:r>
              <w:t xml:space="preserve">Gastrointestinal, gallbladder, rare NAION signal, counterfeits</w:t>
            </w:r>
          </w:p>
        </w:tc>
      </w:tr>
      <w:tr>
        <w:tc>
          <w:tcPr/>
          <w:p>
            <w:pPr>
              <w:pStyle w:val="Compact"/>
              <w:jc w:val="left"/>
            </w:pPr>
            <w:r>
              <w:t xml:space="preserve">Tirzepatide</w:t>
            </w:r>
          </w:p>
        </w:tc>
        <w:tc>
          <w:tcPr/>
          <w:p>
            <w:pPr>
              <w:pStyle w:val="Compact"/>
              <w:jc w:val="left"/>
            </w:pPr>
            <w:r>
              <w:t xml:space="preserve">SURMOUNT-5: −20.2% vs. −13.7% under semaglutide (PMID 40353578)</w:t>
            </w:r>
          </w:p>
        </w:tc>
        <w:tc>
          <w:tcPr/>
          <w:p>
            <w:pPr>
              <w:pStyle w:val="Compact"/>
              <w:jc w:val="left"/>
            </w:pPr>
            <w:r>
              <w:t xml:space="preserve">Gastrointestinal, biliary tract; weight regain after stopping</w:t>
            </w:r>
          </w:p>
        </w:tc>
      </w:tr>
      <w:tr>
        <w:tc>
          <w:tcPr/>
          <w:p>
            <w:pPr>
              <w:pStyle w:val="Compact"/>
              <w:jc w:val="left"/>
            </w:pPr>
            <w:r>
              <w:t xml:space="preserve">Retatrutide</w:t>
            </w:r>
          </w:p>
        </w:tc>
        <w:tc>
          <w:tcPr/>
          <w:p>
            <w:pPr>
              <w:pStyle w:val="Compact"/>
              <w:jc w:val="left"/>
            </w:pPr>
            <w:r>
              <w:t xml:space="preserve">TRIUMPH-1: up to −25.0% vs. −3.9% after 80 weeks (PMID 42814954)</w:t>
            </w:r>
          </w:p>
        </w:tc>
        <w:tc>
          <w:tcPr/>
          <w:p>
            <w:pPr>
              <w:pStyle w:val="Compact"/>
              <w:jc w:val="left"/>
            </w:pPr>
            <w:r>
              <w:t xml:space="preserve">Gastrointestinal, skin dysesthesia, more discontinuations at high dose</w:t>
            </w:r>
          </w:p>
        </w:tc>
      </w:tr>
      <w:tr>
        <w:tc>
          <w:tcPr/>
          <w:p>
            <w:pPr>
              <w:pStyle w:val="Compact"/>
              <w:jc w:val="left"/>
            </w:pPr>
            <w:r>
              <w:t xml:space="preserve">Survodutide</w:t>
            </w:r>
          </w:p>
        </w:tc>
        <w:tc>
          <w:tcPr/>
          <w:p>
            <w:pPr>
              <w:pStyle w:val="Compact"/>
              <w:jc w:val="left"/>
            </w:pPr>
            <w:r>
              <w:t xml:space="preserve">SYNCHRONIZE-1: up to −13.0% vs. −5.4% after 76 weeks (PMID 42253238)</w:t>
            </w:r>
          </w:p>
        </w:tc>
        <w:tc>
          <w:tcPr/>
          <w:p>
            <w:pPr>
              <w:pStyle w:val="Compact"/>
              <w:jc w:val="left"/>
            </w:pPr>
            <w:r>
              <w:t xml:space="preserve">Very frequent gastrointestinal complaints</w:t>
            </w:r>
          </w:p>
        </w:tc>
      </w:tr>
      <w:tr>
        <w:tc>
          <w:tcPr/>
          <w:p>
            <w:pPr>
              <w:pStyle w:val="Compact"/>
              <w:jc w:val="left"/>
            </w:pPr>
            <w:r>
              <w:t xml:space="preserve">Mazdutide</w:t>
            </w:r>
          </w:p>
        </w:tc>
        <w:tc>
          <w:tcPr/>
          <w:p>
            <w:pPr>
              <w:pStyle w:val="Compact"/>
              <w:jc w:val="left"/>
            </w:pPr>
            <w:r>
              <w:t xml:space="preserve">GLORY-1: up to −14.0% vs. +0.3% after 48 weeks (PMID 40421736)</w:t>
            </w:r>
          </w:p>
        </w:tc>
        <w:tc>
          <w:tcPr/>
          <w:p>
            <w:pPr>
              <w:pStyle w:val="Compact"/>
              <w:jc w:val="left"/>
            </w:pPr>
            <w:r>
              <w:t xml:space="preserve">Gastrointestinal, especially vomiting</w:t>
            </w:r>
          </w:p>
        </w:tc>
      </w:tr>
      <w:tr>
        <w:tc>
          <w:tcPr/>
          <w:p>
            <w:pPr>
              <w:pStyle w:val="Compact"/>
              <w:jc w:val="left"/>
            </w:pPr>
            <w:r>
              <w:t xml:space="preserve">Cagrilintide / CagriSema</w:t>
            </w:r>
          </w:p>
        </w:tc>
        <w:tc>
          <w:tcPr/>
          <w:p>
            <w:pPr>
              <w:pStyle w:val="Compact"/>
              <w:jc w:val="left"/>
            </w:pPr>
            <w:r>
              <w:t xml:space="preserve">REDEFINE 1: −20.4% vs. −3.0% after 68 weeks (PMID 40544433)</w:t>
            </w:r>
          </w:p>
        </w:tc>
        <w:tc>
          <w:tcPr/>
          <w:p>
            <w:pPr>
              <w:pStyle w:val="Compact"/>
              <w:jc w:val="left"/>
            </w:pPr>
            <w:r>
              <w:t xml:space="preserve">Gastrointestinal complaints in around 80%</w:t>
            </w:r>
          </w:p>
        </w:tc>
      </w:tr>
      <w:tr>
        <w:tc>
          <w:tcPr/>
          <w:p>
            <w:pPr>
              <w:pStyle w:val="Compact"/>
              <w:jc w:val="left"/>
            </w:pPr>
            <w:r>
              <w:t xml:space="preserve">Amycretin</w:t>
            </w:r>
          </w:p>
        </w:tc>
        <w:tc>
          <w:tcPr/>
          <w:p>
            <w:pPr>
              <w:pStyle w:val="Compact"/>
              <w:jc w:val="left"/>
            </w:pPr>
            <w:r>
              <w:t xml:space="preserve">Phase 1b/2a: up to −24.3% vs. −1.1% after 36 weeks (PMID 40550231)</w:t>
            </w:r>
          </w:p>
        </w:tc>
        <w:tc>
          <w:tcPr/>
          <w:p>
            <w:pPr>
              <w:pStyle w:val="Compact"/>
              <w:jc w:val="left"/>
            </w:pPr>
            <w:r>
              <w:t xml:space="preserve">Gastrointestinal; long-term consequences unknown</w:t>
            </w:r>
          </w:p>
        </w:tc>
      </w:tr>
      <w:tr>
        <w:tc>
          <w:tcPr/>
          <w:p>
            <w:pPr>
              <w:pStyle w:val="Compact"/>
              <w:jc w:val="left"/>
            </w:pPr>
            <w:r>
              <w:t xml:space="preserve">Maridebart cafraglutide</w:t>
            </w:r>
          </w:p>
        </w:tc>
        <w:tc>
          <w:tcPr/>
          <w:p>
            <w:pPr>
              <w:pStyle w:val="Compact"/>
              <w:jc w:val="left"/>
            </w:pPr>
            <w:r>
              <w:t xml:space="preserve">Phase 2: −12.3 to −16.2% vs. −2.5% after 52 weeks (PMID 40549887)</w:t>
            </w:r>
          </w:p>
        </w:tc>
        <w:tc>
          <w:tcPr/>
          <w:p>
            <w:pPr>
              <w:pStyle w:val="Compact"/>
              <w:jc w:val="left"/>
            </w:pPr>
            <w:r>
              <w:t xml:space="preserve">Gastrointestinal; very long duration of action</w:t>
            </w:r>
          </w:p>
        </w:tc>
      </w:tr>
      <w:tr>
        <w:tc>
          <w:tcPr/>
          <w:p>
            <w:pPr>
              <w:pStyle w:val="Compact"/>
              <w:jc w:val="left"/>
            </w:pPr>
            <w:r>
              <w:t xml:space="preserve">Pramlintide</w:t>
            </w:r>
          </w:p>
        </w:tc>
        <w:tc>
          <w:tcPr/>
          <w:p>
            <w:pPr>
              <w:pStyle w:val="Compact"/>
              <w:jc w:val="left"/>
            </w:pPr>
            <w:r>
              <w:t xml:space="preserve">HbA1c −0.62 percentage points, weight −1.4 kg (PMID 12610038)</w:t>
            </w:r>
          </w:p>
        </w:tc>
        <w:tc>
          <w:tcPr/>
          <w:p>
            <w:pPr>
              <w:pStyle w:val="Compact"/>
              <w:jc w:val="left"/>
            </w:pPr>
            <w:r>
              <w:t xml:space="preserve">Severe hypoglycemia with insulin, nausea</w:t>
            </w:r>
          </w:p>
        </w:tc>
      </w:tr>
      <w:tr>
        <w:tc>
          <w:tcPr/>
          <w:p>
            <w:pPr>
              <w:pStyle w:val="Compact"/>
              <w:jc w:val="left"/>
            </w:pPr>
            <w:r>
              <w:t xml:space="preserve">Setmelanotide</w:t>
            </w:r>
          </w:p>
        </w:tc>
        <w:tc>
          <w:tcPr/>
          <w:p>
            <w:pPr>
              <w:pStyle w:val="Compact"/>
              <w:jc w:val="left"/>
            </w:pPr>
            <w:r>
              <w:t xml:space="preserve">TRANSCEND: BMI −16.5% vs. +3.3% in hypothalamic obesity (PMID 42418774)</w:t>
            </w:r>
          </w:p>
        </w:tc>
        <w:tc>
          <w:tcPr/>
          <w:p>
            <w:pPr>
              <w:pStyle w:val="Compact"/>
              <w:jc w:val="left"/>
            </w:pPr>
            <w:r>
              <w:t xml:space="preserve">Injection sites, skin darkening, nausea</w:t>
            </w:r>
          </w:p>
        </w:tc>
      </w:tr>
      <w:tr>
        <w:tc>
          <w:tcPr/>
          <w:p>
            <w:pPr>
              <w:pStyle w:val="Compact"/>
              <w:jc w:val="left"/>
            </w:pPr>
            <w:r>
              <w:t xml:space="preserve">AOD-9604</w:t>
            </w:r>
          </w:p>
        </w:tc>
        <w:tc>
          <w:tcPr/>
          <w:p>
            <w:pPr>
              <w:pStyle w:val="Compact"/>
              <w:jc w:val="left"/>
            </w:pPr>
            <w:r>
              <w:t xml:space="preserve">Animal data only: less weight gain in mice (PMID 11673763)</w:t>
            </w:r>
          </w:p>
        </w:tc>
        <w:tc>
          <w:tcPr/>
          <w:p>
            <w:pPr>
              <w:pStyle w:val="Compact"/>
              <w:jc w:val="left"/>
            </w:pPr>
            <w:r>
              <w:t xml:space="preserve">Effect in humans unknown</w:t>
            </w:r>
          </w:p>
        </w:tc>
      </w:tr>
      <w:tr>
        <w:tc>
          <w:tcPr/>
          <w:p>
            <w:pPr>
              <w:pStyle w:val="Compact"/>
              <w:jc w:val="left"/>
            </w:pPr>
            <w:r>
              <w:t xml:space="preserve">Orforglipron</w:t>
            </w:r>
          </w:p>
        </w:tc>
        <w:tc>
          <w:tcPr/>
          <w:p>
            <w:pPr>
              <w:pStyle w:val="Compact"/>
              <w:jc w:val="left"/>
            </w:pPr>
            <w:r>
              <w:t xml:space="preserve">ATTAIN-1: up to −11.2% vs. −2.1% as a tablet (PMID 40960239)</w:t>
            </w:r>
          </w:p>
        </w:tc>
        <w:tc>
          <w:tcPr/>
          <w:p>
            <w:pPr>
              <w:pStyle w:val="Compact"/>
              <w:jc w:val="left"/>
            </w:pPr>
            <w:r>
              <w:t xml:space="preserve">Gastrointestinal, somewhat more discontinuations than semaglutide tablet</w:t>
            </w:r>
          </w:p>
        </w:tc>
      </w:tr>
    </w:tbl>
    <w:bookmarkEnd w:id="2527"/>
    <w:bookmarkStart w:id="2528" w:name="X63e778e0583a58baddc37a931d0e3b9518a98f8"/>
    <w:p>
      <w:pPr>
        <w:pStyle w:val="Heading3"/>
      </w:pPr>
      <w:r>
        <w:t xml:space="preserve">B. Healing, Regeneration and the Immune 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0 / 4 (note)</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no / no</w:t>
            </w:r>
          </w:p>
        </w:tc>
        <w:tc>
          <w:tcPr/>
          <w:p>
            <w:pPr>
              <w:pStyle w:val="Compact"/>
              <w:jc w:val="left"/>
            </w:pPr>
            <w:r>
              <w:t xml:space="preserve">9 / 18 (note)</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no / no (approved in China, among others)</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91 / 20 (note)</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10 (note)</w:t>
            </w:r>
          </w:p>
        </w:tc>
      </w:tr>
      <w:tr>
        <w:tc>
          <w:tcPr/>
          <w:p>
            <w:pPr>
              <w:pStyle w:val="Compact"/>
              <w:jc w:val="left"/>
            </w:pPr>
            <w:r>
              <w:t xml:space="preserve">Thymalin</w:t>
            </w:r>
          </w:p>
        </w:tc>
        <w:tc>
          <w:tcPr/>
          <w:p>
            <w:pPr>
              <w:pStyle w:val="Compact"/>
              <w:jc w:val="left"/>
            </w:pPr>
            <w:r>
              <w:t xml:space="preserve">C</w:t>
            </w:r>
          </w:p>
        </w:tc>
        <w:tc>
          <w:tcPr/>
          <w:p>
            <w:pPr>
              <w:pStyle w:val="Compact"/>
              <w:jc w:val="left"/>
            </w:pPr>
            <w:r>
              <w:t xml:space="preserve">no / no (approved in Russia)</w:t>
            </w:r>
          </w:p>
        </w:tc>
        <w:tc>
          <w:tcPr/>
          <w:p>
            <w:pPr>
              <w:pStyle w:val="Compact"/>
              <w:jc w:val="left"/>
            </w:pPr>
            <w:r>
              <w:t xml:space="preserve">17 / 0</w:t>
            </w:r>
          </w:p>
        </w:tc>
      </w:tr>
    </w:tbl>
    <w:p>
      <w:pPr>
        <w:pStyle w:val="BodyText"/>
      </w:pPr>
      <w:r>
        <w:t xml:space="preserve">Notes on the table: For</w:t>
      </w:r>
      <w:r>
        <w:t xml:space="preserve"> </w:t>
      </w:r>
      <w:r>
        <w:rPr>
          <w:bCs/>
          <w:b/>
        </w:rPr>
        <w:t xml:space="preserve">BPC-157</w:t>
      </w:r>
      <w:r>
        <w:t xml:space="preserve">, no publication met the filter criteria of the automated search; in fact, there are three small, uncontrolled investigations with a combined total of around 30 people. For</w:t>
      </w:r>
      <w:r>
        <w:t xml:space="preserve"> </w:t>
      </w:r>
      <w:r>
        <w:rPr>
          <w:bCs/>
          <w:b/>
        </w:rPr>
        <w:t xml:space="preserve">TB-500</w:t>
      </w:r>
      <w:r>
        <w:t xml:space="preserve">, the hits concern the whole protein thymosin beta-4 (only six of them as a drug); none studies TB-500. For</w:t>
      </w:r>
      <w:r>
        <w:t xml:space="preserve"> </w:t>
      </w:r>
      <w:r>
        <w:rPr>
          <w:bCs/>
          <w:b/>
        </w:rPr>
        <w:t xml:space="preserve">LL-37</w:t>
      </w:r>
      <w:r>
        <w:t xml:space="preserve">, most hits measure LL-37 only as a laboratory value, for example in vitamin D studies; studies in which LL-37 itself was administered number only five in PubMed and two in the registry. For</w:t>
      </w:r>
      <w:r>
        <w:t xml:space="preserve"> </w:t>
      </w:r>
      <w:r>
        <w:rPr>
          <w:bCs/>
          <w:b/>
        </w:rPr>
        <w:t xml:space="preserve">larazotide</w:t>
      </w:r>
      <w:r>
        <w:t xml:space="preserve">, the search found 29 registry entries, 19 of which concern a different drug with the same former development code; the table gives the adjusted figure.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BPC-157</w:t>
            </w:r>
          </w:p>
        </w:tc>
        <w:tc>
          <w:tcPr/>
          <w:p>
            <w:pPr>
              <w:pStyle w:val="Compact"/>
              <w:jc w:val="left"/>
            </w:pPr>
            <w:r>
              <w:t xml:space="preserve">Three uncontrolled pilot investigations, evidence very low according to a review (PMID 42885452)</w:t>
            </w:r>
          </w:p>
        </w:tc>
        <w:tc>
          <w:tcPr/>
          <w:p>
            <w:pPr>
              <w:pStyle w:val="Compact"/>
              <w:jc w:val="left"/>
            </w:pPr>
            <w:r>
              <w:t xml:space="preserve">Unknown long-term safety, gray-market quality</w:t>
            </w:r>
          </w:p>
        </w:tc>
      </w:tr>
      <w:tr>
        <w:tc>
          <w:tcPr/>
          <w:p>
            <w:pPr>
              <w:pStyle w:val="Compact"/>
              <w:jc w:val="left"/>
            </w:pPr>
            <w:r>
              <w:t xml:space="preserve">TB-500 / thymosin beta-4</w:t>
            </w:r>
          </w:p>
        </w:tc>
        <w:tc>
          <w:tcPr/>
          <w:p>
            <w:pPr>
              <w:pStyle w:val="Compact"/>
              <w:jc w:val="left"/>
            </w:pPr>
            <w:r>
              <w:t xml:space="preserve">Tβ4 after heart attack: infarct size not significantly smaller (PMID 41229390); TB-500 untested</w:t>
            </w:r>
          </w:p>
        </w:tc>
        <w:tc>
          <w:tcPr/>
          <w:p>
            <w:pPr>
              <w:pStyle w:val="Compact"/>
              <w:jc w:val="left"/>
            </w:pPr>
            <w:r>
              <w:t xml:space="preserve">Unclear content, theoretically tumor promotion</w:t>
            </w:r>
          </w:p>
        </w:tc>
      </w:tr>
      <w:tr>
        <w:tc>
          <w:tcPr/>
          <w:p>
            <w:pPr>
              <w:pStyle w:val="Compact"/>
              <w:jc w:val="left"/>
            </w:pPr>
            <w:r>
              <w:t xml:space="preserve">Thymosin alpha-1</w:t>
            </w:r>
          </w:p>
        </w:tc>
        <w:tc>
          <w:tcPr/>
          <w:p>
            <w:pPr>
              <w:pStyle w:val="Compact"/>
              <w:jc w:val="left"/>
            </w:pPr>
            <w:r>
              <w:t xml:space="preserve">TESTS in sepsis: 28-day mortality 23.4% vs. 24.1%, no difference (PMID 39814420)</w:t>
            </w:r>
          </w:p>
        </w:tc>
        <w:tc>
          <w:tcPr/>
          <w:p>
            <w:pPr>
              <w:pStyle w:val="Compact"/>
              <w:jc w:val="left"/>
            </w:pPr>
            <w:r>
              <w:t xml:space="preserve">Possible disadvantages in subgroups; gray market</w:t>
            </w:r>
          </w:p>
        </w:tc>
      </w:tr>
      <w:tr>
        <w:tc>
          <w:tcPr/>
          <w:p>
            <w:pPr>
              <w:pStyle w:val="Compact"/>
              <w:jc w:val="left"/>
            </w:pPr>
            <w:r>
              <w:t xml:space="preserve">KPV</w:t>
            </w:r>
          </w:p>
        </w:tc>
        <w:tc>
          <w:tcPr/>
          <w:p>
            <w:pPr>
              <w:pStyle w:val="Compact"/>
              <w:jc w:val="left"/>
            </w:pPr>
            <w:r>
              <w:t xml:space="preserve">Animal data only: less intestinal inflammation in mice (PMID 18061177)</w:t>
            </w:r>
          </w:p>
        </w:tc>
        <w:tc>
          <w:tcPr/>
          <w:p>
            <w:pPr>
              <w:pStyle w:val="Compact"/>
              <w:jc w:val="left"/>
            </w:pPr>
            <w:r>
              <w:t xml:space="preserve">Completely unknown profile in humans</w:t>
            </w:r>
          </w:p>
        </w:tc>
      </w:tr>
      <w:tr>
        <w:tc>
          <w:tcPr/>
          <w:p>
            <w:pPr>
              <w:pStyle w:val="Compact"/>
              <w:jc w:val="left"/>
            </w:pPr>
            <w:r>
              <w:t xml:space="preserve">LL-37</w:t>
            </w:r>
          </w:p>
        </w:tc>
        <w:tc>
          <w:tcPr/>
          <w:p>
            <w:pPr>
              <w:pStyle w:val="Compact"/>
              <w:jc w:val="left"/>
            </w:pPr>
            <w:r>
              <w:t xml:space="preserve">HEAL LL-37: leg ulcers did not heal better than under placebo (PMID 34687253)</w:t>
            </w:r>
          </w:p>
        </w:tc>
        <w:tc>
          <w:tcPr/>
          <w:p>
            <w:pPr>
              <w:pStyle w:val="Compact"/>
              <w:jc w:val="left"/>
            </w:pPr>
            <w:r>
              <w:t xml:space="preserve">Inflammatory and autoimmune reactions</w:t>
            </w:r>
          </w:p>
        </w:tc>
      </w:tr>
      <w:tr>
        <w:tc>
          <w:tcPr/>
          <w:p>
            <w:pPr>
              <w:pStyle w:val="Compact"/>
              <w:jc w:val="left"/>
            </w:pPr>
            <w:r>
              <w:t xml:space="preserve">ARA-290</w:t>
            </w:r>
          </w:p>
        </w:tc>
        <w:tc>
          <w:tcPr/>
          <w:p>
            <w:pPr>
              <w:pStyle w:val="Compact"/>
              <w:jc w:val="left"/>
            </w:pPr>
            <w:r>
              <w:t xml:space="preserve">Phase 2b: nerve fibers increased under only one of three doses (PMID 28475703)</w:t>
            </w:r>
          </w:p>
        </w:tc>
        <w:tc>
          <w:tcPr/>
          <w:p>
            <w:pPr>
              <w:pStyle w:val="Compact"/>
              <w:jc w:val="left"/>
            </w:pPr>
            <w:r>
              <w:t xml:space="preserve">Hardly any data beyond twelve weeks</w:t>
            </w:r>
          </w:p>
        </w:tc>
      </w:tr>
      <w:tr>
        <w:tc>
          <w:tcPr/>
          <w:p>
            <w:pPr>
              <w:pStyle w:val="Compact"/>
              <w:jc w:val="left"/>
            </w:pPr>
            <w:r>
              <w:t xml:space="preserve">Larazotide</w:t>
            </w:r>
          </w:p>
        </w:tc>
        <w:tc>
          <w:tcPr/>
          <w:p>
            <w:pPr>
              <w:pStyle w:val="Compact"/>
              <w:jc w:val="left"/>
            </w:pPr>
            <w:r>
              <w:t xml:space="preserve">Only the lowest of three doses better than placebo (PMID 25683116); phase 3 terminated</w:t>
            </w:r>
          </w:p>
        </w:tc>
        <w:tc>
          <w:tcPr/>
          <w:p>
            <w:pPr>
              <w:pStyle w:val="Compact"/>
              <w:jc w:val="left"/>
            </w:pPr>
            <w:r>
              <w:t xml:space="preserve">Relaxed gluten-free diet</w:t>
            </w:r>
          </w:p>
        </w:tc>
      </w:tr>
      <w:tr>
        <w:tc>
          <w:tcPr/>
          <w:p>
            <w:pPr>
              <w:pStyle w:val="Compact"/>
              <w:jc w:val="left"/>
            </w:pPr>
            <w:r>
              <w:t xml:space="preserve">Thymalin</w:t>
            </w:r>
          </w:p>
        </w:tc>
        <w:tc>
          <w:tcPr/>
          <w:p>
            <w:pPr>
              <w:pStyle w:val="Compact"/>
              <w:jc w:val="left"/>
            </w:pPr>
            <w:r>
              <w:t xml:space="preserve">Russian-Ukrainian observation: lower mortality, allocation unclear (PMID 14523363)</w:t>
            </w:r>
          </w:p>
        </w:tc>
        <w:tc>
          <w:tcPr/>
          <w:p>
            <w:pPr>
              <w:pStyle w:val="Compact"/>
              <w:jc w:val="left"/>
            </w:pPr>
            <w:r>
              <w:t xml:space="preserve">Animal extract, batch risks</w:t>
            </w:r>
          </w:p>
        </w:tc>
      </w:tr>
    </w:tbl>
    <w:bookmarkEnd w:id="2528"/>
    <w:bookmarkStart w:id="2529" w:name="c.-growth-hormone-axis"/>
    <w:p>
      <w:pPr>
        <w:pStyle w:val="Heading3"/>
      </w:pPr>
      <w:r>
        <w:t xml:space="preserve">C. Growth Hormone Axis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no / formerly yes, off the market</w:t>
            </w:r>
          </w:p>
        </w:tc>
        <w:tc>
          <w:tcPr/>
          <w:p>
            <w:pPr>
              <w:pStyle w:val="Compact"/>
              <w:jc w:val="left"/>
            </w:pPr>
            <w:r>
              <w:t xml:space="preserve">0 / 27 (note)</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no / yes (HIV lipodystrophy)</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2 / 1</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 / no (Japan: diagnostic agent)</w:t>
            </w:r>
          </w:p>
        </w:tc>
        <w:tc>
          <w:tcPr/>
          <w:p>
            <w:pPr>
              <w:pStyle w:val="Compact"/>
              <w:jc w:val="left"/>
            </w:pPr>
            <w:r>
              <w:t xml:space="preserve">55 / 0 (note)</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40 / 0 (note)</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58 / 0 (note)</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yes / yes (diagnostic agent only)</w:t>
            </w:r>
          </w:p>
        </w:tc>
        <w:tc>
          <w:tcPr/>
          <w:p>
            <w:pPr>
              <w:pStyle w:val="Compact"/>
              <w:jc w:val="left"/>
            </w:pPr>
            <w:r>
              <w:t xml:space="preserve">4 / 6</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Ibutamoren (not a peptide)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19 / 8</w:t>
            </w:r>
          </w:p>
        </w:tc>
      </w:tr>
    </w:tbl>
    <w:p>
      <w:pPr>
        <w:pStyle w:val="BodyText"/>
      </w:pPr>
      <w:r>
        <w:t xml:space="preserve">Notes on the table: For</w:t>
      </w:r>
      <w:r>
        <w:t xml:space="preserve"> </w:t>
      </w:r>
      <w:r>
        <w:rPr>
          <w:bCs/>
          <w:b/>
        </w:rPr>
        <w:t xml:space="preserve">sermorelin</w:t>
      </w:r>
      <w:r>
        <w:t xml:space="preserve">, the name search finds no human study because most papers were published under</w:t>
      </w:r>
      <w:r>
        <w:t xml:space="preserve"> </w:t>
      </w:r>
      <w:r>
        <w:t xml:space="preserve">“</w:t>
      </w:r>
      <w:r>
        <w:t xml:space="preserve">GHRH(1-29)</w:t>
      </w:r>
      <w:r>
        <w:t xml:space="preserve">”</w:t>
      </w:r>
      <w:r>
        <w:t xml:space="preserve"> </w:t>
      </w:r>
      <w:r>
        <w:t xml:space="preserve">or</w:t>
      </w:r>
      <w:r>
        <w:t xml:space="preserve"> </w:t>
      </w:r>
      <w:r>
        <w:t xml:space="preserve">“</w:t>
      </w:r>
      <w:r>
        <w:t xml:space="preserve">GRF 1-29</w:t>
      </w:r>
      <w:r>
        <w:t xml:space="preserve">”</w:t>
      </w:r>
      <w:r>
        <w:t xml:space="preserve">; a targeted search finds several dozen small studies, mostly before 2000. Many of the 27 registry hits, on the other hand, concern tesamorelin or GHRH tests in general. For</w:t>
      </w:r>
      <w:r>
        <w:t xml:space="preserve"> </w:t>
      </w:r>
      <w:r>
        <w:rPr>
          <w:bCs/>
          <w:b/>
        </w:rPr>
        <w:t xml:space="preserve">GHRP-2, GHRP-6 and hexarelin</w:t>
      </w:r>
      <w:r>
        <w:t xml:space="preserve">, almost all papers use the substance only as a one-time test substance to study hormone regulation; they say nothing about benefit.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Sermorelin</w:t>
            </w:r>
          </w:p>
        </w:tc>
        <w:tc>
          <w:tcPr/>
          <w:p>
            <w:pPr>
              <w:pStyle w:val="Compact"/>
              <w:jc w:val="left"/>
            </w:pPr>
            <w:r>
              <w:t xml:space="preserve">110 children with GH deficiency: growth 4.1 to 7.2 cm/year (PMID 8772599)</w:t>
            </w:r>
          </w:p>
        </w:tc>
        <w:tc>
          <w:tcPr/>
          <w:p>
            <w:pPr>
              <w:pStyle w:val="Compact"/>
              <w:jc w:val="left"/>
            </w:pPr>
            <w:r>
              <w:t xml:space="preserve">Flushing; long-term consequences in adults unclear</w:t>
            </w:r>
          </w:p>
        </w:tc>
      </w:tr>
      <w:tr>
        <w:tc>
          <w:tcPr/>
          <w:p>
            <w:pPr>
              <w:pStyle w:val="Compact"/>
              <w:jc w:val="left"/>
            </w:pPr>
            <w:r>
              <w:t xml:space="preserve">Tesamorelin</w:t>
            </w:r>
          </w:p>
        </w:tc>
        <w:tc>
          <w:tcPr/>
          <w:p>
            <w:pPr>
              <w:pStyle w:val="Compact"/>
              <w:jc w:val="left"/>
            </w:pPr>
            <w:r>
              <w:t xml:space="preserve">Two phase 3 trials with 806 people: visceral abdominal fat −15.4% vs. placebo (PMID 20554713)</w:t>
            </w:r>
          </w:p>
        </w:tc>
        <w:tc>
          <w:tcPr/>
          <w:p>
            <w:pPr>
              <w:pStyle w:val="Compact"/>
              <w:jc w:val="left"/>
            </w:pPr>
            <w:r>
              <w:t xml:space="preserve">Joint pain, fluid retention, blood sugar</w:t>
            </w:r>
          </w:p>
        </w:tc>
      </w:tr>
      <w:tr>
        <w:tc>
          <w:tcPr/>
          <w:p>
            <w:pPr>
              <w:pStyle w:val="Compact"/>
              <w:jc w:val="left"/>
            </w:pPr>
            <w:r>
              <w:t xml:space="preserve">CJC-1295</w:t>
            </w:r>
          </w:p>
        </w:tc>
        <w:tc>
          <w:tcPr/>
          <w:p>
            <w:pPr>
              <w:pStyle w:val="Compact"/>
              <w:jc w:val="left"/>
            </w:pPr>
            <w:r>
              <w:t xml:space="preserve">Single injection: GH increased 2- to 10-fold, IGF-1 1.5- to 3-fold (PMID 16352683)</w:t>
            </w:r>
          </w:p>
        </w:tc>
        <w:tc>
          <w:tcPr/>
          <w:p>
            <w:pPr>
              <w:pStyle w:val="Compact"/>
              <w:jc w:val="left"/>
            </w:pPr>
            <w:r>
              <w:t xml:space="preserve">Continuous stimulation unexplored, unclear content</w:t>
            </w:r>
          </w:p>
        </w:tc>
      </w:tr>
      <w:tr>
        <w:tc>
          <w:tcPr/>
          <w:p>
            <w:pPr>
              <w:pStyle w:val="Compact"/>
              <w:jc w:val="left"/>
            </w:pPr>
            <w:r>
              <w:t xml:space="preserve">Ipamorelin</w:t>
            </w:r>
          </w:p>
        </w:tc>
        <w:tc>
          <w:tcPr/>
          <w:p>
            <w:pPr>
              <w:pStyle w:val="Compact"/>
              <w:jc w:val="left"/>
            </w:pPr>
            <w:r>
              <w:t xml:space="preserve">Phase 2 after bowel surgery: no significant benefit (PMID 25331030)</w:t>
            </w:r>
          </w:p>
        </w:tc>
        <w:tc>
          <w:tcPr/>
          <w:p>
            <w:pPr>
              <w:pStyle w:val="Compact"/>
              <w:jc w:val="left"/>
            </w:pPr>
            <w:r>
              <w:t xml:space="preserve">No data on long-term use; modified molecules</w:t>
            </w:r>
          </w:p>
        </w:tc>
      </w:tr>
      <w:tr>
        <w:tc>
          <w:tcPr/>
          <w:p>
            <w:pPr>
              <w:pStyle w:val="Compact"/>
              <w:jc w:val="left"/>
            </w:pPr>
            <w:r>
              <w:t xml:space="preserve">GHRP-2</w:t>
            </w:r>
          </w:p>
        </w:tc>
        <w:tc>
          <w:tcPr/>
          <w:p>
            <w:pPr>
              <w:pStyle w:val="Compact"/>
              <w:jc w:val="left"/>
            </w:pPr>
            <w:r>
              <w:t xml:space="preserve">As a test, it reliably distinguished GH deficiency from healthy people (PMID 17609397)</w:t>
            </w:r>
          </w:p>
        </w:tc>
        <w:tc>
          <w:tcPr/>
          <w:p>
            <w:pPr>
              <w:pStyle w:val="Compact"/>
              <w:jc w:val="left"/>
            </w:pPr>
            <w:r>
              <w:t xml:space="preserve">Food cravings, rise in stress hormones</w:t>
            </w:r>
          </w:p>
        </w:tc>
      </w:tr>
      <w:tr>
        <w:tc>
          <w:tcPr/>
          <w:p>
            <w:pPr>
              <w:pStyle w:val="Compact"/>
              <w:jc w:val="left"/>
            </w:pPr>
            <w:r>
              <w:t xml:space="preserve">GHRP-6</w:t>
            </w:r>
          </w:p>
        </w:tc>
        <w:tc>
          <w:tcPr/>
          <w:p>
            <w:pPr>
              <w:pStyle w:val="Compact"/>
              <w:jc w:val="left"/>
            </w:pPr>
            <w:r>
              <w:t xml:space="preserve">Combination test reliably detected GH deficiency (PMID 11030292)</w:t>
            </w:r>
          </w:p>
        </w:tc>
        <w:tc>
          <w:tcPr/>
          <w:p>
            <w:pPr>
              <w:pStyle w:val="Compact"/>
              <w:jc w:val="left"/>
            </w:pPr>
            <w:r>
              <w:t xml:space="preserve">Flushing, hormone rises, hunger</w:t>
            </w:r>
          </w:p>
        </w:tc>
      </w:tr>
      <w:tr>
        <w:tc>
          <w:tcPr/>
          <w:p>
            <w:pPr>
              <w:pStyle w:val="Compact"/>
              <w:jc w:val="left"/>
            </w:pPr>
            <w:r>
              <w:t xml:space="preserve">Hexarelin</w:t>
            </w:r>
          </w:p>
        </w:tc>
        <w:tc>
          <w:tcPr/>
          <w:p>
            <w:pPr>
              <w:pStyle w:val="Compact"/>
              <w:jc w:val="left"/>
            </w:pPr>
            <w:r>
              <w:t xml:space="preserve">Loss of effect over 16 weeks, body composition unchanged (PMID 9589671)</w:t>
            </w:r>
          </w:p>
        </w:tc>
        <w:tc>
          <w:tcPr/>
          <w:p>
            <w:pPr>
              <w:pStyle w:val="Compact"/>
              <w:jc w:val="left"/>
            </w:pPr>
            <w:r>
              <w:t xml:space="preserve">Stress hormones, prolactin, loss of effect</w:t>
            </w:r>
          </w:p>
        </w:tc>
      </w:tr>
      <w:tr>
        <w:tc>
          <w:tcPr/>
          <w:p>
            <w:pPr>
              <w:pStyle w:val="Compact"/>
              <w:jc w:val="left"/>
            </w:pPr>
            <w:r>
              <w:t xml:space="preserve">Macimorelin</w:t>
            </w:r>
          </w:p>
        </w:tc>
        <w:tc>
          <w:tcPr/>
          <w:p>
            <w:pPr>
              <w:pStyle w:val="Compact"/>
              <w:jc w:val="left"/>
            </w:pPr>
            <w:r>
              <w:t xml:space="preserve">Test with 87% sensitivity and 96% specificity compared with the insulin test (PMID 29860473)</w:t>
            </w:r>
          </w:p>
        </w:tc>
        <w:tc>
          <w:tcPr/>
          <w:p>
            <w:pPr>
              <w:pStyle w:val="Compact"/>
              <w:jc w:val="left"/>
            </w:pPr>
            <w:r>
              <w:t xml:space="preserve">QT prolongation with overdose</w:t>
            </w:r>
          </w:p>
        </w:tc>
      </w:tr>
      <w:tr>
        <w:tc>
          <w:tcPr/>
          <w:p>
            <w:pPr>
              <w:pStyle w:val="Compact"/>
              <w:jc w:val="left"/>
            </w:pPr>
            <w:r>
              <w:t xml:space="preserve">Mecasermin (IGF-1)</w:t>
            </w:r>
          </w:p>
        </w:tc>
        <w:tc>
          <w:tcPr/>
          <w:p>
            <w:pPr>
              <w:pStyle w:val="Compact"/>
              <w:jc w:val="left"/>
            </w:pPr>
            <w:r>
              <w:t xml:space="preserve">76 children with GH resistance: growth 2.8 to 8.0 cm/year (PMID 17192294)</w:t>
            </w:r>
          </w:p>
        </w:tc>
        <w:tc>
          <w:tcPr/>
          <w:p>
            <w:pPr>
              <w:pStyle w:val="Compact"/>
              <w:jc w:val="left"/>
            </w:pPr>
            <w:r>
              <w:t xml:space="preserve">Hypoglycemia; warning on neoplasms</w:t>
            </w:r>
          </w:p>
        </w:tc>
      </w:tr>
      <w:tr>
        <w:tc>
          <w:tcPr/>
          <w:p>
            <w:pPr>
              <w:pStyle w:val="Compact"/>
              <w:jc w:val="left"/>
            </w:pPr>
            <w:r>
              <w:t xml:space="preserve">IGF-1 LR3</w:t>
            </w:r>
          </w:p>
        </w:tc>
        <w:tc>
          <w:tcPr/>
          <w:p>
            <w:pPr>
              <w:pStyle w:val="Compact"/>
              <w:jc w:val="left"/>
            </w:pPr>
            <w:r>
              <w:t xml:space="preserve">No human study; a laboratory variant found in a black-market vial (PMID 20675162)</w:t>
            </w:r>
          </w:p>
        </w:tc>
        <w:tc>
          <w:tcPr/>
          <w:p>
            <w:pPr>
              <w:pStyle w:val="Compact"/>
              <w:jc w:val="left"/>
            </w:pPr>
            <w:r>
              <w:t xml:space="preserve">Hypoglycemia, growth signals (theoretical)</w:t>
            </w:r>
          </w:p>
        </w:tc>
      </w:tr>
      <w:tr>
        <w:tc>
          <w:tcPr/>
          <w:p>
            <w:pPr>
              <w:pStyle w:val="Compact"/>
              <w:jc w:val="left"/>
            </w:pPr>
            <w:r>
              <w:t xml:space="preserve">Ibutamoren</w:t>
            </w:r>
          </w:p>
        </w:tc>
        <w:tc>
          <w:tcPr/>
          <w:p>
            <w:pPr>
              <w:pStyle w:val="Compact"/>
              <w:jc w:val="left"/>
            </w:pPr>
            <w:r>
              <w:t xml:space="preserve">65 older people: fat-free mass +1.1 kg, strength and function unchanged (PMID 18981485)</w:t>
            </w:r>
          </w:p>
        </w:tc>
        <w:tc>
          <w:tcPr/>
          <w:p>
            <w:pPr>
              <w:pStyle w:val="Compact"/>
              <w:jc w:val="left"/>
            </w:pPr>
            <w:r>
              <w:t xml:space="preserve">Heart failure signal, higher blood sugar</w:t>
            </w:r>
          </w:p>
        </w:tc>
      </w:tr>
    </w:tbl>
    <w:bookmarkEnd w:id="2529"/>
    <w:bookmarkStart w:id="2530" w:name="d.-brain-sleep-and-longevity"/>
    <w:p>
      <w:pPr>
        <w:pStyle w:val="Heading3"/>
      </w:pPr>
      <w:r>
        <w:t xml:space="preserve">D. Brain, Sleep and Longevity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 / no (registered in Russia)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 / no (registered in Russia)</w:t>
            </w:r>
          </w:p>
        </w:tc>
        <w:tc>
          <w:tcPr/>
          <w:p>
            <w:pPr>
              <w:pStyle w:val="Compact"/>
              <w:jc w:val="left"/>
            </w:pPr>
            <w:r>
              <w:t xml:space="preserve">3 / 2 (note)</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(Austria, among others) / no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18 / 1 (note)</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1 (note)</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5 / 4 (note)</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8 / 3 (note)</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no / yes, accelerated (Barth syndrome only)</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Glutathione</w:t>
            </w:r>
          </w:p>
        </w:tc>
        <w:tc>
          <w:tcPr/>
          <w:p>
            <w:pPr>
              <w:pStyle w:val="Compact"/>
              <w:jc w:val="left"/>
            </w:pPr>
            <w:r>
              <w:t xml:space="preserve">B</w:t>
            </w:r>
          </w:p>
        </w:tc>
        <w:tc>
          <w:tcPr/>
          <w:p>
            <w:pPr>
              <w:pStyle w:val="Compact"/>
              <w:jc w:val="left"/>
            </w:pPr>
            <w:r>
              <w:t xml:space="preserve">food supplement / dietary supplement</w:t>
            </w:r>
          </w:p>
        </w:tc>
        <w:tc>
          <w:tcPr/>
          <w:p>
            <w:pPr>
              <w:pStyle w:val="Compact"/>
              <w:jc w:val="left"/>
            </w:pPr>
            <w:r>
              <w:t xml:space="preserve">161 / 273 (note)</w:t>
            </w:r>
          </w:p>
        </w:tc>
      </w:tr>
    </w:tbl>
    <w:p>
      <w:pPr>
        <w:pStyle w:val="BodyText"/>
      </w:pPr>
      <w:r>
        <w:t xml:space="preserve">Notes on the table: For</w:t>
      </w:r>
      <w:r>
        <w:t xml:space="preserve"> </w:t>
      </w:r>
      <w:r>
        <w:rPr>
          <w:bCs/>
          <w:b/>
        </w:rPr>
        <w:t xml:space="preserve">Selank</w:t>
      </w:r>
      <w:r>
        <w:t xml:space="preserve"> </w:t>
      </w:r>
      <w:r>
        <w:t xml:space="preserve">and</w:t>
      </w:r>
      <w:r>
        <w:t xml:space="preserve"> </w:t>
      </w:r>
      <w:r>
        <w:rPr>
          <w:bCs/>
          <w:b/>
        </w:rPr>
        <w:t xml:space="preserve">DSIP</w:t>
      </w:r>
      <w:r>
        <w:t xml:space="preserve">, the registry hits concern other procedures or topics; there is no registered study with the peptide. The only registry entry for</w:t>
      </w:r>
      <w:r>
        <w:t xml:space="preserve"> </w:t>
      </w:r>
      <w:r>
        <w:rPr>
          <w:bCs/>
          <w:b/>
        </w:rPr>
        <w:t xml:space="preserve">Epitalon</w:t>
      </w:r>
      <w:r>
        <w:t xml:space="preserve"> </w:t>
      </w:r>
      <w:r>
        <w:t xml:space="preserve">is an uncontrolled study with a skin serum in which Epitalon is one of five ingredients. For</w:t>
      </w:r>
      <w:r>
        <w:t xml:space="preserve"> </w:t>
      </w:r>
      <w:r>
        <w:rPr>
          <w:bCs/>
          <w:b/>
        </w:rPr>
        <w:t xml:space="preserve">MOTS-c</w:t>
      </w:r>
      <w:r>
        <w:t xml:space="preserve"> </w:t>
      </w:r>
      <w:r>
        <w:t xml:space="preserve">and</w:t>
      </w:r>
      <w:r>
        <w:t xml:space="preserve"> </w:t>
      </w:r>
      <w:r>
        <w:rPr>
          <w:bCs/>
          <w:b/>
        </w:rPr>
        <w:t xml:space="preserve">humanin</w:t>
      </w:r>
      <w:r>
        <w:t xml:space="preserve">, the peptide was not administered in any of the publications; they measure the body’s own levels. For</w:t>
      </w:r>
      <w:r>
        <w:t xml:space="preserve"> </w:t>
      </w:r>
      <w:r>
        <w:rPr>
          <w:bCs/>
          <w:b/>
        </w:rPr>
        <w:t xml:space="preserve">glutathione</w:t>
      </w:r>
      <w:r>
        <w:t xml:space="preserve">, many hits measure glutathione only as a laboratory value or concern the enzyme glutathione S-transferase; studies in which glutathione was administered are a minority of a few dozen.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Semax</w:t>
            </w:r>
          </w:p>
        </w:tc>
        <w:tc>
          <w:tcPr/>
          <w:p>
            <w:pPr>
              <w:pStyle w:val="Compact"/>
              <w:jc w:val="left"/>
            </w:pPr>
            <w:r>
              <w:t xml:space="preserve">Open-label study after stroke: higher BDNF, faster improvement (PMID 29798983)</w:t>
            </w:r>
          </w:p>
        </w:tc>
        <w:tc>
          <w:tcPr/>
          <w:p>
            <w:pPr>
              <w:pStyle w:val="Compact"/>
              <w:jc w:val="left"/>
            </w:pPr>
            <w:r>
              <w:t xml:space="preserve">No systematic safety data</w:t>
            </w:r>
          </w:p>
        </w:tc>
      </w:tr>
      <w:tr>
        <w:tc>
          <w:tcPr/>
          <w:p>
            <w:pPr>
              <w:pStyle w:val="Compact"/>
              <w:jc w:val="left"/>
            </w:pPr>
            <w:r>
              <w:t xml:space="preserve">Selank</w:t>
            </w:r>
          </w:p>
        </w:tc>
        <w:tc>
          <w:tcPr/>
          <w:p>
            <w:pPr>
              <w:pStyle w:val="Compact"/>
              <w:jc w:val="left"/>
            </w:pPr>
            <w:r>
              <w:t xml:space="preserve">Anxiolytic effect similar to medazepam, without placebo group (PMID 18454096)</w:t>
            </w:r>
          </w:p>
        </w:tc>
        <w:tc>
          <w:tcPr/>
          <w:p>
            <w:pPr>
              <w:pStyle w:val="Compact"/>
              <w:jc w:val="left"/>
            </w:pPr>
            <w:r>
              <w:t xml:space="preserve">No long-term data; gray market</w:t>
            </w:r>
          </w:p>
        </w:tc>
      </w:tr>
      <w:tr>
        <w:tc>
          <w:tcPr/>
          <w:p>
            <w:pPr>
              <w:pStyle w:val="Compact"/>
              <w:jc w:val="left"/>
            </w:pPr>
            <w:r>
              <w:t xml:space="preserve">Cerebrolysin</w:t>
            </w:r>
          </w:p>
        </w:tc>
        <w:tc>
          <w:tcPr/>
          <w:p>
            <w:pPr>
              <w:pStyle w:val="Compact"/>
              <w:jc w:val="left"/>
            </w:pPr>
            <w:r>
              <w:t xml:space="preserve">CASTA with 1,070 people: primary endpoint missed (PMID 22282884)</w:t>
            </w:r>
          </w:p>
        </w:tc>
        <w:tc>
          <w:tcPr/>
          <w:p>
            <w:pPr>
              <w:pStyle w:val="Compact"/>
              <w:jc w:val="left"/>
            </w:pPr>
            <w:r>
              <w:t xml:space="preserve">Possible signal for serious side effects (Cochrane)</w:t>
            </w:r>
          </w:p>
        </w:tc>
      </w:tr>
      <w:tr>
        <w:tc>
          <w:tcPr/>
          <w:p>
            <w:pPr>
              <w:pStyle w:val="Compact"/>
              <w:jc w:val="left"/>
            </w:pPr>
            <w:r>
              <w:t xml:space="preserve">Dihexa</w:t>
            </w:r>
          </w:p>
        </w:tc>
        <w:tc>
          <w:tcPr/>
          <w:p>
            <w:pPr>
              <w:pStyle w:val="Compact"/>
              <w:jc w:val="left"/>
            </w:pPr>
            <w:r>
              <w:t xml:space="preserve">Animal data only; a key rat study was retracted in 2025 (PMID 25187433, retraction PMID 40312093)</w:t>
            </w:r>
          </w:p>
        </w:tc>
        <w:tc>
          <w:tcPr/>
          <w:p>
            <w:pPr>
              <w:pStyle w:val="Compact"/>
              <w:jc w:val="left"/>
            </w:pPr>
            <w:r>
              <w:t xml:space="preserve">No human data; theoretical cancer risk</w:t>
            </w:r>
          </w:p>
        </w:tc>
      </w:tr>
      <w:tr>
        <w:tc>
          <w:tcPr/>
          <w:p>
            <w:pPr>
              <w:pStyle w:val="Compact"/>
              <w:jc w:val="left"/>
            </w:pPr>
            <w:r>
              <w:t xml:space="preserve">DSIP</w:t>
            </w:r>
          </w:p>
        </w:tc>
        <w:tc>
          <w:tcPr/>
          <w:p>
            <w:pPr>
              <w:pStyle w:val="Compact"/>
              <w:jc w:val="left"/>
            </w:pPr>
            <w:r>
              <w:t xml:space="preserve">16 people with insomnia: only weak effects (PMID 1299794)</w:t>
            </w:r>
          </w:p>
        </w:tc>
        <w:tc>
          <w:tcPr/>
          <w:p>
            <w:pPr>
              <w:pStyle w:val="Compact"/>
              <w:jc w:val="left"/>
            </w:pPr>
            <w:r>
              <w:t xml:space="preserve">No systematic safety data</w:t>
            </w:r>
          </w:p>
        </w:tc>
      </w:tr>
      <w:tr>
        <w:tc>
          <w:tcPr/>
          <w:p>
            <w:pPr>
              <w:pStyle w:val="Compact"/>
              <w:jc w:val="left"/>
            </w:pPr>
            <w:r>
              <w:t xml:space="preserve">Epitalon</w:t>
            </w:r>
          </w:p>
        </w:tc>
        <w:tc>
          <w:tcPr/>
          <w:p>
            <w:pPr>
              <w:pStyle w:val="Compact"/>
              <w:jc w:val="left"/>
            </w:pPr>
            <w:r>
              <w:t xml:space="preserve">No longer mean lifespan in mice (PMID 14501183)</w:t>
            </w:r>
          </w:p>
        </w:tc>
        <w:tc>
          <w:tcPr/>
          <w:p>
            <w:pPr>
              <w:pStyle w:val="Compact"/>
              <w:jc w:val="left"/>
            </w:pPr>
            <w:r>
              <w:t xml:space="preserve">No human data; telomerase question</w:t>
            </w:r>
          </w:p>
        </w:tc>
      </w:tr>
      <w:tr>
        <w:tc>
          <w:tcPr/>
          <w:p>
            <w:pPr>
              <w:pStyle w:val="Compact"/>
              <w:jc w:val="left"/>
            </w:pPr>
            <w:r>
              <w:t xml:space="preserve">Pinealon</w:t>
            </w:r>
          </w:p>
        </w:tc>
        <w:tc>
          <w:tcPr/>
          <w:p>
            <w:pPr>
              <w:pStyle w:val="Compact"/>
              <w:jc w:val="left"/>
            </w:pPr>
            <w:r>
              <w:t xml:space="preserve">32 older people, uncontrolled; also inhibition of blood formation (PMID 26390612)</w:t>
            </w:r>
          </w:p>
        </w:tc>
        <w:tc>
          <w:tcPr/>
          <w:p>
            <w:pPr>
              <w:pStyle w:val="Compact"/>
              <w:jc w:val="left"/>
            </w:pPr>
            <w:r>
              <w:t xml:space="preserve">No systematic safety data</w:t>
            </w:r>
          </w:p>
        </w:tc>
      </w:tr>
      <w:tr>
        <w:tc>
          <w:tcPr/>
          <w:p>
            <w:pPr>
              <w:pStyle w:val="Compact"/>
              <w:jc w:val="left"/>
            </w:pPr>
            <w:r>
              <w:t xml:space="preserve">MOTS-c</w:t>
            </w:r>
          </w:p>
        </w:tc>
        <w:tc>
          <w:tcPr/>
          <w:p>
            <w:pPr>
              <w:pStyle w:val="Compact"/>
              <w:jc w:val="left"/>
            </w:pPr>
            <w:r>
              <w:t xml:space="preserve">Animal data on administration only: less obesity in mice (PMID 25738459)</w:t>
            </w:r>
          </w:p>
        </w:tc>
        <w:tc>
          <w:tcPr/>
          <w:p>
            <w:pPr>
              <w:pStyle w:val="Compact"/>
              <w:jc w:val="left"/>
            </w:pPr>
            <w:r>
              <w:t xml:space="preserve">No data on administration in humans</w:t>
            </w:r>
          </w:p>
        </w:tc>
      </w:tr>
      <w:tr>
        <w:tc>
          <w:tcPr/>
          <w:p>
            <w:pPr>
              <w:pStyle w:val="Compact"/>
              <w:jc w:val="left"/>
            </w:pPr>
            <w:r>
              <w:t xml:space="preserve">Humanin</w:t>
            </w:r>
          </w:p>
        </w:tc>
        <w:tc>
          <w:tcPr/>
          <w:p>
            <w:pPr>
              <w:pStyle w:val="Compact"/>
              <w:jc w:val="left"/>
            </w:pPr>
            <w:r>
              <w:t xml:space="preserve">Only level measurements in humans (PMID 32575074)</w:t>
            </w:r>
          </w:p>
        </w:tc>
        <w:tc>
          <w:tcPr/>
          <w:p>
            <w:pPr>
              <w:pStyle w:val="Compact"/>
              <w:jc w:val="left"/>
            </w:pPr>
            <w:r>
              <w:t xml:space="preserve">More breast cancer growth in mice (PMID 32444831)</w:t>
            </w:r>
          </w:p>
        </w:tc>
      </w:tr>
      <w:tr>
        <w:tc>
          <w:tcPr/>
          <w:p>
            <w:pPr>
              <w:pStyle w:val="Compact"/>
              <w:jc w:val="left"/>
            </w:pPr>
            <w:r>
              <w:t xml:space="preserve">SS-31 (elamipretide)</w:t>
            </w:r>
          </w:p>
        </w:tc>
        <w:tc>
          <w:tcPr/>
          <w:p>
            <w:pPr>
              <w:pStyle w:val="Compact"/>
              <w:jc w:val="left"/>
            </w:pPr>
            <w:r>
              <w:t xml:space="preserve">MMPOWER-3 with 218 people: no benefit in myopathy (PMID 37268435)</w:t>
            </w:r>
          </w:p>
        </w:tc>
        <w:tc>
          <w:tcPr/>
          <w:p>
            <w:pPr>
              <w:pStyle w:val="Compact"/>
              <w:jc w:val="left"/>
            </w:pPr>
            <w:r>
              <w:t xml:space="preserve">Injection sites; gray-market goods not identical</w:t>
            </w:r>
          </w:p>
        </w:tc>
      </w:tr>
      <w:tr>
        <w:tc>
          <w:tcPr/>
          <w:p>
            <w:pPr>
              <w:pStyle w:val="Compact"/>
              <w:jc w:val="left"/>
            </w:pPr>
            <w:r>
              <w:t xml:space="preserve">FOXO4-DRI</w:t>
            </w:r>
          </w:p>
        </w:tc>
        <w:tc>
          <w:tcPr/>
          <w:p>
            <w:pPr>
              <w:pStyle w:val="Compact"/>
              <w:jc w:val="left"/>
            </w:pPr>
            <w:r>
              <w:t xml:space="preserve">Animal data only: better fitness in aged mice (PMID 28340339)</w:t>
            </w:r>
          </w:p>
        </w:tc>
        <w:tc>
          <w:tcPr/>
          <w:p>
            <w:pPr>
              <w:pStyle w:val="Compact"/>
              <w:jc w:val="left"/>
            </w:pPr>
            <w:r>
              <w:t xml:space="preserve">No human data; interference with p53</w:t>
            </w:r>
          </w:p>
        </w:tc>
      </w:tr>
      <w:tr>
        <w:tc>
          <w:tcPr/>
          <w:p>
            <w:pPr>
              <w:pStyle w:val="Compact"/>
              <w:jc w:val="left"/>
            </w:pPr>
            <w:r>
              <w:t xml:space="preserve">Glutathione</w:t>
            </w:r>
          </w:p>
        </w:tc>
        <w:tc>
          <w:tcPr/>
          <w:p>
            <w:pPr>
              <w:pStyle w:val="Compact"/>
              <w:jc w:val="left"/>
            </w:pPr>
            <w:r>
              <w:t xml:space="preserve">Phase 3 with 185 people: no protection against chemotherapy-induced nerve damage (PMID 24619793)</w:t>
            </w:r>
          </w:p>
        </w:tc>
        <w:tc>
          <w:tcPr/>
          <w:p>
            <w:pPr>
              <w:pStyle w:val="Compact"/>
              <w:jc w:val="left"/>
            </w:pPr>
            <w:r>
              <w:t xml:space="preserve">Infusions for skin lightening: official warnings</w:t>
            </w:r>
          </w:p>
        </w:tc>
      </w:tr>
    </w:tbl>
    <w:bookmarkEnd w:id="2530"/>
    <w:bookmarkStart w:id="2531" w:name="e.-hormones-sexuality-and-pigmentation"/>
    <w:p>
      <w:pPr>
        <w:pStyle w:val="Heading3"/>
      </w:pPr>
      <w:r>
        <w:t xml:space="preserve">E. Hormones, Sexuality and Pigmentation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no / yes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8 / 0 (note)</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yes / yes (Scenesse, EPP only)</w:t>
            </w:r>
          </w:p>
        </w:tc>
        <w:tc>
          <w:tcPr/>
          <w:p>
            <w:pPr>
              <w:pStyle w:val="Compact"/>
              <w:jc w:val="left"/>
            </w:pPr>
            <w:r>
              <w:t xml:space="preserve">10 / 23 (note)</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37 / 36</w:t>
            </w:r>
          </w:p>
        </w:tc>
      </w:tr>
      <w:tr>
        <w:tc>
          <w:tcPr/>
          <w:p>
            <w:pPr>
              <w:pStyle w:val="Compact"/>
              <w:jc w:val="left"/>
            </w:pPr>
            <w:r>
              <w:t xml:space="preserve">Oxytocin (nasal spray)</w:t>
            </w:r>
          </w:p>
        </w:tc>
        <w:tc>
          <w:tcPr/>
          <w:p>
            <w:pPr>
              <w:pStyle w:val="Compact"/>
              <w:jc w:val="left"/>
            </w:pPr>
            <w:r>
              <w:t xml:space="preserve">B</w:t>
            </w:r>
          </w:p>
        </w:tc>
        <w:tc>
          <w:tcPr/>
          <w:p>
            <w:pPr>
              <w:pStyle w:val="Compact"/>
              <w:jc w:val="left"/>
            </w:pPr>
            <w:r>
              <w:t xml:space="preserve">obstetrics only / obstetrics only</w:t>
            </w:r>
          </w:p>
        </w:tc>
        <w:tc>
          <w:tcPr/>
          <w:p>
            <w:pPr>
              <w:pStyle w:val="Compact"/>
              <w:jc w:val="left"/>
            </w:pPr>
            <w:r>
              <w:t xml:space="preserve">349 / 263</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in individual states / no</w:t>
            </w:r>
          </w:p>
        </w:tc>
        <w:tc>
          <w:tcPr/>
          <w:p>
            <w:pPr>
              <w:pStyle w:val="Compact"/>
              <w:jc w:val="left"/>
            </w:pPr>
            <w:r>
              <w:t xml:space="preserve">9 / 1,000 (note)</w:t>
            </w:r>
          </w:p>
        </w:tc>
      </w:tr>
    </w:tbl>
    <w:p>
      <w:pPr>
        <w:pStyle w:val="BodyText"/>
      </w:pPr>
      <w:r>
        <w:t xml:space="preserve">Notes on the table: For</w:t>
      </w:r>
      <w:r>
        <w:t xml:space="preserve"> </w:t>
      </w:r>
      <w:r>
        <w:rPr>
          <w:bCs/>
          <w:b/>
        </w:rPr>
        <w:t xml:space="preserve">melanotan II</w:t>
      </w:r>
      <w:r>
        <w:t xml:space="preserve">, four of the eight PubMed hits concern melanotan I (the later afamelanotide); the only registry entry proved untrustworthy. For</w:t>
      </w:r>
      <w:r>
        <w:t xml:space="preserve"> </w:t>
      </w:r>
      <w:r>
        <w:rPr>
          <w:bCs/>
          <w:b/>
        </w:rPr>
        <w:t xml:space="preserve">afamelanotide</w:t>
      </w:r>
      <w:r>
        <w:t xml:space="preserve">, older studies under the names melanotan I or NDP-MSH are missing from the count. For</w:t>
      </w:r>
      <w:r>
        <w:t xml:space="preserve"> </w:t>
      </w:r>
      <w:r>
        <w:rPr>
          <w:bCs/>
          <w:b/>
        </w:rPr>
        <w:t xml:space="preserve">oxytocin</w:t>
      </w:r>
      <w:r>
        <w:t xml:space="preserve">, only use as an infusion or injection in obstetrics is approved, not the nasal spray. The figures for</w:t>
      </w:r>
      <w:r>
        <w:t xml:space="preserve"> </w:t>
      </w:r>
      <w:r>
        <w:rPr>
          <w:bCs/>
          <w:b/>
        </w:rPr>
        <w:t xml:space="preserve">gonadorelin</w:t>
      </w:r>
      <w:r>
        <w:t xml:space="preserve"> </w:t>
      </w:r>
      <w:r>
        <w:t xml:space="preserve">are useless: the registry search hit its upper limit of 1,000 hits because the registry includes the umbrella term</w:t>
      </w:r>
      <w:r>
        <w:t xml:space="preserve"> </w:t>
      </w:r>
      <w:r>
        <w:t xml:space="preserve">“</w:t>
      </w:r>
      <w:r>
        <w:t xml:space="preserve">Gonadotropin-Releasing Hormone</w:t>
      </w:r>
      <w:r>
        <w:t xml:space="preserve">”</w:t>
      </w:r>
      <w:r>
        <w:t xml:space="preserve">; almost all hits concern GnRH analogs, for example in prostate cancer, and only around ten the body-identical hormone. The PubMed figure is too low because most studies write</w:t>
      </w:r>
      <w:r>
        <w:t xml:space="preserve"> </w:t>
      </w:r>
      <w:r>
        <w:t xml:space="preserve">“</w:t>
      </w:r>
      <w:r>
        <w:t xml:space="preserve">GnRH</w:t>
      </w:r>
      <w:r>
        <w:t xml:space="preserve">”</w:t>
      </w:r>
      <w:r>
        <w:t xml:space="preserve"> </w:t>
      </w:r>
      <w:r>
        <w:t xml:space="preserve">or</w:t>
      </w:r>
      <w:r>
        <w:t xml:space="preserve"> </w:t>
      </w:r>
      <w:r>
        <w:t xml:space="preserve">“</w:t>
      </w:r>
      <w:r>
        <w:t xml:space="preserve">LHRH.</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Bremelanotide (PT-141)</w:t>
            </w:r>
          </w:p>
        </w:tc>
        <w:tc>
          <w:tcPr/>
          <w:p>
            <w:pPr>
              <w:pStyle w:val="Compact"/>
              <w:jc w:val="left"/>
            </w:pPr>
            <w:r>
              <w:t xml:space="preserve">RECONNECT, 1,267 women: only a small advantage over placebo (PMID 31599840)</w:t>
            </w:r>
          </w:p>
        </w:tc>
        <w:tc>
          <w:tcPr/>
          <w:p>
            <w:pPr>
              <w:pStyle w:val="Compact"/>
              <w:jc w:val="left"/>
            </w:pPr>
            <w:r>
              <w:t xml:space="preserve">Nausea in around 40%, brief rise in blood pressure</w:t>
            </w:r>
          </w:p>
        </w:tc>
      </w:tr>
      <w:tr>
        <w:tc>
          <w:tcPr/>
          <w:p>
            <w:pPr>
              <w:pStyle w:val="Compact"/>
              <w:jc w:val="left"/>
            </w:pPr>
            <w:r>
              <w:t xml:space="preserve">Melanotan II</w:t>
            </w:r>
          </w:p>
        </w:tc>
        <w:tc>
          <w:tcPr/>
          <w:p>
            <w:pPr>
              <w:pStyle w:val="Compact"/>
              <w:jc w:val="left"/>
            </w:pPr>
            <w:r>
              <w:t xml:space="preserve">Small crossover studies: erections in 17 of 20 men, frequent nausea (PMID 11035391)</w:t>
            </w:r>
          </w:p>
        </w:tc>
        <w:tc>
          <w:tcPr/>
          <w:p>
            <w:pPr>
              <w:pStyle w:val="Compact"/>
              <w:jc w:val="left"/>
            </w:pPr>
            <w:r>
              <w:t xml:space="preserve">Mole changes, melanoma case reports, priapism</w:t>
            </w:r>
          </w:p>
        </w:tc>
      </w:tr>
      <w:tr>
        <w:tc>
          <w:tcPr/>
          <w:p>
            <w:pPr>
              <w:pStyle w:val="Compact"/>
              <w:jc w:val="left"/>
            </w:pPr>
            <w:r>
              <w:t xml:space="preserve">Afamelanotide</w:t>
            </w:r>
          </w:p>
        </w:tc>
        <w:tc>
          <w:tcPr/>
          <w:p>
            <w:pPr>
              <w:pStyle w:val="Compact"/>
              <w:jc w:val="left"/>
            </w:pPr>
            <w:r>
              <w:t xml:space="preserve">Two RCTs: longer pain-free time in sunlight in EPP (PMID 26132941)</w:t>
            </w:r>
          </w:p>
        </w:tc>
        <w:tc>
          <w:tcPr/>
          <w:p>
            <w:pPr>
              <w:pStyle w:val="Compact"/>
              <w:jc w:val="left"/>
            </w:pPr>
            <w:r>
              <w:t xml:space="preserve">Nausea, headache; skin checks needed</w:t>
            </w:r>
          </w:p>
        </w:tc>
      </w:tr>
      <w:tr>
        <w:tc>
          <w:tcPr/>
          <w:p>
            <w:pPr>
              <w:pStyle w:val="Compact"/>
              <w:jc w:val="left"/>
            </w:pPr>
            <w:r>
              <w:t xml:space="preserve">Kisspeptin</w:t>
            </w:r>
          </w:p>
        </w:tc>
        <w:tc>
          <w:tcPr/>
          <w:p>
            <w:pPr>
              <w:pStyle w:val="Compact"/>
              <w:jc w:val="left"/>
            </w:pPr>
            <w:r>
              <w:t xml:space="preserve">60 women at risk of OHSS: egg maturation in 95%, no severe OHSS (PMID 26192876)</w:t>
            </w:r>
          </w:p>
        </w:tc>
        <w:tc>
          <w:tcPr/>
          <w:p>
            <w:pPr>
              <w:pStyle w:val="Compact"/>
              <w:jc w:val="left"/>
            </w:pPr>
            <w:r>
              <w:t xml:space="preserve">Desensitization up to suppression of the hormone axis</w:t>
            </w:r>
          </w:p>
        </w:tc>
      </w:tr>
      <w:tr>
        <w:tc>
          <w:tcPr/>
          <w:p>
            <w:pPr>
              <w:pStyle w:val="Compact"/>
              <w:jc w:val="left"/>
            </w:pPr>
            <w:r>
              <w:t xml:space="preserve">Oxytocin (nasal spray)</w:t>
            </w:r>
          </w:p>
        </w:tc>
        <w:tc>
          <w:tcPr/>
          <w:p>
            <w:pPr>
              <w:pStyle w:val="Compact"/>
              <w:jc w:val="left"/>
            </w:pPr>
            <w:r>
              <w:t xml:space="preserve">SOARS-B, 290 children with autism: no difference from placebo (PMID 34644471)</w:t>
            </w:r>
          </w:p>
        </w:tc>
        <w:tc>
          <w:tcPr/>
          <w:p>
            <w:pPr>
              <w:pStyle w:val="Compact"/>
              <w:jc w:val="left"/>
            </w:pPr>
            <w:r>
              <w:t xml:space="preserve">Water retention at high doses, induction of labor</w:t>
            </w:r>
          </w:p>
        </w:tc>
      </w:tr>
      <w:tr>
        <w:tc>
          <w:tcPr/>
          <w:p>
            <w:pPr>
              <w:pStyle w:val="Compact"/>
              <w:jc w:val="left"/>
            </w:pPr>
            <w:r>
              <w:t xml:space="preserve">Gonadorelin</w:t>
            </w:r>
          </w:p>
        </w:tc>
        <w:tc>
          <w:tcPr/>
          <w:p>
            <w:pPr>
              <w:pStyle w:val="Compact"/>
              <w:jc w:val="left"/>
            </w:pPr>
            <w:r>
              <w:t xml:space="preserve">Pulsatile administration: ovulation in 91% and 96% of 109 women (PMID 2122733)</w:t>
            </w:r>
          </w:p>
        </w:tc>
        <w:tc>
          <w:tcPr/>
          <w:p>
            <w:pPr>
              <w:pStyle w:val="Compact"/>
              <w:jc w:val="left"/>
            </w:pPr>
            <w:r>
              <w:t xml:space="preserve">Suppression of the hormone axis if rhythm is wrong</w:t>
            </w:r>
          </w:p>
        </w:tc>
      </w:tr>
    </w:tbl>
    <w:bookmarkEnd w:id="2531"/>
    <w:bookmarkStart w:id="2532" w:name="f.-collagen-nutrition-and-cosmetics"/>
    <w:p>
      <w:pPr>
        <w:pStyle w:val="Heading3"/>
      </w:pPr>
      <w:r>
        <w:t xml:space="preserve">F. Collagen, Nutrition and Cosmetics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Collagen peptides</w:t>
            </w:r>
          </w:p>
        </w:tc>
        <w:tc>
          <w:tcPr/>
          <w:p>
            <w:pPr>
              <w:pStyle w:val="Compact"/>
              <w:jc w:val="left"/>
            </w:pPr>
            <w:r>
              <w:t xml:space="preserve">B</w:t>
            </w:r>
          </w:p>
        </w:tc>
        <w:tc>
          <w:tcPr/>
          <w:p>
            <w:pPr>
              <w:pStyle w:val="Compact"/>
              <w:jc w:val="left"/>
            </w:pPr>
            <w:r>
              <w:t xml:space="preserve">food / dietary supplement</w:t>
            </w:r>
          </w:p>
        </w:tc>
        <w:tc>
          <w:tcPr/>
          <w:p>
            <w:pPr>
              <w:pStyle w:val="Compact"/>
              <w:jc w:val="left"/>
            </w:pPr>
            <w:r>
              <w:t xml:space="preserve">101 / 237 (note)</w:t>
            </w:r>
          </w:p>
        </w:tc>
      </w:tr>
      <w:tr>
        <w:tc>
          <w:tcPr/>
          <w:p>
            <w:pPr>
              <w:pStyle w:val="Compact"/>
              <w:jc w:val="left"/>
            </w:pPr>
            <w:r>
              <w:t xml:space="preserve">Lactotripeptides</w:t>
            </w:r>
          </w:p>
        </w:tc>
        <w:tc>
          <w:tcPr/>
          <w:p>
            <w:pPr>
              <w:pStyle w:val="Compact"/>
              <w:jc w:val="left"/>
            </w:pPr>
            <w:r>
              <w:t xml:space="preserve">B</w:t>
            </w:r>
          </w:p>
        </w:tc>
        <w:tc>
          <w:tcPr/>
          <w:p>
            <w:pPr>
              <w:pStyle w:val="Compact"/>
              <w:jc w:val="left"/>
            </w:pPr>
            <w:r>
              <w:t xml:space="preserve">food / dietary supplement</w:t>
            </w:r>
          </w:p>
        </w:tc>
        <w:tc>
          <w:tcPr/>
          <w:p>
            <w:pPr>
              <w:pStyle w:val="Compact"/>
              <w:jc w:val="left"/>
            </w:pPr>
            <w:r>
              <w:t xml:space="preserve">21 / 0</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food supplement / dietary supplement</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 / cosmetic</w:t>
            </w:r>
          </w:p>
        </w:tc>
        <w:tc>
          <w:tcPr/>
          <w:p>
            <w:pPr>
              <w:pStyle w:val="Compact"/>
              <w:jc w:val="left"/>
            </w:pPr>
            <w:r>
              <w:t xml:space="preserve">1 / 24 (note)</w:t>
            </w:r>
          </w:p>
        </w:tc>
      </w:tr>
      <w:tr>
        <w:tc>
          <w:tcPr/>
          <w:p>
            <w:pPr>
              <w:pStyle w:val="Compact"/>
              <w:jc w:val="left"/>
            </w:pPr>
            <w:r>
              <w:t xml:space="preserve">Palmitoyl pentapeptide-4</w:t>
            </w:r>
          </w:p>
        </w:tc>
        <w:tc>
          <w:tcPr/>
          <w:p>
            <w:pPr>
              <w:pStyle w:val="Compact"/>
              <w:jc w:val="left"/>
            </w:pPr>
            <w:r>
              <w:t xml:space="preserve">B (weak)</w:t>
            </w:r>
          </w:p>
        </w:tc>
        <w:tc>
          <w:tcPr/>
          <w:p>
            <w:pPr>
              <w:pStyle w:val="Compact"/>
              <w:jc w:val="left"/>
            </w:pPr>
            <w:r>
              <w:t xml:space="preserve">cosmetic / cosmetic</w:t>
            </w:r>
          </w:p>
        </w:tc>
        <w:tc>
          <w:tcPr/>
          <w:p>
            <w:pPr>
              <w:pStyle w:val="Compact"/>
              <w:jc w:val="left"/>
            </w:pPr>
            <w:r>
              <w:t xml:space="preserve">1 / 0</w:t>
            </w:r>
          </w:p>
        </w:tc>
      </w:tr>
      <w:tr>
        <w:tc>
          <w:tcPr/>
          <w:p>
            <w:pPr>
              <w:pStyle w:val="Compact"/>
              <w:jc w:val="left"/>
            </w:pPr>
            <w:r>
              <w:t xml:space="preserve">Acetyl hexapeptide-8</w:t>
            </w:r>
          </w:p>
        </w:tc>
        <w:tc>
          <w:tcPr/>
          <w:p>
            <w:pPr>
              <w:pStyle w:val="Compact"/>
              <w:jc w:val="left"/>
            </w:pPr>
            <w:r>
              <w:t xml:space="preserve">B (weak)</w:t>
            </w:r>
          </w:p>
        </w:tc>
        <w:tc>
          <w:tcPr/>
          <w:p>
            <w:pPr>
              <w:pStyle w:val="Compact"/>
              <w:jc w:val="left"/>
            </w:pPr>
            <w:r>
              <w:t xml:space="preserve">cosmetic / cosmetic</w:t>
            </w:r>
          </w:p>
        </w:tc>
        <w:tc>
          <w:tcPr/>
          <w:p>
            <w:pPr>
              <w:pStyle w:val="Compact"/>
              <w:jc w:val="left"/>
            </w:pPr>
            <w:r>
              <w:t xml:space="preserve">3 / 7</w:t>
            </w:r>
          </w:p>
        </w:tc>
      </w:tr>
    </w:tbl>
    <w:p>
      <w:pPr>
        <w:pStyle w:val="BodyText"/>
      </w:pPr>
      <w:r>
        <w:t xml:space="preserve">Notes on the table: For</w:t>
      </w:r>
      <w:r>
        <w:t xml:space="preserve"> </w:t>
      </w:r>
      <w:r>
        <w:rPr>
          <w:bCs/>
          <w:b/>
        </w:rPr>
        <w:t xml:space="preserve">collagen peptides</w:t>
      </w:r>
      <w:r>
        <w:t xml:space="preserve">, a considerable proportion of the registry hits concern other topics, such as collagen implants in dentistry or the cancer drug endostatin. For</w:t>
      </w:r>
      <w:r>
        <w:t xml:space="preserve"> </w:t>
      </w:r>
      <w:r>
        <w:rPr>
          <w:bCs/>
          <w:b/>
        </w:rPr>
        <w:t xml:space="preserve">GHK-Cu</w:t>
      </w:r>
      <w:r>
        <w:t xml:space="preserve">, almost all registry hits concern other copper compounds, for example radioactive copper-64 for imaging; only one credible entry actually studies GHK. For none of the substances in this group is a health-related advertising claim authorized in the EU; for lactotripeptides, the European Food Safety Authority (EFSA) rejected the blood pressure claim applied for.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Collagen peptides</w:t>
            </w:r>
          </w:p>
        </w:tc>
        <w:tc>
          <w:tcPr/>
          <w:p>
            <w:pPr>
              <w:pStyle w:val="Compact"/>
              <w:jc w:val="left"/>
            </w:pPr>
            <w:r>
              <w:t xml:space="preserve">Osteoarthritis: small to moderate effects (PMID 38218227); skin benefit not in independent studies (PMID 40324552)</w:t>
            </w:r>
          </w:p>
        </w:tc>
        <w:tc>
          <w:tcPr/>
          <w:p>
            <w:pPr>
              <w:pStyle w:val="Compact"/>
              <w:jc w:val="left"/>
            </w:pPr>
            <w:r>
              <w:t xml:space="preserve">Replacing effective measures; oxalate in people prone to kidney stones</w:t>
            </w:r>
          </w:p>
        </w:tc>
      </w:tr>
      <w:tr>
        <w:tc>
          <w:tcPr/>
          <w:p>
            <w:pPr>
              <w:pStyle w:val="Compact"/>
              <w:jc w:val="left"/>
            </w:pPr>
            <w:r>
              <w:t xml:space="preserve">Lactotripeptides</w:t>
            </w:r>
          </w:p>
        </w:tc>
        <w:tc>
          <w:tcPr/>
          <w:p>
            <w:pPr>
              <w:pStyle w:val="Compact"/>
              <w:jc w:val="left"/>
            </w:pPr>
            <w:r>
              <w:t xml:space="preserve">Meta-analysis, 30 RCTs: systolic −2.95 mmHg, with publication bias (PMID 25608938)</w:t>
            </w:r>
          </w:p>
        </w:tc>
        <w:tc>
          <w:tcPr/>
          <w:p>
            <w:pPr>
              <w:pStyle w:val="Compact"/>
              <w:jc w:val="left"/>
            </w:pPr>
            <w:r>
              <w:t xml:space="preserve">Replacing effective blood pressure treatment</w:t>
            </w:r>
          </w:p>
        </w:tc>
      </w:tr>
      <w:tr>
        <w:tc>
          <w:tcPr/>
          <w:p>
            <w:pPr>
              <w:pStyle w:val="Compact"/>
              <w:jc w:val="left"/>
            </w:pPr>
            <w:r>
              <w:t xml:space="preserve">Carnosine</w:t>
            </w:r>
          </w:p>
        </w:tc>
        <w:tc>
          <w:tcPr/>
          <w:p>
            <w:pPr>
              <w:pStyle w:val="Compact"/>
              <w:jc w:val="left"/>
            </w:pPr>
            <w:r>
              <w:t xml:space="preserve">Meta-analysis, 8 RCTs: somewhat lower glucose and HbA1c values (PMID 40999397)</w:t>
            </w:r>
          </w:p>
        </w:tc>
        <w:tc>
          <w:tcPr/>
          <w:p>
            <w:pPr>
              <w:pStyle w:val="Compact"/>
              <w:jc w:val="left"/>
            </w:pPr>
            <w:r>
              <w:t xml:space="preserve">None relevant; long-term data lacking</w:t>
            </w:r>
          </w:p>
        </w:tc>
      </w:tr>
      <w:tr>
        <w:tc>
          <w:tcPr/>
          <w:p>
            <w:pPr>
              <w:pStyle w:val="Compact"/>
              <w:jc w:val="left"/>
            </w:pPr>
            <w:r>
              <w:t xml:space="preserve">GHK-Cu</w:t>
            </w:r>
          </w:p>
        </w:tc>
        <w:tc>
          <w:tcPr/>
          <w:p>
            <w:pPr>
              <w:pStyle w:val="Compact"/>
              <w:jc w:val="left"/>
            </w:pPr>
            <w:r>
              <w:t xml:space="preserve">Foot ulcers: wound area median −98.5% vs. −60.8% (PMID 17147644)</w:t>
            </w:r>
          </w:p>
        </w:tc>
        <w:tc>
          <w:tcPr/>
          <w:p>
            <w:pPr>
              <w:pStyle w:val="Compact"/>
              <w:jc w:val="left"/>
            </w:pPr>
            <w:r>
              <w:t xml:space="preserve">Injections of gray-market goods untested</w:t>
            </w:r>
          </w:p>
        </w:tc>
      </w:tr>
      <w:tr>
        <w:tc>
          <w:tcPr/>
          <w:p>
            <w:pPr>
              <w:pStyle w:val="Compact"/>
              <w:jc w:val="left"/>
            </w:pPr>
            <w:r>
              <w:t xml:space="preserve">Palmitoyl pentapeptide-4</w:t>
            </w:r>
          </w:p>
        </w:tc>
        <w:tc>
          <w:tcPr/>
          <w:p>
            <w:pPr>
              <w:pStyle w:val="Compact"/>
              <w:jc w:val="left"/>
            </w:pPr>
            <w:r>
              <w:t xml:space="preserve">93 women, split-face study: fewer wrinkles after 12 weeks (PMID 18492182)</w:t>
            </w:r>
          </w:p>
        </w:tc>
        <w:tc>
          <w:tcPr/>
          <w:p>
            <w:pPr>
              <w:pStyle w:val="Compact"/>
              <w:jc w:val="left"/>
            </w:pPr>
            <w:r>
              <w:t xml:space="preserve">Rarely skin irritation</w:t>
            </w:r>
          </w:p>
        </w:tc>
      </w:tr>
      <w:tr>
        <w:tc>
          <w:tcPr/>
          <w:p>
            <w:pPr>
              <w:pStyle w:val="Compact"/>
              <w:jc w:val="left"/>
            </w:pPr>
            <w:r>
              <w:t xml:space="preserve">Acetyl hexapeptide-8</w:t>
            </w:r>
          </w:p>
        </w:tc>
        <w:tc>
          <w:tcPr/>
          <w:p>
            <w:pPr>
              <w:pStyle w:val="Compact"/>
              <w:jc w:val="left"/>
            </w:pPr>
            <w:r>
              <w:t xml:space="preserve">19 women, split-face study: no difference after 4 weeks (PMID 38024099)</w:t>
            </w:r>
          </w:p>
        </w:tc>
        <w:tc>
          <w:tcPr/>
          <w:p>
            <w:pPr>
              <w:pStyle w:val="Compact"/>
              <w:jc w:val="left"/>
            </w:pPr>
            <w:r>
              <w:t xml:space="preserve">Injections not approved, infection case report</w:t>
            </w:r>
          </w:p>
        </w:tc>
      </w:tr>
    </w:tbl>
    <w:bookmarkEnd w:id="2532"/>
    <w:bookmarkStart w:id="2536" w:name="X66bdecb2bebc22b99d07ee0f03a6ac743f9d7e6"/>
    <w:p>
      <w:pPr>
        <w:pStyle w:val="Heading3"/>
      </w:pPr>
      <w:r>
        <w:t xml:space="preserve">Analysis: How Well Studied Are Peptides Overall?</w:t>
      </w:r>
    </w:p>
    <w:bookmarkStart w:id="2533" w:name="distribution-of-evidence-levels"/>
    <w:p>
      <w:pPr>
        <w:pStyle w:val="Heading4"/>
      </w:pPr>
      <w:r>
        <w:t xml:space="preserve">Distribution of Evidence Levels</w:t>
      </w:r>
    </w:p>
    <w:p>
      <w:pPr>
        <w:pStyle w:val="FirstParagraph"/>
      </w:pPr>
      <w:r>
        <w:t xml:space="preserve">The 58 entries in this book – 56 peptides and two comparison substances that are not peptides (orforglipron and ibutamoren) – are distributed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Evidence level</w:t>
            </w:r>
          </w:p>
        </w:tc>
        <w:tc>
          <w:tcPr/>
          <w:p>
            <w:pPr>
              <w:pStyle w:val="Compact"/>
              <w:jc w:val="left"/>
            </w:pPr>
            <w:r>
              <w:t xml:space="preserve">Number</w:t>
            </w:r>
          </w:p>
        </w:tc>
        <w:tc>
          <w:tcPr/>
          <w:p>
            <w:pPr>
              <w:pStyle w:val="Compact"/>
              <w:jc w:val="left"/>
            </w:pPr>
            <w:r>
              <w:t xml:space="preserve">Share</w:t>
            </w:r>
          </w:p>
        </w:tc>
        <w:tc>
          <w:tcPr/>
          <w:p>
            <w:pPr>
              <w:pStyle w:val="Compact"/>
              <w:jc w:val="left"/>
            </w:pPr>
            <w:r>
              <w:t xml:space="preserve">Examples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Semaglutide, tirzepatide, tesamorelin, afamelanotide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Retatrutide, thymosin alpha-1, glutathione, collagen peptides</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Note: TB-500 is included in the count with level B for thymosin beta-4; for the TB-500 fragment alone, level D applies.</w:t>
      </w:r>
    </w:p>
    <w:p>
      <w:pPr>
        <w:pStyle w:val="BodyText"/>
      </w:pPr>
      <w:r>
        <w:t xml:space="preserve">Three patterns:</w:t>
      </w:r>
    </w:p>
    <w:p>
      <w:pPr>
        <w:numPr>
          <w:ilvl w:val="0"/>
          <w:numId w:val="1321"/>
        </w:numPr>
        <w:pStyle w:val="Compact"/>
      </w:pPr>
      <w:r>
        <w:rPr>
          <w:bCs/>
          <w:b/>
        </w:rPr>
        <w:t xml:space="preserve">Level A is reached almost exclusively by drugs that have gone through a regular approval program by a pharmaceutical manufacturer.</w:t>
      </w:r>
      <w:r>
        <w:t xml:space="preserve"> </w:t>
      </w:r>
      <w:r>
        <w:t xml:space="preserve">Nine of the 14 entries with level A come from group A (metabolism and weight). The others are tesamorelin, macimorelin and mecasermin from the growth hormone axis as well as bremelanotide and afamelanotide. None of the substances described in group B (healing) and group D (brain and longevity) reaches level A.</w:t>
      </w:r>
    </w:p>
    <w:p>
      <w:pPr>
        <w:numPr>
          <w:ilvl w:val="0"/>
          <w:numId w:val="1321"/>
        </w:numPr>
        <w:pStyle w:val="Compact"/>
      </w:pPr>
      <w:r>
        <w:rPr>
          <w:bCs/>
          <w:b/>
        </w:rPr>
        <w:t xml:space="preserve">Level B often means</w:t>
      </w:r>
      <w:r>
        <w:rPr>
          <w:bCs/>
          <w:b/>
        </w:rPr>
        <w:t xml:space="preserve"> </w:t>
      </w:r>
      <w:r>
        <w:rPr>
          <w:bCs/>
          <w:b/>
        </w:rPr>
        <w:t xml:space="preserve">“</w:t>
      </w:r>
      <w:r>
        <w:rPr>
          <w:bCs/>
          <w:b/>
        </w:rPr>
        <w:t xml:space="preserve">tested and not confirmed.</w:t>
      </w:r>
      <w:r>
        <w:rPr>
          <w:bCs/>
          <w:b/>
        </w:rPr>
        <w:t xml:space="preserve">”</w:t>
      </w:r>
      <w:r>
        <w:t xml:space="preserve"> </w:t>
      </w:r>
      <w:r>
        <w:t xml:space="preserve">For many of the 25 entries, the largest randomized study missed its primary endpoint: thymosin alpha-1 in sepsis, LL-37 in leg ulcers, ipamorelin after bowel surgery, elamipretide in myopathy, oxytocin in autism, glutathione against chemotherapy-induced nerve damage.</w:t>
      </w:r>
    </w:p>
    <w:p>
      <w:pPr>
        <w:numPr>
          <w:ilvl w:val="0"/>
          <w:numId w:val="1321"/>
        </w:numPr>
        <w:pStyle w:val="Compact"/>
      </w:pPr>
      <w:r>
        <w:rPr>
          <w:bCs/>
          <w:b/>
        </w:rPr>
        <w:t xml:space="preserve">One third has level C or D.</w:t>
      </w:r>
      <w:r>
        <w:t xml:space="preserve"> </w:t>
      </w:r>
      <w:r>
        <w:t xml:space="preserve">19 of 58 entries are based on small, uncontrolled human studies or only on animal and laboratory experiments – including many of the substances most heavily promoted on the internet.</w:t>
      </w:r>
    </w:p>
    <w:p>
      <w:pPr>
        <w:pStyle w:val="FirstParagraph"/>
      </w:pPr>
      <w:r>
        <w:t xml:space="preserve">Viewed by group:</w:t>
      </w:r>
    </w:p>
    <w:p>
      <w:pPr>
        <w:numPr>
          <w:ilvl w:val="0"/>
          <w:numId w:val="1322"/>
        </w:numPr>
        <w:pStyle w:val="Compact"/>
      </w:pPr>
      <w:r>
        <w:t xml:space="preserve">A. Metabolism and weight (15 entries): 9 × A, 5 × B, 1 × D</w:t>
      </w:r>
    </w:p>
    <w:p>
      <w:pPr>
        <w:numPr>
          <w:ilvl w:val="0"/>
          <w:numId w:val="1322"/>
        </w:numPr>
        <w:pStyle w:val="Compact"/>
      </w:pPr>
      <w:r>
        <w:t xml:space="preserve">B. Healing and immune system (8): 5 × B, 2 × C, 1 × D</w:t>
      </w:r>
    </w:p>
    <w:p>
      <w:pPr>
        <w:numPr>
          <w:ilvl w:val="0"/>
          <w:numId w:val="1322"/>
        </w:numPr>
        <w:pStyle w:val="Compact"/>
      </w:pPr>
      <w:r>
        <w:t xml:space="preserve">C. Growth hormone axis (11): 3 × A, 4 × B, 3 × C, 1 × D</w:t>
      </w:r>
    </w:p>
    <w:p>
      <w:pPr>
        <w:numPr>
          <w:ilvl w:val="0"/>
          <w:numId w:val="1322"/>
        </w:numPr>
        <w:pStyle w:val="Compact"/>
      </w:pPr>
      <w:r>
        <w:t xml:space="preserve">D. Brain and longevity (12): 3 × B, 5 × C, 4 × D</w:t>
      </w:r>
    </w:p>
    <w:p>
      <w:pPr>
        <w:numPr>
          <w:ilvl w:val="0"/>
          <w:numId w:val="1322"/>
        </w:numPr>
        <w:pStyle w:val="Compact"/>
      </w:pPr>
      <w:r>
        <w:t xml:space="preserve">E. Hormones and pigmentation (6): 2 × A, 3 × B, 1 × C</w:t>
      </w:r>
    </w:p>
    <w:p>
      <w:pPr>
        <w:numPr>
          <w:ilvl w:val="0"/>
          <w:numId w:val="1322"/>
        </w:numPr>
        <w:pStyle w:val="Compact"/>
      </w:pPr>
      <w:r>
        <w:t xml:space="preserve">F. Collagen and cosmetics (6): 5 × B, 1 × C</w:t>
      </w:r>
    </w:p>
    <w:p>
      <w:pPr>
        <w:pStyle w:val="FirstParagraph"/>
      </w:pPr>
      <w:r>
        <w:t xml:space="preserve">Group D has the weakest evidence: four of its twelve peptides have never been administered in a published human study, and five others only in small, mostly non-randomized studies.</w:t>
      </w:r>
    </w:p>
    <w:bookmarkEnd w:id="2533"/>
    <w:bookmarkStart w:id="2534" w:name="approved-or-not"/>
    <w:p>
      <w:pPr>
        <w:pStyle w:val="Heading4"/>
      </w:pPr>
      <w:r>
        <w:t xml:space="preserve">Approved or Not?</w:t>
      </w:r>
    </w:p>
    <w:p>
      <w:pPr>
        <w:pStyle w:val="FirstParagraph"/>
      </w:pPr>
      <w:r>
        <w:t xml:space="preserve">In this book,</w:t>
      </w:r>
      <w:r>
        <w:t xml:space="preserve"> </w:t>
      </w:r>
      <w:r>
        <w:t xml:space="preserve">“</w:t>
      </w:r>
      <w:r>
        <w:t xml:space="preserve">approved</w:t>
      </w:r>
      <w:r>
        <w:t xml:space="preserve">”</w:t>
      </w:r>
      <w:r>
        <w:t xml:space="preserve"> </w:t>
      </w:r>
      <w:r>
        <w:t xml:space="preserve">means: a medicines authority has assessed efficacy, safety and manufacturing quality for a specific use. On this basis, the 58 entries can be divided into five groups (as of October 2026, please check for updates):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Number</w:t>
            </w:r>
          </w:p>
        </w:tc>
        <w:tc>
          <w:tcPr/>
          <w:p>
            <w:pPr>
              <w:pStyle w:val="Compact"/>
              <w:jc w:val="left"/>
            </w:pPr>
            <w:r>
              <w:t xml:space="preserve">Peptides</w:t>
            </w:r>
          </w:p>
        </w:tc>
      </w:tr>
      <w:tr>
        <w:tc>
          <w:tcPr/>
          <w:p>
            <w:pPr>
              <w:pStyle w:val="Compact"/>
              <w:jc w:val="left"/>
            </w:pPr>
            <w:r>
              <w:t xml:space="preserve">Approved as a medicine in the EU and/or the USA</w:t>
            </w:r>
          </w:p>
        </w:tc>
        <w:tc>
          <w:tcPr/>
          <w:p>
            <w:pPr>
              <w:pStyle w:val="Compact"/>
              <w:jc w:val="left"/>
            </w:pPr>
            <w:r>
              <w:t xml:space="preserve">14</w:t>
            </w:r>
          </w:p>
        </w:tc>
        <w:tc>
          <w:tcPr/>
          <w:p>
            <w:pPr>
              <w:pStyle w:val="Compact"/>
              <w:jc w:val="left"/>
            </w:pPr>
            <w:r>
              <w:t xml:space="preserve">Exenatide, liraglutide, dulaglutide, semaglutide, tirzepatide, setmelanotide, pramlintide, tesamorelin, macimorelin, mecasermin, afamelanotide, bremelanotide, SS-31, oxytocin (obstetrics only)</w:t>
            </w:r>
          </w:p>
        </w:tc>
      </w:tr>
      <w:tr>
        <w:tc>
          <w:tcPr/>
          <w:p>
            <w:pPr>
              <w:pStyle w:val="Compact"/>
              <w:jc w:val="left"/>
            </w:pPr>
            <w:r>
              <w:t xml:space="preserve">Approved only nationally in individual EU states or only outside the EU and USA</w:t>
            </w:r>
          </w:p>
        </w:tc>
        <w:tc>
          <w:tcPr/>
          <w:p>
            <w:pPr>
              <w:pStyle w:val="Compact"/>
              <w:jc w:val="left"/>
            </w:pPr>
            <w:r>
              <w:t xml:space="preserve">8</w:t>
            </w:r>
          </w:p>
        </w:tc>
        <w:tc>
          <w:tcPr/>
          <w:p>
            <w:pPr>
              <w:pStyle w:val="Compact"/>
              <w:jc w:val="left"/>
            </w:pPr>
            <w:r>
              <w:t xml:space="preserve">Cerebrolysin, gonadorelin, mazdutide (China), thymosin alpha-1 (China, among others), thymalin, Semax, Selank (Russia), GHRP-2 (Japan, diagnostic agent)</w:t>
            </w:r>
          </w:p>
        </w:tc>
      </w:tr>
      <w:tr>
        <w:tc>
          <w:tcPr/>
          <w:p>
            <w:pPr>
              <w:pStyle w:val="Compact"/>
              <w:jc w:val="left"/>
            </w:pPr>
            <w:r>
              <w:t xml:space="preserve">Formerly approved in the USA, no longer on the market today</w:t>
            </w:r>
          </w:p>
        </w:tc>
        <w:tc>
          <w:tcPr/>
          <w:p>
            <w:pPr>
              <w:pStyle w:val="Compact"/>
              <w:jc w:val="left"/>
            </w:pPr>
            <w:r>
              <w:t xml:space="preserve">1</w:t>
            </w:r>
          </w:p>
        </w:tc>
        <w:tc>
          <w:tcPr/>
          <w:p>
            <w:pPr>
              <w:pStyle w:val="Compact"/>
              <w:jc w:val="left"/>
            </w:pPr>
            <w:r>
              <w:t xml:space="preserve">Sermorelin</w:t>
            </w:r>
          </w:p>
        </w:tc>
      </w:tr>
      <w:tr>
        <w:tc>
          <w:tcPr/>
          <w:p>
            <w:pPr>
              <w:pStyle w:val="Compact"/>
              <w:jc w:val="left"/>
            </w:pPr>
            <w:r>
              <w:t xml:space="preserve">Permitted as a food, food supplement or cosmetic, without approval as a medicine</w:t>
            </w:r>
          </w:p>
        </w:tc>
        <w:tc>
          <w:tcPr/>
          <w:p>
            <w:pPr>
              <w:pStyle w:val="Compact"/>
              <w:jc w:val="left"/>
            </w:pPr>
            <w:r>
              <w:t xml:space="preserve">7</w:t>
            </w:r>
          </w:p>
        </w:tc>
        <w:tc>
          <w:tcPr/>
          <w:p>
            <w:pPr>
              <w:pStyle w:val="Compact"/>
              <w:jc w:val="left"/>
            </w:pPr>
            <w:r>
              <w:t xml:space="preserve">Collagen peptides, lactotripeptides, carnosine, glutathione, GHK-Cu, palmitoyl pentapeptide-4, acetyl hexapeptide-8</w:t>
            </w:r>
          </w:p>
        </w:tc>
      </w:tr>
      <w:tr>
        <w:tc>
          <w:tcPr/>
          <w:p>
            <w:pPr>
              <w:pStyle w:val="Compact"/>
              <w:jc w:val="left"/>
            </w:pPr>
            <w:r>
              <w:t xml:space="preserve">Not approved anywhere</w:t>
            </w:r>
          </w:p>
        </w:tc>
        <w:tc>
          <w:tcPr/>
          <w:p>
            <w:pPr>
              <w:pStyle w:val="Compact"/>
              <w:jc w:val="left"/>
            </w:pPr>
            <w:r>
              <w:t xml:space="preserve">28</w:t>
            </w:r>
          </w:p>
        </w:tc>
        <w:tc>
          <w:tcPr/>
          <w:p>
            <w:pPr>
              <w:pStyle w:val="Compact"/>
              <w:jc w:val="left"/>
            </w:pPr>
            <w:r>
              <w:t xml:space="preserve">including retatrutide, CagriSema, BPC-157, TB-500, CJC-1295, ipamorelin, Epitalon, MOTS-c, melanotan II, IGF-1 LR3, orforglipron (application submitted) and ibutamoren</w:t>
            </w:r>
          </w:p>
        </w:tc>
      </w:tr>
    </w:tbl>
    <w:p>
      <w:pPr>
        <w:pStyle w:val="BodyText"/>
      </w:pPr>
      <w:r>
        <w:t xml:space="preserve">Only around a quarter of the entries are approved as medicines in the EU or the USA – mostly for narrowly defined uses: afamelanotide for a rare light intolerance (erythropoietic protoporphyria, EPP), not for tanning; elamipretide only for Barth syndrome; oxytocin only for obstetrics, not as a nasal spray; tesamorelin only for a fat distribution disorder in HIV. When something is described as</w:t>
      </w:r>
      <w:r>
        <w:t xml:space="preserve"> </w:t>
      </w:r>
      <w:r>
        <w:t xml:space="preserve">“</w:t>
      </w:r>
      <w:r>
        <w:t xml:space="preserve">approved,</w:t>
      </w:r>
      <w:r>
        <w:t xml:space="preserve">”</w:t>
      </w:r>
      <w:r>
        <w:t xml:space="preserve"> </w:t>
      </w:r>
      <w:r>
        <w:t xml:space="preserve">it is therefore always worth asking: where, for what and in what form?</w:t>
      </w:r>
    </w:p>
    <w:p>
      <w:pPr>
        <w:pStyle w:val="BodyText"/>
      </w:pPr>
      <w:r>
        <w:t xml:space="preserve">The 28 entries not approved anywhere fall into two groups. Retatrutide, survodutide, CagriSema, amycretin, maridebart cafraglutide and orforglipron are in regular development with phase 3 trials; approval is likely for them, but not certain (assessment). Substances such as BPC-157, TB-500, CJC-1295, AOD-9604, Epitalon, MOTS-c, Dihexa or IGF-1 LR3, on the other hand, have no recognizable path to approval and are mostly sold as</w:t>
      </w:r>
      <w:r>
        <w:t xml:space="preserve"> </w:t>
      </w:r>
      <w:r>
        <w:t xml:space="preserve">“</w:t>
      </w:r>
      <w:r>
        <w:t xml:space="preserve">research peptides.</w:t>
      </w:r>
      <w:r>
        <w:t xml:space="preserve">”</w:t>
      </w:r>
      <w:r>
        <w:t xml:space="preserve"> </w:t>
      </w:r>
      <w:r>
        <w:t xml:space="preserve">Gray-market offerings of the first group are not to be equated with the tested medicines.</w:t>
      </w:r>
    </w:p>
    <w:bookmarkEnd w:id="2534"/>
    <w:bookmarkStart w:id="2535" w:name="doping-status-according-to-wada"/>
    <w:p>
      <w:pPr>
        <w:pStyle w:val="Heading4"/>
      </w:pPr>
      <w:r>
        <w:t xml:space="preserve">Doping Status According to WADA</w:t>
      </w:r>
    </w:p>
    <w:p>
      <w:pPr>
        <w:pStyle w:val="FirstParagraph"/>
      </w:pPr>
      <w:r>
        <w:t xml:space="preserve">For competitive sport, the Prohibited List of the World Anti-Doping Agency (WADA) is what counts. The most important classes:</w:t>
      </w:r>
    </w:p>
    <w:p>
      <w:pPr>
        <w:numPr>
          <w:ilvl w:val="0"/>
          <w:numId w:val="1323"/>
        </w:numPr>
        <w:pStyle w:val="Compact"/>
      </w:pPr>
      <w:r>
        <w:rPr>
          <w:bCs/>
          <w:b/>
        </w:rPr>
        <w:t xml:space="preserve">S0</w:t>
      </w:r>
      <w:r>
        <w:t xml:space="preserve"> </w:t>
      </w:r>
      <w:r>
        <w:t xml:space="preserve">– non-approved substances: all substances without approval as a medicine for humans, even if not named explicitly.</w:t>
      </w:r>
    </w:p>
    <w:p>
      <w:pPr>
        <w:numPr>
          <w:ilvl w:val="0"/>
          <w:numId w:val="1323"/>
        </w:numPr>
        <w:pStyle w:val="Compact"/>
      </w:pPr>
      <w:r>
        <w:rPr>
          <w:bCs/>
          <w:b/>
        </w:rPr>
        <w:t xml:space="preserve">S2</w:t>
      </w:r>
      <w:r>
        <w:t xml:space="preserve"> </w:t>
      </w:r>
      <w:r>
        <w:t xml:space="preserve">– peptide hormones, growth factors and related substances, including growth hormone, its releasing factors and fragments, IGF-1, thymosin beta-4 and, in men, releasing factors for luteinizing hormone (LH).</w:t>
      </w:r>
    </w:p>
    <w:p>
      <w:pPr>
        <w:numPr>
          <w:ilvl w:val="0"/>
          <w:numId w:val="1323"/>
        </w:numPr>
        <w:pStyle w:val="Compact"/>
      </w:pPr>
      <w:r>
        <w:rPr>
          <w:bCs/>
          <w:b/>
        </w:rPr>
        <w:t xml:space="preserve">S4</w:t>
      </w:r>
      <w:r>
        <w:t xml:space="preserve"> </w:t>
      </w:r>
      <w:r>
        <w:t xml:space="preserve">– hormone and metabolic modulators, including activators of the enzyme AMPK.</w:t>
      </w:r>
    </w:p>
    <w:p>
      <w:pPr>
        <w:numPr>
          <w:ilvl w:val="0"/>
          <w:numId w:val="1323"/>
        </w:numPr>
        <w:pStyle w:val="Compact"/>
      </w:pPr>
      <w:r>
        <w:rPr>
          <w:bCs/>
          <w:b/>
        </w:rPr>
        <w:t xml:space="preserve">M2</w:t>
      </w:r>
      <w:r>
        <w:t xml:space="preserve"> </w:t>
      </w:r>
      <w:r>
        <w:t xml:space="preserve">– prohibited methods, including infusions of more than 100 ml within twelve hours.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Peptides</w:t>
            </w:r>
          </w:p>
        </w:tc>
        <w:tc>
          <w:tcPr/>
          <w:p>
            <w:pPr>
              <w:pStyle w:val="Compact"/>
              <w:jc w:val="left"/>
            </w:pPr>
            <w:r>
              <w:t xml:space="preserve">WADA status</w:t>
            </w:r>
          </w:p>
        </w:tc>
      </w:tr>
      <w:tr>
        <w:tc>
          <w:tcPr/>
          <w:p>
            <w:pPr>
              <w:pStyle w:val="Compact"/>
              <w:jc w:val="left"/>
            </w:pPr>
            <w:r>
              <w:t xml:space="preserve">AOD-9604, TB-500 / thymosin beta-4, ARA-290, sermorelin, tesamorelin, CJC-1295, ipamorelin, GHRP-2, GHRP-6, hexarelin, macimorelin, mecasermin, IGF-1 LR3, ibutamoren</w:t>
            </w:r>
          </w:p>
        </w:tc>
        <w:tc>
          <w:tcPr/>
          <w:p>
            <w:pPr>
              <w:pStyle w:val="Compact"/>
              <w:jc w:val="left"/>
            </w:pPr>
            <w:r>
              <w:t xml:space="preserve">prohibited, S2</w:t>
            </w:r>
          </w:p>
        </w:tc>
      </w:tr>
      <w:tr>
        <w:tc>
          <w:tcPr/>
          <w:p>
            <w:pPr>
              <w:pStyle w:val="Compact"/>
              <w:jc w:val="left"/>
            </w:pPr>
            <w:r>
              <w:t xml:space="preserve">Gonadorelin; kisspeptin</w:t>
            </w:r>
          </w:p>
        </w:tc>
        <w:tc>
          <w:tcPr/>
          <w:p>
            <w:pPr>
              <w:pStyle w:val="Compact"/>
              <w:jc w:val="left"/>
            </w:pPr>
            <w:r>
              <w:t xml:space="preserve">prohibited for men, S2; kisspeptin, as a non-approved substance, additionally S0</w:t>
            </w:r>
          </w:p>
        </w:tc>
      </w:tr>
      <w:tr>
        <w:tc>
          <w:tcPr/>
          <w:p>
            <w:pPr>
              <w:pStyle w:val="Compact"/>
              <w:jc w:val="left"/>
            </w:pPr>
            <w:r>
              <w:t xml:space="preserve">MOTS-c</w:t>
            </w:r>
          </w:p>
        </w:tc>
        <w:tc>
          <w:tcPr/>
          <w:p>
            <w:pPr>
              <w:pStyle w:val="Compact"/>
              <w:jc w:val="left"/>
            </w:pPr>
            <w:r>
              <w:t xml:space="preserve">prohibited, S4 (AMPK activator)</w:t>
            </w:r>
          </w:p>
        </w:tc>
      </w:tr>
      <w:tr>
        <w:tc>
          <w:tcPr/>
          <w:p>
            <w:pPr>
              <w:pStyle w:val="Compact"/>
              <w:jc w:val="left"/>
            </w:pPr>
            <w:r>
              <w:t xml:space="preserve">Retatrutide, survodutide, CagriSema, amycretin, maridebart cafraglutide, BPC-157, melanotan II</w:t>
            </w:r>
          </w:p>
        </w:tc>
        <w:tc>
          <w:tcPr/>
          <w:p>
            <w:pPr>
              <w:pStyle w:val="Compact"/>
              <w:jc w:val="left"/>
            </w:pPr>
            <w:r>
              <w:t xml:space="preserve">prohibited, S0</w:t>
            </w:r>
          </w:p>
        </w:tc>
      </w:tr>
      <w:tr>
        <w:tc>
          <w:tcPr/>
          <w:p>
            <w:pPr>
              <w:pStyle w:val="Compact"/>
              <w:jc w:val="left"/>
            </w:pPr>
            <w:r>
              <w:t xml:space="preserve">KPV, LL-37, Dihexa, Epitalon, Pinealon, humanin, FOXO4-DRI, orforglipron (until approval)</w:t>
            </w:r>
          </w:p>
        </w:tc>
        <w:tc>
          <w:tcPr/>
          <w:p>
            <w:pPr>
              <w:pStyle w:val="Compact"/>
              <w:jc w:val="left"/>
            </w:pPr>
            <w:r>
              <w:t xml:space="preserve">not named explicitly, probably S0 as a non-approved substance</w:t>
            </w:r>
          </w:p>
        </w:tc>
      </w:tr>
      <w:tr>
        <w:tc>
          <w:tcPr/>
          <w:p>
            <w:pPr>
              <w:pStyle w:val="Compact"/>
              <w:jc w:val="left"/>
            </w:pPr>
            <w:r>
              <w:t xml:space="preserve">Mazdutide</w:t>
            </w:r>
          </w:p>
        </w:tc>
        <w:tc>
          <w:tcPr/>
          <w:p>
            <w:pPr>
              <w:pStyle w:val="Compact"/>
              <w:jc w:val="left"/>
            </w:pPr>
            <w:r>
              <w:t xml:space="preserve">not named explicitly; S0 status unclear because of approval in China</w:t>
            </w:r>
          </w:p>
        </w:tc>
      </w:tr>
      <w:tr>
        <w:tc>
          <w:tcPr/>
          <w:p>
            <w:pPr>
              <w:pStyle w:val="Compact"/>
              <w:jc w:val="left"/>
            </w:pPr>
            <w:r>
              <w:t xml:space="preserve">GHK-Cu</w:t>
            </w:r>
          </w:p>
        </w:tc>
        <w:tc>
          <w:tcPr/>
          <w:p>
            <w:pPr>
              <w:pStyle w:val="Compact"/>
              <w:jc w:val="left"/>
            </w:pPr>
            <w:r>
              <w:t xml:space="preserve">not prohibited as a cosmetic; injection possibly S0</w:t>
            </w:r>
          </w:p>
        </w:tc>
      </w:tr>
      <w:tr>
        <w:tc>
          <w:tcPr/>
          <w:p>
            <w:pPr>
              <w:pStyle w:val="Compact"/>
              <w:jc w:val="left"/>
            </w:pPr>
            <w:r>
              <w:t xml:space="preserve">Glutathione</w:t>
            </w:r>
          </w:p>
        </w:tc>
        <w:tc>
          <w:tcPr/>
          <w:p>
            <w:pPr>
              <w:pStyle w:val="Compact"/>
              <w:jc w:val="left"/>
            </w:pPr>
            <w:r>
              <w:t xml:space="preserve">substance not prohibited; infusions of more than 100 ml in twelve hours prohibited (M2)</w:t>
            </w:r>
          </w:p>
        </w:tc>
      </w:tr>
      <w:tr>
        <w:tc>
          <w:tcPr/>
          <w:p>
            <w:pPr>
              <w:pStyle w:val="Compact"/>
              <w:jc w:val="left"/>
            </w:pPr>
            <w:r>
              <w:t xml:space="preserve">Semax, Selank, DSIP, SS-31, bremelanotide</w:t>
            </w:r>
          </w:p>
        </w:tc>
        <w:tc>
          <w:tcPr/>
          <w:p>
            <w:pPr>
              <w:pStyle w:val="Compact"/>
              <w:jc w:val="left"/>
            </w:pPr>
            <w:r>
              <w:t xml:space="preserve">not named explicitly; classification not clear-cut</w:t>
            </w:r>
          </w:p>
        </w:tc>
      </w:tr>
      <w:tr>
        <w:tc>
          <w:tcPr/>
          <w:p>
            <w:pPr>
              <w:pStyle w:val="Compact"/>
              <w:jc w:val="left"/>
            </w:pPr>
            <w:r>
              <w:t xml:space="preserve">Exenatide, liraglutide, dulaglutide, semaglutide, tirzepatide, pramlintide, setmelanotide, thymosin alpha-1, larazotide, thymalin, Cerebrolysin, afamelanotide, oxytocin, collagen peptides, lactotripeptides, carnosine, palmitoyl pentapeptide-4, acetyl hexapeptide-8</w:t>
            </w:r>
          </w:p>
        </w:tc>
        <w:tc>
          <w:tcPr/>
          <w:p>
            <w:pPr>
              <w:pStyle w:val="Compact"/>
              <w:jc w:val="left"/>
            </w:pPr>
            <w:r>
              <w:t xml:space="preserve">not listed</w:t>
            </w:r>
          </w:p>
        </w:tc>
      </w:tr>
    </w:tbl>
    <w:p>
      <w:pPr>
        <w:pStyle w:val="BodyText"/>
      </w:pPr>
      <w:r>
        <w:t xml:space="preserve">The list is not exhaustive: S0 covers every substance without approval, and S2 also covers</w:t>
      </w:r>
      <w:r>
        <w:t xml:space="preserve"> </w:t>
      </w:r>
      <w:r>
        <w:t xml:space="preserve">“</w:t>
      </w:r>
      <w:r>
        <w:t xml:space="preserve">related substances</w:t>
      </w:r>
      <w:r>
        <w:t xml:space="preserve">”</w:t>
      </w:r>
      <w:r>
        <w:t xml:space="preserve"> </w:t>
      </w:r>
      <w:r>
        <w:t xml:space="preserve">with a similar effect. Not named explicitly therefore does not mean permitted. Precisely the substances of the growth hormone axis that are popular in strength sports, as well as BPC-157 and TB-500, are explicitly prohibited. If in doubt, the national anti-doping agencies can provide information.</w:t>
      </w:r>
    </w:p>
    <w:bookmarkEnd w:id="2535"/>
    <w:bookmarkEnd w:id="2536"/>
    <w:bookmarkStart w:id="2537" w:name="what-the-overview-shows"/>
    <w:p>
      <w:pPr>
        <w:pStyle w:val="Heading3"/>
      </w:pPr>
      <w:r>
        <w:t xml:space="preserve">What the Overview Shows</w:t>
      </w:r>
    </w:p>
    <w:p>
      <w:pPr>
        <w:pStyle w:val="FirstParagraph"/>
      </w:pPr>
      <w:r>
        <w:t xml:space="preserve">The well-studied peptides are almost exclusively approved medicines from large, preregistered studies. Most of the peptides popular on the internet have evidence level C or D, are not approved anywhere and are frequently prohibited in sport. In between are substances that have been seriously studied in humans but whose studies have not confirmed the hoped-for benefit. The two following chapters explore this in more depth for the GLP-1 medications and for the most popular internet peptides.</w:t>
      </w:r>
    </w:p>
    <w:bookmarkEnd w:id="2537"/>
    <w:bookmarkEnd w:id="2538"/>
    <w:bookmarkStart w:id="2580" w:name="glp-1-co.-compared-head-to-head"/>
    <w:p>
      <w:pPr>
        <w:pStyle w:val="Heading2"/>
      </w:pPr>
      <w:r>
        <w:t xml:space="preserve">GLP-1 &amp; Co. Compared Head to Head</w:t>
      </w:r>
    </w:p>
    <w:p>
      <w:pPr>
        <w:pStyle w:val="FirstParagraph"/>
      </w:pPr>
      <w:r>
        <w:t xml:space="preserve">No other group in this book has been studied as thoroughly as the incretin drugs: GLP-1 receptor agonists such as liraglutide and semaglutide, the dual agonist tirzepatide, and a series of successors that additionally act on the glucagon or amylin receptor. For these drugs there are approval programs with tens of thousands of participants, large cardiovascular trials, and increasingly also head-to-head trials. This chapter places the most important results side by side. All figures come from the chapters of Part II, Group A, and the studies cited there; that is also where you will find the limitations of each individual study.</w:t>
      </w:r>
    </w:p>
    <w:p>
      <w:pPr>
        <w:pStyle w:val="BodyText"/>
      </w:pPr>
      <w:r>
        <w:t xml:space="preserve">This chapter is not a decision aid for treatment. Which drug may be suitable in an individual case depends on coexisting conditions, tolerability, approval status, insurance coverage, and availability, and belongs in a physician’s hands. The respective prescribing information and medical supervision are what count.</w:t>
      </w:r>
    </w:p>
    <w:bookmarkStart w:id="2539" w:name="Xe158126a5fc818562bae479c678d8dcce7bb2bc"/>
    <w:p>
      <w:pPr>
        <w:pStyle w:val="Heading3"/>
      </w:pPr>
      <w:r>
        <w:t xml:space="preserve">First: Why you cannot simply line up studies side by side</w:t>
      </w:r>
    </w:p>
    <w:p>
      <w:pPr>
        <w:pStyle w:val="FirstParagraph"/>
      </w:pPr>
      <w:r>
        <w:t xml:space="preserve">The tables in this chapter invite you to compare figures from different studies – for example, 20.9% weight loss with tirzepatide versus 14.9% with semaglutide. Such cross-trial comparisons are valid only to a limited extent. The reasons:</w:t>
      </w:r>
    </w:p>
    <w:p>
      <w:pPr>
        <w:numPr>
          <w:ilvl w:val="0"/>
          <w:numId w:val="1324"/>
        </w:numPr>
        <w:pStyle w:val="Compact"/>
      </w:pPr>
      <w:r>
        <w:rPr>
          <w:bCs/>
          <w:b/>
        </w:rPr>
        <w:t xml:space="preserve">Different participants:</w:t>
      </w:r>
      <w:r>
        <w:t xml:space="preserve"> </w:t>
      </w:r>
      <w:r>
        <w:t xml:space="preserve">People with type 2 diabetes lose considerably less weight on all incretin drugs than people without diabetes. Studies in China or Japan enroll people with a lower starting weight than studies in North America and Europe.</w:t>
      </w:r>
    </w:p>
    <w:p>
      <w:pPr>
        <w:numPr>
          <w:ilvl w:val="0"/>
          <w:numId w:val="1324"/>
        </w:numPr>
        <w:pStyle w:val="Compact"/>
      </w:pPr>
      <w:r>
        <w:rPr>
          <w:bCs/>
          <w:b/>
        </w:rPr>
        <w:t xml:space="preserve">Different duration:</w:t>
      </w:r>
      <w:r>
        <w:t xml:space="preserve"> </w:t>
      </w:r>
      <w:r>
        <w:t xml:space="preserve">Weight loss after 48 weeks is not the same as after 80 weeks; many curves flatten out only late.</w:t>
      </w:r>
    </w:p>
    <w:p>
      <w:pPr>
        <w:numPr>
          <w:ilvl w:val="0"/>
          <w:numId w:val="1324"/>
        </w:numPr>
        <w:pStyle w:val="Compact"/>
      </w:pPr>
      <w:r>
        <w:rPr>
          <w:bCs/>
          <w:b/>
        </w:rPr>
        <w:t xml:space="preserve">Different analysis:</w:t>
      </w:r>
      <w:r>
        <w:t xml:space="preserve"> </w:t>
      </w:r>
      <w:r>
        <w:t xml:space="preserve">Some studies analyze all participants, even if they discontinued treatment (the so-called treatment-policy estimand). Others calculate as though everyone had taken the drug as planned. The second approach yields more favorable figures.</w:t>
      </w:r>
    </w:p>
    <w:p>
      <w:pPr>
        <w:numPr>
          <w:ilvl w:val="0"/>
          <w:numId w:val="1324"/>
        </w:numPr>
        <w:pStyle w:val="Compact"/>
      </w:pPr>
      <w:r>
        <w:rPr>
          <w:bCs/>
          <w:b/>
        </w:rPr>
        <w:t xml:space="preserve">Different placebo groups:</w:t>
      </w:r>
      <w:r>
        <w:t xml:space="preserve"> </w:t>
      </w:r>
      <w:r>
        <w:t xml:space="preserve">On placebo, participants lost anywhere from nothing to more than 5% of their weight depending on the study, depending on how intensive the accompanying diet and exercise counseling was.</w:t>
      </w:r>
    </w:p>
    <w:p>
      <w:pPr>
        <w:numPr>
          <w:ilvl w:val="0"/>
          <w:numId w:val="1324"/>
        </w:numPr>
        <w:pStyle w:val="Compact"/>
      </w:pPr>
      <w:r>
        <w:rPr>
          <w:bCs/>
          <w:b/>
        </w:rPr>
        <w:t xml:space="preserve">Different phases:</w:t>
      </w:r>
      <w:r>
        <w:t xml:space="preserve"> </w:t>
      </w:r>
      <w:r>
        <w:t xml:space="preserve">Results from small phase 2 trials are often more favorable than those of the later large phase 3 trials.</w:t>
      </w:r>
    </w:p>
    <w:p>
      <w:pPr>
        <w:pStyle w:val="FirstParagraph"/>
      </w:pPr>
      <w:r>
        <w:t xml:space="preserve">A comparison is robust only when two agents were randomly assigned in the</w:t>
      </w:r>
      <w:r>
        <w:t xml:space="preserve"> </w:t>
      </w:r>
      <w:r>
        <w:rPr>
          <w:iCs/>
          <w:i/>
        </w:rPr>
        <w:t xml:space="preserve">same</w:t>
      </w:r>
      <w:r>
        <w:t xml:space="preserve"> </w:t>
      </w:r>
      <w:r>
        <w:t xml:space="preserve">study. Such head-to-head comparisons are compiled at the end of this chapter. The remaining tables show orders of magnitude, not a ranking.</w:t>
      </w:r>
    </w:p>
    <w:bookmarkEnd w:id="2539"/>
    <w:bookmarkStart w:id="2546" w:name="weight-loss-in-the-approval-trials"/>
    <w:p>
      <w:pPr>
        <w:pStyle w:val="Heading3"/>
      </w:pPr>
      <w:r>
        <w:t xml:space="preserve">Weight loss in the approval trials</w:t>
      </w:r>
    </w:p>
    <w:p>
      <w:pPr>
        <w:pStyle w:val="FirstParagraph"/>
      </w:pPr>
      <w:r>
        <w:t xml:space="preserve">The following table shows the most important placebo-controlled trial in each case in adults with overweight or obesity</w:t>
      </w:r>
      <w:r>
        <w:t xml:space="preserve"> </w:t>
      </w:r>
      <w:r>
        <w:rPr>
          <w:iCs/>
          <w:i/>
        </w:rPr>
        <w:t xml:space="preserve">without</w:t>
      </w:r>
      <w:r>
        <w:t xml:space="preserve"> </w:t>
      </w:r>
      <w:r>
        <w:t xml:space="preserve">diabetes. Shown is the mean change in body weight at the highest dose tested versus placebo. Exenatide, dulaglutide, and pramlintide are not approved for weight reduction and are therefore not included.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Weight loss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weeks</w:t>
            </w:r>
          </w:p>
        </w:tc>
        <w:tc>
          <w:tcPr/>
          <w:p>
            <w:pPr>
              <w:pStyle w:val="Compact"/>
              <w:jc w:val="left"/>
            </w:pPr>
            <w:r>
              <w:t xml:space="preserve">−8.4 kg vs. −2.8 kg</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68 weeks</w:t>
            </w:r>
          </w:p>
        </w:tc>
        <w:tc>
          <w:tcPr/>
          <w:p>
            <w:pPr>
              <w:pStyle w:val="Compact"/>
              <w:jc w:val="left"/>
            </w:pPr>
            <w:r>
              <w:t xml:space="preserve">−14.9% vs. −2.4%</w:t>
            </w:r>
          </w:p>
        </w:tc>
      </w:tr>
      <w:tr>
        <w:tc>
          <w:tcPr/>
          <w:p>
            <w:pPr>
              <w:pStyle w:val="Compact"/>
              <w:jc w:val="left"/>
            </w:pPr>
            <w:r>
              <w:t xml:space="preserve">Semaglutide 7.2 mg</w:t>
            </w:r>
          </w:p>
        </w:tc>
        <w:tc>
          <w:tcPr/>
          <w:p>
            <w:pPr>
              <w:pStyle w:val="Compact"/>
              <w:jc w:val="left"/>
            </w:pPr>
            <w:r>
              <w:t xml:space="preserve">STEP UP (Wharton 2025), PMID 40961952</w:t>
            </w:r>
          </w:p>
        </w:tc>
        <w:tc>
          <w:tcPr/>
          <w:p>
            <w:pPr>
              <w:pStyle w:val="Compact"/>
              <w:jc w:val="left"/>
            </w:pPr>
            <w:r>
              <w:t xml:space="preserve">72 weeks</w:t>
            </w:r>
          </w:p>
        </w:tc>
        <w:tc>
          <w:tcPr/>
          <w:p>
            <w:pPr>
              <w:pStyle w:val="Compact"/>
              <w:jc w:val="left"/>
            </w:pPr>
            <w:r>
              <w:t xml:space="preserve">−18.7% vs. −3.9%</w:t>
            </w:r>
          </w:p>
        </w:tc>
      </w:tr>
      <w:tr>
        <w:tc>
          <w:tcPr/>
          <w:p>
            <w:pPr>
              <w:pStyle w:val="Compact"/>
              <w:jc w:val="left"/>
            </w:pPr>
            <w:r>
              <w:t xml:space="preserve">Semaglutide tablet 50 mg</w:t>
            </w:r>
          </w:p>
        </w:tc>
        <w:tc>
          <w:tcPr/>
          <w:p>
            <w:pPr>
              <w:pStyle w:val="Compact"/>
              <w:jc w:val="left"/>
            </w:pPr>
            <w:r>
              <w:t xml:space="preserve">OASIS 1 (Knop 2023), PMID 37385278</w:t>
            </w:r>
          </w:p>
        </w:tc>
        <w:tc>
          <w:tcPr/>
          <w:p>
            <w:pPr>
              <w:pStyle w:val="Compact"/>
              <w:jc w:val="left"/>
            </w:pPr>
            <w:r>
              <w:t xml:space="preserve">68 weeks</w:t>
            </w:r>
          </w:p>
        </w:tc>
        <w:tc>
          <w:tcPr/>
          <w:p>
            <w:pPr>
              <w:pStyle w:val="Compact"/>
              <w:jc w:val="left"/>
            </w:pPr>
            <w:r>
              <w:t xml:space="preserve">−15.1% vs. −2.4%</w:t>
            </w:r>
          </w:p>
        </w:tc>
      </w:tr>
      <w:tr>
        <w:tc>
          <w:tcPr/>
          <w:p>
            <w:pPr>
              <w:pStyle w:val="Compact"/>
              <w:jc w:val="left"/>
            </w:pPr>
            <w:r>
              <w:t xml:space="preserve">Tirzepatide 15 mg</w:t>
            </w:r>
          </w:p>
        </w:tc>
        <w:tc>
          <w:tcPr/>
          <w:p>
            <w:pPr>
              <w:pStyle w:val="Compact"/>
              <w:jc w:val="left"/>
            </w:pPr>
            <w:r>
              <w:t xml:space="preserve">SURMOUNT-1 (Jastreboff 2022), PMID 35658024</w:t>
            </w:r>
          </w:p>
        </w:tc>
        <w:tc>
          <w:tcPr/>
          <w:p>
            <w:pPr>
              <w:pStyle w:val="Compact"/>
              <w:jc w:val="left"/>
            </w:pPr>
            <w:r>
              <w:t xml:space="preserve">72 weeks</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weeks</w:t>
            </w:r>
          </w:p>
        </w:tc>
        <w:tc>
          <w:tcPr/>
          <w:p>
            <w:pPr>
              <w:pStyle w:val="Compact"/>
              <w:jc w:val="left"/>
            </w:pPr>
            <w:r>
              <w:t xml:space="preserve">−20.4% vs. −3.0%</w:t>
            </w:r>
          </w:p>
        </w:tc>
      </w:tr>
      <w:tr>
        <w:tc>
          <w:tcPr/>
          <w:p>
            <w:pPr>
              <w:pStyle w:val="Compact"/>
              <w:jc w:val="left"/>
            </w:pPr>
            <w:r>
              <w:t xml:space="preserve">Retatrutide 12 mg</w:t>
            </w:r>
          </w:p>
        </w:tc>
        <w:tc>
          <w:tcPr/>
          <w:p>
            <w:pPr>
              <w:pStyle w:val="Compact"/>
              <w:jc w:val="left"/>
            </w:pPr>
            <w:r>
              <w:t xml:space="preserve">TRIUMPH-1 (Jastreboff 2026), PMID 42814954</w:t>
            </w:r>
          </w:p>
        </w:tc>
        <w:tc>
          <w:tcPr/>
          <w:p>
            <w:pPr>
              <w:pStyle w:val="Compact"/>
              <w:jc w:val="left"/>
            </w:pPr>
            <w:r>
              <w:t xml:space="preserve">80 weeks</w:t>
            </w:r>
          </w:p>
        </w:tc>
        <w:tc>
          <w:tcPr/>
          <w:p>
            <w:pPr>
              <w:pStyle w:val="Compact"/>
              <w:jc w:val="left"/>
            </w:pPr>
            <w:r>
              <w:t xml:space="preserve">−25.0% vs. −3.9%</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weeks</w:t>
            </w:r>
          </w:p>
        </w:tc>
        <w:tc>
          <w:tcPr/>
          <w:p>
            <w:pPr>
              <w:pStyle w:val="Compact"/>
              <w:jc w:val="left"/>
            </w:pPr>
            <w:r>
              <w:t xml:space="preserve">−13.0% vs. −5.4%</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weeks</w:t>
            </w:r>
          </w:p>
        </w:tc>
        <w:tc>
          <w:tcPr/>
          <w:p>
            <w:pPr>
              <w:pStyle w:val="Compact"/>
              <w:jc w:val="left"/>
            </w:pPr>
            <w:r>
              <w:t xml:space="preserve">−14.0% vs. +0.3%</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weeks</w:t>
            </w:r>
          </w:p>
        </w:tc>
        <w:tc>
          <w:tcPr/>
          <w:p>
            <w:pPr>
              <w:pStyle w:val="Compact"/>
              <w:jc w:val="left"/>
            </w:pPr>
            <w:r>
              <w:t xml:space="preserve">−12.3 to −16.2% vs. −2.5%</w:t>
            </w:r>
          </w:p>
        </w:tc>
      </w:tr>
      <w:tr>
        <w:tc>
          <w:tcPr/>
          <w:p>
            <w:pPr>
              <w:pStyle w:val="Compact"/>
              <w:jc w:val="left"/>
            </w:pPr>
            <w:r>
              <w:t xml:space="preserve">Amycretin (injection)</w:t>
            </w:r>
          </w:p>
        </w:tc>
        <w:tc>
          <w:tcPr/>
          <w:p>
            <w:pPr>
              <w:pStyle w:val="Compact"/>
              <w:jc w:val="left"/>
            </w:pPr>
            <w:r>
              <w:t xml:space="preserve">Phase 1b/2a (Dahl 2025), PMID 40550231</w:t>
            </w:r>
          </w:p>
        </w:tc>
        <w:tc>
          <w:tcPr/>
          <w:p>
            <w:pPr>
              <w:pStyle w:val="Compact"/>
              <w:jc w:val="left"/>
            </w:pPr>
            <w:r>
              <w:t xml:space="preserve">36 weeks</w:t>
            </w:r>
          </w:p>
        </w:tc>
        <w:tc>
          <w:tcPr/>
          <w:p>
            <w:pPr>
              <w:pStyle w:val="Compact"/>
              <w:jc w:val="left"/>
            </w:pPr>
            <w:r>
              <w:t xml:space="preserve">up to −24.3% vs. −1.1%</w:t>
            </w:r>
          </w:p>
        </w:tc>
      </w:tr>
      <w:tr>
        <w:tc>
          <w:tcPr/>
          <w:p>
            <w:pPr>
              <w:pStyle w:val="Compact"/>
              <w:jc w:val="left"/>
            </w:pPr>
            <w:r>
              <w:t xml:space="preserve">Orforglipron 36 mg (tablet, not a peptide)</w:t>
            </w:r>
          </w:p>
        </w:tc>
        <w:tc>
          <w:tcPr/>
          <w:p>
            <w:pPr>
              <w:pStyle w:val="Compact"/>
              <w:jc w:val="left"/>
            </w:pPr>
            <w:r>
              <w:t xml:space="preserve">ATTAIN-1 (Wharton 2025), PMID 40960239</w:t>
            </w:r>
          </w:p>
        </w:tc>
        <w:tc>
          <w:tcPr/>
          <w:p>
            <w:pPr>
              <w:pStyle w:val="Compact"/>
              <w:jc w:val="left"/>
            </w:pPr>
            <w:r>
              <w:t xml:space="preserve">72 weeks</w:t>
            </w:r>
          </w:p>
        </w:tc>
        <w:tc>
          <w:tcPr/>
          <w:p>
            <w:pPr>
              <w:pStyle w:val="Compact"/>
              <w:jc w:val="left"/>
            </w:pPr>
            <w:r>
              <w:t xml:space="preserve">−11.2% vs. −2.1%</w:t>
            </w:r>
          </w:p>
        </w:tc>
      </w:tr>
    </w:tbl>
    <w:p>
      <w:pPr>
        <w:pStyle w:val="BodyText"/>
      </w:pPr>
      <w:r>
        <w:t xml:space="preserve">To put the individual rows in context:</w:t>
      </w:r>
    </w:p>
    <w:p>
      <w:pPr>
        <w:numPr>
          <w:ilvl w:val="0"/>
          <w:numId w:val="1325"/>
        </w:numPr>
        <w:pStyle w:val="Compact"/>
      </w:pPr>
      <w:r>
        <w:rPr>
          <w:bCs/>
          <w:b/>
        </w:rPr>
        <w:t xml:space="preserve">Liraglutide</w:t>
      </w:r>
      <w:r>
        <w:t xml:space="preserve"> </w:t>
      </w:r>
      <w:r>
        <w:t xml:space="preserve">is the only agent for which the approval trial reports loss in kilograms as the main result; with a starting weight of 106.2 kg, this corresponds roughly to 8%. In the head-to-head trial STEP 8 it was −6.4% (see below).</w:t>
      </w:r>
    </w:p>
    <w:p>
      <w:pPr>
        <w:numPr>
          <w:ilvl w:val="0"/>
          <w:numId w:val="1325"/>
        </w:numPr>
        <w:pStyle w:val="Compact"/>
      </w:pPr>
      <w:r>
        <w:rPr>
          <w:bCs/>
          <w:b/>
        </w:rPr>
        <w:t xml:space="preserve">Retatrutide, CagriSema, survodutide, maridebart cafraglutide, and amycretin</w:t>
      </w:r>
      <w:r>
        <w:t xml:space="preserve"> </w:t>
      </w:r>
      <w:r>
        <w:t xml:space="preserve">are not approved (as of October 2026). For maridebart cafraglutide and amycretin only phase 2 data are available; the amycretin study included 125 people, and the value applies to the highest dose in a dose-finding study.</w:t>
      </w:r>
    </w:p>
    <w:p>
      <w:pPr>
        <w:numPr>
          <w:ilvl w:val="0"/>
          <w:numId w:val="1325"/>
        </w:numPr>
        <w:pStyle w:val="Compact"/>
      </w:pPr>
      <w:r>
        <w:rPr>
          <w:bCs/>
          <w:b/>
        </w:rPr>
        <w:t xml:space="preserve">Mazdutide</w:t>
      </w:r>
      <w:r>
        <w:t xml:space="preserve"> </w:t>
      </w:r>
      <w:r>
        <w:t xml:space="preserve">is approved only in China. Following Chinese criteria, GLORY-1 enrolled people with a BMI of 28 or more (or 24 with a coexisting condition); the mean starting weight was 87.2 kg. In GLORY-2, with a higher dose, the result after 60 weeks was −16.65% versus −1.50%</w:t>
      </w:r>
      <w:r>
        <w:rPr>
          <w:rStyle w:val="FootnoteReference"/>
        </w:rPr>
        <w:footnoteReference w:id="2540"/>
      </w:r>
      <w:r>
        <w:t xml:space="preserve">.</w:t>
      </w:r>
    </w:p>
    <w:p>
      <w:pPr>
        <w:numPr>
          <w:ilvl w:val="0"/>
          <w:numId w:val="1325"/>
        </w:numPr>
        <w:pStyle w:val="Compact"/>
      </w:pPr>
      <w:r>
        <w:rPr>
          <w:bCs/>
          <w:b/>
        </w:rPr>
        <w:t xml:space="preserve">Survodutide</w:t>
      </w:r>
      <w:r>
        <w:t xml:space="preserve"> </w:t>
      </w:r>
      <w:r>
        <w:t xml:space="preserve">stands out because of the high placebo weight loss of 5.4%; the primary analysis explicitly also accounted for discontinuations and extended dose escalations.</w:t>
      </w:r>
    </w:p>
    <w:p>
      <w:pPr>
        <w:pStyle w:val="FirstParagraph"/>
      </w:pPr>
      <w:r>
        <w:t xml:space="preserve">A tiered pattern is striking: pure GLP-1 agonists achieve on average about 8 to 15%, the higher semaglutide dose just under 19%, combinations with GIP or amylin around 20%, and the triple agonist retatrutide 25%. This order is supported by the head-to-head trials SURMOUNT-5, STEP 8, and REDEFINE 5; for retatrutide, the direct comparison with tirzepatide is still pending</w:t>
      </w:r>
      <w:r>
        <w:rPr>
          <w:rStyle w:val="FootnoteReference"/>
        </w:rPr>
        <w:footnoteReference w:id="2541"/>
      </w:r>
      <w:r>
        <w:t xml:space="preserve">.</w:t>
      </w:r>
    </w:p>
    <w:bookmarkStart w:id="2542" w:name="Xe90d76b71e7a6acb3b22fc372af1ad48989527f"/>
    <w:p>
      <w:pPr>
        <w:pStyle w:val="Heading4"/>
      </w:pPr>
      <w:r>
        <w:t xml:space="preserve">With type 2 diabetes, weight loss is smaller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Weight loss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weeks</w:t>
            </w:r>
          </w:p>
        </w:tc>
        <w:tc>
          <w:tcPr/>
          <w:p>
            <w:pPr>
              <w:pStyle w:val="Compact"/>
              <w:jc w:val="left"/>
            </w:pPr>
            <w:r>
              <w:t xml:space="preserve">−6.0% vs. −2.0%</w:t>
            </w:r>
          </w:p>
        </w:tc>
      </w:tr>
      <w:tr>
        <w:tc>
          <w:tcPr/>
          <w:p>
            <w:pPr>
              <w:pStyle w:val="Compact"/>
              <w:jc w:val="left"/>
            </w:pPr>
            <w:r>
              <w:t xml:space="preserve">Semaglutide 2.4 mg</w:t>
            </w:r>
          </w:p>
        </w:tc>
        <w:tc>
          <w:tcPr/>
          <w:p>
            <w:pPr>
              <w:pStyle w:val="Compact"/>
              <w:jc w:val="left"/>
            </w:pPr>
            <w:r>
              <w:t xml:space="preserve">STEP 2 (Davies 2021), PMID 33667417</w:t>
            </w:r>
          </w:p>
        </w:tc>
        <w:tc>
          <w:tcPr/>
          <w:p>
            <w:pPr>
              <w:pStyle w:val="Compact"/>
              <w:jc w:val="left"/>
            </w:pPr>
            <w:r>
              <w:t xml:space="preserve">68 weeks</w:t>
            </w:r>
          </w:p>
        </w:tc>
        <w:tc>
          <w:tcPr/>
          <w:p>
            <w:pPr>
              <w:pStyle w:val="Compact"/>
              <w:jc w:val="left"/>
            </w:pPr>
            <w:r>
              <w:t xml:space="preserve">−9.6% vs. −3.4%</w:t>
            </w:r>
          </w:p>
        </w:tc>
      </w:tr>
      <w:tr>
        <w:tc>
          <w:tcPr/>
          <w:p>
            <w:pPr>
              <w:pStyle w:val="Compact"/>
              <w:jc w:val="left"/>
            </w:pPr>
            <w:r>
              <w:t xml:space="preserve">Tirzepatide 10/15 mg</w:t>
            </w:r>
          </w:p>
        </w:tc>
        <w:tc>
          <w:tcPr/>
          <w:p>
            <w:pPr>
              <w:pStyle w:val="Compact"/>
              <w:jc w:val="left"/>
            </w:pPr>
            <w:r>
              <w:t xml:space="preserve">SURMOUNT-2 (Garvey 2023), PMID 37385275</w:t>
            </w:r>
          </w:p>
        </w:tc>
        <w:tc>
          <w:tcPr/>
          <w:p>
            <w:pPr>
              <w:pStyle w:val="Compact"/>
              <w:jc w:val="left"/>
            </w:pPr>
            <w:r>
              <w:t xml:space="preserve">72 weeks</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weeks</w:t>
            </w:r>
          </w:p>
        </w:tc>
        <w:tc>
          <w:tcPr/>
          <w:p>
            <w:pPr>
              <w:pStyle w:val="Compact"/>
              <w:jc w:val="left"/>
            </w:pPr>
            <w:r>
              <w:t xml:space="preserve">−13.7% vs. −3.4%</w:t>
            </w:r>
          </w:p>
        </w:tc>
      </w:tr>
      <w:tr>
        <w:tc>
          <w:tcPr/>
          <w:p>
            <w:pPr>
              <w:pStyle w:val="Compact"/>
              <w:jc w:val="left"/>
            </w:pPr>
            <w:r>
              <w:t xml:space="preserve">Retatrutide 12 mg</w:t>
            </w:r>
          </w:p>
        </w:tc>
        <w:tc>
          <w:tcPr/>
          <w:p>
            <w:pPr>
              <w:pStyle w:val="Compact"/>
              <w:jc w:val="left"/>
            </w:pPr>
            <w:r>
              <w:t xml:space="preserve">TRIUMPH-2 (Bellido 2026), PMID 42810372</w:t>
            </w:r>
          </w:p>
        </w:tc>
        <w:tc>
          <w:tcPr/>
          <w:p>
            <w:pPr>
              <w:pStyle w:val="Compact"/>
              <w:jc w:val="left"/>
            </w:pPr>
            <w:r>
              <w:t xml:space="preserve">80 weeks</w:t>
            </w:r>
          </w:p>
        </w:tc>
        <w:tc>
          <w:tcPr/>
          <w:p>
            <w:pPr>
              <w:pStyle w:val="Compact"/>
              <w:jc w:val="left"/>
            </w:pPr>
            <w:r>
              <w:t xml:space="preserve">−18.8% vs. −5.1%</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weeks</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weeks</w:t>
            </w:r>
          </w:p>
        </w:tc>
        <w:tc>
          <w:tcPr/>
          <w:p>
            <w:pPr>
              <w:pStyle w:val="Compact"/>
              <w:jc w:val="left"/>
            </w:pPr>
            <w:r>
              <w:t xml:space="preserve">−5.1 to −9.6% vs. −2.5%</w:t>
            </w:r>
          </w:p>
        </w:tc>
      </w:tr>
    </w:tbl>
    <w:p>
      <w:pPr>
        <w:pStyle w:val="BodyText"/>
      </w:pPr>
      <w:r>
        <w:t xml:space="preserve">For every agent, the value with diabetes is considerably lower than without, usually by a quarter to a third. This pattern is so consistent that comparing a diabetes trial with an obesity trial without diabetes is always misleading.</w:t>
      </w:r>
    </w:p>
    <w:bookmarkEnd w:id="2542"/>
    <w:bookmarkStart w:id="2545" w:name="after-stopping"/>
    <w:p>
      <w:pPr>
        <w:pStyle w:val="Heading4"/>
      </w:pPr>
      <w:r>
        <w:t xml:space="preserve">After stopping</w:t>
      </w:r>
    </w:p>
    <w:p>
      <w:pPr>
        <w:pStyle w:val="FirstParagraph"/>
      </w:pPr>
      <w:r>
        <w:t xml:space="preserve">Two studies have specifically examined what happens after stopping. In STEP 4, all participants first received semaglutide for 20 weeks; afterward, the group that switched to placebo regained 6.9% over 48 weeks, while the group continuing semaglutide lost a further 7.9%</w:t>
      </w:r>
      <w:r>
        <w:rPr>
          <w:rStyle w:val="FootnoteReference"/>
        </w:rPr>
        <w:footnoteReference w:id="2543"/>
      </w:r>
      <w:r>
        <w:t xml:space="preserve">. In SURMOUNT-4, after 36 weeks of tirzepatide, the placebo group regained 14.0% over the following 52 weeks</w:t>
      </w:r>
      <w:r>
        <w:rPr>
          <w:rStyle w:val="FootnoteReference"/>
        </w:rPr>
        <w:footnoteReference w:id="2544"/>
      </w:r>
      <w:r>
        <w:t xml:space="preserve">. For both agents: the effect lasts only as long as treatment continues. For the newer agents, no published data on this are yet available.</w:t>
      </w:r>
    </w:p>
    <w:bookmarkEnd w:id="2545"/>
    <w:bookmarkEnd w:id="2546"/>
    <w:bookmarkStart w:id="2548" w:name="blood-sugar-hba1c"/>
    <w:p>
      <w:pPr>
        <w:pStyle w:val="Heading3"/>
      </w:pPr>
      <w:r>
        <w:t xml:space="preserve">Blood sugar: HbA1c</w:t>
      </w:r>
    </w:p>
    <w:p>
      <w:pPr>
        <w:pStyle w:val="FirstParagraph"/>
      </w:pPr>
      <w:r>
        <w:t xml:space="preserve">The HbA1c value (</w:t>
      </w:r>
      <w:r>
        <w:t xml:space="preserve">“</w:t>
      </w:r>
      <w:r>
        <w:t xml:space="preserve">long-term blood sugar</w:t>
      </w:r>
      <w:r>
        <w:t xml:space="preserve">”</w:t>
      </w:r>
      <w:r>
        <w:t xml:space="preserve">) indicates what proportion of the red blood pigment (hemoglobin) is bound to sugar and reflects the average blood sugar over the past two to three months. A reduction of one percentage point is considered clinically meaningful. How much the value falls depends strongly on the starting value: someone starting at 9% can lose more than someone starting at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HbA1c change (percentage points)</w:t>
            </w:r>
          </w:p>
        </w:tc>
      </w:tr>
      <w:tr>
        <w:tc>
          <w:tcPr/>
          <w:p>
            <w:pPr>
              <w:pStyle w:val="Compact"/>
              <w:jc w:val="left"/>
            </w:pPr>
            <w:r>
              <w:t xml:space="preserve">Exenatide twice daily</w:t>
            </w:r>
          </w:p>
        </w:tc>
        <w:tc>
          <w:tcPr/>
          <w:p>
            <w:pPr>
              <w:pStyle w:val="Compact"/>
              <w:jc w:val="left"/>
            </w:pPr>
            <w:r>
              <w:t xml:space="preserve">DeFronzo 2005, PMID 15855572</w:t>
            </w:r>
          </w:p>
        </w:tc>
        <w:tc>
          <w:tcPr/>
          <w:p>
            <w:pPr>
              <w:pStyle w:val="Compact"/>
              <w:jc w:val="left"/>
            </w:pPr>
            <w:r>
              <w:t xml:space="preserve">30 weeks</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weeks</w:t>
            </w:r>
          </w:p>
        </w:tc>
        <w:tc>
          <w:tcPr/>
          <w:p>
            <w:pPr>
              <w:pStyle w:val="Compact"/>
              <w:jc w:val="left"/>
            </w:pPr>
            <w:r>
              <w:t xml:space="preserve">−0.62 (in addition to insulin)</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weeks</w:t>
            </w:r>
          </w:p>
        </w:tc>
        <w:tc>
          <w:tcPr/>
          <w:p>
            <w:pPr>
              <w:pStyle w:val="Compact"/>
              <w:jc w:val="left"/>
            </w:pPr>
            <w:r>
              <w:t xml:space="preserve">−1.14 vs. −0.51 (glimepiride)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weeks</w:t>
            </w:r>
          </w:p>
        </w:tc>
        <w:tc>
          <w:tcPr/>
          <w:p>
            <w:pPr>
              <w:pStyle w:val="Compact"/>
              <w:jc w:val="left"/>
            </w:pPr>
            <w:r>
              <w:t xml:space="preserve">−1.77 vs. −1.54 (1.5 mg)</w:t>
            </w:r>
          </w:p>
        </w:tc>
      </w:tr>
      <w:tr>
        <w:tc>
          <w:tcPr/>
          <w:p>
            <w:pPr>
              <w:pStyle w:val="Compact"/>
              <w:jc w:val="left"/>
            </w:pPr>
            <w:r>
              <w:t xml:space="preserve">Semaglutide 1.0 mg</w:t>
            </w:r>
          </w:p>
        </w:tc>
        <w:tc>
          <w:tcPr/>
          <w:p>
            <w:pPr>
              <w:pStyle w:val="Compact"/>
              <w:jc w:val="left"/>
            </w:pPr>
            <w:r>
              <w:t xml:space="preserve">SUSTAIN 1 (Sorli 2017), PMID 28110911</w:t>
            </w:r>
          </w:p>
        </w:tc>
        <w:tc>
          <w:tcPr/>
          <w:p>
            <w:pPr>
              <w:pStyle w:val="Compact"/>
              <w:jc w:val="left"/>
            </w:pPr>
            <w:r>
              <w:t xml:space="preserve">30 weeks</w:t>
            </w:r>
          </w:p>
        </w:tc>
        <w:tc>
          <w:tcPr/>
          <w:p>
            <w:pPr>
              <w:pStyle w:val="Compact"/>
              <w:jc w:val="left"/>
            </w:pPr>
            <w:r>
              <w:t xml:space="preserve">−1.55 vs. −0.02 (placebo)</w:t>
            </w:r>
          </w:p>
        </w:tc>
      </w:tr>
      <w:tr>
        <w:tc>
          <w:tcPr/>
          <w:p>
            <w:pPr>
              <w:pStyle w:val="Compact"/>
              <w:jc w:val="left"/>
            </w:pPr>
            <w:r>
              <w:t xml:space="preserve">Semaglutide 2.0 mg</w:t>
            </w:r>
          </w:p>
        </w:tc>
        <w:tc>
          <w:tcPr/>
          <w:p>
            <w:pPr>
              <w:pStyle w:val="Compact"/>
              <w:jc w:val="left"/>
            </w:pPr>
            <w:r>
              <w:t xml:space="preserve">SUSTAIN FORTE (Frías 2021), PMID 34293304</w:t>
            </w:r>
          </w:p>
        </w:tc>
        <w:tc>
          <w:tcPr/>
          <w:p>
            <w:pPr>
              <w:pStyle w:val="Compact"/>
              <w:jc w:val="left"/>
            </w:pPr>
            <w:r>
              <w:t xml:space="preserve">40 weeks</w:t>
            </w:r>
          </w:p>
        </w:tc>
        <w:tc>
          <w:tcPr/>
          <w:p>
            <w:pPr>
              <w:pStyle w:val="Compact"/>
              <w:jc w:val="left"/>
            </w:pPr>
            <w:r>
              <w:t xml:space="preserve">−2.2 vs. −1.9 (1.0 mg)</w:t>
            </w:r>
          </w:p>
        </w:tc>
      </w:tr>
      <w:tr>
        <w:tc>
          <w:tcPr/>
          <w:p>
            <w:pPr>
              <w:pStyle w:val="Compact"/>
              <w:jc w:val="left"/>
            </w:pPr>
            <w:r>
              <w:t xml:space="preserve">Tirzepatide 5–15 mg</w:t>
            </w:r>
          </w:p>
        </w:tc>
        <w:tc>
          <w:tcPr/>
          <w:p>
            <w:pPr>
              <w:pStyle w:val="Compact"/>
              <w:jc w:val="left"/>
            </w:pPr>
            <w:r>
              <w:t xml:space="preserve">SURPASS-1 (Rosenstock 2021), PMID 34186022</w:t>
            </w:r>
          </w:p>
        </w:tc>
        <w:tc>
          <w:tcPr/>
          <w:p>
            <w:pPr>
              <w:pStyle w:val="Compact"/>
              <w:jc w:val="left"/>
            </w:pPr>
            <w:r>
              <w:t xml:space="preserve">40 weeks</w:t>
            </w:r>
          </w:p>
        </w:tc>
        <w:tc>
          <w:tcPr/>
          <w:p>
            <w:pPr>
              <w:pStyle w:val="Compact"/>
              <w:jc w:val="left"/>
            </w:pPr>
            <w:r>
              <w:t xml:space="preserve">−1.87 to −2.07 vs. +0.04 (placebo)</w:t>
            </w:r>
          </w:p>
        </w:tc>
      </w:tr>
      <w:tr>
        <w:tc>
          <w:tcPr/>
          <w:p>
            <w:pPr>
              <w:pStyle w:val="Compact"/>
              <w:jc w:val="left"/>
            </w:pPr>
            <w:r>
              <w:t xml:space="preserve">Retatrutide</w:t>
            </w:r>
          </w:p>
        </w:tc>
        <w:tc>
          <w:tcPr/>
          <w:p>
            <w:pPr>
              <w:pStyle w:val="Compact"/>
              <w:jc w:val="left"/>
            </w:pPr>
            <w:r>
              <w:t xml:space="preserve">TRANSCEND-T2D-1 (Bajaj 2026), PMID 42250575</w:t>
            </w:r>
          </w:p>
        </w:tc>
        <w:tc>
          <w:tcPr/>
          <w:p>
            <w:pPr>
              <w:pStyle w:val="Compact"/>
              <w:jc w:val="left"/>
            </w:pPr>
            <w:r>
              <w:t xml:space="preserve">40 weeks</w:t>
            </w:r>
          </w:p>
        </w:tc>
        <w:tc>
          <w:tcPr/>
          <w:p>
            <w:pPr>
              <w:pStyle w:val="Compact"/>
              <w:jc w:val="left"/>
            </w:pPr>
            <w:r>
              <w:t xml:space="preserve">−1.69 to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weeks</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weeks</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weeks</w:t>
            </w:r>
          </w:p>
        </w:tc>
        <w:tc>
          <w:tcPr/>
          <w:p>
            <w:pPr>
              <w:pStyle w:val="Compact"/>
              <w:jc w:val="left"/>
            </w:pPr>
            <w:r>
              <w:t xml:space="preserve">−1.2 to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weeks</w:t>
            </w:r>
          </w:p>
        </w:tc>
        <w:tc>
          <w:tcPr/>
          <w:p>
            <w:pPr>
              <w:pStyle w:val="Compact"/>
              <w:jc w:val="left"/>
            </w:pPr>
            <w:r>
              <w:t xml:space="preserve">−1.24 to −1.48 vs. −0.41 (placebo)</w:t>
            </w:r>
          </w:p>
        </w:tc>
      </w:tr>
    </w:tbl>
    <w:p>
      <w:pPr>
        <w:pStyle w:val="BodyText"/>
      </w:pPr>
      <w:r>
        <w:t xml:space="preserve">The older agents exenatide and pramlintide lower HbA1c by less than one percentage point, the weekly GLP-1 agonists by about 1.5 points, and tirzepatide and the newer multi-agonists by around 2 points. For blood sugar, the differences among the newer agents are smaller than for weight. REIMAGINE 2 shows this particularly clearly: there, CagriSema lowered HbA1c by only 0.16 percentage points more than semaglutide 2.4 mg alone (−1.91 vs. −1.75; Buse 2026, PMID 42251859). The addition of amylin therefore acts mainly on weight.</w:t>
      </w:r>
    </w:p>
    <w:p>
      <w:pPr>
        <w:pStyle w:val="BodyText"/>
      </w:pPr>
      <w:r>
        <w:t xml:space="preserve">An important difference concerns hypoglycemia (low blood sugar). Because GLP-1 enhances insulin release only when blood sugar is elevated, hypoglycemia is rare with these drugs alone. It becomes more frequent when insulin or sulfonylureas are taken at the same time. With pramlintide, which is used only in addition to mealtime insulin, severe hypoglycemia is the most important risk</w:t>
      </w:r>
      <w:r>
        <w:rPr>
          <w:rStyle w:val="FootnoteReference"/>
        </w:rPr>
        <w:footnoteReference w:id="2547"/>
      </w:r>
      <w:r>
        <w:t xml:space="preserve">.</w:t>
      </w:r>
    </w:p>
    <w:bookmarkEnd w:id="2548"/>
    <w:bookmarkStart w:id="2556" w:name="cardiovascular-outcome-trials"/>
    <w:p>
      <w:pPr>
        <w:pStyle w:val="Heading3"/>
      </w:pPr>
      <w:r>
        <w:t xml:space="preserve">Cardiovascular outcome trials</w:t>
      </w:r>
    </w:p>
    <w:p>
      <w:pPr>
        <w:pStyle w:val="FirstParagraph"/>
      </w:pPr>
      <w:r>
        <w:t xml:space="preserve">Outcome trials do not measure laboratory values but events that matter to patients: cardiovascular death, heart attack, and stroke, combined as</w:t>
      </w:r>
      <w:r>
        <w:t xml:space="preserve"> </w:t>
      </w:r>
      <w:r>
        <w:t xml:space="preserve">“</w:t>
      </w:r>
      <w:r>
        <w:t xml:space="preserve">MACE</w:t>
      </w:r>
      <w:r>
        <w:t xml:space="preserve">”</w:t>
      </w:r>
      <w:r>
        <w:t xml:space="preserve"> </w:t>
      </w:r>
      <w:r>
        <w:t xml:space="preserve">(major adverse cardiovascular events). The hazard ratio (HR) indicates how high the risk was compared with the control group; 0.80 means a 20% lower relative risk.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 (agent)</w:t>
            </w:r>
          </w:p>
        </w:tc>
        <w:tc>
          <w:tcPr/>
          <w:p>
            <w:pPr>
              <w:pStyle w:val="Compact"/>
              <w:jc w:val="left"/>
            </w:pPr>
            <w:r>
              <w:t xml:space="preserve">Participants</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LEADER (liraglutide; Marso 2016), PMID 27295427</w:t>
            </w:r>
          </w:p>
        </w:tc>
        <w:tc>
          <w:tcPr/>
          <w:p>
            <w:pPr>
              <w:pStyle w:val="Compact"/>
              <w:jc w:val="left"/>
            </w:pPr>
            <w:r>
              <w:t xml:space="preserve">9,340 with type 2 diabetes and high risk</w:t>
            </w:r>
          </w:p>
        </w:tc>
        <w:tc>
          <w:tcPr/>
          <w:p>
            <w:pPr>
              <w:pStyle w:val="Compact"/>
              <w:jc w:val="left"/>
            </w:pPr>
            <w:r>
              <w:t xml:space="preserve">median 3.8 years</w:t>
            </w:r>
          </w:p>
        </w:tc>
        <w:tc>
          <w:tcPr/>
          <w:p>
            <w:pPr>
              <w:pStyle w:val="Compact"/>
              <w:jc w:val="left"/>
            </w:pPr>
            <w:r>
              <w:t xml:space="preserve">13.0% vs. 14.9%; HR 0.87</w:t>
            </w:r>
          </w:p>
        </w:tc>
      </w:tr>
      <w:tr>
        <w:tc>
          <w:tcPr/>
          <w:p>
            <w:pPr>
              <w:pStyle w:val="Compact"/>
              <w:jc w:val="left"/>
            </w:pPr>
            <w:r>
              <w:t xml:space="preserve">SUSTAIN 6 (semaglutide; Marso 2016), PMID 27633186</w:t>
            </w:r>
          </w:p>
        </w:tc>
        <w:tc>
          <w:tcPr/>
          <w:p>
            <w:pPr>
              <w:pStyle w:val="Compact"/>
              <w:jc w:val="left"/>
            </w:pPr>
            <w:r>
              <w:t xml:space="preserve">3,297 with type 2 diabetes and high risk</w:t>
            </w:r>
          </w:p>
        </w:tc>
        <w:tc>
          <w:tcPr/>
          <w:p>
            <w:pPr>
              <w:pStyle w:val="Compact"/>
              <w:jc w:val="left"/>
            </w:pPr>
            <w:r>
              <w:t xml:space="preserve">104 weeks</w:t>
            </w:r>
          </w:p>
        </w:tc>
        <w:tc>
          <w:tcPr/>
          <w:p>
            <w:pPr>
              <w:pStyle w:val="Compact"/>
              <w:jc w:val="left"/>
            </w:pPr>
            <w:r>
              <w:t xml:space="preserve">6.6% vs. 8.9%; HR 0.74</w:t>
            </w:r>
          </w:p>
        </w:tc>
      </w:tr>
      <w:tr>
        <w:tc>
          <w:tcPr/>
          <w:p>
            <w:pPr>
              <w:pStyle w:val="Compact"/>
              <w:jc w:val="left"/>
            </w:pPr>
            <w:r>
              <w:t xml:space="preserve">PIONEER 6 (semaglutide tablet; Husain 2019), PMID 31185157</w:t>
            </w:r>
          </w:p>
        </w:tc>
        <w:tc>
          <w:tcPr/>
          <w:p>
            <w:pPr>
              <w:pStyle w:val="Compact"/>
              <w:jc w:val="left"/>
            </w:pPr>
            <w:r>
              <w:t xml:space="preserve">3,183 with type 2 diabetes and high risk</w:t>
            </w:r>
          </w:p>
        </w:tc>
        <w:tc>
          <w:tcPr/>
          <w:p>
            <w:pPr>
              <w:pStyle w:val="Compact"/>
              <w:jc w:val="left"/>
            </w:pPr>
            <w:r>
              <w:t xml:space="preserve">median 15.9 months</w:t>
            </w:r>
          </w:p>
        </w:tc>
        <w:tc>
          <w:tcPr/>
          <w:p>
            <w:pPr>
              <w:pStyle w:val="Compact"/>
              <w:jc w:val="left"/>
            </w:pPr>
            <w:r>
              <w:t xml:space="preserve">3.8% vs. 4.8%; HR 0.79, only non-inferiority shown</w:t>
            </w:r>
          </w:p>
        </w:tc>
      </w:tr>
      <w:tr>
        <w:tc>
          <w:tcPr/>
          <w:p>
            <w:pPr>
              <w:pStyle w:val="Compact"/>
              <w:jc w:val="left"/>
            </w:pPr>
            <w:r>
              <w:t xml:space="preserve">SOUL (semaglutide tablet; McGuire 2025), PMID 40162642</w:t>
            </w:r>
          </w:p>
        </w:tc>
        <w:tc>
          <w:tcPr/>
          <w:p>
            <w:pPr>
              <w:pStyle w:val="Compact"/>
              <w:jc w:val="left"/>
            </w:pPr>
            <w:r>
              <w:t xml:space="preserve">9,650 with type 2 diabetes and vascular or kidney disease</w:t>
            </w:r>
          </w:p>
        </w:tc>
        <w:tc>
          <w:tcPr/>
          <w:p>
            <w:pPr>
              <w:pStyle w:val="Compact"/>
              <w:jc w:val="left"/>
            </w:pPr>
            <w:r>
              <w:t xml:space="preserve">median 49.5 months</w:t>
            </w:r>
          </w:p>
        </w:tc>
        <w:tc>
          <w:tcPr/>
          <w:p>
            <w:pPr>
              <w:pStyle w:val="Compact"/>
              <w:jc w:val="left"/>
            </w:pPr>
            <w:r>
              <w:t xml:space="preserve">12.0% vs. 13.8%; HR 0.86</w:t>
            </w:r>
          </w:p>
        </w:tc>
      </w:tr>
      <w:tr>
        <w:tc>
          <w:tcPr/>
          <w:p>
            <w:pPr>
              <w:pStyle w:val="Compact"/>
              <w:jc w:val="left"/>
            </w:pPr>
            <w:r>
              <w:t xml:space="preserve">SELECT (semaglutide 2.4 mg; Lincoff 2023), PMID 37952131</w:t>
            </w:r>
          </w:p>
        </w:tc>
        <w:tc>
          <w:tcPr/>
          <w:p>
            <w:pPr>
              <w:pStyle w:val="Compact"/>
              <w:jc w:val="left"/>
            </w:pPr>
            <w:r>
              <w:t xml:space="preserve">17,604 with overweight and cardiovascular disease, without diabetes</w:t>
            </w:r>
          </w:p>
        </w:tc>
        <w:tc>
          <w:tcPr/>
          <w:p>
            <w:pPr>
              <w:pStyle w:val="Compact"/>
              <w:jc w:val="left"/>
            </w:pPr>
            <w:r>
              <w:t xml:space="preserve">mean 39.8 months</w:t>
            </w:r>
          </w:p>
        </w:tc>
        <w:tc>
          <w:tcPr/>
          <w:p>
            <w:pPr>
              <w:pStyle w:val="Compact"/>
              <w:jc w:val="left"/>
            </w:pPr>
            <w:r>
              <w:t xml:space="preserve">6.5% vs. 8.0%; HR 0.80</w:t>
            </w:r>
          </w:p>
        </w:tc>
      </w:tr>
      <w:tr>
        <w:tc>
          <w:tcPr/>
          <w:p>
            <w:pPr>
              <w:pStyle w:val="Compact"/>
              <w:jc w:val="left"/>
            </w:pPr>
            <w:r>
              <w:t xml:space="preserve">REWIND (dulaglutide; Gerstein 2019), PMID 31189511</w:t>
            </w:r>
          </w:p>
        </w:tc>
        <w:tc>
          <w:tcPr/>
          <w:p>
            <w:pPr>
              <w:pStyle w:val="Compact"/>
              <w:jc w:val="left"/>
            </w:pPr>
            <w:r>
              <w:t xml:space="preserve">9,901 with type 2 diabetes, with or without prior cardiovascular disease</w:t>
            </w:r>
          </w:p>
        </w:tc>
        <w:tc>
          <w:tcPr/>
          <w:p>
            <w:pPr>
              <w:pStyle w:val="Compact"/>
              <w:jc w:val="left"/>
            </w:pPr>
            <w:r>
              <w:t xml:space="preserve">median 5.4 years</w:t>
            </w:r>
          </w:p>
        </w:tc>
        <w:tc>
          <w:tcPr/>
          <w:p>
            <w:pPr>
              <w:pStyle w:val="Compact"/>
              <w:jc w:val="left"/>
            </w:pPr>
            <w:r>
              <w:t xml:space="preserve">12.0% vs. 13.4%; HR 0.88</w:t>
            </w:r>
          </w:p>
        </w:tc>
      </w:tr>
      <w:tr>
        <w:tc>
          <w:tcPr/>
          <w:p>
            <w:pPr>
              <w:pStyle w:val="Compact"/>
              <w:jc w:val="left"/>
            </w:pPr>
            <w:r>
              <w:t xml:space="preserve">EXSCEL (exenatide weekly; Holman 2017), PMID 28910237</w:t>
            </w:r>
          </w:p>
        </w:tc>
        <w:tc>
          <w:tcPr/>
          <w:p>
            <w:pPr>
              <w:pStyle w:val="Compact"/>
              <w:jc w:val="left"/>
            </w:pPr>
            <w:r>
              <w:t xml:space="preserve">14,752 with type 2 diabetes</w:t>
            </w:r>
          </w:p>
        </w:tc>
        <w:tc>
          <w:tcPr/>
          <w:p>
            <w:pPr>
              <w:pStyle w:val="Compact"/>
              <w:jc w:val="left"/>
            </w:pPr>
            <w:r>
              <w:t xml:space="preserve">median 3.2 years</w:t>
            </w:r>
          </w:p>
        </w:tc>
        <w:tc>
          <w:tcPr/>
          <w:p>
            <w:pPr>
              <w:pStyle w:val="Compact"/>
              <w:jc w:val="left"/>
            </w:pPr>
            <w:r>
              <w:t xml:space="preserve">11.4% vs. 12.2%; HR 0.91, superiority narrowly missed</w:t>
            </w:r>
          </w:p>
        </w:tc>
      </w:tr>
      <w:tr>
        <w:tc>
          <w:tcPr/>
          <w:p>
            <w:pPr>
              <w:pStyle w:val="Compact"/>
              <w:jc w:val="left"/>
            </w:pPr>
            <w:r>
              <w:t xml:space="preserve">SURPASS-CVOT (tirzepatide vs. dulaglutide; Nicholls 2025), PMID 41406444</w:t>
            </w:r>
          </w:p>
        </w:tc>
        <w:tc>
          <w:tcPr/>
          <w:p>
            <w:pPr>
              <w:pStyle w:val="Compact"/>
              <w:jc w:val="left"/>
            </w:pPr>
            <w:r>
              <w:t xml:space="preserve">13,165 with type 2 diabetes and vascular disease</w:t>
            </w:r>
          </w:p>
        </w:tc>
        <w:tc>
          <w:tcPr/>
          <w:p>
            <w:pPr>
              <w:pStyle w:val="Compact"/>
              <w:jc w:val="left"/>
            </w:pPr>
            <w:r>
              <w:t xml:space="preserve">several years</w:t>
            </w:r>
          </w:p>
        </w:tc>
        <w:tc>
          <w:tcPr/>
          <w:p>
            <w:pPr>
              <w:pStyle w:val="Compact"/>
              <w:jc w:val="left"/>
            </w:pPr>
            <w:r>
              <w:t xml:space="preserve">12.2% vs. 13.1%; HR 0.92, non-inferior</w:t>
            </w:r>
          </w:p>
        </w:tc>
      </w:tr>
      <w:tr>
        <w:tc>
          <w:tcPr/>
          <w:p>
            <w:pPr>
              <w:pStyle w:val="Compact"/>
              <w:jc w:val="left"/>
            </w:pPr>
            <w:r>
              <w:t xml:space="preserve">ACHIEVE-4 (orforglipron vs. insulin glargine; Klein 2026), PMID 42815506</w:t>
            </w:r>
          </w:p>
        </w:tc>
        <w:tc>
          <w:tcPr/>
          <w:p>
            <w:pPr>
              <w:pStyle w:val="Compact"/>
              <w:jc w:val="left"/>
            </w:pPr>
            <w:r>
              <w:t xml:space="preserve">2,749 with type 2 diabetes and high risk</w:t>
            </w:r>
          </w:p>
        </w:tc>
        <w:tc>
          <w:tcPr/>
          <w:p>
            <w:pPr>
              <w:pStyle w:val="Compact"/>
              <w:jc w:val="left"/>
            </w:pPr>
            <w:r>
              <w:t xml:space="preserve">median 2 years</w:t>
            </w:r>
          </w:p>
        </w:tc>
        <w:tc>
          <w:tcPr/>
          <w:p>
            <w:pPr>
              <w:pStyle w:val="Compact"/>
              <w:jc w:val="left"/>
            </w:pPr>
            <w:r>
              <w:t xml:space="preserve">4.2% vs. 5.0% (MACE-4), non-inferior</w:t>
            </w:r>
          </w:p>
        </w:tc>
      </w:tr>
    </w:tbl>
    <w:p>
      <w:pPr>
        <w:pStyle w:val="BodyText"/>
      </w:pPr>
      <w:r>
        <w:t xml:space="preserve">What this table shows:</w:t>
      </w:r>
    </w:p>
    <w:p>
      <w:pPr>
        <w:numPr>
          <w:ilvl w:val="0"/>
          <w:numId w:val="1326"/>
        </w:numPr>
        <w:pStyle w:val="Compact"/>
      </w:pPr>
      <w:r>
        <w:rPr>
          <w:bCs/>
          <w:b/>
        </w:rPr>
        <w:t xml:space="preserve">The class lowers risk.</w:t>
      </w:r>
      <w:r>
        <w:t xml:space="preserve"> </w:t>
      </w:r>
      <w:r>
        <w:t xml:space="preserve">A meta-analysis of seven placebo-controlled outcome trials with a combined 56,004 participants found, for GLP-1 receptor agonists in type 2 diabetes, 12% fewer major cardiovascular events (HR 0.88), 12% fewer deaths from any cause, and 9% fewer hospital admissions for heart failure, with no meaningful differences between subgroups</w:t>
      </w:r>
      <w:r>
        <w:rPr>
          <w:rStyle w:val="FootnoteReference"/>
        </w:rPr>
        <w:footnoteReference w:id="2549"/>
      </w:r>
      <w:r>
        <w:t xml:space="preserve">. This meta-analysis also included two agents that are not covered in this book.</w:t>
      </w:r>
    </w:p>
    <w:p>
      <w:pPr>
        <w:numPr>
          <w:ilvl w:val="0"/>
          <w:numId w:val="1326"/>
        </w:numPr>
        <w:pStyle w:val="Compact"/>
      </w:pPr>
      <w:r>
        <w:rPr>
          <w:bCs/>
          <w:b/>
        </w:rPr>
        <w:t xml:space="preserve">Differences between agents are uncertain.</w:t>
      </w:r>
      <w:r>
        <w:t xml:space="preserve"> </w:t>
      </w:r>
      <w:r>
        <w:t xml:space="preserve">Exenatide was at the weaker end in EXSCEL; the molecule itself, the high discontinuation rate, and the pragmatic study design are discussed as explanations. An exenatide pump implant (FREEDOM-CVO) met only the safety criterion (HR 1.21; Ruff 2022, PMID 34873344).</w:t>
      </w:r>
    </w:p>
    <w:p>
      <w:pPr>
        <w:numPr>
          <w:ilvl w:val="0"/>
          <w:numId w:val="1326"/>
        </w:numPr>
        <w:pStyle w:val="Compact"/>
      </w:pPr>
      <w:r>
        <w:rPr>
          <w:bCs/>
          <w:b/>
        </w:rPr>
        <w:t xml:space="preserve">SELECT is a special case.</w:t>
      </w:r>
      <w:r>
        <w:t xml:space="preserve"> </w:t>
      </w:r>
      <w:r>
        <w:t xml:space="preserve">In this overview it is the only large outcome trial conducted exclusively in people</w:t>
      </w:r>
      <w:r>
        <w:t xml:space="preserve"> </w:t>
      </w:r>
      <w:r>
        <w:rPr>
          <w:iCs/>
          <w:i/>
        </w:rPr>
        <w:t xml:space="preserve">without</w:t>
      </w:r>
      <w:r>
        <w:t xml:space="preserve"> </w:t>
      </w:r>
      <w:r>
        <w:t xml:space="preserve">diabetes. In absolute terms, over a little more than three years, about 1.5 in every hundred treated people had one fewer major event.</w:t>
      </w:r>
    </w:p>
    <w:p>
      <w:pPr>
        <w:numPr>
          <w:ilvl w:val="0"/>
          <w:numId w:val="1326"/>
        </w:numPr>
        <w:pStyle w:val="Compact"/>
      </w:pPr>
      <w:r>
        <w:rPr>
          <w:bCs/>
          <w:b/>
        </w:rPr>
        <w:t xml:space="preserve">Tirzepatide was tested against an effective drug.</w:t>
      </w:r>
      <w:r>
        <w:t xml:space="preserve"> </w:t>
      </w:r>
      <w:r>
        <w:t xml:space="preserve">SURPASS-CVOT did not compare tirzepatide with placebo but with dulaglutide, which had itself lowered risk in REWIND. Tirzepatide was non-inferior; formal superiority was narrowly missed. How large the benefit would be compared with no treatment can only be estimated from this through modeling.</w:t>
      </w:r>
    </w:p>
    <w:p>
      <w:pPr>
        <w:numPr>
          <w:ilvl w:val="0"/>
          <w:numId w:val="1326"/>
        </w:numPr>
        <w:pStyle w:val="Compact"/>
      </w:pPr>
      <w:r>
        <w:rPr>
          <w:bCs/>
          <w:b/>
        </w:rPr>
        <w:t xml:space="preserve">Heart failure:</w:t>
      </w:r>
      <w:r>
        <w:t xml:space="preserve"> </w:t>
      </w:r>
      <w:r>
        <w:t xml:space="preserve">In heart failure with preserved ejection fraction and obesity, tirzepatide reduced the combined endpoint of cardiovascular death or worsening heart failure in SUMMIT with 731 people (9.9% vs. 15.3%; HR 0.62; Packer 2025, PMID 39555826). The difference was based on fewer worsening events; deaths were rare. In STEP-HFpEF, semaglutide improved symptoms and walking distance</w:t>
      </w:r>
      <w:r>
        <w:rPr>
          <w:rStyle w:val="FootnoteReference"/>
        </w:rPr>
        <w:footnoteReference w:id="2550"/>
      </w:r>
      <w:r>
        <w:t xml:space="preserve">, but was not designed for hard endpoints.</w:t>
      </w:r>
    </w:p>
    <w:p>
      <w:pPr>
        <w:pStyle w:val="FirstParagraph"/>
      </w:pPr>
      <w:r>
        <w:rPr>
          <w:bCs/>
          <w:b/>
        </w:rPr>
        <w:t xml:space="preserve">Still pending (registered studies):</w:t>
      </w:r>
      <w:r>
        <w:t xml:space="preserve"> </w:t>
      </w:r>
      <w:r>
        <w:t xml:space="preserve">Outcome data are lacking for the newer agents. Ongoing studies are SURMOUNT-MMO on tirzepatide in obesity without diabetes</w:t>
      </w:r>
      <w:r>
        <w:rPr>
          <w:rStyle w:val="FootnoteReference"/>
        </w:rPr>
        <w:footnoteReference w:id="2551"/>
      </w:r>
      <w:r>
        <w:t xml:space="preserve">, TRIUMPH-Outcomes on retatrutide</w:t>
      </w:r>
      <w:r>
        <w:rPr>
          <w:rStyle w:val="FootnoteReference"/>
        </w:rPr>
        <w:footnoteReference w:id="2552"/>
      </w:r>
      <w:r>
        <w:t xml:space="preserve">, REDEFINE 3 on CagriSema</w:t>
      </w:r>
      <w:r>
        <w:rPr>
          <w:rStyle w:val="FootnoteReference"/>
        </w:rPr>
        <w:footnoteReference w:id="2553"/>
      </w:r>
      <w:r>
        <w:t xml:space="preserve">, a study on maridebart cafraglutide</w:t>
      </w:r>
      <w:r>
        <w:rPr>
          <w:rStyle w:val="FootnoteReference"/>
        </w:rPr>
        <w:footnoteReference w:id="2554"/>
      </w:r>
      <w:r>
        <w:t xml:space="preserve">, and one on orforglipron</w:t>
      </w:r>
      <w:r>
        <w:rPr>
          <w:rStyle w:val="FootnoteReference"/>
        </w:rPr>
        <w:footnoteReference w:id="2555"/>
      </w:r>
      <w:r>
        <w:t xml:space="preserve">. Until these results are available, it remains open whether greater weight loss also leads to fewer heart attacks and strokes. That is a plausible expectation, but not a result.</w:t>
      </w:r>
    </w:p>
    <w:bookmarkEnd w:id="2556"/>
    <w:bookmarkStart w:id="2564" w:name="kidney-and-liver"/>
    <w:p>
      <w:pPr>
        <w:pStyle w:val="Heading3"/>
      </w:pPr>
      <w:r>
        <w:t xml:space="preserve">Kidney and liver</w:t>
      </w:r>
    </w:p>
    <w:p>
      <w:pPr>
        <w:pStyle w:val="FirstParagraph"/>
      </w:pPr>
      <w:r>
        <w:rPr>
          <w:bCs/>
          <w:b/>
        </w:rPr>
        <w:t xml:space="preserve">Kidney:</w:t>
      </w:r>
      <w:r>
        <w:t xml:space="preserve"> </w:t>
      </w:r>
      <w:r>
        <w:t xml:space="preserve">Among the studies discussed in this book, only FLOW has a kidney event as its primary endpoint. In 3,533 people with type 2 diabetes and chronic kidney disease, semaglutide 1.0 mg reduced major kidney events and death from kidney or cardiovascular causes by 24% (331 vs. 410 events; HR 0.76). The study was stopped early for efficacy; all-cause mortality was 20% lower</w:t>
      </w:r>
      <w:r>
        <w:rPr>
          <w:rStyle w:val="FootnoteReference"/>
        </w:rPr>
        <w:footnoteReference w:id="2557"/>
      </w:r>
      <w:r>
        <w:t xml:space="preserve">. In the older outcome trials, by contrast, the kidney benefit was based mainly on less protein in the urine: in LEADER HR 0.78</w:t>
      </w:r>
      <w:r>
        <w:rPr>
          <w:rStyle w:val="FootnoteReference"/>
        </w:rPr>
        <w:footnoteReference w:id="2558"/>
      </w:r>
      <w:r>
        <w:t xml:space="preserve">, in REWIND HR 0.85</w:t>
      </w:r>
      <w:r>
        <w:rPr>
          <w:rStyle w:val="FootnoteReference"/>
        </w:rPr>
        <w:footnoteReference w:id="2559"/>
      </w:r>
      <w:r>
        <w:t xml:space="preserve">, across all seven trials HR 0.83</w:t>
      </w:r>
      <w:r>
        <w:rPr>
          <w:rStyle w:val="FootnoteReference"/>
        </w:rPr>
        <w:footnoteReference w:id="2560"/>
      </w:r>
      <w:r>
        <w:t xml:space="preserve">. In SOUL, the confirmatory secondary endpoints, including kidney events, did not differ significantly</w:t>
      </w:r>
      <w:r>
        <w:rPr>
          <w:rStyle w:val="FootnoteReference"/>
        </w:rPr>
        <w:footnoteReference w:id="2561"/>
      </w:r>
      <w:r>
        <w:t xml:space="preserve">. In moderate to severe kidney disease, kidney function was better preserved with dulaglutide than with insulin glargine (AWARD-7, Tuttle 2018, PMID 29910024). For tirzepatide and the newer agents, there are as yet no studies with kidney events as the primary endpoint.</w:t>
      </w:r>
    </w:p>
    <w:p>
      <w:pPr>
        <w:pStyle w:val="BodyText"/>
      </w:pPr>
      <w:r>
        <w:rPr>
          <w:bCs/>
          <w:b/>
        </w:rPr>
        <w:t xml:space="preserve">Liver:</w:t>
      </w:r>
      <w:r>
        <w:t xml:space="preserve"> </w:t>
      </w:r>
      <w:r>
        <w:t xml:space="preserve">For the inflammatory fatty liver disease MASH (formerly NASH), there are tissue biopsy studies for three agents: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Resolution of MASH without worsening of fibrosis</w:t>
            </w:r>
          </w:p>
        </w:tc>
      </w:tr>
      <w:tr>
        <w:tc>
          <w:tcPr/>
          <w:p>
            <w:pPr>
              <w:pStyle w:val="Compact"/>
              <w:jc w:val="left"/>
            </w:pPr>
            <w:r>
              <w:t xml:space="preserve">Semaglutide 2.4 mg</w:t>
            </w:r>
          </w:p>
        </w:tc>
        <w:tc>
          <w:tcPr/>
          <w:p>
            <w:pPr>
              <w:pStyle w:val="Compact"/>
              <w:jc w:val="left"/>
            </w:pPr>
            <w:r>
              <w:t xml:space="preserve">ESSENCE, phase 3 (Sanyal 2025), PMID 40305708</w:t>
            </w:r>
          </w:p>
        </w:tc>
        <w:tc>
          <w:tcPr/>
          <w:p>
            <w:pPr>
              <w:pStyle w:val="Compact"/>
              <w:jc w:val="left"/>
            </w:pPr>
            <w:r>
              <w:t xml:space="preserve">72 weeks (interim analysis, 800 people)</w:t>
            </w:r>
          </w:p>
        </w:tc>
        <w:tc>
          <w:tcPr/>
          <w:p>
            <w:pPr>
              <w:pStyle w:val="Compact"/>
              <w:jc w:val="left"/>
            </w:pPr>
            <w:r>
              <w:t xml:space="preserve">62.9% vs. 34.3%; less fibrosis 36.8% vs. 22.4%</w:t>
            </w:r>
          </w:p>
        </w:tc>
      </w:tr>
      <w:tr>
        <w:tc>
          <w:tcPr/>
          <w:p>
            <w:pPr>
              <w:pStyle w:val="Compact"/>
              <w:jc w:val="left"/>
            </w:pPr>
            <w:r>
              <w:t xml:space="preserve">Tirzepatide</w:t>
            </w:r>
          </w:p>
        </w:tc>
        <w:tc>
          <w:tcPr/>
          <w:p>
            <w:pPr>
              <w:pStyle w:val="Compact"/>
              <w:jc w:val="left"/>
            </w:pPr>
            <w:r>
              <w:t xml:space="preserve">SYNERGY-NASH, phase 2 (Loomba 2024), PMID 38856224</w:t>
            </w:r>
          </w:p>
        </w:tc>
        <w:tc>
          <w:tcPr/>
          <w:p>
            <w:pPr>
              <w:pStyle w:val="Compact"/>
              <w:jc w:val="left"/>
            </w:pPr>
            <w:r>
              <w:t xml:space="preserve">52 weeks, 190 people</w:t>
            </w:r>
          </w:p>
        </w:tc>
        <w:tc>
          <w:tcPr/>
          <w:p>
            <w:pPr>
              <w:pStyle w:val="Compact"/>
              <w:jc w:val="left"/>
            </w:pPr>
            <w:r>
              <w:t xml:space="preserve">44–62% vs. 10%; less fibrosis 51–55% vs. 30%</w:t>
            </w:r>
          </w:p>
        </w:tc>
      </w:tr>
      <w:tr>
        <w:tc>
          <w:tcPr/>
          <w:p>
            <w:pPr>
              <w:pStyle w:val="Compact"/>
              <w:jc w:val="left"/>
            </w:pPr>
            <w:r>
              <w:t xml:space="preserve">Survodutide</w:t>
            </w:r>
          </w:p>
        </w:tc>
        <w:tc>
          <w:tcPr/>
          <w:p>
            <w:pPr>
              <w:pStyle w:val="Compact"/>
              <w:jc w:val="left"/>
            </w:pPr>
            <w:r>
              <w:t xml:space="preserve">Phase 2 (Sanyal 2024), PMID 38847460</w:t>
            </w:r>
          </w:p>
        </w:tc>
        <w:tc>
          <w:tcPr/>
          <w:p>
            <w:pPr>
              <w:pStyle w:val="Compact"/>
              <w:jc w:val="left"/>
            </w:pPr>
            <w:r>
              <w:t xml:space="preserve">48 weeks, 293 people</w:t>
            </w:r>
          </w:p>
        </w:tc>
        <w:tc>
          <w:tcPr/>
          <w:p>
            <w:pPr>
              <w:pStyle w:val="Compact"/>
              <w:jc w:val="left"/>
            </w:pPr>
            <w:r>
              <w:t xml:space="preserve">MASH improvement 43–62% vs. 14%</w:t>
            </w:r>
          </w:p>
        </w:tc>
      </w:tr>
    </w:tbl>
    <w:p>
      <w:pPr>
        <w:pStyle w:val="BodyText"/>
      </w:pPr>
      <w:r>
        <w:t xml:space="preserve">Only ESSENCE is a phase 3 trial; whether the treatment also prevents cirrhosis, liver failure, and deaths is to be shown by its second part over 240 weeks. For survodutide, the phase 3 trials LIVERAGE</w:t>
      </w:r>
      <w:r>
        <w:rPr>
          <w:rStyle w:val="FootnoteReference"/>
        </w:rPr>
        <w:footnoteReference w:id="2562"/>
      </w:r>
      <w:r>
        <w:t xml:space="preserve"> </w:t>
      </w:r>
      <w:r>
        <w:t xml:space="preserve">and LIVERAGE-Cirrhosis</w:t>
      </w:r>
      <w:r>
        <w:rPr>
          <w:rStyle w:val="FootnoteReference"/>
        </w:rPr>
        <w:footnoteReference w:id="2563"/>
      </w:r>
      <w:r>
        <w:t xml:space="preserve"> </w:t>
      </w:r>
      <w:r>
        <w:t xml:space="preserve">are ongoing. The higher percentages of the phase 2 trials are not directly comparable with ESSENCE because of the small groups and shorter duration.</w:t>
      </w:r>
    </w:p>
    <w:bookmarkEnd w:id="2564"/>
    <w:bookmarkStart w:id="2575" w:name="side-effects-and-discontinuation-rates"/>
    <w:p>
      <w:pPr>
        <w:pStyle w:val="Heading3"/>
      </w:pPr>
      <w:r>
        <w:t xml:space="preserve">Side effects and discontinuation rates</w:t>
      </w:r>
    </w:p>
    <w:p>
      <w:pPr>
        <w:pStyle w:val="FirstParagraph"/>
      </w:pPr>
      <w:r>
        <w:t xml:space="preserve">The side effect profile is similar across the whole class: nausea, diarrhea, vomiting, and constipation, especially during gradual dose escalation, usually mild to moderate and transient. They are the most common reason for stopping treatment. The rates depend strongly on dose and the pace of escalation and are only roughly comparable between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Gastrointestinal complaints</w:t>
            </w:r>
          </w:p>
        </w:tc>
        <w:tc>
          <w:tcPr/>
          <w:p>
            <w:pPr>
              <w:pStyle w:val="Compact"/>
              <w:jc w:val="left"/>
            </w:pPr>
            <w:r>
              <w:t xml:space="preserve">Discontinuation due to side effects</w:t>
            </w:r>
          </w:p>
        </w:tc>
      </w:tr>
      <w:tr>
        <w:tc>
          <w:tcPr/>
          <w:p>
            <w:pPr>
              <w:pStyle w:val="Compact"/>
              <w:jc w:val="left"/>
            </w:pPr>
            <w:r>
              <w:t xml:space="preserve">Exenatide twice daily</w:t>
            </w:r>
          </w:p>
        </w:tc>
        <w:tc>
          <w:tcPr/>
          <w:p>
            <w:pPr>
              <w:pStyle w:val="Compact"/>
              <w:jc w:val="left"/>
            </w:pPr>
            <w:r>
              <w:t xml:space="preserve">Heine 2005, PMID 16230722</w:t>
            </w:r>
          </w:p>
        </w:tc>
        <w:tc>
          <w:tcPr/>
          <w:p>
            <w:pPr>
              <w:pStyle w:val="Compact"/>
              <w:jc w:val="left"/>
            </w:pPr>
            <w:r>
              <w:t xml:space="preserve">nausea 57.1%</w:t>
            </w:r>
          </w:p>
        </w:tc>
        <w:tc>
          <w:tcPr/>
          <w:p>
            <w:pPr>
              <w:pStyle w:val="Compact"/>
              <w:jc w:val="left"/>
            </w:pPr>
            <w:r>
              <w:t xml:space="preserve">not reported in abstract</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not reported in abstract</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most commonly nausea and diarrhea</w:t>
            </w:r>
          </w:p>
        </w:tc>
        <w:tc>
          <w:tcPr/>
          <w:p>
            <w:pPr>
              <w:pStyle w:val="Compact"/>
              <w:jc w:val="left"/>
            </w:pPr>
            <w:r>
              <w:t xml:space="preserve">due to gastrointestinal complaints 4.5% vs. 0.8%</w:t>
            </w:r>
          </w:p>
        </w:tc>
      </w:tr>
      <w:tr>
        <w:tc>
          <w:tcPr/>
          <w:p>
            <w:pPr>
              <w:pStyle w:val="Compact"/>
              <w:jc w:val="left"/>
            </w:pPr>
            <w:r>
              <w:t xml:space="preserve">Semaglutide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(over a little more than three years)</w:t>
            </w:r>
          </w:p>
        </w:tc>
      </w:tr>
      <w:tr>
        <w:tc>
          <w:tcPr/>
          <w:p>
            <w:pPr>
              <w:pStyle w:val="Compact"/>
              <w:jc w:val="left"/>
            </w:pPr>
            <w:r>
              <w:t xml:space="preserve">Tirzepatide</w:t>
            </w:r>
          </w:p>
        </w:tc>
        <w:tc>
          <w:tcPr/>
          <w:p>
            <w:pPr>
              <w:pStyle w:val="Compact"/>
              <w:jc w:val="left"/>
            </w:pPr>
            <w:r>
              <w:t xml:space="preserve">SURMOUNT-1 (Jastreboff 2022), PMID 35658024</w:t>
            </w:r>
          </w:p>
        </w:tc>
        <w:tc>
          <w:tcPr/>
          <w:p>
            <w:pPr>
              <w:pStyle w:val="Compact"/>
              <w:jc w:val="left"/>
            </w:pPr>
            <w:r>
              <w:t xml:space="preserve">most common, mostly during escalation</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not reported in abstract</w:t>
            </w:r>
          </w:p>
        </w:tc>
      </w:tr>
      <w:tr>
        <w:tc>
          <w:tcPr/>
          <w:p>
            <w:pPr>
              <w:pStyle w:val="Compact"/>
              <w:jc w:val="left"/>
            </w:pPr>
            <w:r>
              <w:t xml:space="preserve">Retatrutide</w:t>
            </w:r>
          </w:p>
        </w:tc>
        <w:tc>
          <w:tcPr/>
          <w:p>
            <w:pPr>
              <w:pStyle w:val="Compact"/>
              <w:jc w:val="left"/>
            </w:pPr>
            <w:r>
              <w:t xml:space="preserve">TRIUMPH-2 (Bellido 2026), PMID 42810372</w:t>
            </w:r>
          </w:p>
        </w:tc>
        <w:tc>
          <w:tcPr/>
          <w:p>
            <w:pPr>
              <w:pStyle w:val="Compact"/>
              <w:jc w:val="left"/>
            </w:pPr>
            <w:r>
              <w:t xml:space="preserve">diarrhea 27–34%, nausea 14–28% (placebo 13% and 8%)</w:t>
            </w:r>
          </w:p>
        </w:tc>
        <w:tc>
          <w:tcPr/>
          <w:p>
            <w:pPr>
              <w:pStyle w:val="Compact"/>
              <w:jc w:val="left"/>
            </w:pPr>
            <w:r>
              <w:t xml:space="preserve">4–12% vs. 5% (incl. deaths)</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not reported in abstract</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most common side effect</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most common side effect</w:t>
            </w:r>
          </w:p>
        </w:tc>
        <w:tc>
          <w:tcPr/>
          <w:p>
            <w:pPr>
              <w:pStyle w:val="Compact"/>
              <w:jc w:val="left"/>
            </w:pPr>
            <w:r>
              <w:t xml:space="preserve">5.3–10.3% vs. 2.7%</w:t>
            </w:r>
          </w:p>
        </w:tc>
      </w:tr>
    </w:tbl>
    <w:p>
      <w:pPr>
        <w:pStyle w:val="BodyText"/>
      </w:pPr>
      <w:r>
        <w:t xml:space="preserve">Some observations:</w:t>
      </w:r>
    </w:p>
    <w:p>
      <w:pPr>
        <w:numPr>
          <w:ilvl w:val="0"/>
          <w:numId w:val="1327"/>
        </w:numPr>
        <w:pStyle w:val="Compact"/>
      </w:pPr>
      <w:r>
        <w:rPr>
          <w:bCs/>
          <w:b/>
        </w:rPr>
        <w:t xml:space="preserve">Weekly formulations are usually better tolerated than older forms.</w:t>
      </w:r>
      <w:r>
        <w:t xml:space="preserve"> </w:t>
      </w:r>
      <w:r>
        <w:t xml:space="preserve">In DURATION-6, 9% had nausea on weekly exenatide versus 21% on daily liraglutide</w:t>
      </w:r>
      <w:r>
        <w:rPr>
          <w:rStyle w:val="FootnoteReference"/>
        </w:rPr>
        <w:footnoteReference w:id="2565"/>
      </w:r>
      <w:r>
        <w:t xml:space="preserve">. In STEP 8, 27.6% stopped liraglutide early, for whatever reason, compared with 13.5% on semaglutide; gastrointestinal complaints were similarly frequent in both groups (82.7% vs. 84.1%)</w:t>
      </w:r>
      <w:r>
        <w:rPr>
          <w:rStyle w:val="FootnoteReference"/>
        </w:rPr>
        <w:footnoteReference w:id="2566"/>
      </w:r>
      <w:r>
        <w:t xml:space="preserve">.</w:t>
      </w:r>
    </w:p>
    <w:p>
      <w:pPr>
        <w:numPr>
          <w:ilvl w:val="0"/>
          <w:numId w:val="1327"/>
        </w:numPr>
        <w:pStyle w:val="Compact"/>
      </w:pPr>
      <w:r>
        <w:rPr>
          <w:bCs/>
          <w:b/>
        </w:rPr>
        <w:t xml:space="preserve">Greater efficacy does not necessarily come with more complaints.</w:t>
      </w:r>
      <w:r>
        <w:t xml:space="preserve"> </w:t>
      </w:r>
      <w:r>
        <w:t xml:space="preserve">In SURPASS-2, nausea (17–22% vs. 18%) and vomiting (6–10% vs. 8%) were similarly frequent with tirzepatide and semaglutide; serious adverse events occurred in 5–7% with tirzepatide versus 3%</w:t>
      </w:r>
      <w:r>
        <w:rPr>
          <w:rStyle w:val="FootnoteReference"/>
        </w:rPr>
        <w:footnoteReference w:id="2567"/>
      </w:r>
      <w:r>
        <w:t xml:space="preserve">. In REDEFINE 5, 53% on CagriSema and 51% on semaglutide had gastrointestinal complaints</w:t>
      </w:r>
      <w:r>
        <w:rPr>
          <w:rStyle w:val="FootnoteReference"/>
        </w:rPr>
        <w:footnoteReference w:id="2568"/>
      </w:r>
      <w:r>
        <w:t xml:space="preserve">.</w:t>
      </w:r>
    </w:p>
    <w:p>
      <w:pPr>
        <w:numPr>
          <w:ilvl w:val="0"/>
          <w:numId w:val="1327"/>
        </w:numPr>
        <w:pStyle w:val="Compact"/>
      </w:pPr>
      <w:r>
        <w:rPr>
          <w:bCs/>
          <w:b/>
        </w:rPr>
        <w:t xml:space="preserve">With the multi-agonists, discontinuations rise at high doses.</w:t>
      </w:r>
      <w:r>
        <w:t xml:space="preserve"> </w:t>
      </w:r>
      <w:r>
        <w:t xml:space="preserve">With retatrutide, abnormal skin sensations (dysesthesia) also occurred in 4–7% versus 1% on placebo – a new signal for this class. In a US phase 2 trial of mazdutide, 20% at the highest dose discontinued due to side effects</w:t>
      </w:r>
      <w:r>
        <w:rPr>
          <w:rStyle w:val="FootnoteReference"/>
        </w:rPr>
        <w:footnoteReference w:id="2569"/>
      </w:r>
      <w:r>
        <w:t xml:space="preserve">.</w:t>
      </w:r>
    </w:p>
    <w:p>
      <w:pPr>
        <w:numPr>
          <w:ilvl w:val="0"/>
          <w:numId w:val="1327"/>
        </w:numPr>
        <w:pStyle w:val="Compact"/>
      </w:pPr>
      <w:r>
        <w:rPr>
          <w:bCs/>
          <w:b/>
        </w:rPr>
        <w:t xml:space="preserve">Long-term studies show higher discontinuation rates than short studies.</w:t>
      </w:r>
      <w:r>
        <w:t xml:space="preserve"> </w:t>
      </w:r>
      <w:r>
        <w:t xml:space="preserve">The 16.6% in SELECT over more than three years is a more realistic guide for long-term treatment than the values from 68- or 72-week approval trials.</w:t>
      </w:r>
    </w:p>
    <w:p>
      <w:pPr>
        <w:pStyle w:val="FirstParagraph"/>
      </w:pPr>
      <w:r>
        <w:rPr>
          <w:bCs/>
          <w:b/>
        </w:rPr>
        <w:t xml:space="preserve">Class risks that affect all agents:</w:t>
      </w:r>
    </w:p>
    <w:p>
      <w:pPr>
        <w:numPr>
          <w:ilvl w:val="0"/>
          <w:numId w:val="1328"/>
        </w:numPr>
        <w:pStyle w:val="Compact"/>
      </w:pPr>
      <w:r>
        <w:rPr>
          <w:bCs/>
          <w:b/>
        </w:rPr>
        <w:t xml:space="preserve">Gallbladder:</w:t>
      </w:r>
      <w:r>
        <w:t xml:space="preserve"> </w:t>
      </w:r>
      <w:r>
        <w:t xml:space="preserve">A meta-analysis of 76 randomized trials with 103,371 participants found a 37% increased risk of gallbladder and biliary disease, and in weight-loss trials a more than twofold risk (relative risk 2.29; He 2022, PMID 35344001).</w:t>
      </w:r>
    </w:p>
    <w:p>
      <w:pPr>
        <w:numPr>
          <w:ilvl w:val="0"/>
          <w:numId w:val="1328"/>
        </w:numPr>
        <w:pStyle w:val="Compact"/>
      </w:pPr>
      <w:r>
        <w:rPr>
          <w:bCs/>
          <w:b/>
        </w:rPr>
        <w:t xml:space="preserve">Pancreas:</w:t>
      </w:r>
      <w:r>
        <w:t xml:space="preserve"> </w:t>
      </w:r>
      <w:r>
        <w:t xml:space="preserve">In the meta-analysis of the outcome trials, no increased risk of pancreatitis or pancreatic cancer</w:t>
      </w:r>
      <w:r>
        <w:rPr>
          <w:rStyle w:val="FootnoteReference"/>
        </w:rPr>
        <w:footnoteReference w:id="2570"/>
      </w:r>
      <w:r>
        <w:t xml:space="preserve">; in insurance data, a signal with use for weight loss</w:t>
      </w:r>
      <w:r>
        <w:rPr>
          <w:rStyle w:val="FootnoteReference"/>
        </w:rPr>
        <w:footnoteReference w:id="2571"/>
      </w:r>
      <w:r>
        <w:t xml:space="preserve">.</w:t>
      </w:r>
    </w:p>
    <w:p>
      <w:pPr>
        <w:numPr>
          <w:ilvl w:val="0"/>
          <w:numId w:val="1328"/>
        </w:numPr>
        <w:pStyle w:val="Compact"/>
      </w:pPr>
      <w:r>
        <w:rPr>
          <w:bCs/>
          <w:b/>
        </w:rPr>
        <w:t xml:space="preserve">Thyroid:</w:t>
      </w:r>
      <w:r>
        <w:t xml:space="preserve"> </w:t>
      </w:r>
      <w:r>
        <w:t xml:space="preserve">C-cell tumors in rodents; in humans, a signal in meta-analyses and observational studies</w:t>
      </w:r>
      <w:r>
        <w:rPr>
          <w:rStyle w:val="FootnoteReference"/>
        </w:rPr>
        <w:footnoteReference w:id="2572"/>
      </w:r>
      <w:r>
        <w:t xml:space="preserve"> </w:t>
      </w:r>
      <w:r>
        <w:t xml:space="preserve">whose significance is disputed.</w:t>
      </w:r>
    </w:p>
    <w:p>
      <w:pPr>
        <w:numPr>
          <w:ilvl w:val="0"/>
          <w:numId w:val="1328"/>
        </w:numPr>
        <w:pStyle w:val="Compact"/>
      </w:pPr>
      <w:r>
        <w:rPr>
          <w:bCs/>
          <w:b/>
        </w:rPr>
        <w:t xml:space="preserve">Eyes:</w:t>
      </w:r>
      <w:r>
        <w:t xml:space="preserve"> </w:t>
      </w:r>
      <w:r>
        <w:t xml:space="preserve">Worsening of existing diabetic retinopathy in SUSTAIN 6 (HR 1.76; Marso 2016, PMID 27633186); a rare signal for a circulatory disorder of the optic nerve (NAION) in observational studies</w:t>
      </w:r>
      <w:r>
        <w:rPr>
          <w:rStyle w:val="FootnoteReference"/>
        </w:rPr>
        <w:footnoteReference w:id="2573"/>
      </w:r>
      <w:r>
        <w:t xml:space="preserve">.</w:t>
      </w:r>
    </w:p>
    <w:p>
      <w:pPr>
        <w:numPr>
          <w:ilvl w:val="0"/>
          <w:numId w:val="1328"/>
        </w:numPr>
        <w:pStyle w:val="Compact"/>
      </w:pPr>
      <w:r>
        <w:rPr>
          <w:bCs/>
          <w:b/>
        </w:rPr>
        <w:t xml:space="preserve">Muscle mass:</w:t>
      </w:r>
      <w:r>
        <w:t xml:space="preserve"> </w:t>
      </w:r>
      <w:r>
        <w:t xml:space="preserve">About a quarter of the weight lost is fat-free mass, in the same proportion as with other weight loss</w:t>
      </w:r>
      <w:r>
        <w:rPr>
          <w:rStyle w:val="FootnoteReference"/>
        </w:rPr>
        <w:footnoteReference w:id="2574"/>
      </w:r>
      <w:r>
        <w:t xml:space="preserve">.</w:t>
      </w:r>
    </w:p>
    <w:bookmarkEnd w:id="2575"/>
    <w:bookmarkStart w:id="2578" w:name="head-to-head-trials"/>
    <w:p>
      <w:pPr>
        <w:pStyle w:val="Heading3"/>
      </w:pPr>
      <w:r>
        <w:t xml:space="preserve">Head-to-head trials</w:t>
      </w:r>
    </w:p>
    <w:p>
      <w:pPr>
        <w:pStyle w:val="FirstParagraph"/>
      </w:pPr>
      <w:r>
        <w:t xml:space="preserve">The following table contains randomized trials in which two agents of the class were compared directly against each other. Only here are differences between agents methodologically sound. Many of these trials were open-label (not blinded) and funded by the manufacturer of the newer agent, and the highest approved dose of the comparator was not always used.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Comparison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SURMOUNT-5 (Aronne 2025), PMID 40353578</w:t>
            </w:r>
          </w:p>
        </w:tc>
        <w:tc>
          <w:tcPr/>
          <w:p>
            <w:pPr>
              <w:pStyle w:val="Compact"/>
              <w:jc w:val="left"/>
            </w:pPr>
            <w:r>
              <w:t xml:space="preserve">Tirzepatide vs. semaglutide 2.4 mg, obesity, open-label</w:t>
            </w:r>
          </w:p>
        </w:tc>
        <w:tc>
          <w:tcPr/>
          <w:p>
            <w:pPr>
              <w:pStyle w:val="Compact"/>
              <w:jc w:val="left"/>
            </w:pPr>
            <w:r>
              <w:t xml:space="preserve">72 weeks</w:t>
            </w:r>
          </w:p>
        </w:tc>
        <w:tc>
          <w:tcPr/>
          <w:p>
            <w:pPr>
              <w:pStyle w:val="Compact"/>
              <w:jc w:val="left"/>
            </w:pPr>
            <w:r>
              <w:t xml:space="preserve">weight −20.2% vs. −13.7%</w:t>
            </w:r>
          </w:p>
        </w:tc>
      </w:tr>
      <w:tr>
        <w:tc>
          <w:tcPr/>
          <w:p>
            <w:pPr>
              <w:pStyle w:val="Compact"/>
              <w:jc w:val="left"/>
            </w:pPr>
            <w:r>
              <w:t xml:space="preserve">STEP 8 (Rubino 2022), PMID 35015037</w:t>
            </w:r>
          </w:p>
        </w:tc>
        <w:tc>
          <w:tcPr/>
          <w:p>
            <w:pPr>
              <w:pStyle w:val="Compact"/>
              <w:jc w:val="left"/>
            </w:pPr>
            <w:r>
              <w:t xml:space="preserve">Semaglutide 2.4 mg vs. liraglutide 3.0 mg, obesity</w:t>
            </w:r>
          </w:p>
        </w:tc>
        <w:tc>
          <w:tcPr/>
          <w:p>
            <w:pPr>
              <w:pStyle w:val="Compact"/>
              <w:jc w:val="left"/>
            </w:pPr>
            <w:r>
              <w:t xml:space="preserve">68 weeks</w:t>
            </w:r>
          </w:p>
        </w:tc>
        <w:tc>
          <w:tcPr/>
          <w:p>
            <w:pPr>
              <w:pStyle w:val="Compact"/>
              <w:jc w:val="left"/>
            </w:pPr>
            <w:r>
              <w:t xml:space="preserve">weight −15.8% vs. −6.4%</w:t>
            </w:r>
          </w:p>
        </w:tc>
      </w:tr>
      <w:tr>
        <w:tc>
          <w:tcPr/>
          <w:p>
            <w:pPr>
              <w:pStyle w:val="Compact"/>
              <w:jc w:val="left"/>
            </w:pPr>
            <w:r>
              <w:t xml:space="preserve">REDEFINE 5 (Yamauchi 2026), PMID 42009015</w:t>
            </w:r>
          </w:p>
        </w:tc>
        <w:tc>
          <w:tcPr/>
          <w:p>
            <w:pPr>
              <w:pStyle w:val="Compact"/>
              <w:jc w:val="left"/>
            </w:pPr>
            <w:r>
              <w:t xml:space="preserve">CagriSema vs. semaglutide 2.4 mg, Japan and Taiwan, blinded</w:t>
            </w:r>
          </w:p>
        </w:tc>
        <w:tc>
          <w:tcPr/>
          <w:p>
            <w:pPr>
              <w:pStyle w:val="Compact"/>
              <w:jc w:val="left"/>
            </w:pPr>
            <w:r>
              <w:t xml:space="preserve">68 weeks</w:t>
            </w:r>
          </w:p>
        </w:tc>
        <w:tc>
          <w:tcPr/>
          <w:p>
            <w:pPr>
              <w:pStyle w:val="Compact"/>
              <w:jc w:val="left"/>
            </w:pPr>
            <w:r>
              <w:t xml:space="preserve">weight −18.4% vs. −11.9%</w:t>
            </w:r>
          </w:p>
        </w:tc>
      </w:tr>
      <w:tr>
        <w:tc>
          <w:tcPr/>
          <w:p>
            <w:pPr>
              <w:pStyle w:val="Compact"/>
              <w:jc w:val="left"/>
            </w:pPr>
            <w:r>
              <w:t xml:space="preserve">SURPASS-2 (Frías 2021), PMID 34170647</w:t>
            </w:r>
          </w:p>
        </w:tc>
        <w:tc>
          <w:tcPr/>
          <w:p>
            <w:pPr>
              <w:pStyle w:val="Compact"/>
              <w:jc w:val="left"/>
            </w:pPr>
            <w:r>
              <w:t xml:space="preserve">Tirzepatide vs. semaglutide 1 mg, type 2 diabetes, open-label</w:t>
            </w:r>
          </w:p>
        </w:tc>
        <w:tc>
          <w:tcPr/>
          <w:p>
            <w:pPr>
              <w:pStyle w:val="Compact"/>
              <w:jc w:val="left"/>
            </w:pPr>
            <w:r>
              <w:t xml:space="preserve">40 weeks</w:t>
            </w:r>
          </w:p>
        </w:tc>
        <w:tc>
          <w:tcPr/>
          <w:p>
            <w:pPr>
              <w:pStyle w:val="Compact"/>
              <w:jc w:val="left"/>
            </w:pPr>
            <w:r>
              <w:t xml:space="preserve">HbA1c −2.01 to −2.30 vs. −1.86; additional weight −1.9 to −5.5 kg</w:t>
            </w:r>
          </w:p>
        </w:tc>
      </w:tr>
      <w:tr>
        <w:tc>
          <w:tcPr/>
          <w:p>
            <w:pPr>
              <w:pStyle w:val="Compact"/>
              <w:jc w:val="left"/>
            </w:pPr>
            <w:r>
              <w:t xml:space="preserve">REIMAGINE 2 (Buse 2026), PMID 42251859</w:t>
            </w:r>
          </w:p>
        </w:tc>
        <w:tc>
          <w:tcPr/>
          <w:p>
            <w:pPr>
              <w:pStyle w:val="Compact"/>
              <w:jc w:val="left"/>
            </w:pPr>
            <w:r>
              <w:t xml:space="preserve">CagriSema vs. semaglutide 2.4 mg, type 2 diabetes</w:t>
            </w:r>
          </w:p>
        </w:tc>
        <w:tc>
          <w:tcPr/>
          <w:p>
            <w:pPr>
              <w:pStyle w:val="Compact"/>
              <w:jc w:val="left"/>
            </w:pPr>
            <w:r>
              <w:t xml:space="preserve">68 weeks</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semaglutide tablet, open-label</w:t>
            </w:r>
          </w:p>
        </w:tc>
        <w:tc>
          <w:tcPr/>
          <w:p>
            <w:pPr>
              <w:pStyle w:val="Compact"/>
              <w:jc w:val="left"/>
            </w:pPr>
            <w:r>
              <w:t xml:space="preserve">52 weeks</w:t>
            </w:r>
          </w:p>
        </w:tc>
        <w:tc>
          <w:tcPr/>
          <w:p>
            <w:pPr>
              <w:pStyle w:val="Compact"/>
              <w:jc w:val="left"/>
            </w:pPr>
            <w:r>
              <w:t xml:space="preserve">HbA1c −1.91 vs. −1.47 (higher dose of each)</w:t>
            </w:r>
          </w:p>
        </w:tc>
      </w:tr>
      <w:tr>
        <w:tc>
          <w:tcPr/>
          <w:p>
            <w:pPr>
              <w:pStyle w:val="Compact"/>
              <w:jc w:val="left"/>
            </w:pPr>
            <w:r>
              <w:t xml:space="preserve">SUSTAIN 7 (Pratley 2018), PMID 29397376</w:t>
            </w:r>
          </w:p>
        </w:tc>
        <w:tc>
          <w:tcPr/>
          <w:p>
            <w:pPr>
              <w:pStyle w:val="Compact"/>
              <w:jc w:val="left"/>
            </w:pPr>
            <w:r>
              <w:t xml:space="preserve">Semaglutide vs. dulaglutide</w:t>
            </w:r>
          </w:p>
        </w:tc>
        <w:tc>
          <w:tcPr/>
          <w:p>
            <w:pPr>
              <w:pStyle w:val="Compact"/>
              <w:jc w:val="left"/>
            </w:pPr>
            <w:r>
              <w:t xml:space="preserve">40 weeks</w:t>
            </w:r>
          </w:p>
        </w:tc>
        <w:tc>
          <w:tcPr/>
          <w:p>
            <w:pPr>
              <w:pStyle w:val="Compact"/>
              <w:jc w:val="left"/>
            </w:pPr>
            <w:r>
              <w:t xml:space="preserve">HbA1c −1.8 vs. −1.4; weight −6.5 vs. −3.0 kg</w:t>
            </w:r>
          </w:p>
        </w:tc>
      </w:tr>
      <w:tr>
        <w:tc>
          <w:tcPr/>
          <w:p>
            <w:pPr>
              <w:pStyle w:val="Compact"/>
              <w:jc w:val="left"/>
            </w:pPr>
            <w:r>
              <w:t xml:space="preserve">SUSTAIN 10 (Capehorn 2020), PMID 31539622</w:t>
            </w:r>
          </w:p>
        </w:tc>
        <w:tc>
          <w:tcPr/>
          <w:p>
            <w:pPr>
              <w:pStyle w:val="Compact"/>
              <w:jc w:val="left"/>
            </w:pPr>
            <w:r>
              <w:t xml:space="preserve">Semaglutide 1.0 mg vs. liraglutide 1.2 mg</w:t>
            </w:r>
          </w:p>
        </w:tc>
        <w:tc>
          <w:tcPr/>
          <w:p>
            <w:pPr>
              <w:pStyle w:val="Compact"/>
              <w:jc w:val="left"/>
            </w:pPr>
            <w:r>
              <w:t xml:space="preserve">30 weeks</w:t>
            </w:r>
          </w:p>
        </w:tc>
        <w:tc>
          <w:tcPr/>
          <w:p>
            <w:pPr>
              <w:pStyle w:val="Compact"/>
              <w:jc w:val="left"/>
            </w:pPr>
            <w:r>
              <w:t xml:space="preserve">HbA1c −1.7 vs. −1.0; weight −5.8 vs. −1.9 kg</w:t>
            </w:r>
          </w:p>
        </w:tc>
      </w:tr>
      <w:tr>
        <w:tc>
          <w:tcPr/>
          <w:p>
            <w:pPr>
              <w:pStyle w:val="Compact"/>
              <w:jc w:val="left"/>
            </w:pPr>
            <w:r>
              <w:t xml:space="preserve">SUSTAIN 3 (Ahmann 2018), PMID 29246950</w:t>
            </w:r>
          </w:p>
        </w:tc>
        <w:tc>
          <w:tcPr/>
          <w:p>
            <w:pPr>
              <w:pStyle w:val="Compact"/>
              <w:jc w:val="left"/>
            </w:pPr>
            <w:r>
              <w:t xml:space="preserve">Semaglutide vs. exenatide weekly, open-label</w:t>
            </w:r>
          </w:p>
        </w:tc>
        <w:tc>
          <w:tcPr/>
          <w:p>
            <w:pPr>
              <w:pStyle w:val="Compact"/>
              <w:jc w:val="left"/>
            </w:pPr>
            <w:r>
              <w:t xml:space="preserve">56 weeks</w:t>
            </w:r>
          </w:p>
        </w:tc>
        <w:tc>
          <w:tcPr/>
          <w:p>
            <w:pPr>
              <w:pStyle w:val="Compact"/>
              <w:jc w:val="left"/>
            </w:pPr>
            <w:r>
              <w:t xml:space="preserve">HbA1c −1.5 vs. −0.9; weight −5.6 vs. −1.9 kg</w:t>
            </w:r>
          </w:p>
        </w:tc>
      </w:tr>
      <w:tr>
        <w:tc>
          <w:tcPr/>
          <w:p>
            <w:pPr>
              <w:pStyle w:val="Compact"/>
              <w:jc w:val="left"/>
            </w:pPr>
            <w:r>
              <w:t xml:space="preserve">PIONEER 4 (Pratley 2019), PMID 31186120</w:t>
            </w:r>
          </w:p>
        </w:tc>
        <w:tc>
          <w:tcPr/>
          <w:p>
            <w:pPr>
              <w:pStyle w:val="Compact"/>
              <w:jc w:val="left"/>
            </w:pPr>
            <w:r>
              <w:t xml:space="preserve">Semaglutide tablet vs. liraglutide injection</w:t>
            </w:r>
          </w:p>
        </w:tc>
        <w:tc>
          <w:tcPr/>
          <w:p>
            <w:pPr>
              <w:pStyle w:val="Compact"/>
              <w:jc w:val="left"/>
            </w:pPr>
            <w:r>
              <w:t xml:space="preserve">26 weeks (study 52)</w:t>
            </w:r>
          </w:p>
        </w:tc>
        <w:tc>
          <w:tcPr/>
          <w:p>
            <w:pPr>
              <w:pStyle w:val="Compact"/>
              <w:jc w:val="left"/>
            </w:pPr>
            <w:r>
              <w:t xml:space="preserve">HbA1c −1.2 vs. −1.1 (non-inferior)</w:t>
            </w:r>
          </w:p>
        </w:tc>
      </w:tr>
      <w:tr>
        <w:tc>
          <w:tcPr/>
          <w:p>
            <w:pPr>
              <w:pStyle w:val="Compact"/>
              <w:jc w:val="left"/>
            </w:pPr>
            <w:r>
              <w:t xml:space="preserve">AWARD-6 (Dungan 2014), PMID 25018121</w:t>
            </w:r>
          </w:p>
        </w:tc>
        <w:tc>
          <w:tcPr/>
          <w:p>
            <w:pPr>
              <w:pStyle w:val="Compact"/>
              <w:jc w:val="left"/>
            </w:pPr>
            <w:r>
              <w:t xml:space="preserve">Dulaglutide vs. liraglutide 1.8 mg, open-label</w:t>
            </w:r>
          </w:p>
        </w:tc>
        <w:tc>
          <w:tcPr/>
          <w:p>
            <w:pPr>
              <w:pStyle w:val="Compact"/>
              <w:jc w:val="left"/>
            </w:pPr>
            <w:r>
              <w:t xml:space="preserve">26 weeks</w:t>
            </w:r>
          </w:p>
        </w:tc>
        <w:tc>
          <w:tcPr/>
          <w:p>
            <w:pPr>
              <w:pStyle w:val="Compact"/>
              <w:jc w:val="left"/>
            </w:pPr>
            <w:r>
              <w:t xml:space="preserve">HbA1c −1.42 vs. −1.36, equivalent</w:t>
            </w:r>
          </w:p>
        </w:tc>
      </w:tr>
      <w:tr>
        <w:tc>
          <w:tcPr/>
          <w:p>
            <w:pPr>
              <w:pStyle w:val="Compact"/>
              <w:jc w:val="left"/>
            </w:pPr>
            <w:r>
              <w:t xml:space="preserve">DURATION-6 (Buse 2013), PMID 23141817</w:t>
            </w:r>
          </w:p>
        </w:tc>
        <w:tc>
          <w:tcPr/>
          <w:p>
            <w:pPr>
              <w:pStyle w:val="Compact"/>
              <w:jc w:val="left"/>
            </w:pPr>
            <w:r>
              <w:t xml:space="preserve">Exenatide weekly vs. liraglutide, open-label</w:t>
            </w:r>
          </w:p>
        </w:tc>
        <w:tc>
          <w:tcPr/>
          <w:p>
            <w:pPr>
              <w:pStyle w:val="Compact"/>
              <w:jc w:val="left"/>
            </w:pPr>
            <w:r>
              <w:t xml:space="preserve">26 weeks</w:t>
            </w:r>
          </w:p>
        </w:tc>
        <w:tc>
          <w:tcPr/>
          <w:p>
            <w:pPr>
              <w:pStyle w:val="Compact"/>
              <w:jc w:val="left"/>
            </w:pPr>
            <w:r>
              <w:t xml:space="preserve">HbA1c −1.28 vs. −1.48; non-inferiority missed</w:t>
            </w:r>
          </w:p>
        </w:tc>
      </w:tr>
      <w:tr>
        <w:tc>
          <w:tcPr/>
          <w:p>
            <w:pPr>
              <w:pStyle w:val="Compact"/>
              <w:jc w:val="left"/>
            </w:pPr>
            <w:r>
              <w:t xml:space="preserve">DREAMS-2 (Guo 2026), PMID 41407860</w:t>
            </w:r>
          </w:p>
        </w:tc>
        <w:tc>
          <w:tcPr/>
          <w:p>
            <w:pPr>
              <w:pStyle w:val="Compact"/>
              <w:jc w:val="left"/>
            </w:pPr>
            <w:r>
              <w:t xml:space="preserve">Mazdutide vs. dulaglutide 1.5 mg, China</w:t>
            </w:r>
          </w:p>
        </w:tc>
        <w:tc>
          <w:tcPr/>
          <w:p>
            <w:pPr>
              <w:pStyle w:val="Compact"/>
              <w:jc w:val="left"/>
            </w:pPr>
            <w:r>
              <w:t xml:space="preserve">28 weeks</w:t>
            </w:r>
          </w:p>
        </w:tc>
        <w:tc>
          <w:tcPr/>
          <w:p>
            <w:pPr>
              <w:pStyle w:val="Compact"/>
              <w:jc w:val="left"/>
            </w:pPr>
            <w:r>
              <w:t xml:space="preserve">HbA1c additional −0.24 / −0.30</w:t>
            </w:r>
          </w:p>
        </w:tc>
      </w:tr>
      <w:tr>
        <w:tc>
          <w:tcPr/>
          <w:p>
            <w:pPr>
              <w:pStyle w:val="Compact"/>
              <w:jc w:val="left"/>
            </w:pPr>
            <w:r>
              <w:t xml:space="preserve">SURPASS-CVOT (Nicholls 2025), PMID 41406444</w:t>
            </w:r>
          </w:p>
        </w:tc>
        <w:tc>
          <w:tcPr/>
          <w:p>
            <w:pPr>
              <w:pStyle w:val="Compact"/>
              <w:jc w:val="left"/>
            </w:pPr>
            <w:r>
              <w:t xml:space="preserve">Tirzepatide vs. dulaglutide, cardiovascular events</w:t>
            </w:r>
          </w:p>
        </w:tc>
        <w:tc>
          <w:tcPr/>
          <w:p>
            <w:pPr>
              <w:pStyle w:val="Compact"/>
              <w:jc w:val="left"/>
            </w:pPr>
            <w:r>
              <w:t xml:space="preserve">several years</w:t>
            </w:r>
          </w:p>
        </w:tc>
        <w:tc>
          <w:tcPr/>
          <w:p>
            <w:pPr>
              <w:pStyle w:val="Compact"/>
              <w:jc w:val="left"/>
            </w:pPr>
            <w:r>
              <w:t xml:space="preserve">HR 0.92, non-inferior</w:t>
            </w:r>
          </w:p>
        </w:tc>
      </w:tr>
    </w:tbl>
    <w:p>
      <w:pPr>
        <w:pStyle w:val="BodyText"/>
      </w:pPr>
      <w:r>
        <w:rPr>
          <w:bCs/>
          <w:b/>
        </w:rPr>
        <w:t xml:space="preserve">What the head-to-head trials show:</w:t>
      </w:r>
    </w:p>
    <w:p>
      <w:pPr>
        <w:numPr>
          <w:ilvl w:val="0"/>
          <w:numId w:val="1329"/>
        </w:numPr>
        <w:pStyle w:val="Compact"/>
      </w:pPr>
      <w:r>
        <w:rPr>
          <w:bCs/>
          <w:b/>
        </w:rPr>
        <w:t xml:space="preserve">For weight, the ranking is clear.</w:t>
      </w:r>
      <w:r>
        <w:t xml:space="preserve"> </w:t>
      </w:r>
      <w:r>
        <w:t xml:space="preserve">Semaglutide 2.4 mg outperformed liraglutide 3.0 mg by 9.4 percentage points (STEP 8), tirzepatide outperformed semaglutide 2.4 mg by 6.5 percentage points (SURMOUNT-5), and CagriSema outperformed semaglutide 2.4 mg in East Asia, likewise by 6.5 percentage points (REDEFINE 5). In SURMOUNT-5, more participants on tirzepatide reached each of the thresholds of 10, 15, 20, and 25%, and waist circumference decreased by 18.4 cm versus 13.0 cm.</w:t>
      </w:r>
    </w:p>
    <w:p>
      <w:pPr>
        <w:numPr>
          <w:ilvl w:val="0"/>
          <w:numId w:val="1329"/>
        </w:numPr>
        <w:pStyle w:val="Compact"/>
      </w:pPr>
      <w:r>
        <w:rPr>
          <w:bCs/>
          <w:b/>
        </w:rPr>
        <w:t xml:space="preserve">For blood sugar, the gaps are smaller.</w:t>
      </w:r>
      <w:r>
        <w:t xml:space="preserve"> </w:t>
      </w:r>
      <w:r>
        <w:t xml:space="preserve">Between the weekly GLP-1 agonists there are usually only tenths of a point; tirzepatide lowered HbA1c in SURPASS-2 by 0.15 to 0.45 percentage points more than semaglutide 1 mg.</w:t>
      </w:r>
    </w:p>
    <w:p>
      <w:pPr>
        <w:numPr>
          <w:ilvl w:val="0"/>
          <w:numId w:val="1329"/>
        </w:numPr>
        <w:pStyle w:val="Compact"/>
      </w:pPr>
      <w:r>
        <w:rPr>
          <w:bCs/>
          <w:b/>
        </w:rPr>
        <w:t xml:space="preserve">For hard endpoints, there has so far been only one head-to-head comparison.</w:t>
      </w:r>
      <w:r>
        <w:t xml:space="preserve"> </w:t>
      </w:r>
      <w:r>
        <w:t xml:space="preserve">SURPASS-CVOT showed that tirzepatide is non-inferior to dulaglutide; superiority was not demonstrated.</w:t>
      </w:r>
    </w:p>
    <w:p>
      <w:pPr>
        <w:numPr>
          <w:ilvl w:val="0"/>
          <w:numId w:val="1329"/>
        </w:numPr>
        <w:pStyle w:val="Compact"/>
      </w:pPr>
      <w:r>
        <w:rPr>
          <w:bCs/>
          <w:b/>
        </w:rPr>
        <w:t xml:space="preserve">The limitations are considerable.</w:t>
      </w:r>
      <w:r>
        <w:t xml:space="preserve"> </w:t>
      </w:r>
      <w:r>
        <w:t xml:space="preserve">SURMOUNT-5 and SURPASS-2 were open-label and funded by the manufacturer of tirzepatide; SURPASS-2 used semaglutide only at the 1 mg dose. REDEFINE 5 was conducted exclusively in Japan and Taiwan. The differences in SURMOUNT-5, however, are so large that they can hardly be explained by these weaknesses alone.</w:t>
      </w:r>
    </w:p>
    <w:p>
      <w:pPr>
        <w:pStyle w:val="FirstParagraph"/>
      </w:pPr>
      <w:r>
        <w:rPr>
          <w:bCs/>
          <w:b/>
        </w:rPr>
        <w:t xml:space="preserve">Still pending (registered studies):</w:t>
      </w:r>
      <w:r>
        <w:t xml:space="preserve"> </w:t>
      </w:r>
      <w:r>
        <w:t xml:space="preserve">The direct comparison of retatrutide with tirzepatide in 800 adults with obesity</w:t>
      </w:r>
      <w:r>
        <w:rPr>
          <w:rStyle w:val="FootnoteReference"/>
        </w:rPr>
        <w:footnoteReference w:id="2576"/>
      </w:r>
      <w:r>
        <w:t xml:space="preserve"> </w:t>
      </w:r>
      <w:r>
        <w:t xml:space="preserve">is scheduled for completion at the end of 2026. The comparison trial of CagriSema versus tirzepatide in obesity (REDEFINE 4, NCT06131437) is completed according to the registry; a peer-reviewed publication was not available at the editorial deadline. Mazdutide is being tested against semaglutide in China</w:t>
      </w:r>
      <w:r>
        <w:rPr>
          <w:rStyle w:val="FootnoteReference"/>
        </w:rPr>
        <w:footnoteReference w:id="2577"/>
      </w:r>
      <w:r>
        <w:t xml:space="preserve">.</w:t>
      </w:r>
    </w:p>
    <w:bookmarkEnd w:id="2578"/>
    <w:bookmarkStart w:id="2579" w:name="conclusion-58"/>
    <w:p>
      <w:pPr>
        <w:pStyle w:val="Heading3"/>
      </w:pPr>
      <w:r>
        <w:t xml:space="preserve">Conclusion</w:t>
      </w:r>
    </w:p>
    <w:p>
      <w:pPr>
        <w:pStyle w:val="FirstParagraph"/>
      </w:pPr>
      <w:r>
        <w:t xml:space="preserve">The incretin drugs form a clear tiered pattern: for weight loss, the mean values in the approval trials range from around 8% (liraglutide) through just under 15% (semaglutide 2.4 mg) and around 20% (tirzepatide, CagriSema) to 25% (retatrutide), with the head-to-head trials confirming this order for the pairs compared so far. For the heart and kidneys, benefit has so far been demonstrated in placebo-controlled trials only for the older GLP-1 agonists and semaglutide; whether the more potent successors achieve more here remains open. Side effects are similar across the whole class and mainly affect the gastrointestinal tract; discontinuation rates rise with dose and treatment duration. Cross-trial comparisons between individual studies remain a rough guide – for choosing a drug in an individual case, the prescribing information and medical advice are what count.</w:t>
      </w:r>
    </w:p>
    <w:bookmarkEnd w:id="2579"/>
    <w:bookmarkEnd w:id="2580"/>
    <w:bookmarkStart w:id="2603" w:name="promises-versus-evidence"/>
    <w:p>
      <w:pPr>
        <w:pStyle w:val="Heading2"/>
      </w:pPr>
      <w:r>
        <w:t xml:space="preserve">Promises Versus Evidence</w:t>
      </w:r>
    </w:p>
    <w:p>
      <w:pPr>
        <w:pStyle w:val="FirstParagraph"/>
      </w:pPr>
      <w:r>
        <w:t xml:space="preserve">If you search the internet for peptides, you will quickly come across shops, videos, and forums in which certain substances are described in grand terms: they are said to repair tendons, slow aging, melt away fat, or sharpen memory. This chapter sets such typical advertising promises against what studies in humans have actually shown.</w:t>
      </w:r>
    </w:p>
    <w:p>
      <w:pPr>
        <w:pStyle w:val="BodyText"/>
      </w:pPr>
      <w:r>
        <w:t xml:space="preserve">The peptides selected are those most frequently advertised on German- and English-language websites in 2026. The promises are phrased in general terms and summarize recurring claims; they do not come from any specific seller. The column</w:t>
      </w:r>
      <w:r>
        <w:t xml:space="preserve"> </w:t>
      </w:r>
      <w:r>
        <w:t xml:space="preserve">“</w:t>
      </w:r>
      <w:r>
        <w:t xml:space="preserve">What human studies show</w:t>
      </w:r>
      <w:r>
        <w:t xml:space="preserve">”</w:t>
      </w:r>
      <w:r>
        <w:t xml:space="preserve"> </w:t>
      </w:r>
      <w:r>
        <w:t xml:space="preserve">is based on the chapters in Part II, where the sources are discussed in detail. Animal experiments and laboratory results are explicitly labeled as such.</w:t>
      </w:r>
    </w:p>
    <w:p>
      <w:pPr>
        <w:pStyle w:val="BodyText"/>
      </w:pPr>
      <w:r>
        <w:t xml:space="preserve">A preliminary remark: the fact that a benefit has not been demonstrated does not automatically mean that a substance is ineffective. It means that nobody knows – including the sellers who sell it. Likewise: for barely studied substances, the fact that no side effects have been published does not mean they are safe, only that nobody has systematically looked for them.</w:t>
      </w:r>
    </w:p>
    <w:bookmarkStart w:id="2581" w:name="the-most-popular-peptides-fact-checked"/>
    <w:p>
      <w:pPr>
        <w:pStyle w:val="Heading3"/>
      </w:pPr>
      <w:r>
        <w:t xml:space="preserve">The most popular peptides fact-checked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Typical advertising promise</w:t>
            </w:r>
          </w:p>
        </w:tc>
        <w:tc>
          <w:tcPr/>
          <w:p>
            <w:pPr>
              <w:pStyle w:val="Compact"/>
              <w:jc w:val="left"/>
            </w:pPr>
            <w:r>
              <w:t xml:space="preserve">What human studies show</w:t>
            </w:r>
          </w:p>
        </w:tc>
        <w:tc>
          <w:tcPr/>
          <w:p>
            <w:pPr>
              <w:pStyle w:val="Compact"/>
              <w:jc w:val="left"/>
            </w:pPr>
            <w:r>
              <w:t xml:space="preserve">Evidence</w:t>
            </w:r>
          </w:p>
        </w:tc>
      </w:tr>
      <w:tr>
        <w:tc>
          <w:tcPr/>
          <w:p>
            <w:pPr>
              <w:pStyle w:val="Compact"/>
              <w:jc w:val="left"/>
            </w:pPr>
            <w:r>
              <w:t xml:space="preserve">BPC-157</w:t>
            </w:r>
          </w:p>
        </w:tc>
        <w:tc>
          <w:tcPr/>
          <w:p>
            <w:pPr>
              <w:pStyle w:val="Compact"/>
              <w:jc w:val="left"/>
            </w:pPr>
            <w:r>
              <w:t xml:space="preserve">Speeds up healing of tendons, ligaments, muscles, and gut</w:t>
            </w:r>
          </w:p>
        </w:tc>
        <w:tc>
          <w:tcPr/>
          <w:p>
            <w:pPr>
              <w:pStyle w:val="Compact"/>
              <w:jc w:val="left"/>
            </w:pPr>
            <w:r>
              <w:t xml:space="preserve">Three uncontrolled studies with a total of 30 people (knee, bladder, tolerability); according to a systematic review, very low certainty of evidence (Poolton 2026, PMID 42885452). The many positive results come from animal experiments, predominantly from a single research group.</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Repairs tissue, tendons, and muscles, improves mobility</w:t>
            </w:r>
          </w:p>
        </w:tc>
        <w:tc>
          <w:tcPr/>
          <w:p>
            <w:pPr>
              <w:pStyle w:val="Compact"/>
              <w:jc w:val="left"/>
            </w:pPr>
            <w:r>
              <w:t xml:space="preserve">TB-500 has never been tested in a published human study. The full protein thymosin beta-4 did not significantly reduce overall infarct size after a heart attack (Zhang 2025, PMID 41229390). Gray-market products did not consistently contain what was stated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Boosts growth hormone for muscle building, fat loss, and sleep</w:t>
            </w:r>
          </w:p>
        </w:tc>
        <w:tc>
          <w:tcPr/>
          <w:p>
            <w:pPr>
              <w:pStyle w:val="Compact"/>
              <w:jc w:val="left"/>
            </w:pPr>
            <w:r>
              <w:t xml:space="preserve">In healthy people, growth hormone and IGF-1 rose for about six to eleven days after a single injection (Teichman 2006, PMID 16352683). Whether this leads to any benefit was never studied. For the most commonly sold variant without</w:t>
            </w:r>
            <w:r>
              <w:t xml:space="preserve"> </w:t>
            </w:r>
            <w:r>
              <w:t xml:space="preserve">“</w:t>
            </w:r>
            <w:r>
              <w:t xml:space="preserve">DAC</w:t>
            </w:r>
            <w:r>
              <w:t xml:space="preserve">”</w:t>
            </w:r>
            <w:r>
              <w:t xml:space="preserve"> </w:t>
            </w:r>
            <w:r>
              <w:t xml:space="preserve">there is no human study.</w:t>
            </w:r>
          </w:p>
        </w:tc>
        <w:tc>
          <w:tcPr/>
          <w:p>
            <w:pPr>
              <w:pStyle w:val="Compact"/>
              <w:jc w:val="left"/>
            </w:pPr>
            <w:r>
              <w:t xml:space="preserve">C</w:t>
            </w:r>
          </w:p>
        </w:tc>
      </w:tr>
      <w:tr>
        <w:tc>
          <w:tcPr/>
          <w:p>
            <w:pPr>
              <w:pStyle w:val="Compact"/>
              <w:jc w:val="left"/>
            </w:pPr>
            <w:r>
              <w:t xml:space="preserve">Ipamorelin</w:t>
            </w:r>
          </w:p>
        </w:tc>
        <w:tc>
          <w:tcPr/>
          <w:p>
            <w:pPr>
              <w:pStyle w:val="Compact"/>
              <w:jc w:val="left"/>
            </w:pPr>
            <w:r>
              <w:t xml:space="preserve">Gentle growth hormone booster without side effects</w:t>
            </w:r>
          </w:p>
        </w:tc>
        <w:tc>
          <w:tcPr/>
          <w:p>
            <w:pPr>
              <w:pStyle w:val="Compact"/>
              <w:jc w:val="left"/>
            </w:pPr>
            <w:r>
              <w:t xml:space="preserve">Only published efficacy study: 117 people after bowel surgery, no significant benefit (Beck 2014, PMID 25331030). No human study on muscle, fat, sleep, or aging.</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Lengthens telomeres and turns back the biological clock</w:t>
            </w:r>
          </w:p>
        </w:tc>
        <w:tc>
          <w:tcPr/>
          <w:p>
            <w:pPr>
              <w:pStyle w:val="Compact"/>
              <w:jc w:val="left"/>
            </w:pPr>
            <w:r>
              <w:t xml:space="preserve">Telomere lengthening only in cell cultures (Khavinson 2003, PMID 12937682). In mice, no longer average lifespan (Anisimov 2003, PMID 14501183). No sufficiently large randomized study in humans.</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w:t>
            </w:r>
            <w:r>
              <w:t xml:space="preserve">Exercise in a syringe</w:t>
            </w:r>
            <w:r>
              <w:t xml:space="preserve">”</w:t>
            </w:r>
            <w:r>
              <w:t xml:space="preserve">: more endurance, less fat, better insulin action</w:t>
            </w:r>
          </w:p>
        </w:tc>
        <w:tc>
          <w:tcPr/>
          <w:p>
            <w:pPr>
              <w:pStyle w:val="Compact"/>
              <w:jc w:val="left"/>
            </w:pPr>
            <w:r>
              <w:t xml:space="preserve">These effects were seen in mice (Lee 2015, PMID 25738459). In humans there are only measurements of the body’s own levels, no published study administering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Boosts concentration, memory, and performance</w:t>
            </w:r>
          </w:p>
        </w:tc>
        <w:tc>
          <w:tcPr/>
          <w:p>
            <w:pPr>
              <w:pStyle w:val="Compact"/>
              <w:jc w:val="left"/>
            </w:pPr>
            <w:r>
              <w:t xml:space="preserve">Small, mostly non-randomized Russian studies in stroke, for example a study with 110 people (Gusev 2018, PMID 29798983). No meaningful data for healthy people.</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Relieves anxiety without drowsiness or dependence</w:t>
            </w:r>
          </w:p>
        </w:tc>
        <w:tc>
          <w:tcPr/>
          <w:p>
            <w:pPr>
              <w:pStyle w:val="Compact"/>
              <w:jc w:val="left"/>
            </w:pPr>
            <w:r>
              <w:t xml:space="preserve">Three small Russian studies without a placebo group, including 62 people compared with a benzodiazepine (Zozulia 2008, PMID 18454096). There are no studies on concentration in healthy people.</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Tan without sunburn, more libido</w:t>
            </w:r>
          </w:p>
        </w:tc>
        <w:tc>
          <w:tcPr/>
          <w:p>
            <w:pPr>
              <w:pStyle w:val="Compact"/>
              <w:jc w:val="left"/>
            </w:pPr>
            <w:r>
              <w:t xml:space="preserve">Small pilot studies from the 1990s with around two dozen people, frequent nausea (Wessells 2000, PMID 11035391). Case reports of new moles, melanomas, and priapism. Vials from online shops contained 4.32 to 8.84 mg instead of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Firms the skin, builds collagen, promotes hair growth</w:t>
            </w:r>
          </w:p>
        </w:tc>
        <w:tc>
          <w:tcPr/>
          <w:p>
            <w:pPr>
              <w:pStyle w:val="Compact"/>
              <w:jc w:val="left"/>
            </w:pPr>
            <w:r>
              <w:t xml:space="preserve">An older randomized study in diabetic foot ulcers with a positive result (Mulder 1994, PMID 17147644). A small skin study after laser treatment found no measurable difference (Miller 2006, PMID 16847171). No data on injections.</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Fat-burning fragment of growth hormone</w:t>
            </w:r>
          </w:p>
        </w:tc>
        <w:tc>
          <w:tcPr/>
          <w:p>
            <w:pPr>
              <w:pStyle w:val="Compact"/>
              <w:jc w:val="left"/>
            </w:pPr>
            <w:r>
              <w:t xml:space="preserve">Less weight gain in mice (Heffernan 2001, PMID 11673763). Human studies were conducted but never published in peer-reviewed journals; development was discontinued.</w:t>
            </w:r>
          </w:p>
        </w:tc>
        <w:tc>
          <w:tcPr/>
          <w:p>
            <w:pPr>
              <w:pStyle w:val="Compact"/>
              <w:jc w:val="left"/>
            </w:pPr>
            <w:r>
              <w:t xml:space="preserve">D</w:t>
            </w:r>
          </w:p>
        </w:tc>
      </w:tr>
      <w:tr>
        <w:tc>
          <w:tcPr/>
          <w:p>
            <w:pPr>
              <w:pStyle w:val="Compact"/>
              <w:jc w:val="left"/>
            </w:pPr>
            <w:r>
              <w:t xml:space="preserve">Collagen peptides</w:t>
            </w:r>
          </w:p>
        </w:tc>
        <w:tc>
          <w:tcPr/>
          <w:p>
            <w:pPr>
              <w:pStyle w:val="Compact"/>
              <w:jc w:val="left"/>
            </w:pPr>
            <w:r>
              <w:t xml:space="preserve">Firmer skin, healthy joints, more muscle</w:t>
            </w:r>
          </w:p>
        </w:tc>
        <w:tc>
          <w:tcPr/>
          <w:p>
            <w:pPr>
              <w:pStyle w:val="Compact"/>
              <w:jc w:val="left"/>
            </w:pPr>
            <w:r>
              <w:t xml:space="preserve">Osteoarthritis: small to moderate effects in 35 randomized trials (PMID 38218227). Skin: no effect without industry funding (Myung 2025, PMID 40324552). Muscle: whey protein worked better than collagen (Oikawa 2020, PMID 31919527).</w:t>
            </w:r>
          </w:p>
        </w:tc>
        <w:tc>
          <w:tcPr/>
          <w:p>
            <w:pPr>
              <w:pStyle w:val="Compact"/>
              <w:jc w:val="left"/>
            </w:pPr>
            <w:r>
              <w:t xml:space="preserve">B</w:t>
            </w:r>
          </w:p>
        </w:tc>
      </w:tr>
      <w:tr>
        <w:tc>
          <w:tcPr/>
          <w:p>
            <w:pPr>
              <w:pStyle w:val="Compact"/>
              <w:jc w:val="left"/>
            </w:pPr>
            <w:r>
              <w:t xml:space="preserve">Glutathione</w:t>
            </w:r>
          </w:p>
        </w:tc>
        <w:tc>
          <w:tcPr/>
          <w:p>
            <w:pPr>
              <w:pStyle w:val="Compact"/>
              <w:jc w:val="left"/>
            </w:pPr>
            <w:r>
              <w:t xml:space="preserve">Detoxifies, lightens the skin, strengthens the immune system</w:t>
            </w:r>
          </w:p>
        </w:tc>
        <w:tc>
          <w:tcPr/>
          <w:p>
            <w:pPr>
              <w:pStyle w:val="Compact"/>
              <w:jc w:val="left"/>
            </w:pPr>
            <w:r>
              <w:t xml:space="preserve">As a capsule, it raised blood levels after six months (Richie 2015, PMID 24791752). As an infusion, it did not protect 185 cancer patients from nerve damage (Leal 2014, PMID 24619793). Infusions for skin lightening: no proven benefit, not justifiable according to a review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Forms new synapses, more potent than the body’s own growth factors</w:t>
            </w:r>
          </w:p>
        </w:tc>
        <w:tc>
          <w:tcPr/>
          <w:p>
            <w:pPr>
              <w:pStyle w:val="Compact"/>
              <w:jc w:val="left"/>
            </w:pPr>
            <w:r>
              <w:t xml:space="preserve">Never studied in humans; effects only in rats and mice, and a key paper on it was retracted in 2025 (PMID 25187433). The related agent fosgonimeton missed all primary and secondary goals in 287 people with Alzheimer’s disease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Stronger, longer-acting IGF-1 for muscle growth</w:t>
            </w:r>
          </w:p>
        </w:tc>
        <w:tc>
          <w:tcPr/>
          <w:p>
            <w:pPr>
              <w:pStyle w:val="Compact"/>
              <w:jc w:val="left"/>
            </w:pPr>
            <w:r>
              <w:t xml:space="preserve">Not a single human study. A black-market vial contained a laboratory variant that was never intended for injection (PMID 20675162).</w:t>
            </w:r>
          </w:p>
        </w:tc>
        <w:tc>
          <w:tcPr/>
          <w:p>
            <w:pPr>
              <w:pStyle w:val="Compact"/>
              <w:jc w:val="left"/>
            </w:pPr>
            <w:r>
              <w:t xml:space="preserve">D</w:t>
            </w:r>
          </w:p>
        </w:tc>
      </w:tr>
      <w:tr>
        <w:tc>
          <w:tcPr/>
          <w:p>
            <w:pPr>
              <w:pStyle w:val="Compact"/>
              <w:jc w:val="left"/>
            </w:pPr>
            <w:r>
              <w:t xml:space="preserve">Gray-market retatrutide</w:t>
            </w:r>
          </w:p>
        </w:tc>
        <w:tc>
          <w:tcPr/>
          <w:p>
            <w:pPr>
              <w:pStyle w:val="Compact"/>
              <w:jc w:val="left"/>
            </w:pPr>
            <w:r>
              <w:t xml:space="preserve">The most powerful weight-loss drug, available today</w:t>
            </w:r>
          </w:p>
        </w:tc>
        <w:tc>
          <w:tcPr/>
          <w:p>
            <w:pPr>
              <w:pStyle w:val="Compact"/>
              <w:jc w:val="left"/>
            </w:pPr>
            <w:r>
              <w:t xml:space="preserve">The drug itself is well studied: in TRIUMPH-1, −25.0% body weight after 80 weeks at the highest dose (Jastreboff 2026, PMID 42814954). This does not apply to gray-market goods: not approved, contents and purity unverified (Rubin 2026, PMID 42853576).</w:t>
            </w:r>
          </w:p>
        </w:tc>
        <w:tc>
          <w:tcPr/>
          <w:p>
            <w:pPr>
              <w:pStyle w:val="Compact"/>
              <w:jc w:val="left"/>
            </w:pPr>
            <w:r>
              <w:t xml:space="preserve">B (drug)</w:t>
            </w:r>
          </w:p>
        </w:tc>
      </w:tr>
    </w:tbl>
    <w:p>
      <w:pPr>
        <w:pStyle w:val="BodyText"/>
      </w:pPr>
      <w:r>
        <w:t xml:space="preserve">Note on the table: the evidence level refers to the advertised use or to the substance as it is sold. Level D applies to TB-500, level B to the full protein thymosin beta-4. For retatrutide, level B refers to the drug tested in studies; for gray-market products whose contents nobody knows, no evidence level can be given.</w:t>
      </w:r>
    </w:p>
    <w:p>
      <w:pPr>
        <w:pStyle w:val="BodyText"/>
      </w:pPr>
      <w:r>
        <w:t xml:space="preserve">The overall picture: of the 16 substances, none has evidence level A. Five have level D, meaning they have not been studied in humans at all. For the substances with level B – ipamorelin, collagen, glutathione – the best studies did not confirm the advertising promises or found only small effects. The only exception is retatrutide, whose strong effect is proven – but not for the product sold on the gray market.</w:t>
      </w:r>
    </w:p>
    <w:bookmarkEnd w:id="2581"/>
    <w:bookmarkStart w:id="2595" w:name="six-patterns-behind-the-promises"/>
    <w:p>
      <w:pPr>
        <w:pStyle w:val="Heading3"/>
      </w:pPr>
      <w:r>
        <w:t xml:space="preserve">Six patterns behind the promises</w:t>
      </w:r>
    </w:p>
    <w:p>
      <w:pPr>
        <w:pStyle w:val="FirstParagraph"/>
      </w:pPr>
      <w:r>
        <w:t xml:space="preserve">If you read the table row by row, you will recognize recurring patterns. They help in assessing claims about peptides that do not appear in this book.</w:t>
      </w:r>
    </w:p>
    <w:bookmarkStart w:id="2583" w:name="from-animals-to-humans"/>
    <w:p>
      <w:pPr>
        <w:pStyle w:val="Heading4"/>
      </w:pPr>
      <w:r>
        <w:t xml:space="preserve">1. From animals to humans</w:t>
      </w:r>
    </w:p>
    <w:p>
      <w:pPr>
        <w:pStyle w:val="FirstParagraph"/>
      </w:pPr>
      <w:r>
        <w:t xml:space="preserve">Almost all promises about BPC-157, TB-500, MOTS-c, Dihexa, AOD-9604, and Epitalon rely on experiments in rats, mice, or cell cultures. Such studies are important for understanding mechanisms of action. They do not predict whether a substance works the same way in humans: a large proportion of agents that succeed in animal experiments fail in human studies. A current example from this book is the memory peptide Dihexa. In rats, it promoted learning and synapse formation; the related agent fosgonimeton, which was supposed to act via the same growth factor system, missed all primary and secondary goals in a study of 287 people with Alzheimer’s disease</w:t>
      </w:r>
      <w:r>
        <w:rPr>
          <w:rStyle w:val="FootnoteReference"/>
        </w:rPr>
        <w:footnoteReference w:id="2582"/>
      </w:r>
      <w:r>
        <w:t xml:space="preserve">.</w:t>
      </w:r>
    </w:p>
    <w:p>
      <w:pPr>
        <w:pStyle w:val="BodyText"/>
      </w:pPr>
      <w:r>
        <w:t xml:space="preserve">With BPC-157 there is a second problem: the positive animal studies come predominantly from a single research group and have hardly been independently replicated.</w:t>
      </w:r>
    </w:p>
    <w:bookmarkEnd w:id="2583"/>
    <w:bookmarkStart w:id="2585" w:name="a-measured-value-is-not-yet-a-benefit"/>
    <w:p>
      <w:pPr>
        <w:pStyle w:val="Heading4"/>
      </w:pPr>
      <w:r>
        <w:t xml:space="preserve">2. A measured value is not yet a benefit</w:t>
      </w:r>
    </w:p>
    <w:p>
      <w:pPr>
        <w:pStyle w:val="FirstParagraph"/>
      </w:pPr>
      <w:r>
        <w:t xml:space="preserve">CJC-1295 raises growth hormone, Epitalon activates telomerase in cell cultures, glutathione capsules raise the glutathione level in the blood. These are substitute measures (</w:t>
      </w:r>
      <w:r>
        <w:t xml:space="preserve">“</w:t>
      </w:r>
      <w:r>
        <w:t xml:space="preserve">surrogate endpoints,</w:t>
      </w:r>
      <w:r>
        <w:t xml:space="preserve">”</w:t>
      </w:r>
      <w:r>
        <w:t xml:space="preserve"> </w:t>
      </w:r>
      <w:r>
        <w:t xml:space="preserve">see Part I). Whether anything that matters to people follows from them – more muscle strength, longer life, fewer diseases – is a separate question that needs its own studies. With growth hormone, the example of ibutamoren shows how large the gap can be: in 65 healthy older people, fat-free mass rose by 1.1 kg over one year, but strength and physical function did not improve</w:t>
      </w:r>
      <w:r>
        <w:rPr>
          <w:rStyle w:val="FootnoteReference"/>
        </w:rPr>
        <w:footnoteReference w:id="2584"/>
      </w:r>
      <w:r>
        <w:t xml:space="preserve">.</w:t>
      </w:r>
    </w:p>
    <w:bookmarkEnd w:id="2585"/>
    <w:bookmarkStart w:id="2587" w:name="confusion-of-substances"/>
    <w:p>
      <w:pPr>
        <w:pStyle w:val="Heading4"/>
      </w:pPr>
      <w:r>
        <w:t xml:space="preserve">3. Confusion of substances</w:t>
      </w:r>
    </w:p>
    <w:p>
      <w:pPr>
        <w:pStyle w:val="FirstParagraph"/>
      </w:pPr>
      <w:r>
        <w:t xml:space="preserve">Several promises are based on studies of a different substance from the one being sold:</w:t>
      </w:r>
    </w:p>
    <w:p>
      <w:pPr>
        <w:numPr>
          <w:ilvl w:val="0"/>
          <w:numId w:val="1330"/>
        </w:numPr>
        <w:pStyle w:val="Compact"/>
      </w:pPr>
      <w:r>
        <w:rPr>
          <w:bCs/>
          <w:b/>
        </w:rPr>
        <w:t xml:space="preserve">TB-500</w:t>
      </w:r>
      <w:r>
        <w:t xml:space="preserve"> </w:t>
      </w:r>
      <w:r>
        <w:t xml:space="preserve">is a modified fragment. The human studies concern the full protein thymosin beta-4 – and even these hardly concern tendons, ligaments, or muscles.</w:t>
      </w:r>
    </w:p>
    <w:p>
      <w:pPr>
        <w:numPr>
          <w:ilvl w:val="0"/>
          <w:numId w:val="1330"/>
        </w:numPr>
        <w:pStyle w:val="Compact"/>
      </w:pPr>
      <w:r>
        <w:rPr>
          <w:bCs/>
          <w:b/>
        </w:rPr>
        <w:t xml:space="preserve">Epitalon</w:t>
      </w:r>
      <w:r>
        <w:t xml:space="preserve"> </w:t>
      </w:r>
      <w:r>
        <w:t xml:space="preserve">is a synthetic tetrapeptide. The often-cited study on longer life concerned the bovine extract epithalamin, was not randomized, and was never independently replicated.</w:t>
      </w:r>
    </w:p>
    <w:p>
      <w:pPr>
        <w:numPr>
          <w:ilvl w:val="0"/>
          <w:numId w:val="1330"/>
        </w:numPr>
        <w:pStyle w:val="Compact"/>
      </w:pPr>
      <w:r>
        <w:rPr>
          <w:bCs/>
          <w:b/>
        </w:rPr>
        <w:t xml:space="preserve">CJC-1295</w:t>
      </w:r>
      <w:r>
        <w:t xml:space="preserve"> </w:t>
      </w:r>
      <w:r>
        <w:t xml:space="preserve">is mostly sold without the</w:t>
      </w:r>
      <w:r>
        <w:t xml:space="preserve"> </w:t>
      </w:r>
      <w:r>
        <w:t xml:space="preserve">“</w:t>
      </w:r>
      <w:r>
        <w:t xml:space="preserve">DAC</w:t>
      </w:r>
      <w:r>
        <w:t xml:space="preserve">”</w:t>
      </w:r>
      <w:r>
        <w:t xml:space="preserve"> </w:t>
      </w:r>
      <w:r>
        <w:t xml:space="preserve">group that was used in the human studies.</w:t>
      </w:r>
    </w:p>
    <w:p>
      <w:pPr>
        <w:numPr>
          <w:ilvl w:val="0"/>
          <w:numId w:val="1330"/>
        </w:numPr>
        <w:pStyle w:val="Compact"/>
      </w:pPr>
      <w:r>
        <w:rPr>
          <w:bCs/>
          <w:b/>
        </w:rPr>
        <w:t xml:space="preserve">Retatrutide</w:t>
      </w:r>
      <w:r>
        <w:t xml:space="preserve"> </w:t>
      </w:r>
      <w:r>
        <w:t xml:space="preserve">from the gray market is not the drug from the studies. Laboratory analyses of other gray-market peptides show that vials often contain less, more, or a different active ingredient than stated; for ipamorelin and CJC-1295, laboratories found modified, undeclared molecules</w:t>
      </w:r>
      <w:r>
        <w:rPr>
          <w:rStyle w:val="FootnoteReference"/>
        </w:rPr>
        <w:footnoteReference w:id="2586"/>
      </w:r>
      <w:r>
        <w:t xml:space="preserve">.</w:t>
      </w:r>
    </w:p>
    <w:bookmarkEnd w:id="2587"/>
    <w:bookmarkStart w:id="2591" w:name="negative-studies-go-unmentioned"/>
    <w:p>
      <w:pPr>
        <w:pStyle w:val="Heading4"/>
      </w:pPr>
      <w:r>
        <w:t xml:space="preserve">4. Negative studies go unmentioned</w:t>
      </w:r>
    </w:p>
    <w:p>
      <w:pPr>
        <w:pStyle w:val="FirstParagraph"/>
      </w:pPr>
      <w:r>
        <w:t xml:space="preserve">For several peptides, randomized studies do exist – they just found no benefit. Ipamorelin did not significantly shorten the time to the first meal after bowel surgery</w:t>
      </w:r>
      <w:r>
        <w:rPr>
          <w:rStyle w:val="FootnoteReference"/>
        </w:rPr>
        <w:footnoteReference w:id="2588"/>
      </w:r>
      <w:r>
        <w:t xml:space="preserve">. Glutathione infusions did not protect against nerve damage from chemotherapy</w:t>
      </w:r>
      <w:r>
        <w:rPr>
          <w:rStyle w:val="FootnoteReference"/>
        </w:rPr>
        <w:footnoteReference w:id="2589"/>
      </w:r>
      <w:r>
        <w:t xml:space="preserve">. With collagen, the skin benefit disappeared as soon as only independently funded studies were considered</w:t>
      </w:r>
      <w:r>
        <w:rPr>
          <w:rStyle w:val="FootnoteReference"/>
        </w:rPr>
        <w:footnoteReference w:id="2590"/>
      </w:r>
      <w:r>
        <w:t xml:space="preserve">. Such results practically never appear in advertising copy. A trustworthy presentation names positive</w:t>
      </w:r>
      <w:r>
        <w:t xml:space="preserve"> </w:t>
      </w:r>
      <w:r>
        <w:rPr>
          <w:iCs/>
          <w:i/>
        </w:rPr>
        <w:t xml:space="preserve">and</w:t>
      </w:r>
      <w:r>
        <w:t xml:space="preserve"> </w:t>
      </w:r>
      <w:r>
        <w:t xml:space="preserve">negative studies.</w:t>
      </w:r>
    </w:p>
    <w:bookmarkEnd w:id="2591"/>
    <w:bookmarkStart w:id="2592" w:name="small-studies-from-a-narrow-circle"/>
    <w:p>
      <w:pPr>
        <w:pStyle w:val="Heading4"/>
      </w:pPr>
      <w:r>
        <w:t xml:space="preserve">5. Small studies from a narrow circle</w:t>
      </w:r>
    </w:p>
    <w:p>
      <w:pPr>
        <w:pStyle w:val="FirstParagraph"/>
      </w:pPr>
      <w:r>
        <w:t xml:space="preserve">Semax, Selank, Epitalon, and Pinealon were studied almost exclusively in Russia, mostly by the developers themselves, in small groups, and often without a placebo comparison. That does not automatically make the results wrong. But it does mean they were never tested under the conditions required for approval today: preregistered, blinded, sufficiently large, and confirmed by independent groups.</w:t>
      </w:r>
    </w:p>
    <w:bookmarkEnd w:id="2592"/>
    <w:bookmarkStart w:id="2594" w:name="Xd4188218fea8e6b2f856c59ab3b25562538cff1"/>
    <w:p>
      <w:pPr>
        <w:pStyle w:val="Heading4"/>
      </w:pPr>
      <w:r>
        <w:t xml:space="preserve">6.</w:t>
      </w:r>
      <w:r>
        <w:t xml:space="preserve"> </w:t>
      </w:r>
      <w:r>
        <w:t xml:space="preserve">“</w:t>
      </w:r>
      <w:r>
        <w:t xml:space="preserve">No side effects</w:t>
      </w:r>
      <w:r>
        <w:t xml:space="preserve">”</w:t>
      </w:r>
      <w:r>
        <w:t xml:space="preserve"> </w:t>
      </w:r>
      <w:r>
        <w:t xml:space="preserve">usually means</w:t>
      </w:r>
      <w:r>
        <w:t xml:space="preserve"> </w:t>
      </w:r>
      <w:r>
        <w:t xml:space="preserve">“</w:t>
      </w:r>
      <w:r>
        <w:t xml:space="preserve">not studied</w:t>
      </w:r>
      <w:r>
        <w:t xml:space="preserve">”</w:t>
      </w:r>
    </w:p>
    <w:p>
      <w:pPr>
        <w:pStyle w:val="FirstParagraph"/>
      </w:pPr>
      <w:r>
        <w:t xml:space="preserve">The claim that a peptide is</w:t>
      </w:r>
      <w:r>
        <w:t xml:space="preserve"> </w:t>
      </w:r>
      <w:r>
        <w:t xml:space="preserve">“</w:t>
      </w:r>
      <w:r>
        <w:t xml:space="preserve">well tolerated</w:t>
      </w:r>
      <w:r>
        <w:t xml:space="preserve">”</w:t>
      </w:r>
      <w:r>
        <w:t xml:space="preserve"> </w:t>
      </w:r>
      <w:r>
        <w:t xml:space="preserve">or</w:t>
      </w:r>
      <w:r>
        <w:t xml:space="preserve"> </w:t>
      </w:r>
      <w:r>
        <w:t xml:space="preserve">“</w:t>
      </w:r>
      <w:r>
        <w:t xml:space="preserve">free of side effects</w:t>
      </w:r>
      <w:r>
        <w:t xml:space="preserve">”</w:t>
      </w:r>
      <w:r>
        <w:t xml:space="preserve"> </w:t>
      </w:r>
      <w:r>
        <w:t xml:space="preserve">rests, for BPC-157, on a total of 30 people. With so few participants, only common, immediately occurring problems can be detected; a side effect affecting one in a thousand people would remain invisible. For substances that amplify growth signals – growth hormone secretagogues, IGF-1 LR3, peptides that promote new blood vessel formation – there is also a theoretical but untested concern about tumor growth. For Melanotan II, case reports describe new and changed moles and melanomas; a causal relationship has not been proven, but has not been ruled out either. Added to this are the risks of the products themselves: gray-market vials of Melanotan II contained less active ingredient than stated and unknown impurities</w:t>
      </w:r>
      <w:r>
        <w:rPr>
          <w:rStyle w:val="FootnoteReference"/>
        </w:rPr>
        <w:footnoteReference w:id="2593"/>
      </w:r>
      <w:r>
        <w:t xml:space="preserve">. More on this in Part IV.</w:t>
      </w:r>
    </w:p>
    <w:bookmarkEnd w:id="2594"/>
    <w:bookmarkEnd w:id="2595"/>
    <w:bookmarkStart w:id="2601" w:name="X1b197b26fa0c5b76d4c8c5b2190419791b2cea7"/>
    <w:p>
      <w:pPr>
        <w:pStyle w:val="Heading3"/>
      </w:pPr>
      <w:r>
        <w:t xml:space="preserve">How to tell trustworthy from untrustworthy claims</w:t>
      </w:r>
    </w:p>
    <w:p>
      <w:pPr>
        <w:pStyle w:val="FirstParagraph"/>
      </w:pPr>
      <w:r>
        <w:t xml:space="preserve">The following checklist helps you assess claims about peptides – in shops, videos, forums, or magazines. It does not replace professional advice, but it sharpens your eye for how much lies behind a claim.</w:t>
      </w:r>
    </w:p>
    <w:bookmarkStart w:id="2596" w:name="questions-about-the-source"/>
    <w:p>
      <w:pPr>
        <w:pStyle w:val="Heading4"/>
      </w:pPr>
      <w:r>
        <w:t xml:space="preserve">Questions about the source</w:t>
      </w:r>
    </w:p>
    <w:p>
      <w:pPr>
        <w:numPr>
          <w:ilvl w:val="0"/>
          <w:numId w:val="1331"/>
        </w:numPr>
        <w:pStyle w:val="Compact"/>
      </w:pPr>
      <w:r>
        <w:rPr>
          <w:bCs/>
          <w:b/>
        </w:rPr>
        <w:t xml:space="preserve">Who is speaking?</w:t>
      </w:r>
      <w:r>
        <w:t xml:space="preserve"> </w:t>
      </w:r>
      <w:r>
        <w:t xml:space="preserve">Does the person or website sell the substance itself, or offer courses, consultations, or discount codes? A financial interest does not make a claim false, but it is a reason to look more closely.</w:t>
      </w:r>
    </w:p>
    <w:p>
      <w:pPr>
        <w:numPr>
          <w:ilvl w:val="0"/>
          <w:numId w:val="1331"/>
        </w:numPr>
        <w:pStyle w:val="Compact"/>
      </w:pPr>
      <w:r>
        <w:rPr>
          <w:bCs/>
          <w:b/>
        </w:rPr>
        <w:t xml:space="preserve">Are studies named – and can they be found?</w:t>
      </w:r>
      <w:r>
        <w:t xml:space="preserve"> </w:t>
      </w:r>
      <w:r>
        <w:t xml:space="preserve">Trustworthy claims name a verifiable source: a PMID, a DOI, or a registry number (NCT). You can enter any PMID free of charge at PubMed and read the abstract yourself. Phrases such as</w:t>
      </w:r>
      <w:r>
        <w:t xml:space="preserve"> </w:t>
      </w:r>
      <w:r>
        <w:t xml:space="preserve">“</w:t>
      </w:r>
      <w:r>
        <w:t xml:space="preserve">studies show</w:t>
      </w:r>
      <w:r>
        <w:t xml:space="preserve">”</w:t>
      </w:r>
      <w:r>
        <w:t xml:space="preserve"> </w:t>
      </w:r>
      <w:r>
        <w:t xml:space="preserve">without specific details are a warning sign.</w:t>
      </w:r>
    </w:p>
    <w:p>
      <w:pPr>
        <w:numPr>
          <w:ilvl w:val="0"/>
          <w:numId w:val="1331"/>
        </w:numPr>
        <w:pStyle w:val="Compact"/>
      </w:pPr>
      <w:r>
        <w:rPr>
          <w:bCs/>
          <w:b/>
        </w:rPr>
        <w:t xml:space="preserve">Does the cited study fit the claim?</w:t>
      </w:r>
      <w:r>
        <w:t xml:space="preserve"> </w:t>
      </w:r>
      <w:r>
        <w:t xml:space="preserve">Check whether the study really examined the substance being sold, the advertised use, and humans – or whether it was about a related molecule, a different disease, or rats.</w:t>
      </w:r>
    </w:p>
    <w:bookmarkEnd w:id="2596"/>
    <w:bookmarkStart w:id="2597" w:name="questions-about-the-study"/>
    <w:p>
      <w:pPr>
        <w:pStyle w:val="Heading4"/>
      </w:pPr>
      <w:r>
        <w:t xml:space="preserve">Questions about the study</w:t>
      </w:r>
    </w:p>
    <w:p>
      <w:pPr>
        <w:numPr>
          <w:ilvl w:val="0"/>
          <w:numId w:val="1332"/>
        </w:numPr>
        <w:pStyle w:val="Compact"/>
      </w:pPr>
      <w:r>
        <w:rPr>
          <w:bCs/>
          <w:b/>
        </w:rPr>
        <w:t xml:space="preserve">Human, animal, or cell culture?</w:t>
      </w:r>
      <w:r>
        <w:t xml:space="preserve"> </w:t>
      </w:r>
      <w:r>
        <w:t xml:space="preserve">If the abstract says</w:t>
      </w:r>
      <w:r>
        <w:t xml:space="preserve"> </w:t>
      </w:r>
      <w:r>
        <w:t xml:space="preserve">“</w:t>
      </w:r>
      <w:r>
        <w:t xml:space="preserve">rats,</w:t>
      </w:r>
      <w:r>
        <w:t xml:space="preserve">”</w:t>
      </w:r>
      <w:r>
        <w:t xml:space="preserve"> </w:t>
      </w:r>
      <w:r>
        <w:t xml:space="preserve">“</w:t>
      </w:r>
      <w:r>
        <w:t xml:space="preserve">mice,</w:t>
      </w:r>
      <w:r>
        <w:t xml:space="preserve">”</w:t>
      </w:r>
      <w:r>
        <w:t xml:space="preserve"> </w:t>
      </w:r>
      <w:r>
        <w:t xml:space="preserve">“</w:t>
      </w:r>
      <w:r>
        <w:t xml:space="preserve">in vitro,</w:t>
      </w:r>
      <w:r>
        <w:t xml:space="preserve">”</w:t>
      </w:r>
      <w:r>
        <w:t xml:space="preserve"> </w:t>
      </w:r>
      <w:r>
        <w:t xml:space="preserve">or</w:t>
      </w:r>
      <w:r>
        <w:t xml:space="preserve"> </w:t>
      </w:r>
      <w:r>
        <w:t xml:space="preserve">“</w:t>
      </w:r>
      <w:r>
        <w:t xml:space="preserve">cell culture,</w:t>
      </w:r>
      <w:r>
        <w:t xml:space="preserve">”</w:t>
      </w:r>
      <w:r>
        <w:t xml:space="preserve"> </w:t>
      </w:r>
      <w:r>
        <w:t xml:space="preserve">it says nothing about the effect in humans.</w:t>
      </w:r>
    </w:p>
    <w:p>
      <w:pPr>
        <w:numPr>
          <w:ilvl w:val="0"/>
          <w:numId w:val="1332"/>
        </w:numPr>
        <w:pStyle w:val="Compact"/>
      </w:pPr>
      <w:r>
        <w:rPr>
          <w:bCs/>
          <w:b/>
        </w:rPr>
        <w:t xml:space="preserve">Was there a comparison group?</w:t>
      </w:r>
      <w:r>
        <w:t xml:space="preserve"> </w:t>
      </w:r>
      <w:r>
        <w:t xml:space="preserve">Without a placebo or control group, it is impossible to tell whether an improvement comes from the substance, from the passage of time, from other treatments, or from expectation. The placebo effect is particularly large for pain, mood, or sleep.</w:t>
      </w:r>
    </w:p>
    <w:p>
      <w:pPr>
        <w:numPr>
          <w:ilvl w:val="0"/>
          <w:numId w:val="1332"/>
        </w:numPr>
        <w:pStyle w:val="Compact"/>
      </w:pPr>
      <w:r>
        <w:rPr>
          <w:bCs/>
          <w:b/>
        </w:rPr>
        <w:t xml:space="preserve">How many participants?</w:t>
      </w:r>
      <w:r>
        <w:t xml:space="preserve"> </w:t>
      </w:r>
      <w:r>
        <w:t xml:space="preserve">Studies with 10 or 20 people can provide hints, but cannot prove a benefit or detect rare side effects.</w:t>
      </w:r>
    </w:p>
    <w:p>
      <w:pPr>
        <w:numPr>
          <w:ilvl w:val="0"/>
          <w:numId w:val="1332"/>
        </w:numPr>
        <w:pStyle w:val="Compact"/>
      </w:pPr>
      <w:r>
        <w:rPr>
          <w:bCs/>
          <w:b/>
        </w:rPr>
        <w:t xml:space="preserve">What was measured?</w:t>
      </w:r>
      <w:r>
        <w:t xml:space="preserve"> </w:t>
      </w:r>
      <w:r>
        <w:t xml:space="preserve">A laboratory value that rises is not a noticeable benefit. Ask: was what matters to those affected measured – pain, function, disease events, quality of life?</w:t>
      </w:r>
    </w:p>
    <w:p>
      <w:pPr>
        <w:numPr>
          <w:ilvl w:val="0"/>
          <w:numId w:val="1332"/>
        </w:numPr>
        <w:pStyle w:val="Compact"/>
      </w:pPr>
      <w:r>
        <w:rPr>
          <w:bCs/>
          <w:b/>
        </w:rPr>
        <w:t xml:space="preserve">Was the study registered in advance?</w:t>
      </w:r>
      <w:r>
        <w:t xml:space="preserve"> </w:t>
      </w:r>
      <w:r>
        <w:t xml:space="preserve">Registration at ClinicalTrials.gov or in the EU registry before the study begins prevents goals from being chosen after the fact to fit the results.</w:t>
      </w:r>
    </w:p>
    <w:p>
      <w:pPr>
        <w:numPr>
          <w:ilvl w:val="0"/>
          <w:numId w:val="1332"/>
        </w:numPr>
        <w:pStyle w:val="Compact"/>
      </w:pPr>
      <w:r>
        <w:rPr>
          <w:bCs/>
          <w:b/>
        </w:rPr>
        <w:t xml:space="preserve">Was the result replicated?</w:t>
      </w:r>
      <w:r>
        <w:t xml:space="preserve"> </w:t>
      </w:r>
      <w:r>
        <w:t xml:space="preserve">A single positive result from a single research group is a beginning, not proof.</w:t>
      </w:r>
    </w:p>
    <w:bookmarkEnd w:id="2597"/>
    <w:bookmarkStart w:id="2598" w:name="warning-signs-in-the-language"/>
    <w:p>
      <w:pPr>
        <w:pStyle w:val="Heading4"/>
      </w:pPr>
      <w:r>
        <w:t xml:space="preserve">Warning signs in the language</w:t>
      </w:r>
    </w:p>
    <w:p>
      <w:pPr>
        <w:numPr>
          <w:ilvl w:val="0"/>
          <w:numId w:val="1333"/>
        </w:numPr>
        <w:pStyle w:val="Compact"/>
      </w:pPr>
      <w:r>
        <w:t xml:space="preserve">Promises that cover a great many different complaints at once (</w:t>
      </w:r>
      <w:r>
        <w:t xml:space="preserve">“</w:t>
      </w:r>
      <w:r>
        <w:t xml:space="preserve">for joints, gut, skin, brain, and immune system</w:t>
      </w:r>
      <w:r>
        <w:t xml:space="preserve">”</w:t>
      </w:r>
      <w:r>
        <w:t xml:space="preserve">).</w:t>
      </w:r>
    </w:p>
    <w:p>
      <w:pPr>
        <w:numPr>
          <w:ilvl w:val="0"/>
          <w:numId w:val="1333"/>
        </w:numPr>
        <w:pStyle w:val="Compact"/>
      </w:pPr>
      <w:r>
        <w:t xml:space="preserve">Terms such as</w:t>
      </w:r>
      <w:r>
        <w:t xml:space="preserve"> </w:t>
      </w:r>
      <w:r>
        <w:t xml:space="preserve">“</w:t>
      </w:r>
      <w:r>
        <w:t xml:space="preserve">miracle cure,</w:t>
      </w:r>
      <w:r>
        <w:t xml:space="preserve">”</w:t>
      </w:r>
      <w:r>
        <w:t xml:space="preserve"> </w:t>
      </w:r>
      <w:r>
        <w:t xml:space="preserve">“</w:t>
      </w:r>
      <w:r>
        <w:t xml:space="preserve">insider tip,</w:t>
      </w:r>
      <w:r>
        <w:t xml:space="preserve">”</w:t>
      </w:r>
      <w:r>
        <w:t xml:space="preserve"> </w:t>
      </w:r>
      <w:r>
        <w:t xml:space="preserve">“</w:t>
      </w:r>
      <w:r>
        <w:t xml:space="preserve">what doctors won’t tell you,</w:t>
      </w:r>
      <w:r>
        <w:t xml:space="preserve">”</w:t>
      </w:r>
      <w:r>
        <w:t xml:space="preserve"> </w:t>
      </w:r>
      <w:r>
        <w:t xml:space="preserve">or</w:t>
      </w:r>
      <w:r>
        <w:t xml:space="preserve"> </w:t>
      </w:r>
      <w:r>
        <w:t xml:space="preserve">“</w:t>
      </w:r>
      <w:r>
        <w:t xml:space="preserve">suppressed by the pharmaceutical industry.</w:t>
      </w:r>
      <w:r>
        <w:t xml:space="preserve">”</w:t>
      </w:r>
    </w:p>
    <w:p>
      <w:pPr>
        <w:numPr>
          <w:ilvl w:val="0"/>
          <w:numId w:val="1333"/>
        </w:numPr>
        <w:pStyle w:val="Compact"/>
      </w:pPr>
      <w:r>
        <w:t xml:space="preserve">The claim</w:t>
      </w:r>
      <w:r>
        <w:t xml:space="preserve"> </w:t>
      </w:r>
      <w:r>
        <w:t xml:space="preserve">“</w:t>
      </w:r>
      <w:r>
        <w:t xml:space="preserve">no side effects</w:t>
      </w:r>
      <w:r>
        <w:t xml:space="preserve">”</w:t>
      </w:r>
      <w:r>
        <w:t xml:space="preserve"> </w:t>
      </w:r>
      <w:r>
        <w:t xml:space="preserve">for a substance that has hardly been studied in humans.</w:t>
      </w:r>
    </w:p>
    <w:p>
      <w:pPr>
        <w:numPr>
          <w:ilvl w:val="0"/>
          <w:numId w:val="1333"/>
        </w:numPr>
        <w:pStyle w:val="Compact"/>
      </w:pPr>
      <w:r>
        <w:t xml:space="preserve">Testimonials and before-and-after pictures instead of study data.</w:t>
      </w:r>
    </w:p>
    <w:p>
      <w:pPr>
        <w:numPr>
          <w:ilvl w:val="0"/>
          <w:numId w:val="1333"/>
        </w:numPr>
        <w:pStyle w:val="Compact"/>
      </w:pPr>
      <w:r>
        <w:t xml:space="preserve">The notice</w:t>
      </w:r>
      <w:r>
        <w:t xml:space="preserve"> </w:t>
      </w:r>
      <w:r>
        <w:t xml:space="preserve">“</w:t>
      </w:r>
      <w:r>
        <w:t xml:space="preserve">for research purposes only</w:t>
      </w:r>
      <w:r>
        <w:t xml:space="preserve">”</w:t>
      </w:r>
      <w:r>
        <w:t xml:space="preserve"> </w:t>
      </w:r>
      <w:r>
        <w:t xml:space="preserve">or</w:t>
      </w:r>
      <w:r>
        <w:t xml:space="preserve"> </w:t>
      </w:r>
      <w:r>
        <w:t xml:space="preserve">“</w:t>
      </w:r>
      <w:r>
        <w:t xml:space="preserve">not for human consumption</w:t>
      </w:r>
      <w:r>
        <w:t xml:space="preserve">”</w:t>
      </w:r>
      <w:r>
        <w:t xml:space="preserve"> </w:t>
      </w:r>
      <w:r>
        <w:t xml:space="preserve">on a product that is simultaneously advertised with effects in humans. This contradiction shows that the seller wants to circumvent drug regulations (see Part I).</w:t>
      </w:r>
    </w:p>
    <w:p>
      <w:pPr>
        <w:numPr>
          <w:ilvl w:val="0"/>
          <w:numId w:val="1333"/>
        </w:numPr>
        <w:pStyle w:val="Compact"/>
      </w:pPr>
      <w:r>
        <w:t xml:space="preserve">Suggestions for doses, courses, or combination packages of several peptides for unapproved substances. There is no study basis for such regimens.</w:t>
      </w:r>
    </w:p>
    <w:bookmarkEnd w:id="2598"/>
    <w:bookmarkStart w:id="2599" w:name="signs-of-a-trustworthy-presentation"/>
    <w:p>
      <w:pPr>
        <w:pStyle w:val="Heading4"/>
      </w:pPr>
      <w:r>
        <w:t xml:space="preserve">Signs of a trustworthy presentation</w:t>
      </w:r>
    </w:p>
    <w:p>
      <w:pPr>
        <w:numPr>
          <w:ilvl w:val="0"/>
          <w:numId w:val="1334"/>
        </w:numPr>
        <w:pStyle w:val="Compact"/>
      </w:pPr>
      <w:r>
        <w:t xml:space="preserve">Animal and laboratory results are explicitly labeled as such.</w:t>
      </w:r>
    </w:p>
    <w:p>
      <w:pPr>
        <w:numPr>
          <w:ilvl w:val="0"/>
          <w:numId w:val="1334"/>
        </w:numPr>
        <w:pStyle w:val="Compact"/>
      </w:pPr>
      <w:r>
        <w:t xml:space="preserve">Negative and contradictory studies are named, not just the positive ones.</w:t>
      </w:r>
    </w:p>
    <w:p>
      <w:pPr>
        <w:numPr>
          <w:ilvl w:val="0"/>
          <w:numId w:val="1334"/>
        </w:numPr>
        <w:pStyle w:val="Compact"/>
      </w:pPr>
      <w:r>
        <w:t xml:space="preserve">Uncertainty is openly acknowledged (</w:t>
      </w:r>
      <w:r>
        <w:t xml:space="preserve">“</w:t>
      </w:r>
      <w:r>
        <w:t xml:space="preserve">The data are insufficient to assess …</w:t>
      </w:r>
      <w:r>
        <w:t xml:space="preserve">”</w:t>
      </w:r>
      <w:r>
        <w:t xml:space="preserve">).</w:t>
      </w:r>
    </w:p>
    <w:p>
      <w:pPr>
        <w:numPr>
          <w:ilvl w:val="0"/>
          <w:numId w:val="1334"/>
        </w:numPr>
        <w:pStyle w:val="Compact"/>
      </w:pPr>
      <w:r>
        <w:t xml:space="preserve">Legal status and doping status are mentioned.</w:t>
      </w:r>
    </w:p>
    <w:p>
      <w:pPr>
        <w:numPr>
          <w:ilvl w:val="0"/>
          <w:numId w:val="1334"/>
        </w:numPr>
        <w:pStyle w:val="Compact"/>
      </w:pPr>
      <w:r>
        <w:t xml:space="preserve">There is a clear statement that drugs belong in a physician’s hands and that gray-market products are not tested.</w:t>
      </w:r>
    </w:p>
    <w:bookmarkEnd w:id="2599"/>
    <w:bookmarkStart w:id="2600" w:name="three-questions-for-everyday-use"/>
    <w:p>
      <w:pPr>
        <w:pStyle w:val="Heading4"/>
      </w:pPr>
      <w:r>
        <w:t xml:space="preserve">Three questions for everyday use</w:t>
      </w:r>
    </w:p>
    <w:p>
      <w:pPr>
        <w:pStyle w:val="FirstParagraph"/>
      </w:pPr>
      <w:r>
        <w:t xml:space="preserve">If you have little time, three questions are often enough:</w:t>
      </w:r>
    </w:p>
    <w:p>
      <w:pPr>
        <w:numPr>
          <w:ilvl w:val="0"/>
          <w:numId w:val="1335"/>
        </w:numPr>
        <w:pStyle w:val="Compact"/>
      </w:pPr>
      <w:r>
        <w:t xml:space="preserve">Is the substance approved as a drug in the EU or the US for exactly this use?</w:t>
      </w:r>
    </w:p>
    <w:p>
      <w:pPr>
        <w:numPr>
          <w:ilvl w:val="0"/>
          <w:numId w:val="1335"/>
        </w:numPr>
        <w:pStyle w:val="Compact"/>
      </w:pPr>
      <w:r>
        <w:t xml:space="preserve">Is there at least one randomized, placebo-controlled study in humans that has shown the claimed benefit?</w:t>
      </w:r>
    </w:p>
    <w:p>
      <w:pPr>
        <w:numPr>
          <w:ilvl w:val="0"/>
          <w:numId w:val="1335"/>
        </w:numPr>
        <w:pStyle w:val="Compact"/>
      </w:pPr>
      <w:r>
        <w:t xml:space="preserve">Does the product come from a pharmacy – or from a source whose contents nobody checks?</w:t>
      </w:r>
    </w:p>
    <w:p>
      <w:pPr>
        <w:pStyle w:val="FirstParagraph"/>
      </w:pPr>
      <w:r>
        <w:t xml:space="preserve">If the answer to all three questions is</w:t>
      </w:r>
      <w:r>
        <w:t xml:space="preserve"> </w:t>
      </w:r>
      <w:r>
        <w:t xml:space="preserve">“</w:t>
      </w:r>
      <w:r>
        <w:t xml:space="preserve">no,</w:t>
      </w:r>
      <w:r>
        <w:t xml:space="preserve">”</w:t>
      </w:r>
      <w:r>
        <w:t xml:space="preserve"> </w:t>
      </w:r>
      <w:r>
        <w:t xml:space="preserve">the promise is based on hope, not evidence.</w:t>
      </w:r>
    </w:p>
    <w:bookmarkEnd w:id="2600"/>
    <w:bookmarkEnd w:id="2601"/>
    <w:bookmarkStart w:id="2602" w:name="conclusion-59"/>
    <w:p>
      <w:pPr>
        <w:pStyle w:val="Heading3"/>
      </w:pPr>
      <w:r>
        <w:t xml:space="preserve">Conclusion</w:t>
      </w:r>
    </w:p>
    <w:p>
      <w:pPr>
        <w:pStyle w:val="FirstParagraph"/>
      </w:pPr>
      <w:r>
        <w:t xml:space="preserve">The peptides most popular on the internet are almost without exception the most poorly studied. Their promises rely predominantly on animal experiments, on surrogate measures, or on studies of a different substance; where randomized studies in humans exist, they have mostly not confirmed the advertised benefit. This does not mean that none of these substances could ever have a benefit – but for none of them are the data sufficient to prove it. If you hear a claim about a peptide, ask for the source, check the study, and keep in mind the difference between a tested drug and a vial from the gray market.</w:t>
      </w:r>
    </w:p>
    <w:bookmarkEnd w:id="2602"/>
    <w:bookmarkEnd w:id="2603"/>
    <w:bookmarkEnd w:id="2604"/>
    <w:bookmarkStart w:id="2825" w:name="part-iv-risks"/>
    <w:p>
      <w:pPr>
        <w:pStyle w:val="Heading1"/>
      </w:pPr>
      <w:r>
        <w:t xml:space="preserve">Part IV – Risks</w:t>
      </w:r>
    </w:p>
    <w:p>
      <w:pPr>
        <w:pStyle w:val="FirstParagraph"/>
      </w:pPr>
      <w:r>
        <w:t xml:space="preserve">In Part II, each peptide has its own section</w:t>
      </w:r>
      <w:r>
        <w:t xml:space="preserve"> </w:t>
      </w:r>
      <w:r>
        <w:t xml:space="preserve">“</w:t>
      </w:r>
      <w:r>
        <w:t xml:space="preserve">Risks and side effects.</w:t>
      </w:r>
      <w:r>
        <w:t xml:space="preserve">”</w:t>
      </w:r>
      <w:r>
        <w:t xml:space="preserve"> </w:t>
      </w:r>
      <w:r>
        <w:t xml:space="preserve">This part does not repeat those sections. It places them side by side and asks across all agents: Which organs are affected? Which warning signs appear with several peptides? How robust is what we know? If you are looking for details on a specific substance, each point refers you to the relevant chapter.</w:t>
      </w:r>
    </w:p>
    <w:p>
      <w:pPr>
        <w:pStyle w:val="BodyText"/>
      </w:pPr>
      <w:r>
        <w:t xml:space="preserve">Before we begin, it is worth taking a brief look at how risks can be assessed in the first place. Three distinctions run through all of the following chapters.</w:t>
      </w:r>
    </w:p>
    <w:p>
      <w:pPr>
        <w:pStyle w:val="BodyText"/>
      </w:pPr>
      <w:r>
        <w:rPr>
          <w:bCs/>
          <w:b/>
        </w:rPr>
        <w:t xml:space="preserve">Proven, observed, or theoretical.</w:t>
      </w:r>
      <w:r>
        <w:t xml:space="preserve"> </w:t>
      </w:r>
      <w:r>
        <w:t xml:space="preserve">A risk is best established when it occurred more frequently with the agent than with placebo in randomized controlled trials (RCTs). Observational studies using insurance or registry data, by contrast, capture very large numbers of people and rare events, but cannot reliably separate cause from coincidental circumstance. Adverse event reporting databases show only signals: what is well known and much discussed gets reported more often. Finally, theoretical risks are derived from the mechanism of action, from animal experiments, or from cell cultures. They are not proof of harm – but for substances that have never been systematically studied in humans, they are often the only information available.</w:t>
      </w:r>
    </w:p>
    <w:p>
      <w:pPr>
        <w:pStyle w:val="BodyText"/>
      </w:pPr>
      <w:r>
        <w:rPr>
          <w:bCs/>
          <w:b/>
        </w:rPr>
        <w:t xml:space="preserve">Missing data are not safety.</w:t>
      </w:r>
      <w:r>
        <w:t xml:space="preserve"> </w:t>
      </w:r>
      <w:r>
        <w:t xml:space="preserve">If no treatment-related side effects were noticed in three small studies with a total of 30 people (as with BPC-157, Poolton 2026, PMID 42885452), this only means that no very common, immediately occurring problems arose. A side effect that affects one in a thousand people cannot be detected by such a small study at all. For many peptides in Groups B, C, and D, this is the starting point.</w:t>
      </w:r>
    </w:p>
    <w:p>
      <w:pPr>
        <w:pStyle w:val="BodyText"/>
      </w:pPr>
      <w:r>
        <w:rPr>
          <w:bCs/>
          <w:b/>
        </w:rPr>
        <w:t xml:space="preserve">Relative and absolute risk.</w:t>
      </w:r>
      <w:r>
        <w:t xml:space="preserve"> </w:t>
      </w:r>
      <w:r>
        <w:t xml:space="preserve">Headlines usually give relative figures:</w:t>
      </w:r>
      <w:r>
        <w:t xml:space="preserve"> </w:t>
      </w:r>
      <w:r>
        <w:t xml:space="preserve">“</w:t>
      </w:r>
      <w:r>
        <w:t xml:space="preserve">three times as common.</w:t>
      </w:r>
      <w:r>
        <w:t xml:space="preserve">”</w:t>
      </w:r>
      <w:r>
        <w:t xml:space="preserve"> </w:t>
      </w:r>
      <w:r>
        <w:t xml:space="preserve">What matters for your own weighing of risks, however, is how many people are actually affected. An example from this part: in a Danish-Norwegian registry study, a certain circulatory disorder of the optic nerve was almost three times as common with semaglutide as with a comparator drug (hazard ratio 2.81). In absolute terms, this meant around 1.4 additional cases per 10,000 person-years</w:t>
      </w:r>
      <w:r>
        <w:rPr>
          <w:rStyle w:val="FootnoteReference"/>
        </w:rPr>
        <w:footnoteReference w:id="2605"/>
      </w:r>
      <w:r>
        <w:t xml:space="preserve">. Both are correct – and both belong to the information.</w:t>
      </w:r>
    </w:p>
    <w:p>
      <w:pPr>
        <w:pStyle w:val="BodyText"/>
      </w:pPr>
      <w:r>
        <w:t xml:space="preserve">Finally, the balance of benefit and risk counts. A drug for type 2 diabetes that reduces heart attacks and strokes in large trials may have rare side effects that would be unacceptable for a tanning agent or a</w:t>
      </w:r>
      <w:r>
        <w:t xml:space="preserve"> </w:t>
      </w:r>
      <w:r>
        <w:t xml:space="preserve">“</w:t>
      </w:r>
      <w:r>
        <w:t xml:space="preserve">longevity peptide</w:t>
      </w:r>
      <w:r>
        <w:t xml:space="preserve">”</w:t>
      </w:r>
      <w:r>
        <w:t xml:space="preserve"> </w:t>
      </w:r>
      <w:r>
        <w:t xml:space="preserve">with no proven benefit. Someone who uses an approved drug with medical supervision and a clear indication is in a completely different situation from someone who injects an untested powder from the internet. How to read studies is explained in Part I in the chapter</w:t>
      </w:r>
      <w:r>
        <w:t xml:space="preserve"> </w:t>
      </w:r>
      <w:r>
        <w:t xml:space="preserve">“</w:t>
      </w:r>
      <w:r>
        <w:t xml:space="preserve">Reading Studies Correctly.</w:t>
      </w:r>
      <w:r>
        <w:t xml:space="preserve">”</w:t>
      </w:r>
    </w:p>
    <w:p>
      <w:pPr>
        <w:pStyle w:val="BodyText"/>
      </w:pPr>
      <w:r>
        <w:t xml:space="preserve">Part IV is structured as follows: this chapter organizes side effects by organ system. It is followed by chapters on cancer risk and growth signals, on immune reactions, on laboratory analyses of gray-market products, and on interactions and particularly vulnerable groups of people.</w:t>
      </w:r>
    </w:p>
    <w:bookmarkStart w:id="2663" w:name="side-effects-by-organ-system"/>
    <w:p>
      <w:pPr>
        <w:pStyle w:val="Heading2"/>
      </w:pPr>
      <w:r>
        <w:t xml:space="preserve">Side Effects by Organ System</w:t>
      </w:r>
    </w:p>
    <w:p>
      <w:pPr>
        <w:pStyle w:val="FirstParagraph"/>
      </w:pPr>
      <w:r>
        <w:t xml:space="preserve">The following overview summarizes which organ systems are most frequently affected by which peptides. The column</w:t>
      </w:r>
      <w:r>
        <w:t xml:space="preserve"> </w:t>
      </w:r>
      <w:r>
        <w:t xml:space="preserve">“</w:t>
      </w:r>
      <w:r>
        <w:t xml:space="preserve">Frequency/evidence</w:t>
      </w:r>
      <w:r>
        <w:t xml:space="preserve">”</w:t>
      </w:r>
      <w:r>
        <w:t xml:space="preserve"> </w:t>
      </w:r>
      <w:r>
        <w:t xml:space="preserve">gives a typical order of magnitude from one of the studies discussed in this chapter or in the indicated peptide chapter. The figures come from different studies and populations and are therefore only roughly comparable.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Organ system</w:t>
            </w:r>
          </w:p>
        </w:tc>
        <w:tc>
          <w:tcPr/>
          <w:p>
            <w:pPr>
              <w:pStyle w:val="Compact"/>
              <w:jc w:val="left"/>
            </w:pPr>
            <w:r>
              <w:t xml:space="preserve">Peptides affected</w:t>
            </w:r>
          </w:p>
        </w:tc>
        <w:tc>
          <w:tcPr/>
          <w:p>
            <w:pPr>
              <w:pStyle w:val="Compact"/>
              <w:jc w:val="left"/>
            </w:pPr>
            <w:r>
              <w:t xml:space="preserve">Frequency/evidence</w:t>
            </w:r>
          </w:p>
        </w:tc>
        <w:tc>
          <w:tcPr/>
          <w:p>
            <w:pPr>
              <w:pStyle w:val="Compact"/>
              <w:jc w:val="left"/>
            </w:pPr>
            <w:r>
              <w:t xml:space="preserve">Chapter</w:t>
            </w:r>
          </w:p>
        </w:tc>
      </w:tr>
      <w:tr>
        <w:tc>
          <w:tcPr/>
          <w:p>
            <w:pPr>
              <w:pStyle w:val="Compact"/>
              <w:jc w:val="left"/>
            </w:pPr>
            <w:r>
              <w:t xml:space="preserve">Gastrointestinal</w:t>
            </w:r>
          </w:p>
        </w:tc>
        <w:tc>
          <w:tcPr/>
          <w:p>
            <w:pPr>
              <w:pStyle w:val="Compact"/>
              <w:jc w:val="left"/>
            </w:pPr>
            <w:r>
              <w:t xml:space="preserve">all GLP-1 drugs, pramlintide, bremelanotide, setmelanotide</w:t>
            </w:r>
          </w:p>
        </w:tc>
        <w:tc>
          <w:tcPr/>
          <w:p>
            <w:pPr>
              <w:pStyle w:val="Compact"/>
              <w:jc w:val="left"/>
            </w:pPr>
            <w:r>
              <w:t xml:space="preserve">very common; CagriSema 79.6% vs. 39.9% on placebo (Garvey 2025, PMID 40544433)</w:t>
            </w:r>
          </w:p>
        </w:tc>
        <w:tc>
          <w:tcPr/>
          <w:p>
            <w:pPr>
              <w:pStyle w:val="Compact"/>
              <w:jc w:val="left"/>
            </w:pPr>
            <w:r>
              <w:t xml:space="preserve">Semaglutide, Survodutide, Cagrilintide</w:t>
            </w:r>
          </w:p>
        </w:tc>
      </w:tr>
      <w:tr>
        <w:tc>
          <w:tcPr/>
          <w:p>
            <w:pPr>
              <w:pStyle w:val="Compact"/>
              <w:jc w:val="left"/>
            </w:pPr>
            <w:r>
              <w:t xml:space="preserve">Gallbladder</w:t>
            </w:r>
          </w:p>
        </w:tc>
        <w:tc>
          <w:tcPr/>
          <w:p>
            <w:pPr>
              <w:pStyle w:val="Compact"/>
              <w:jc w:val="left"/>
            </w:pPr>
            <w:r>
              <w:t xml:space="preserve">GLP-1 class, especially with weight loss</w:t>
            </w:r>
          </w:p>
        </w:tc>
        <w:tc>
          <w:tcPr/>
          <w:p>
            <w:pPr>
              <w:pStyle w:val="Compact"/>
              <w:jc w:val="left"/>
            </w:pPr>
            <w:r>
              <w:t xml:space="preserve">relative risk 1.37 (all studies), 2.29 (weight-loss studies)</w:t>
            </w:r>
          </w:p>
        </w:tc>
        <w:tc>
          <w:tcPr/>
          <w:p>
            <w:pPr>
              <w:pStyle w:val="Compact"/>
              <w:jc w:val="left"/>
            </w:pPr>
            <w:r>
              <w:t xml:space="preserve">Liraglutide, Tirzepatide</w:t>
            </w:r>
          </w:p>
        </w:tc>
      </w:tr>
      <w:tr>
        <w:tc>
          <w:tcPr/>
          <w:p>
            <w:pPr>
              <w:pStyle w:val="Compact"/>
              <w:jc w:val="left"/>
            </w:pPr>
            <w:r>
              <w:t xml:space="preserve">Pancreas</w:t>
            </w:r>
          </w:p>
        </w:tc>
        <w:tc>
          <w:tcPr/>
          <w:p>
            <w:pPr>
              <w:pStyle w:val="Compact"/>
              <w:jc w:val="left"/>
            </w:pPr>
            <w:r>
              <w:t xml:space="preserve">GLP-1 class</w:t>
            </w:r>
          </w:p>
        </w:tc>
        <w:tc>
          <w:tcPr/>
          <w:p>
            <w:pPr>
              <w:pStyle w:val="Compact"/>
              <w:jc w:val="left"/>
            </w:pPr>
            <w:r>
              <w:t xml:space="preserve">signal in meta-analyses, rare in absolute terms</w:t>
            </w:r>
          </w:p>
        </w:tc>
        <w:tc>
          <w:tcPr/>
          <w:p>
            <w:pPr>
              <w:pStyle w:val="Compact"/>
              <w:jc w:val="left"/>
            </w:pPr>
            <w:r>
              <w:t xml:space="preserve">Exenatide, Semaglutide</w:t>
            </w:r>
          </w:p>
        </w:tc>
      </w:tr>
      <w:tr>
        <w:tc>
          <w:tcPr/>
          <w:p>
            <w:pPr>
              <w:pStyle w:val="Compact"/>
              <w:jc w:val="left"/>
            </w:pPr>
            <w:r>
              <w:t xml:space="preserve">Thyroid</w:t>
            </w:r>
          </w:p>
        </w:tc>
        <w:tc>
          <w:tcPr/>
          <w:p>
            <w:pPr>
              <w:pStyle w:val="Compact"/>
              <w:jc w:val="left"/>
            </w:pPr>
            <w:r>
              <w:t xml:space="preserve">GLP-1 class</w:t>
            </w:r>
          </w:p>
        </w:tc>
        <w:tc>
          <w:tcPr/>
          <w:p>
            <w:pPr>
              <w:pStyle w:val="Compact"/>
              <w:jc w:val="left"/>
            </w:pPr>
            <w:r>
              <w:t xml:space="preserve">animal finding established, inconsistent in humans</w:t>
            </w:r>
          </w:p>
        </w:tc>
        <w:tc>
          <w:tcPr/>
          <w:p>
            <w:pPr>
              <w:pStyle w:val="Compact"/>
              <w:jc w:val="left"/>
            </w:pPr>
            <w:r>
              <w:t xml:space="preserve">Liraglutide, chapter on cancer risk</w:t>
            </w:r>
          </w:p>
        </w:tc>
      </w:tr>
      <w:tr>
        <w:tc>
          <w:tcPr/>
          <w:p>
            <w:pPr>
              <w:pStyle w:val="Compact"/>
              <w:jc w:val="left"/>
            </w:pPr>
            <w:r>
              <w:t xml:space="preserve">Eyes</w:t>
            </w:r>
          </w:p>
        </w:tc>
        <w:tc>
          <w:tcPr/>
          <w:p>
            <w:pPr>
              <w:pStyle w:val="Compact"/>
              <w:jc w:val="left"/>
            </w:pPr>
            <w:r>
              <w:t xml:space="preserve">Semaglutide (NAION, retinopathy)</w:t>
            </w:r>
          </w:p>
        </w:tc>
        <w:tc>
          <w:tcPr/>
          <w:p>
            <w:pPr>
              <w:pStyle w:val="Compact"/>
              <w:jc w:val="left"/>
            </w:pPr>
            <w:r>
              <w:t xml:space="preserve">very rare; around 1.4 additional cases per 10,000 person-years</w:t>
            </w:r>
          </w:p>
        </w:tc>
        <w:tc>
          <w:tcPr/>
          <w:p>
            <w:pPr>
              <w:pStyle w:val="Compact"/>
              <w:jc w:val="left"/>
            </w:pPr>
            <w:r>
              <w:t xml:space="preserve">Semaglutide</w:t>
            </w:r>
          </w:p>
        </w:tc>
      </w:tr>
      <w:tr>
        <w:tc>
          <w:tcPr/>
          <w:p>
            <w:pPr>
              <w:pStyle w:val="Compact"/>
              <w:jc w:val="left"/>
            </w:pPr>
            <w:r>
              <w:t xml:space="preserve">Cardiovascular, fluid</w:t>
            </w:r>
          </w:p>
        </w:tc>
        <w:tc>
          <w:tcPr/>
          <w:p>
            <w:pPr>
              <w:pStyle w:val="Compact"/>
              <w:jc w:val="left"/>
            </w:pPr>
            <w:r>
              <w:t xml:space="preserve">GH secretagogues, ibutamoren, bremelanotide, macimorelin, oxytocin</w:t>
            </w:r>
          </w:p>
        </w:tc>
        <w:tc>
          <w:tcPr/>
          <w:p>
            <w:pPr>
              <w:pStyle w:val="Compact"/>
              <w:jc w:val="left"/>
            </w:pPr>
            <w:r>
              <w:t xml:space="preserve">heart failure signal, blood pressure spikes, QT prolongation</w:t>
            </w:r>
          </w:p>
        </w:tc>
        <w:tc>
          <w:tcPr/>
          <w:p>
            <w:pPr>
              <w:pStyle w:val="Compact"/>
              <w:jc w:val="left"/>
            </w:pPr>
            <w:r>
              <w:t xml:space="preserve">Ibutamoren, Bremelanotide, Macimorelin</w:t>
            </w:r>
          </w:p>
        </w:tc>
      </w:tr>
      <w:tr>
        <w:tc>
          <w:tcPr/>
          <w:p>
            <w:pPr>
              <w:pStyle w:val="Compact"/>
              <w:jc w:val="left"/>
            </w:pPr>
            <w:r>
              <w:t xml:space="preserve">Mental health</w:t>
            </w:r>
          </w:p>
        </w:tc>
        <w:tc>
          <w:tcPr/>
          <w:p>
            <w:pPr>
              <w:pStyle w:val="Compact"/>
              <w:jc w:val="left"/>
            </w:pPr>
            <w:r>
              <w:t xml:space="preserve">GLP-1 class (tested), setmelanotide, Semax</w:t>
            </w:r>
          </w:p>
        </w:tc>
        <w:tc>
          <w:tcPr/>
          <w:p>
            <w:pPr>
              <w:pStyle w:val="Compact"/>
              <w:jc w:val="left"/>
            </w:pPr>
            <w:r>
              <w:t xml:space="preserve">no increased risk in 86 RCTs</w:t>
            </w:r>
          </w:p>
        </w:tc>
        <w:tc>
          <w:tcPr/>
          <w:p>
            <w:pPr>
              <w:pStyle w:val="Compact"/>
              <w:jc w:val="left"/>
            </w:pPr>
            <w:r>
              <w:t xml:space="preserve">Semaglutide, Tirzepatide, Setmelanotide</w:t>
            </w:r>
          </w:p>
        </w:tc>
      </w:tr>
      <w:tr>
        <w:tc>
          <w:tcPr/>
          <w:p>
            <w:pPr>
              <w:pStyle w:val="Compact"/>
              <w:jc w:val="left"/>
            </w:pPr>
            <w:r>
              <w:t xml:space="preserve">Skin, pigment</w:t>
            </w:r>
          </w:p>
        </w:tc>
        <w:tc>
          <w:tcPr/>
          <w:p>
            <w:pPr>
              <w:pStyle w:val="Compact"/>
              <w:jc w:val="left"/>
            </w:pPr>
            <w:r>
              <w:t xml:space="preserve">Melanotan II, setmelanotide, afamelanotide, bremelanotide, LL-37</w:t>
            </w:r>
          </w:p>
        </w:tc>
        <w:tc>
          <w:tcPr/>
          <w:p>
            <w:pPr>
              <w:pStyle w:val="Compact"/>
              <w:jc w:val="left"/>
            </w:pPr>
            <w:r>
              <w:t xml:space="preserve">pigmentation with setmelanotide 62%; melanoma case reports with Melanotan II</w:t>
            </w:r>
          </w:p>
        </w:tc>
        <w:tc>
          <w:tcPr/>
          <w:p>
            <w:pPr>
              <w:pStyle w:val="Compact"/>
              <w:jc w:val="left"/>
            </w:pPr>
            <w:r>
              <w:t xml:space="preserve">Melanotan II, Setmelanotide</w:t>
            </w:r>
          </w:p>
        </w:tc>
      </w:tr>
      <w:tr>
        <w:tc>
          <w:tcPr/>
          <w:p>
            <w:pPr>
              <w:pStyle w:val="Compact"/>
              <w:jc w:val="left"/>
            </w:pPr>
            <w:r>
              <w:t xml:space="preserve">Endocrine system</w:t>
            </w:r>
          </w:p>
        </w:tc>
        <w:tc>
          <w:tcPr/>
          <w:p>
            <w:pPr>
              <w:pStyle w:val="Compact"/>
              <w:jc w:val="left"/>
            </w:pPr>
            <w:r>
              <w:t xml:space="preserve">GHRP-2, GHRP-6, hexarelin, kisspeptin, gonadorelin</w:t>
            </w:r>
          </w:p>
        </w:tc>
        <w:tc>
          <w:tcPr/>
          <w:p>
            <w:pPr>
              <w:pStyle w:val="Compact"/>
              <w:jc w:val="left"/>
            </w:pPr>
            <w:r>
              <w:t xml:space="preserve">rise in cortisol and prolactin; suppression of the axis with continuous administration</w:t>
            </w:r>
          </w:p>
        </w:tc>
        <w:tc>
          <w:tcPr/>
          <w:p>
            <w:pPr>
              <w:pStyle w:val="Compact"/>
              <w:jc w:val="left"/>
            </w:pPr>
            <w:r>
              <w:t xml:space="preserve">Group C, Kisspeptin</w:t>
            </w:r>
          </w:p>
        </w:tc>
      </w:tr>
      <w:tr>
        <w:tc>
          <w:tcPr/>
          <w:p>
            <w:pPr>
              <w:pStyle w:val="Compact"/>
              <w:jc w:val="left"/>
            </w:pPr>
            <w:r>
              <w:t xml:space="preserve">Blood sugar</w:t>
            </w:r>
          </w:p>
        </w:tc>
        <w:tc>
          <w:tcPr/>
          <w:p>
            <w:pPr>
              <w:pStyle w:val="Compact"/>
              <w:jc w:val="left"/>
            </w:pPr>
            <w:r>
              <w:t xml:space="preserve">mecasermin, pramlintide, GLP-1 with insulin/sulfonylurea; GH axis</w:t>
            </w:r>
          </w:p>
        </w:tc>
        <w:tc>
          <w:tcPr/>
          <w:p>
            <w:pPr>
              <w:pStyle w:val="Compact"/>
              <w:jc w:val="left"/>
            </w:pPr>
            <w:r>
              <w:t xml:space="preserve">hypoglycemia in 49% on mecasermin; higher blood sugar on ibutamoren</w:t>
            </w:r>
          </w:p>
        </w:tc>
        <w:tc>
          <w:tcPr/>
          <w:p>
            <w:pPr>
              <w:pStyle w:val="Compact"/>
              <w:jc w:val="left"/>
            </w:pPr>
            <w:r>
              <w:t xml:space="preserve">Mecasermin, Pramlintide, Ibutamoren</w:t>
            </w:r>
          </w:p>
        </w:tc>
      </w:tr>
    </w:tbl>
    <w:bookmarkStart w:id="2615" w:name="gastrointestinal-tract"/>
    <w:p>
      <w:pPr>
        <w:pStyle w:val="Heading3"/>
      </w:pPr>
      <w:r>
        <w:t xml:space="preserve">Gastrointestinal tract</w:t>
      </w:r>
    </w:p>
    <w:p>
      <w:pPr>
        <w:pStyle w:val="FirstParagraph"/>
      </w:pPr>
      <w:r>
        <w:t xml:space="preserve">No other organ system is affected as frequently. Nausea, vomiting, diarrhea, and constipation are the typical side effects of all drugs that act on the GLP-1 receptor – from the older exenatide through semaglutide and tirzepatide to the new multi-agonists. A review that summarized 60 meta-analyses with a combined 1,751 randomized trials found the most reliable signals precisely here: the odds of nausea with GLP-1 receptor agonists were about two and a half times as high as in the comparison groups (odds ratio 2.47), almost three times as high for vomiting (2.78), and about twice as high for diarrhea (1.94)</w:t>
      </w:r>
      <w:r>
        <w:rPr>
          <w:rStyle w:val="FootnoteReference"/>
        </w:rPr>
        <w:footnoteReference w:id="2606"/>
      </w:r>
      <w:r>
        <w:t xml:space="preserve">.</w:t>
      </w:r>
    </w:p>
    <w:p>
      <w:pPr>
        <w:pStyle w:val="BodyText"/>
      </w:pPr>
      <w:r>
        <w:t xml:space="preserve">How frequent the complaints are depends strongly on the agent, the dose, and the pace of dose escalation. A network meta-analysis of 39 trials with 33,354 people with overweight without diabetes found an increased risk of nausea for all agents studied, most pronounced for orforglipron, followed by exenatide, tirzepatide, semaglutide, and liraglutide</w:t>
      </w:r>
      <w:r>
        <w:rPr>
          <w:rStyle w:val="FootnoteReference"/>
        </w:rPr>
        <w:footnoteReference w:id="2607"/>
      </w:r>
      <w:r>
        <w:t xml:space="preserve">. Rates are particularly high for agents with an additional glucagon component: in the fatty liver study of survodutide, 66% had nausea compared with 23% on placebo</w:t>
      </w:r>
      <w:r>
        <w:rPr>
          <w:rStyle w:val="FootnoteReference"/>
        </w:rPr>
        <w:footnoteReference w:id="2608"/>
      </w:r>
      <w:r>
        <w:t xml:space="preserve">. Details are in the chapters Survodutide, Mazdutide, and Retatrutide.</w:t>
      </w:r>
    </w:p>
    <w:p>
      <w:pPr>
        <w:pStyle w:val="BodyText"/>
      </w:pPr>
      <w:r>
        <w:t xml:space="preserve">Nausea is also common outside the GLP-1 group. With bremelanotide, it occurred in 40.0% versus 1.3% on placebo in the phase 3 trials and was the most common reason for discontinuation</w:t>
      </w:r>
      <w:r>
        <w:rPr>
          <w:rStyle w:val="FootnoteReference"/>
        </w:rPr>
        <w:footnoteReference w:id="2609"/>
      </w:r>
      <w:r>
        <w:t xml:space="preserve">. With pramlintide, 63% reported nausea, 36% on placebo</w:t>
      </w:r>
      <w:r>
        <w:rPr>
          <w:rStyle w:val="FootnoteReference"/>
        </w:rPr>
        <w:footnoteReference w:id="2610"/>
      </w:r>
      <w:r>
        <w:t xml:space="preserve">. With setmelanotide, the figure was 36% in a meta-analysis of seven studies</w:t>
      </w:r>
      <w:r>
        <w:rPr>
          <w:rStyle w:val="FootnoteReference"/>
        </w:rPr>
        <w:footnoteReference w:id="2611"/>
      </w:r>
      <w:r>
        <w:t xml:space="preserve">.</w:t>
      </w:r>
    </w:p>
    <w:p>
      <w:pPr>
        <w:pStyle w:val="BodyText"/>
      </w:pPr>
      <w:r>
        <w:t xml:space="preserve">More important than the frequency of nausea is the question of</w:t>
      </w:r>
      <w:r>
        <w:t xml:space="preserve"> </w:t>
      </w:r>
      <w:r>
        <w:rPr>
          <w:bCs/>
          <w:b/>
        </w:rPr>
        <w:t xml:space="preserve">serious</w:t>
      </w:r>
      <w:r>
        <w:t xml:space="preserve"> </w:t>
      </w:r>
      <w:r>
        <w:t xml:space="preserve">gastrointestinal events. A 2023 database analysis had reported an increased risk of pancreatitis, bowel obstruction, and gastroparesis (stomach paralysis) for GLP-1 receptor agonists used for weight loss</w:t>
      </w:r>
      <w:r>
        <w:rPr>
          <w:rStyle w:val="FootnoteReference"/>
        </w:rPr>
        <w:footnoteReference w:id="2612"/>
      </w:r>
      <w:r>
        <w:t xml:space="preserve">. A meta-analysis of 55 placebo-controlled trials with 106,395 participants did not confirm this for most of these events. Gallstones were increased (relative risk 1.46; two additional cases per 1,000 treated), and probably reflux disease (relative risk 2.19; four additional cases per 1,000). For bowel obstruction, gastroparesis, ulcers, or bleeding, no clear difference was found</w:t>
      </w:r>
      <w:r>
        <w:rPr>
          <w:rStyle w:val="FootnoteReference"/>
        </w:rPr>
        <w:footnoteReference w:id="2613"/>
      </w:r>
      <w:r>
        <w:t xml:space="preserve">. In a cohort study using routine data, tirzepatide and semaglutide hardly differed with regard to serious gastrointestinal events</w:t>
      </w:r>
      <w:r>
        <w:rPr>
          <w:rStyle w:val="FootnoteReference"/>
        </w:rPr>
        <w:footnoteReference w:id="2614"/>
      </w:r>
      <w:r>
        <w:t xml:space="preserve">.</w:t>
      </w:r>
    </w:p>
    <w:p>
      <w:pPr>
        <w:pStyle w:val="BodyText"/>
      </w:pPr>
      <w:r>
        <w:t xml:space="preserve">Of practical importance is that persistent vomiting and diarrhea can lead to fluid loss. In the studies, the complaints occur mainly during the dose escalation phase; this is why the prescribing information for the approved drugs provides for a stepwise approach that should be supervised by a physician. With gray-market products whose contents are unknown, such a schedule cannot be reliably followed (see the chapter</w:t>
      </w:r>
      <w:r>
        <w:t xml:space="preserve"> </w:t>
      </w:r>
      <w:r>
        <w:t xml:space="preserve">“</w:t>
      </w:r>
      <w:r>
        <w:t xml:space="preserve">Gray-Market Products</w:t>
      </w:r>
      <w:r>
        <w:t xml:space="preserve">”</w:t>
      </w:r>
      <w:r>
        <w:t xml:space="preserve">).</w:t>
      </w:r>
    </w:p>
    <w:bookmarkEnd w:id="2615"/>
    <w:bookmarkStart w:id="2619" w:name="gallbladder-and-pancreas"/>
    <w:p>
      <w:pPr>
        <w:pStyle w:val="Heading3"/>
      </w:pPr>
      <w:r>
        <w:t xml:space="preserve">Gallbladder and pancreas</w:t>
      </w:r>
    </w:p>
    <w:p>
      <w:pPr>
        <w:pStyle w:val="FirstParagraph"/>
      </w:pPr>
      <w:r>
        <w:t xml:space="preserve">For the gallbladder, the risk is now well established. A meta-analysis of 76 randomized trials with 103,371 participants found a 37% increased relative risk of gallbladder and biliary disease with GLP-1 receptor agonists. In weight-loss trials, the relative risk of 2.29 was considerably higher than in diabetes trials</w:t>
      </w:r>
      <w:r>
        <w:rPr>
          <w:rStyle w:val="FootnoteReference"/>
        </w:rPr>
        <w:footnoteReference w:id="2616"/>
      </w:r>
      <w:r>
        <w:t xml:space="preserve">. Part of the effect is likely due to the rapid weight loss itself, which is known to promote gallstones. In STEP TEENS, 5 of 133 adolescents on semaglutide developed gallstones, none on placebo</w:t>
      </w:r>
      <w:r>
        <w:rPr>
          <w:rStyle w:val="FootnoteReference"/>
        </w:rPr>
        <w:footnoteReference w:id="2617"/>
      </w:r>
      <w:r>
        <w:t xml:space="preserve">.</w:t>
      </w:r>
    </w:p>
    <w:p>
      <w:pPr>
        <w:pStyle w:val="BodyText"/>
      </w:pPr>
      <w:r>
        <w:t xml:space="preserve">For the pancreas, the situation is less clear-cut. A meta-analysis of 62 trials with 66,232 participants found an overall slightly increased risk of pancreatitis (relative risk 1.44). When the studies were separated according to whether participants were also taking other medications, the difference was no longer statistically significant in either group</w:t>
      </w:r>
      <w:r>
        <w:rPr>
          <w:rStyle w:val="FootnoteReference"/>
        </w:rPr>
        <w:footnoteReference w:id="2618"/>
      </w:r>
      <w:r>
        <w:t xml:space="preserve">. The absolute frequency is low; in the large outcome trials, pancreatitis occurred rarely. The prescribing information lists it as a rare side effect. Severe, persistent upper abdominal pain, often radiating to the back, should always be evaluated by a physician with these drugs. For the question of pancreatic cancer, see the following chapter.</w:t>
      </w:r>
    </w:p>
    <w:bookmarkEnd w:id="2619"/>
    <w:bookmarkStart w:id="2621" w:name="thyroid"/>
    <w:p>
      <w:pPr>
        <w:pStyle w:val="Heading3"/>
      </w:pPr>
      <w:r>
        <w:t xml:space="preserve">Thyroid</w:t>
      </w:r>
    </w:p>
    <w:p>
      <w:pPr>
        <w:pStyle w:val="FirstParagraph"/>
      </w:pPr>
      <w:r>
        <w:t xml:space="preserve">The concern about the thyroid comes from animal experiments: in rats and mice, GLP-1 receptor agonists led to growths and tumors of the C cells, which produce the hormone calcitonin. In humans, the data are inconsistent. A direct indication of C-cell stimulation would be a rise in calcitonin in the blood. In the LEADER trial with 9,340 participants, calcitonin levels after 36 months did not differ between liraglutide and placebo, and no medullary thyroid carcinoma occurred with liraglutide</w:t>
      </w:r>
      <w:r>
        <w:rPr>
          <w:rStyle w:val="FootnoteReference"/>
        </w:rPr>
        <w:footnoteReference w:id="2620"/>
      </w:r>
      <w:r>
        <w:t xml:space="preserve">. How the cancer question should be assessed overall is covered in the chapter</w:t>
      </w:r>
      <w:r>
        <w:t xml:space="preserve"> </w:t>
      </w:r>
      <w:r>
        <w:t xml:space="preserve">“</w:t>
      </w:r>
      <w:r>
        <w:t xml:space="preserve">Cancer Risk and Growth Signals.</w:t>
      </w:r>
      <w:r>
        <w:t xml:space="preserve">”</w:t>
      </w:r>
      <w:r>
        <w:t xml:space="preserve"> </w:t>
      </w:r>
      <w:r>
        <w:t xml:space="preserve">Independently of this, the prescribing information lists a contraindication for a personal or family history of medullary thyroid carcinoma and for MEN 2 syndrome.</w:t>
      </w:r>
    </w:p>
    <w:bookmarkEnd w:id="2621"/>
    <w:bookmarkStart w:id="2629" w:name="eyes-retina-and-optic-nerve"/>
    <w:p>
      <w:pPr>
        <w:pStyle w:val="Heading3"/>
      </w:pPr>
      <w:r>
        <w:t xml:space="preserve">Eyes: retina and optic nerve</w:t>
      </w:r>
    </w:p>
    <w:p>
      <w:pPr>
        <w:pStyle w:val="FirstParagraph"/>
      </w:pPr>
      <w:r>
        <w:t xml:space="preserve">There are two different questions here.</w:t>
      </w:r>
    </w:p>
    <w:p>
      <w:pPr>
        <w:pStyle w:val="BodyText"/>
      </w:pPr>
      <w:r>
        <w:rPr>
          <w:bCs/>
          <w:b/>
        </w:rPr>
        <w:t xml:space="preserve">Diabetic retinopathy.</w:t>
      </w:r>
      <w:r>
        <w:t xml:space="preserve"> </w:t>
      </w:r>
      <w:r>
        <w:t xml:space="preserve">In SUSTAIN 6, a cardiovascular trial with 3,297 people with type 2 diabetes, complications of diabetic retinal disease occurred more frequently with semaglutide than with placebo (hazard ratio 1.76)</w:t>
      </w:r>
      <w:r>
        <w:rPr>
          <w:rStyle w:val="FootnoteReference"/>
        </w:rPr>
        <w:footnoteReference w:id="2622"/>
      </w:r>
      <w:r>
        <w:t xml:space="preserve">. It is suspected that a very rapid lowering of blood sugar temporarily worsens pre-existing retinopathy – a phenomenon also known from insulin. A meta-analysis of 78 trials with 73,640 participants found no overall increased risk of diabetic retinopathy (odds ratio 1.04) or of eye disease in general</w:t>
      </w:r>
      <w:r>
        <w:rPr>
          <w:rStyle w:val="FootnoteReference"/>
        </w:rPr>
        <w:footnoteReference w:id="2623"/>
      </w:r>
      <w:r>
        <w:t xml:space="preserve">. For people with known retinopathy, ophthalmological follow-up nevertheless remains advisable.</w:t>
      </w:r>
    </w:p>
    <w:p>
      <w:pPr>
        <w:pStyle w:val="BodyText"/>
      </w:pPr>
      <w:r>
        <w:rPr>
          <w:bCs/>
          <w:b/>
        </w:rPr>
        <w:t xml:space="preserve">NAION.</w:t>
      </w:r>
      <w:r>
        <w:t xml:space="preserve"> </w:t>
      </w:r>
      <w:r>
        <w:t xml:space="preserve">Non-arteritic anterior ischemic optic neuropathy is a circulatory disorder at the head of the optic nerve that usually leads painlessly to sudden vision loss in one eye. Since a first study from a neuro-ophthalmology clinic</w:t>
      </w:r>
      <w:r>
        <w:rPr>
          <w:rStyle w:val="FootnoteReference"/>
        </w:rPr>
        <w:footnoteReference w:id="2624"/>
      </w:r>
      <w:r>
        <w:t xml:space="preserve">, many further studies have been published, with varying results:</w:t>
      </w:r>
    </w:p>
    <w:p>
      <w:pPr>
        <w:numPr>
          <w:ilvl w:val="0"/>
          <w:numId w:val="1336"/>
        </w:numPr>
        <w:pStyle w:val="Compact"/>
      </w:pPr>
      <w:r>
        <w:t xml:space="preserve">The Danish-Norwegian registry study found an increased relative risk (hazard ratio 2.81), in absolute terms around 1.4 additional cases per 10,000 person-years</w:t>
      </w:r>
      <w:r>
        <w:rPr>
          <w:rStyle w:val="FootnoteReference"/>
        </w:rPr>
        <w:footnoteReference w:id="2625"/>
      </w:r>
      <w:r>
        <w:t xml:space="preserve">.</w:t>
      </w:r>
    </w:p>
    <w:p>
      <w:pPr>
        <w:numPr>
          <w:ilvl w:val="0"/>
          <w:numId w:val="1336"/>
        </w:numPr>
        <w:pStyle w:val="Compact"/>
      </w:pPr>
      <w:r>
        <w:t xml:space="preserve">In a US cohort of 159,398 people with type 2 diabetes, 0.04% on semaglutide or tirzepatide and 0.02% in the comparison group developed the condition over two years (hazard ratio 1.76)</w:t>
      </w:r>
      <w:r>
        <w:rPr>
          <w:rStyle w:val="FootnoteReference"/>
        </w:rPr>
        <w:footnoteReference w:id="2626"/>
      </w:r>
      <w:r>
        <w:t xml:space="preserve">.</w:t>
      </w:r>
    </w:p>
    <w:p>
      <w:pPr>
        <w:numPr>
          <w:ilvl w:val="0"/>
          <w:numId w:val="1336"/>
        </w:numPr>
        <w:pStyle w:val="Compact"/>
      </w:pPr>
      <w:r>
        <w:t xml:space="preserve">An international database study with almost 300,000 people found no established association</w:t>
      </w:r>
      <w:r>
        <w:rPr>
          <w:rStyle w:val="FootnoteReference"/>
        </w:rPr>
        <w:footnoteReference w:id="2627"/>
      </w:r>
      <w:r>
        <w:t xml:space="preserve">.</w:t>
      </w:r>
    </w:p>
    <w:p>
      <w:pPr>
        <w:numPr>
          <w:ilvl w:val="0"/>
          <w:numId w:val="1336"/>
        </w:numPr>
        <w:pStyle w:val="Compact"/>
      </w:pPr>
      <w:r>
        <w:t xml:space="preserve">A meta-analysis saw the signal only in observational studies in diabetes, not in randomized trials and not in obesity</w:t>
      </w:r>
      <w:r>
        <w:rPr>
          <w:rStyle w:val="FootnoteReference"/>
        </w:rPr>
        <w:footnoteReference w:id="2628"/>
      </w:r>
      <w:r>
        <w:t xml:space="preserve">.</w:t>
      </w:r>
    </w:p>
    <w:p>
      <w:pPr>
        <w:pStyle w:val="FirstParagraph"/>
      </w:pPr>
      <w:r>
        <w:t xml:space="preserve">In summary: a small increased risk is possible, the absolute frequency very low. In 2025, the European Medicines Agency added NAION to the prescribing information as a very rare side effect of semaglutide. Sudden vision loss is an emergency in any case. Details in the chapter Semaglutide.</w:t>
      </w:r>
    </w:p>
    <w:bookmarkEnd w:id="2629"/>
    <w:bookmarkStart w:id="2638" w:name="Xbde6c1ba934959fabd37095aaafa369f895b46a"/>
    <w:p>
      <w:pPr>
        <w:pStyle w:val="Heading3"/>
      </w:pPr>
      <w:r>
        <w:t xml:space="preserve">Cardiovascular system and fluid retention</w:t>
      </w:r>
    </w:p>
    <w:p>
      <w:pPr>
        <w:pStyle w:val="FirstParagraph"/>
      </w:pPr>
      <w:r>
        <w:t xml:space="preserve">For the GLP-1 drugs, according to current knowledge, the benefit for the heart and blood vessels predominates: in SUSTAIN 6, major cardiovascular events occurred less frequently with semaglutide (6.6% versus 8.9%)</w:t>
      </w:r>
      <w:r>
        <w:rPr>
          <w:rStyle w:val="FootnoteReference"/>
        </w:rPr>
        <w:footnoteReference w:id="2630"/>
      </w:r>
      <w:r>
        <w:t xml:space="preserve">. A slight rise in resting heart rate, however, is a class property and is in some cases more pronounced with the new multi-agonists. With retatrutide in TRIUMPH-2, low blood pressure also occurred in 1 to 6%, compared with less than 1% on placebo</w:t>
      </w:r>
      <w:r>
        <w:rPr>
          <w:rStyle w:val="FootnoteReference"/>
        </w:rPr>
        <w:footnoteReference w:id="2631"/>
      </w:r>
      <w:r>
        <w:t xml:space="preserve">. See the chapters Retatrutide and Survodutide.</w:t>
      </w:r>
    </w:p>
    <w:p>
      <w:pPr>
        <w:pStyle w:val="BodyText"/>
      </w:pPr>
      <w:r>
        <w:t xml:space="preserve">The</w:t>
      </w:r>
      <w:r>
        <w:t xml:space="preserve"> </w:t>
      </w:r>
      <w:r>
        <w:rPr>
          <w:bCs/>
          <w:b/>
        </w:rPr>
        <w:t xml:space="preserve">growth hormone axis</w:t>
      </w:r>
      <w:r>
        <w:t xml:space="preserve"> </w:t>
      </w:r>
      <w:r>
        <w:t xml:space="preserve">shows an entirely different pattern. Growth hormone causes the body to retain water. In a review of studies in healthy older people, swelling of tissues, joint pain, carpal tunnel syndrome, and breast enlargement in men occurred more frequently with growth hormone</w:t>
      </w:r>
      <w:r>
        <w:rPr>
          <w:rStyle w:val="FootnoteReference"/>
        </w:rPr>
        <w:footnoteReference w:id="2632"/>
      </w:r>
      <w:r>
        <w:t xml:space="preserve">. A similar pattern is to be expected for the secretagogues, which stimulate the body’s own release. It was most evident with oral ibutamoren: a study in older people after hip fracture was stopped early because of a signal for heart failure</w:t>
      </w:r>
      <w:r>
        <w:rPr>
          <w:rStyle w:val="FootnoteReference"/>
        </w:rPr>
        <w:footnoteReference w:id="2633"/>
      </w:r>
      <w:r>
        <w:t xml:space="preserve">. A heart that is already weakened copes poorly with additional fluid.</w:t>
      </w:r>
    </w:p>
    <w:p>
      <w:pPr>
        <w:pStyle w:val="BodyText"/>
      </w:pPr>
      <w:r>
        <w:t xml:space="preserve">Further individual findings:</w:t>
      </w:r>
    </w:p>
    <w:p>
      <w:pPr>
        <w:numPr>
          <w:ilvl w:val="0"/>
          <w:numId w:val="1337"/>
        </w:numPr>
        <w:pStyle w:val="Compact"/>
      </w:pPr>
      <w:r>
        <w:rPr>
          <w:bCs/>
          <w:b/>
        </w:rPr>
        <w:t xml:space="preserve">Bremelanotide</w:t>
      </w:r>
      <w:r>
        <w:t xml:space="preserve"> </w:t>
      </w:r>
      <w:r>
        <w:t xml:space="preserve">temporarily raised systolic blood pressure after administration by 2.4 to 3.2 mmHg; the peaks usually lasted less than 15 minutes, while heart rate fell at the same time</w:t>
      </w:r>
      <w:r>
        <w:rPr>
          <w:rStyle w:val="FootnoteReference"/>
        </w:rPr>
        <w:footnoteReference w:id="2634"/>
      </w:r>
      <w:r>
        <w:t xml:space="preserve">.</w:t>
      </w:r>
    </w:p>
    <w:p>
      <w:pPr>
        <w:numPr>
          <w:ilvl w:val="0"/>
          <w:numId w:val="1337"/>
        </w:numPr>
        <w:pStyle w:val="Compact"/>
      </w:pPr>
      <w:r>
        <w:rPr>
          <w:bCs/>
          <w:b/>
        </w:rPr>
        <w:t xml:space="preserve">Macimorelin</w:t>
      </w:r>
      <w:r>
        <w:t xml:space="preserve">, in a deliberately excessive single dose, prolonged the QT interval on the ECG by an average of up to 9.61 milliseconds</w:t>
      </w:r>
      <w:r>
        <w:rPr>
          <w:rStyle w:val="FootnoteReference"/>
        </w:rPr>
        <w:footnoteReference w:id="2635"/>
      </w:r>
      <w:r>
        <w:t xml:space="preserve"> </w:t>
      </w:r>
      <w:r>
        <w:t xml:space="preserve">– relevant for people taking other QT-prolonging medications.</w:t>
      </w:r>
    </w:p>
    <w:p>
      <w:pPr>
        <w:numPr>
          <w:ilvl w:val="0"/>
          <w:numId w:val="1337"/>
        </w:numPr>
        <w:pStyle w:val="Compact"/>
      </w:pPr>
      <w:r>
        <w:rPr>
          <w:bCs/>
          <w:b/>
        </w:rPr>
        <w:t xml:space="preserve">Oxytocin</w:t>
      </w:r>
      <w:r>
        <w:t xml:space="preserve"> </w:t>
      </w:r>
      <w:r>
        <w:t xml:space="preserve">is chemically similar to the fluid-balance hormone vasopressin. One case of increased intracranial pressure with oxytocin nasal spray combined with very high fluid intake has been described</w:t>
      </w:r>
      <w:r>
        <w:rPr>
          <w:rStyle w:val="FootnoteReference"/>
        </w:rPr>
        <w:footnoteReference w:id="2636"/>
      </w:r>
      <w:r>
        <w:t xml:space="preserve">.</w:t>
      </w:r>
    </w:p>
    <w:p>
      <w:pPr>
        <w:numPr>
          <w:ilvl w:val="0"/>
          <w:numId w:val="1337"/>
        </w:numPr>
        <w:pStyle w:val="Compact"/>
      </w:pPr>
      <w:r>
        <w:rPr>
          <w:bCs/>
          <w:b/>
        </w:rPr>
        <w:t xml:space="preserve">Melanotan II:</w:t>
      </w:r>
      <w:r>
        <w:t xml:space="preserve"> </w:t>
      </w:r>
      <w:r>
        <w:t xml:space="preserve">case reports of muscle breakdown with kidney damage</w:t>
      </w:r>
      <w:r>
        <w:rPr>
          <w:rStyle w:val="FootnoteReference"/>
        </w:rPr>
        <w:footnoteReference w:id="2637"/>
      </w:r>
      <w:r>
        <w:t xml:space="preserve"> </w:t>
      </w:r>
      <w:r>
        <w:t xml:space="preserve">and a kidney infarction; see the chapter Melanotan II.</w:t>
      </w:r>
    </w:p>
    <w:bookmarkEnd w:id="2638"/>
    <w:bookmarkStart w:id="2643" w:name="mental-health-and-suicidality"/>
    <w:p>
      <w:pPr>
        <w:pStyle w:val="Heading3"/>
      </w:pPr>
      <w:r>
        <w:t xml:space="preserve">Mental health and suicidality</w:t>
      </w:r>
    </w:p>
    <w:p>
      <w:pPr>
        <w:pStyle w:val="FirstParagraph"/>
      </w:pPr>
      <w:r>
        <w:t xml:space="preserve">In 2023, individual reports of suicidal thoughts with semaglutide and liraglutide triggered regulatory reviews in Europe and the US. The data are now considerably better and predominantly reassuring. A meta-analysis of 86 randomized trials with 133,378 participants found no increased risk with GLP-1 receptor agonists for mental illness overall (relative risk 0.96), for depression (0.88), suicide (0.90), or anxiety disorders (0.92)</w:t>
      </w:r>
      <w:r>
        <w:rPr>
          <w:rStyle w:val="FootnoteReference"/>
        </w:rPr>
        <w:footnoteReference w:id="2639"/>
      </w:r>
      <w:r>
        <w:t xml:space="preserve">. In a Scandinavian registry study of 124,517 people on GLP-1 receptor agonists, the risk of suicide was not increased compared with another diabetes drug; the upper limit of the confidence interval corresponded to at most 0.16 additional deaths per 1,000 person-years</w:t>
      </w:r>
      <w:r>
        <w:rPr>
          <w:rStyle w:val="FootnoteReference"/>
        </w:rPr>
        <w:footnoteReference w:id="2640"/>
      </w:r>
      <w:r>
        <w:t xml:space="preserve">. In the SURMOUNT trials, 0.6% each on tirzepatide and placebo reported suicidal thoughts</w:t>
      </w:r>
      <w:r>
        <w:rPr>
          <w:rStyle w:val="FootnoteReference"/>
        </w:rPr>
        <w:footnoteReference w:id="2641"/>
      </w:r>
      <w:r>
        <w:t xml:space="preserve">. In adolescents, too, a meta-analysis found no increase in suicidal behavior or depression</w:t>
      </w:r>
      <w:r>
        <w:rPr>
          <w:rStyle w:val="FootnoteReference"/>
        </w:rPr>
        <w:footnoteReference w:id="2642"/>
      </w:r>
      <w:r>
        <w:t xml:space="preserve">.</w:t>
      </w:r>
    </w:p>
    <w:p>
      <w:pPr>
        <w:pStyle w:val="BodyText"/>
      </w:pPr>
      <w:r>
        <w:t xml:space="preserve">One limitation remains: people with severe mental illness were excluded from many studies. For them and for people with eating disorders, separate considerations apply (see the chapter</w:t>
      </w:r>
      <w:r>
        <w:t xml:space="preserve"> </w:t>
      </w:r>
      <w:r>
        <w:t xml:space="preserve">“</w:t>
      </w:r>
      <w:r>
        <w:t xml:space="preserve">Interactions and Special Risk Groups</w:t>
      </w:r>
      <w:r>
        <w:t xml:space="preserve">”</w:t>
      </w:r>
      <w:r>
        <w:t xml:space="preserve">).</w:t>
      </w:r>
    </w:p>
    <w:p>
      <w:pPr>
        <w:pStyle w:val="BodyText"/>
      </w:pPr>
      <w:r>
        <w:t xml:space="preserve">Other peptides act more directly on the brain. The prescribing information for setmelanotide contains warnings about depression and suicidal thoughts (chapter Setmelanotide). For Semax, a seizure-like EEG change has been described in individual people with pre-existing brain damage (chapter Semax). For most of the</w:t>
      </w:r>
      <w:r>
        <w:t xml:space="preserve"> </w:t>
      </w:r>
      <w:r>
        <w:t xml:space="preserve">“</w:t>
      </w:r>
      <w:r>
        <w:t xml:space="preserve">nootropic peptides</w:t>
      </w:r>
      <w:r>
        <w:t xml:space="preserve">”</w:t>
      </w:r>
      <w:r>
        <w:t xml:space="preserve"> </w:t>
      </w:r>
      <w:r>
        <w:t xml:space="preserve">in Group D, there are simply no systematic data on psychiatric side effects.</w:t>
      </w:r>
    </w:p>
    <w:bookmarkEnd w:id="2643"/>
    <w:bookmarkStart w:id="2651" w:name="skin-and-pigment"/>
    <w:p>
      <w:pPr>
        <w:pStyle w:val="Heading3"/>
      </w:pPr>
      <w:r>
        <w:t xml:space="preserve">Skin and pigment</w:t>
      </w:r>
    </w:p>
    <w:p>
      <w:pPr>
        <w:pStyle w:val="FirstParagraph"/>
      </w:pPr>
      <w:r>
        <w:t xml:space="preserve">The most conspicuous skin changes are caused by peptides that act on the</w:t>
      </w:r>
      <w:r>
        <w:t xml:space="preserve"> </w:t>
      </w:r>
      <w:r>
        <w:rPr>
          <w:bCs/>
          <w:b/>
        </w:rPr>
        <w:t xml:space="preserve">melanocortin 1 receptor</w:t>
      </w:r>
      <w:r>
        <w:t xml:space="preserve"> </w:t>
      </w:r>
      <w:r>
        <w:t xml:space="preserve">of the pigment cells. With setmelanotide, which is actually supposed to act on the melanocortin 4 receptor in the brain, the skin darkened in 62% of those treated in a meta-analysis</w:t>
      </w:r>
      <w:r>
        <w:rPr>
          <w:rStyle w:val="FootnoteReference"/>
        </w:rPr>
        <w:footnoteReference w:id="2644"/>
      </w:r>
      <w:r>
        <w:t xml:space="preserve">. In an observation over up to 46 months, lips and moles also darkened, and red hair turned brown; no malignant skin changes occurred</w:t>
      </w:r>
      <w:r>
        <w:rPr>
          <w:rStyle w:val="FootnoteReference"/>
        </w:rPr>
        <w:footnoteReference w:id="2645"/>
      </w:r>
      <w:r>
        <w:t xml:space="preserve">. Bremelanotide, when given on up to 16 consecutive days, caused localized dark patches in more than a third of participants</w:t>
      </w:r>
      <w:r>
        <w:rPr>
          <w:rStyle w:val="FootnoteReference"/>
        </w:rPr>
        <w:footnoteReference w:id="2646"/>
      </w:r>
      <w:r>
        <w:t xml:space="preserve">.</w:t>
      </w:r>
    </w:p>
    <w:p>
      <w:pPr>
        <w:pStyle w:val="BodyText"/>
      </w:pPr>
      <w:r>
        <w:t xml:space="preserve">With the unapproved Melanotan II, newly appearing, sometimes atypical moles are added to this. A review of all published cases of suddenly appearing moles, with 179 affected people, named Melanotan among the triggers; 16% of all cases had at least one histologically atypical (dysplastic) mole</w:t>
      </w:r>
      <w:r>
        <w:rPr>
          <w:rStyle w:val="FootnoteReference"/>
        </w:rPr>
        <w:footnoteReference w:id="2647"/>
      </w:r>
      <w:r>
        <w:t xml:space="preserve">. Whether this results in a higher melanoma risk is covered in the next chapter.</w:t>
      </w:r>
    </w:p>
    <w:p>
      <w:pPr>
        <w:pStyle w:val="BodyText"/>
      </w:pPr>
      <w:r>
        <w:t xml:space="preserve">With the GLP-1 drugs, other skin findings are in the foreground. A systematic review names injection-site reactions as most common with tirzepatide (2 to 7%) and abnormal skin sensations (dysesthesia) mainly with semaglutide: at about 5% with standard doses and up to 20% with the high obesity doses</w:t>
      </w:r>
      <w:r>
        <w:rPr>
          <w:rStyle w:val="FootnoteReference"/>
        </w:rPr>
        <w:footnoteReference w:id="2648"/>
      </w:r>
      <w:r>
        <w:t xml:space="preserve">. With retatrutide in TRIUMPH-2, dysesthesia occurred dose-dependently in 4 to 7%, compared with 1% on placebo</w:t>
      </w:r>
      <w:r>
        <w:rPr>
          <w:rStyle w:val="FootnoteReference"/>
        </w:rPr>
        <w:footnoteReference w:id="2649"/>
      </w:r>
      <w:r>
        <w:t xml:space="preserve">. Injection-site reactions and allergies are summarized in the chapter</w:t>
      </w:r>
      <w:r>
        <w:t xml:space="preserve"> </w:t>
      </w:r>
      <w:r>
        <w:t xml:space="preserve">“</w:t>
      </w:r>
      <w:r>
        <w:t xml:space="preserve">Immune Reactions and Antibodies.</w:t>
      </w:r>
      <w:r>
        <w:t xml:space="preserve">”</w:t>
      </w:r>
    </w:p>
    <w:p>
      <w:pPr>
        <w:pStyle w:val="BodyText"/>
      </w:pPr>
      <w:r>
        <w:t xml:space="preserve">LL-37 is a special case: after injections into skin metastases, a patient developed numerous wart-like skin changes, initially thought to be cancer, which regressed after the treatment was stopped</w:t>
      </w:r>
      <w:r>
        <w:rPr>
          <w:rStyle w:val="FootnoteReference"/>
        </w:rPr>
        <w:footnoteReference w:id="2650"/>
      </w:r>
      <w:r>
        <w:t xml:space="preserve">. Authorities have repeatedly warned about glutathione injections for skin lightening (chapter Glutathione).</w:t>
      </w:r>
    </w:p>
    <w:bookmarkEnd w:id="2651"/>
    <w:bookmarkStart w:id="2655" w:name="endocrine-system"/>
    <w:p>
      <w:pPr>
        <w:pStyle w:val="Heading3"/>
      </w:pPr>
      <w:r>
        <w:t xml:space="preserve">Endocrine system</w:t>
      </w:r>
    </w:p>
    <w:p>
      <w:pPr>
        <w:pStyle w:val="FirstParagraph"/>
      </w:pPr>
      <w:r>
        <w:t xml:space="preserve">Many peptides are themselves hormones or mimic hormones. It is therefore not surprising that they intervene in regulatory circuits beyond their actual target.</w:t>
      </w:r>
    </w:p>
    <w:p>
      <w:pPr>
        <w:numPr>
          <w:ilvl w:val="0"/>
          <w:numId w:val="1338"/>
        </w:numPr>
        <w:pStyle w:val="Compact"/>
      </w:pPr>
      <w:r>
        <w:rPr>
          <w:bCs/>
          <w:b/>
        </w:rPr>
        <w:t xml:space="preserve">Stress hormones and prolactin:</w:t>
      </w:r>
      <w:r>
        <w:t xml:space="preserve"> </w:t>
      </w:r>
      <w:r>
        <w:t xml:space="preserve">The ghrelin mimetics GHRP-2, GHRP-6, hexarelin, and macimorelin release not only growth hormone but also ACTH and cortisol, and some additionally prolactin. With GHRP-2, this effect is so reliable that it has been studied as a test of the adrenal axis</w:t>
      </w:r>
      <w:r>
        <w:rPr>
          <w:rStyle w:val="FootnoteReference"/>
        </w:rPr>
        <w:footnoteReference w:id="2652"/>
      </w:r>
      <w:r>
        <w:t xml:space="preserve">. What repeated stimulation over months does has not been studied (chapters GHRP-2, GHRP-6, Hexarelin).</w:t>
      </w:r>
    </w:p>
    <w:p>
      <w:pPr>
        <w:numPr>
          <w:ilvl w:val="0"/>
          <w:numId w:val="1338"/>
        </w:numPr>
        <w:pStyle w:val="Compact"/>
      </w:pPr>
      <w:r>
        <w:rPr>
          <w:bCs/>
          <w:b/>
        </w:rPr>
        <w:t xml:space="preserve">Suppression instead of stimulation:</w:t>
      </w:r>
      <w:r>
        <w:t xml:space="preserve"> </w:t>
      </w:r>
      <w:r>
        <w:t xml:space="preserve">Hormones that are released in pulses in the body often have the opposite effect when given continuously. With the kisspeptin analog TAK-448, testosterone in healthy men fell into the castration range during a 14-day continuous infusion</w:t>
      </w:r>
      <w:r>
        <w:rPr>
          <w:rStyle w:val="FootnoteReference"/>
        </w:rPr>
        <w:footnoteReference w:id="2653"/>
      </w:r>
      <w:r>
        <w:t xml:space="preserve">. The same principle applies to gonadorelin when it is not given in the right rhythm (chapters Kisspeptin, Gonadorelin).</w:t>
      </w:r>
    </w:p>
    <w:p>
      <w:pPr>
        <w:numPr>
          <w:ilvl w:val="0"/>
          <w:numId w:val="1338"/>
        </w:numPr>
        <w:pStyle w:val="Compact"/>
      </w:pPr>
      <w:r>
        <w:rPr>
          <w:bCs/>
          <w:b/>
        </w:rPr>
        <w:t xml:space="preserve">Breast enlargement in men</w:t>
      </w:r>
      <w:r>
        <w:t xml:space="preserve"> </w:t>
      </w:r>
      <w:r>
        <w:t xml:space="preserve">is a known consequence of increased growth hormone action</w:t>
      </w:r>
      <w:r>
        <w:rPr>
          <w:rStyle w:val="FootnoteReference"/>
        </w:rPr>
        <w:footnoteReference w:id="2654"/>
      </w:r>
      <w:r>
        <w:t xml:space="preserve">.</w:t>
      </w:r>
    </w:p>
    <w:p>
      <w:pPr>
        <w:numPr>
          <w:ilvl w:val="0"/>
          <w:numId w:val="1338"/>
        </w:numPr>
        <w:pStyle w:val="Compact"/>
      </w:pPr>
      <w:r>
        <w:rPr>
          <w:bCs/>
          <w:b/>
        </w:rPr>
        <w:t xml:space="preserve">Sexual function:</w:t>
      </w:r>
      <w:r>
        <w:t xml:space="preserve"> </w:t>
      </w:r>
      <w:r>
        <w:t xml:space="preserve">Melanocortin agonists can trigger spontaneous erections; with Melanotan II, cases of priapism, a painful persistent erection, have been described (chapters Melanotan II, Setmelanotide).</w:t>
      </w:r>
    </w:p>
    <w:bookmarkEnd w:id="2655"/>
    <w:bookmarkStart w:id="2661" w:name="blood-sugar"/>
    <w:p>
      <w:pPr>
        <w:pStyle w:val="Heading3"/>
      </w:pPr>
      <w:r>
        <w:t xml:space="preserve">Blood sugar</w:t>
      </w:r>
    </w:p>
    <w:p>
      <w:pPr>
        <w:pStyle w:val="FirstParagraph"/>
      </w:pPr>
      <w:r>
        <w:t xml:space="preserve">Peptides can shift blood sugar in both directions – and both directions are relevant.</w:t>
      </w:r>
    </w:p>
    <w:p>
      <w:pPr>
        <w:pStyle w:val="BodyText"/>
      </w:pPr>
      <w:r>
        <w:rPr>
          <w:bCs/>
          <w:b/>
        </w:rPr>
        <w:t xml:space="preserve">Hypoglycemia (low blood sugar).</w:t>
      </w:r>
      <w:r>
        <w:t xml:space="preserve"> </w:t>
      </w:r>
      <w:r>
        <w:t xml:space="preserve">The greatest risk is with mecasermin, that is, IGF-1 as a drug: in a long-term study of 76 children, hypoglycemia was the most common side effect at 49%</w:t>
      </w:r>
      <w:r>
        <w:rPr>
          <w:rStyle w:val="FootnoteReference"/>
        </w:rPr>
        <w:footnoteReference w:id="2656"/>
      </w:r>
      <w:r>
        <w:t xml:space="preserve">. For the laboratory product IGF-1 LR3, a similar or greater risk is biologically plausible but has never been measured (chapter IGF-1 LR3). Pramlintide enhances the effect of insulin injected at the same time; severe hypoglycemia was more frequent than with placebo in one study (0.57 versus 0.30 events per patient-year)</w:t>
      </w:r>
      <w:r>
        <w:rPr>
          <w:rStyle w:val="FootnoteReference"/>
        </w:rPr>
        <w:footnoteReference w:id="2657"/>
      </w:r>
      <w:r>
        <w:t xml:space="preserve">. GLP-1 drugs alone hardly lower blood sugar into the dangerous range because their effect is coupled to blood sugar. In combination with sulfonylureas or insulin, however, the risk rises: with exenatide added to metformin and a sulfonylurea, mild to moderate hypoglycemia occurred in 28% and 19%, respectively, compared with 13% on placebo</w:t>
      </w:r>
      <w:r>
        <w:rPr>
          <w:rStyle w:val="FootnoteReference"/>
        </w:rPr>
        <w:footnoteReference w:id="2658"/>
      </w:r>
      <w:r>
        <w:t xml:space="preserve">. More on this in the chapter</w:t>
      </w:r>
      <w:r>
        <w:t xml:space="preserve"> </w:t>
      </w:r>
      <w:r>
        <w:t xml:space="preserve">“</w:t>
      </w:r>
      <w:r>
        <w:t xml:space="preserve">Interactions and Special Risk Groups.</w:t>
      </w:r>
      <w:r>
        <w:t xml:space="preserve">”</w:t>
      </w:r>
    </w:p>
    <w:p>
      <w:pPr>
        <w:pStyle w:val="BodyText"/>
      </w:pPr>
      <w:r>
        <w:t xml:space="preserve">Severe hypoglycemia after a supposed</w:t>
      </w:r>
      <w:r>
        <w:t xml:space="preserve"> </w:t>
      </w:r>
      <w:r>
        <w:t xml:space="preserve">“</w:t>
      </w:r>
      <w:r>
        <w:t xml:space="preserve">weight-loss injection</w:t>
      </w:r>
      <w:r>
        <w:t xml:space="preserve">”</w:t>
      </w:r>
      <w:r>
        <w:t xml:space="preserve"> </w:t>
      </w:r>
      <w:r>
        <w:t xml:space="preserve">in a person without diabetes is a warning sign of a counterfeit containing insulin. The cases are described in Part I in the chapter</w:t>
      </w:r>
      <w:r>
        <w:t xml:space="preserve"> </w:t>
      </w:r>
      <w:r>
        <w:t xml:space="preserve">“</w:t>
      </w:r>
      <w:r>
        <w:t xml:space="preserve">The Gray Market.</w:t>
      </w:r>
      <w:r>
        <w:t xml:space="preserve">”</w:t>
      </w:r>
    </w:p>
    <w:p>
      <w:pPr>
        <w:pStyle w:val="BodyText"/>
      </w:pPr>
      <w:r>
        <w:rPr>
          <w:bCs/>
          <w:b/>
        </w:rPr>
        <w:t xml:space="preserve">Higher blood sugar.</w:t>
      </w:r>
      <w:r>
        <w:t xml:space="preserve"> </w:t>
      </w:r>
      <w:r>
        <w:t xml:space="preserve">Growth hormone counteracts insulin. With ibutamoren, fasting blood sugar in healthy older people rose by an average of 0.3 mmol/L, and body weight by 2.7 kg compared with 0.8 kg on placebo</w:t>
      </w:r>
      <w:r>
        <w:rPr>
          <w:rStyle w:val="FootnoteReference"/>
        </w:rPr>
        <w:footnoteReference w:id="2659"/>
      </w:r>
      <w:r>
        <w:t xml:space="preserve">. In the review of growth hormone in older people, new-onset diabetes and impaired fasting glucose occurred somewhat more frequently</w:t>
      </w:r>
      <w:r>
        <w:rPr>
          <w:rStyle w:val="FootnoteReference"/>
        </w:rPr>
        <w:footnoteReference w:id="2660"/>
      </w:r>
      <w:r>
        <w:t xml:space="preserve">. With tesamorelin, fasting blood sugar rose temporarily in the first weeks (chapter Tesamorelin). For people with diabetes or its precursors, the growth hormone axis is therefore particularly delicate.</w:t>
      </w:r>
    </w:p>
    <w:bookmarkEnd w:id="2661"/>
    <w:bookmarkStart w:id="2662" w:name="what-the-comparison-reveals"/>
    <w:p>
      <w:pPr>
        <w:pStyle w:val="Heading3"/>
      </w:pPr>
      <w:r>
        <w:t xml:space="preserve">What the comparison reveals</w:t>
      </w:r>
    </w:p>
    <w:p>
      <w:pPr>
        <w:pStyle w:val="FirstParagraph"/>
      </w:pPr>
      <w:r>
        <w:t xml:space="preserve">Across all organ systems, three patterns emerge.</w:t>
      </w:r>
    </w:p>
    <w:p>
      <w:pPr>
        <w:pStyle w:val="BodyText"/>
      </w:pPr>
      <w:r>
        <w:t xml:space="preserve">First: the best-studied peptides – the approved GLP-1 drugs – have the best-known side effects. This is not because they are particularly dangerous, but because hundreds of thousands of people have been observed in studies and registries. Common complaints affect the gastrointestinal tract and are usually transient; more serious risks such as gallstones are established but rare in absolute terms; signals such as NAION are very rare and are being investigated further.</w:t>
      </w:r>
    </w:p>
    <w:p>
      <w:pPr>
        <w:pStyle w:val="BodyText"/>
      </w:pPr>
      <w:r>
        <w:t xml:space="preserve">Second: the peptides of the growth hormone axis share a common profile of fluid retention, higher blood sugar, and a rise in stress hormones. For use over months or years in healthy people, there are virtually no data.</w:t>
      </w:r>
    </w:p>
    <w:p>
      <w:pPr>
        <w:pStyle w:val="BodyText"/>
      </w:pPr>
      <w:r>
        <w:t xml:space="preserve">Third: for the majority of peptides in Groups B and D, organ risks cannot be described at all, because nobody has systematically looked for them. There, the greatest practical risk lies not in the active ingredient but in the product – more on this in the chapter</w:t>
      </w:r>
      <w:r>
        <w:t xml:space="preserve"> </w:t>
      </w:r>
      <w:r>
        <w:t xml:space="preserve">“</w:t>
      </w:r>
      <w:r>
        <w:t xml:space="preserve">Gray-Market Products.</w:t>
      </w:r>
      <w:r>
        <w:t xml:space="preserve">”</w:t>
      </w:r>
    </w:p>
    <w:bookmarkEnd w:id="2662"/>
    <w:bookmarkEnd w:id="2663"/>
    <w:bookmarkStart w:id="2704" w:name="cancer-risk-and-growth-signals"/>
    <w:p>
      <w:pPr>
        <w:pStyle w:val="Heading2"/>
      </w:pPr>
      <w:r>
        <w:t xml:space="preserve">Cancer Risk and Growth Signals</w:t>
      </w:r>
    </w:p>
    <w:p>
      <w:pPr>
        <w:pStyle w:val="FirstParagraph"/>
      </w:pPr>
      <w:r>
        <w:t xml:space="preserve">Many peptides are advertised precisely because they are supposed to stimulate growth: of muscles, tendons, blood vessels, nerve cells, or hair. But growth is not selective. The signaling pathways through which tissues heal and renew themselves are also used by cancer cells. This is why the same question comes up with almost every</w:t>
      </w:r>
      <w:r>
        <w:t xml:space="preserve"> </w:t>
      </w:r>
      <w:r>
        <w:t xml:space="preserve">“</w:t>
      </w:r>
      <w:r>
        <w:t xml:space="preserve">healing,</w:t>
      </w:r>
      <w:r>
        <w:t xml:space="preserve">”</w:t>
      </w:r>
      <w:r>
        <w:t xml:space="preserve"> </w:t>
      </w:r>
      <w:r>
        <w:t xml:space="preserve">“</w:t>
      </w:r>
      <w:r>
        <w:t xml:space="preserve">anti-aging,</w:t>
      </w:r>
      <w:r>
        <w:t xml:space="preserve">”</w:t>
      </w:r>
      <w:r>
        <w:t xml:space="preserve"> </w:t>
      </w:r>
      <w:r>
        <w:t xml:space="preserve">or growth hormone peptide: can it promote cancer?</w:t>
      </w:r>
    </w:p>
    <w:p>
      <w:pPr>
        <w:pStyle w:val="BodyText"/>
      </w:pPr>
      <w:r>
        <w:t xml:space="preserve">This chapter summarizes what is known about this – separated according to the four mechanisms that come up again and again in Part II: the growth hormone–IGF-1 axis, the formation of new blood vessels, the stimulation of pigment cells, and the effect of GLP-1 drugs on the thyroid and pancreas. At the end is an overview of the latest large analyses of GLP-1 drugs and cancer.</w:t>
      </w:r>
    </w:p>
    <w:bookmarkStart w:id="2665" w:name="how-to-assess-the-cancer-question"/>
    <w:p>
      <w:pPr>
        <w:pStyle w:val="Heading3"/>
      </w:pPr>
      <w:r>
        <w:t xml:space="preserve">How to assess the cancer question</w:t>
      </w:r>
    </w:p>
    <w:p>
      <w:pPr>
        <w:pStyle w:val="FirstParagraph"/>
      </w:pPr>
      <w:r>
        <w:t xml:space="preserve">Four points help in reading the following data.</w:t>
      </w:r>
    </w:p>
    <w:p>
      <w:pPr>
        <w:pStyle w:val="BodyText"/>
      </w:pPr>
      <w:r>
        <w:rPr>
          <w:bCs/>
          <w:b/>
        </w:rPr>
        <w:t xml:space="preserve">Initiating or promoting.</w:t>
      </w:r>
      <w:r>
        <w:t xml:space="preserve"> </w:t>
      </w:r>
      <w:r>
        <w:t xml:space="preserve">A substance can initiate cancer by damaging the genetic material. With peptides, another possibility is discussed more often: a growth signal could make an already existing, still undetected tumor grow faster – much as fertilizer acts on a plant that is already in the soil. For this second possibility, it is enough for the substance to stimulate cell division, cell survival, or the formation of new blood vessels.</w:t>
      </w:r>
    </w:p>
    <w:p>
      <w:pPr>
        <w:pStyle w:val="BodyText"/>
      </w:pPr>
      <w:r>
        <w:rPr>
          <w:bCs/>
          <w:b/>
        </w:rPr>
        <w:t xml:space="preserve">Time.</w:t>
      </w:r>
      <w:r>
        <w:t xml:space="preserve"> </w:t>
      </w:r>
      <w:r>
        <w:t xml:space="preserve">Cancer develops over years to decades. Most peptide studies run for weeks to a few years. Even large approval trials can hardly capture a slowly emerging risk. That requires registries and observational studies over long periods – which in turn are prone to bias.</w:t>
      </w:r>
    </w:p>
    <w:p>
      <w:pPr>
        <w:pStyle w:val="BodyText"/>
      </w:pPr>
      <w:r>
        <w:rPr>
          <w:bCs/>
          <w:b/>
        </w:rPr>
        <w:t xml:space="preserve">Detection bias.</w:t>
      </w:r>
      <w:r>
        <w:t xml:space="preserve"> </w:t>
      </w:r>
      <w:r>
        <w:t xml:space="preserve">People who are examined more often because of a drug also have tumors found more often. An example: a meta-analysis found slightly more colorectal cancer diagnoses in shorter GLP-1 trials and suggested as an explanation that gastrointestinal complaints led to more colonoscopies</w:t>
      </w:r>
      <w:r>
        <w:rPr>
          <w:rStyle w:val="FootnoteReference"/>
        </w:rPr>
        <w:footnoteReference w:id="2664"/>
      </w:r>
      <w:r>
        <w:t xml:space="preserve">.</w:t>
      </w:r>
    </w:p>
    <w:p>
      <w:pPr>
        <w:pStyle w:val="BodyText"/>
      </w:pPr>
      <w:r>
        <w:rPr>
          <w:bCs/>
          <w:b/>
        </w:rPr>
        <w:t xml:space="preserve">The opposite direction.</w:t>
      </w:r>
      <w:r>
        <w:t xml:space="preserve"> </w:t>
      </w:r>
      <w:r>
        <w:t xml:space="preserve">Overweight increases the risk of at least 13 types of cancer. A drug that strongly reduces weight could therefore lower overall cancer risk, even if there is a small signal for a single organ. The two can only be considered separately.</w:t>
      </w:r>
    </w:p>
    <w:bookmarkEnd w:id="2665"/>
    <w:bookmarkStart w:id="2675" w:name="growth-hormone-and-igf-1"/>
    <w:p>
      <w:pPr>
        <w:pStyle w:val="Heading3"/>
      </w:pPr>
      <w:r>
        <w:t xml:space="preserve">Growth hormone and IGF-1</w:t>
      </w:r>
    </w:p>
    <w:p>
      <w:pPr>
        <w:pStyle w:val="FirstParagraph"/>
      </w:pPr>
      <w:r>
        <w:t xml:space="preserve">Growth hormone acts to a large extent via IGF-1, insulin-like growth factor 1. IGF-1 stimulates cells to divide and protects them from programmed cell death. All peptides in Group C – sermorelin, tesamorelin, CJC-1295, ipamorelin, the GHRP family, mecasermin, and IGF-1 LR3 – as well as ibutamoren, discussed for comparison, raise IGF-1 directly or indirectly. The evidence on the cancer question comes from five sources.</w:t>
      </w:r>
    </w:p>
    <w:p>
      <w:pPr>
        <w:pStyle w:val="BodyText"/>
      </w:pPr>
      <w:r>
        <w:rPr>
          <w:bCs/>
          <w:b/>
        </w:rPr>
        <w:t xml:space="preserve">Naturally higher IGF-1 levels.</w:t>
      </w:r>
      <w:r>
        <w:t xml:space="preserve"> </w:t>
      </w:r>
      <w:r>
        <w:t xml:space="preserve">A meta-analysis of 21 studies found that people with high IGF-1 levels had a higher risk of prostate cancer (odds ratio 1.49 when comparing an IGF-1 level at the 75th with one at the 25th percentile) and of premenopausal breast cancer (1.65); the authors explicitly called the associations</w:t>
      </w:r>
      <w:r>
        <w:t xml:space="preserve"> </w:t>
      </w:r>
      <w:r>
        <w:t xml:space="preserve">“</w:t>
      </w:r>
      <w:r>
        <w:t xml:space="preserve">modest</w:t>
      </w:r>
      <w:r>
        <w:t xml:space="preserve">”</w:t>
      </w:r>
      <w:r>
        <w:rPr>
          <w:rStyle w:val="FootnoteReference"/>
        </w:rPr>
        <w:footnoteReference w:id="2666"/>
      </w:r>
      <w:r>
        <w:t xml:space="preserve">. In the UK Biobank with 206,263 women, breast cancer risk rose by 11% per 5 nmol/L more IGF-1</w:t>
      </w:r>
      <w:r>
        <w:rPr>
          <w:rStyle w:val="FootnoteReference"/>
        </w:rPr>
        <w:footnoteReference w:id="2667"/>
      </w:r>
      <w:r>
        <w:t xml:space="preserve">; for colorectal cancer, the same group found a similar association in almost 400,000 participants</w:t>
      </w:r>
      <w:r>
        <w:rPr>
          <w:rStyle w:val="FootnoteReference"/>
        </w:rPr>
        <w:footnoteReference w:id="2668"/>
      </w:r>
      <w:r>
        <w:t xml:space="preserve">.</w:t>
      </w:r>
    </w:p>
    <w:p>
      <w:pPr>
        <w:pStyle w:val="BodyText"/>
      </w:pPr>
      <w:r>
        <w:rPr>
          <w:bCs/>
          <w:b/>
        </w:rPr>
        <w:t xml:space="preserve">Genetic analyses.</w:t>
      </w:r>
      <w:r>
        <w:t xml:space="preserve"> </w:t>
      </w:r>
      <w:r>
        <w:t xml:space="preserve">So-called Mendelian randomization uses gene variants that slightly raise IGF-1 levels throughout life as a natural experiment. Here, too, genetically higher IGF-1 was associated with somewhat more breast cancer (odds ratio 1.05 per 5 nmol/L)</w:t>
      </w:r>
      <w:r>
        <w:rPr>
          <w:rStyle w:val="FootnoteReference"/>
        </w:rPr>
        <w:footnoteReference w:id="2669"/>
      </w:r>
      <w:r>
        <w:t xml:space="preserve">. This suggests that the association is not based solely on confounding circumstances.</w:t>
      </w:r>
    </w:p>
    <w:p>
      <w:pPr>
        <w:pStyle w:val="BodyText"/>
      </w:pPr>
      <w:r>
        <w:rPr>
          <w:bCs/>
          <w:b/>
        </w:rPr>
        <w:t xml:space="preserve">Too much growth hormone due to disease.</w:t>
      </w:r>
      <w:r>
        <w:t xml:space="preserve"> </w:t>
      </w:r>
      <w:r>
        <w:t xml:space="preserve">In acromegaly, an overproduction of growth hormone by a tumor of the pituitary gland, a meta-analysis of 23 studies found a cancer rate about half again as high (standardized ratio 1.5), with particularly high values for colorectal and thyroid cancer. Smaller and older studies, however, showed higher values than large ones, suggesting selection bias</w:t>
      </w:r>
      <w:r>
        <w:rPr>
          <w:rStyle w:val="FootnoteReference"/>
        </w:rPr>
        <w:footnoteReference w:id="2670"/>
      </w:r>
      <w:r>
        <w:t xml:space="preserve">.</w:t>
      </w:r>
    </w:p>
    <w:p>
      <w:pPr>
        <w:pStyle w:val="BodyText"/>
      </w:pPr>
      <w:r>
        <w:rPr>
          <w:bCs/>
          <w:b/>
        </w:rPr>
        <w:t xml:space="preserve">Too little IGF-1 due to disease.</w:t>
      </w:r>
      <w:r>
        <w:t xml:space="preserve"> </w:t>
      </w:r>
      <w:r>
        <w:t xml:space="preserve">Among people with Laron syndrome, who produce hardly any IGF-1 because of a genetic defect, only a single, non-fatal cancer occurred in Ecuador over 22 years of observation; among unaffected relatives, the proportion was 17%</w:t>
      </w:r>
      <w:r>
        <w:rPr>
          <w:rStyle w:val="FootnoteReference"/>
        </w:rPr>
        <w:footnoteReference w:id="2671"/>
      </w:r>
      <w:r>
        <w:t xml:space="preserve">.</w:t>
      </w:r>
    </w:p>
    <w:p>
      <w:pPr>
        <w:pStyle w:val="BodyText"/>
      </w:pPr>
      <w:r>
        <w:rPr>
          <w:bCs/>
          <w:b/>
        </w:rPr>
        <w:t xml:space="preserve">Growth hormone as a drug.</w:t>
      </w:r>
      <w:r>
        <w:t xml:space="preserve"> </w:t>
      </w:r>
      <w:r>
        <w:t xml:space="preserve">Among 23,984 children treated with growth hormone in eight European countries, there was no clearly increased cancer risk in those without serious pre-existing conditions. Notable were individual cancer types (bone, bladder) and a rise in cancer mortality with higher daily doses in children who had previously had cancer</w:t>
      </w:r>
      <w:r>
        <w:rPr>
          <w:rStyle w:val="FootnoteReference"/>
        </w:rPr>
        <w:footnoteReference w:id="2672"/>
      </w:r>
      <w:r>
        <w:t xml:space="preserve">. In 8,418 treated adults with pituitary insufficiency, cancer risk was not increased; the cancer rate was even below the population average</w:t>
      </w:r>
      <w:r>
        <w:rPr>
          <w:rStyle w:val="FootnoteReference"/>
        </w:rPr>
        <w:footnoteReference w:id="2673"/>
      </w:r>
      <w:r>
        <w:t xml:space="preserve">.</w:t>
      </w:r>
    </w:p>
    <w:p>
      <w:pPr>
        <w:pStyle w:val="BodyText"/>
      </w:pPr>
      <w:r>
        <w:t xml:space="preserve">What follows from this? People who have a genuine deficiency and receive replacement of a missing hormone do not, according to current knowledge, carry a clearly increased cancer risk. People who raise a normal level over years, on the other hand, move into the range in which observational and genetic studies show a moderately higher risk. For exactly this situation – healthy adults who use secretagogues for performance enhancement or</w:t>
      </w:r>
      <w:r>
        <w:t xml:space="preserve"> </w:t>
      </w:r>
      <w:r>
        <w:t xml:space="preserve">“</w:t>
      </w:r>
      <w:r>
        <w:t xml:space="preserve">rejuvenation</w:t>
      </w:r>
      <w:r>
        <w:t xml:space="preserve">”</w:t>
      </w:r>
      <w:r>
        <w:t xml:space="preserve"> </w:t>
      </w:r>
      <w:r>
        <w:t xml:space="preserve">– there are no long-term studies. Ibutamoren, for instance, raised IGF-1 in healthy older people to the level of young adults</w:t>
      </w:r>
      <w:r>
        <w:rPr>
          <w:rStyle w:val="FootnoteReference"/>
        </w:rPr>
        <w:footnoteReference w:id="2674"/>
      </w:r>
      <w:r>
        <w:t xml:space="preserve">; no cancer signal was reported, but the study was neither large nor long enough for that.</w:t>
      </w:r>
    </w:p>
    <w:p>
      <w:pPr>
        <w:pStyle w:val="BodyText"/>
      </w:pPr>
      <w:r>
        <w:t xml:space="preserve">Two special cases deserve mention. With the approved mecasermin, benign and malignant neoplasms in treated children were reported after market launch; the prescribing information contains corresponding warnings, and it must not be used in active cancer (as of 2026, please check for current status; chapter Mecasermin). The laboratory product IGF-1 LR3 was modified so that it no longer binds to the binding proteins in the blood that normally buffer IGF-1. As a result, it acts more strongly and for longer at the receptor – theoretically exactly the unfavorable direction. This has never been studied in humans (chapter IGF-1 LR3).</w:t>
      </w:r>
    </w:p>
    <w:bookmarkEnd w:id="2675"/>
    <w:bookmarkStart w:id="2685" w:name="X4d8117b15d1560bf86d2fb6d740bd331920bf46"/>
    <w:p>
      <w:pPr>
        <w:pStyle w:val="Heading3"/>
      </w:pPr>
      <w:r>
        <w:t xml:space="preserve">New blood vessel formation and other growth signals</w:t>
      </w:r>
    </w:p>
    <w:p>
      <w:pPr>
        <w:pStyle w:val="FirstParagraph"/>
      </w:pPr>
      <w:r>
        <w:t xml:space="preserve">A tumor that is to grow larger than a few millimeters needs its own blood vessels. This process is called angiogenesis. Some approved cancer drugs work precisely by blocking the most important signaling pathway of new blood vessel formation, the VEGF system. Conversely, substances that promote new blood vessel formation are suspected of favoring tumors.</w:t>
      </w:r>
    </w:p>
    <w:p>
      <w:pPr>
        <w:pStyle w:val="BodyText"/>
      </w:pPr>
      <w:r>
        <w:rPr>
          <w:bCs/>
          <w:b/>
        </w:rPr>
        <w:t xml:space="preserve">BPC-157.</w:t>
      </w:r>
      <w:r>
        <w:t xml:space="preserve"> </w:t>
      </w:r>
      <w:r>
        <w:t xml:space="preserve">In laboratory experiments, BPC-157 increased vessel density in chicken egg membranes, accelerated blood flow in a poorly supplied leg in rats, and increased the amount of VEGF receptor 2 in human vascular cells</w:t>
      </w:r>
      <w:r>
        <w:rPr>
          <w:rStyle w:val="FootnoteReference"/>
        </w:rPr>
        <w:footnoteReference w:id="2676"/>
      </w:r>
      <w:r>
        <w:t xml:space="preserve">. The Zagreb research group, from which most BPC-157 studies come, counters that BPC-157 regulates vessel formation rather than blindly boosting it, and has even shown anti-tumor effects in animal and cell experiments</w:t>
      </w:r>
      <w:r>
        <w:rPr>
          <w:rStyle w:val="FootnoteReference"/>
        </w:rPr>
        <w:footnoteReference w:id="2677"/>
      </w:r>
      <w:r>
        <w:t xml:space="preserve">. Long-term carcinogenicity studies, as required for drugs, have not been published for BPC-157. The question is open. See the chapter BPC-157.</w:t>
      </w:r>
    </w:p>
    <w:p>
      <w:pPr>
        <w:pStyle w:val="BodyText"/>
      </w:pPr>
      <w:r>
        <w:rPr>
          <w:bCs/>
          <w:b/>
        </w:rPr>
        <w:t xml:space="preserve">TB-500 and thymosin beta-4.</w:t>
      </w:r>
      <w:r>
        <w:t xml:space="preserve"> </w:t>
      </w:r>
      <w:r>
        <w:t xml:space="preserve">Thymosin beta-4 promotes cell migration and new blood vessel formation. In tissue samples from 138 people with bladder cancer, strong thymosin beta-4 expression was associated with advanced stage, lymph node involvement, and shorter survival</w:t>
      </w:r>
      <w:r>
        <w:rPr>
          <w:rStyle w:val="FootnoteReference"/>
        </w:rPr>
        <w:footnoteReference w:id="2678"/>
      </w:r>
      <w:r>
        <w:t xml:space="preserve">. In cultures of breast cancer cells, added thymosin beta-4 increased the cell count</w:t>
      </w:r>
      <w:r>
        <w:rPr>
          <w:rStyle w:val="FootnoteReference"/>
        </w:rPr>
        <w:footnoteReference w:id="2679"/>
      </w:r>
      <w:r>
        <w:t xml:space="preserve">. This does not prove that externally supplied TB-500 promotes cancer, but it is a reason for caution in people with cancer or a high cancer risk. See the chapter TB-500.</w:t>
      </w:r>
    </w:p>
    <w:p>
      <w:pPr>
        <w:pStyle w:val="BodyText"/>
      </w:pPr>
      <w:r>
        <w:rPr>
          <w:bCs/>
          <w:b/>
        </w:rPr>
        <w:t xml:space="preserve">Other peptides with growth signals.</w:t>
      </w:r>
      <w:r>
        <w:t xml:space="preserve"> </w:t>
      </w:r>
      <w:r>
        <w:t xml:space="preserve">For several peptides from Part II, similar questions arise from the mechanism of action or from laboratory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Mechanism</w:t>
            </w:r>
          </w:p>
        </w:tc>
        <w:tc>
          <w:tcPr/>
          <w:p>
            <w:pPr>
              <w:pStyle w:val="Compact"/>
              <w:jc w:val="left"/>
            </w:pPr>
            <w:r>
              <w:t xml:space="preserve">Type of evidence</w:t>
            </w:r>
          </w:p>
        </w:tc>
        <w:tc>
          <w:tcPr/>
          <w:p>
            <w:pPr>
              <w:pStyle w:val="Compact"/>
              <w:jc w:val="left"/>
            </w:pPr>
            <w:r>
              <w:t xml:space="preserve">Chapter</w:t>
            </w:r>
          </w:p>
        </w:tc>
      </w:tr>
      <w:tr>
        <w:tc>
          <w:tcPr/>
          <w:p>
            <w:pPr>
              <w:pStyle w:val="Compact"/>
              <w:jc w:val="left"/>
            </w:pPr>
            <w:r>
              <w:t xml:space="preserve">Dihexa</w:t>
            </w:r>
          </w:p>
        </w:tc>
        <w:tc>
          <w:tcPr/>
          <w:p>
            <w:pPr>
              <w:pStyle w:val="Compact"/>
              <w:jc w:val="left"/>
            </w:pPr>
            <w:r>
              <w:t xml:space="preserve">amplifies c-Met signaling, a known cancer driver</w:t>
            </w:r>
          </w:p>
        </w:tc>
        <w:tc>
          <w:tcPr/>
          <w:p>
            <w:pPr>
              <w:pStyle w:val="Compact"/>
              <w:jc w:val="left"/>
            </w:pPr>
            <w:r>
              <w:t xml:space="preserve">theoretical only, no human data</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said to activate telomerase</w:t>
            </w:r>
          </w:p>
        </w:tc>
        <w:tc>
          <w:tcPr/>
          <w:p>
            <w:pPr>
              <w:pStyle w:val="Compact"/>
              <w:jc w:val="left"/>
            </w:pPr>
            <w:r>
              <w:t xml:space="preserve">cell culture: telomeres of breast cancer cells also lengthened</w:t>
            </w:r>
          </w:p>
        </w:tc>
        <w:tc>
          <w:tcPr/>
          <w:p>
            <w:pPr>
              <w:pStyle w:val="Compact"/>
              <w:jc w:val="left"/>
            </w:pPr>
            <w:r>
              <w:t xml:space="preserve">Epitalon</w:t>
            </w:r>
          </w:p>
        </w:tc>
      </w:tr>
      <w:tr>
        <w:tc>
          <w:tcPr/>
          <w:p>
            <w:pPr>
              <w:pStyle w:val="Compact"/>
              <w:jc w:val="left"/>
            </w:pPr>
            <w:r>
              <w:t xml:space="preserve">Humanin</w:t>
            </w:r>
          </w:p>
        </w:tc>
        <w:tc>
          <w:tcPr/>
          <w:p>
            <w:pPr>
              <w:pStyle w:val="Compact"/>
              <w:jc w:val="left"/>
            </w:pPr>
            <w:r>
              <w:t xml:space="preserve">protects cells from cell death</w:t>
            </w:r>
          </w:p>
        </w:tc>
        <w:tc>
          <w:tcPr/>
          <w:p>
            <w:pPr>
              <w:pStyle w:val="Compact"/>
              <w:jc w:val="left"/>
            </w:pPr>
            <w:r>
              <w:t xml:space="preserve">mice: faster tumor growth, more metastases</w:t>
            </w:r>
          </w:p>
        </w:tc>
        <w:tc>
          <w:tcPr/>
          <w:p>
            <w:pPr>
              <w:pStyle w:val="Compact"/>
              <w:jc w:val="left"/>
            </w:pPr>
            <w:r>
              <w:t xml:space="preserve">Humanin</w:t>
            </w:r>
          </w:p>
        </w:tc>
      </w:tr>
      <w:tr>
        <w:tc>
          <w:tcPr/>
          <w:p>
            <w:pPr>
              <w:pStyle w:val="Compact"/>
              <w:jc w:val="left"/>
            </w:pPr>
            <w:r>
              <w:t xml:space="preserve">LL-37</w:t>
            </w:r>
          </w:p>
        </w:tc>
        <w:tc>
          <w:tcPr/>
          <w:p>
            <w:pPr>
              <w:pStyle w:val="Compact"/>
              <w:jc w:val="left"/>
            </w:pPr>
            <w:r>
              <w:t xml:space="preserve">inflammatory and growth signals</w:t>
            </w:r>
          </w:p>
        </w:tc>
        <w:tc>
          <w:tcPr/>
          <w:p>
            <w:pPr>
              <w:pStyle w:val="Compact"/>
              <w:jc w:val="left"/>
            </w:pPr>
            <w:r>
              <w:t xml:space="preserve">laboratory: promoting or inhibiting depending on cancer type</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new blood vessel formation in animal experiments</w:t>
            </w:r>
          </w:p>
        </w:tc>
        <w:tc>
          <w:tcPr/>
          <w:p>
            <w:pPr>
              <w:pStyle w:val="Compact"/>
              <w:jc w:val="left"/>
            </w:pPr>
            <w:r>
              <w:t xml:space="preserve">theoretical only</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acts on the EPO receptor</w:t>
            </w:r>
          </w:p>
        </w:tc>
        <w:tc>
          <w:tcPr/>
          <w:p>
            <w:pPr>
              <w:pStyle w:val="Compact"/>
              <w:jc w:val="left"/>
            </w:pPr>
            <w:r>
              <w:t xml:space="preserve">theoretical, by analogy with EPO</w:t>
            </w:r>
          </w:p>
        </w:tc>
        <w:tc>
          <w:tcPr/>
          <w:p>
            <w:pPr>
              <w:pStyle w:val="Compact"/>
              <w:jc w:val="left"/>
            </w:pPr>
            <w:r>
              <w:t xml:space="preserve">ARA-290</w:t>
            </w:r>
          </w:p>
        </w:tc>
      </w:tr>
    </w:tbl>
    <w:p>
      <w:pPr>
        <w:pStyle w:val="BodyText"/>
      </w:pPr>
      <w:r>
        <w:t xml:space="preserve">Some of these indications are concrete. In mice with triple-negative breast cancer, administered humanin reduced cell death in the tumor, weakened chemotherapy, and accelerated tumor growth and lung metastases</w:t>
      </w:r>
      <w:r>
        <w:rPr>
          <w:rStyle w:val="FootnoteReference"/>
        </w:rPr>
        <w:footnoteReference w:id="2680"/>
      </w:r>
      <w:r>
        <w:t xml:space="preserve">. In cell cultures, Epitalon lengthened the telomeres of healthy cells via the enzyme telomerase, and in breast cancer cells via a different pathway</w:t>
      </w:r>
      <w:r>
        <w:rPr>
          <w:rStyle w:val="FootnoteReference"/>
        </w:rPr>
        <w:footnoteReference w:id="2681"/>
      </w:r>
      <w:r>
        <w:t xml:space="preserve">; in a mouse study, by contrast, the number of spontaneous tumors did not increase</w:t>
      </w:r>
      <w:r>
        <w:rPr>
          <w:rStyle w:val="FootnoteReference"/>
        </w:rPr>
        <w:footnoteReference w:id="2682"/>
      </w:r>
      <w:r>
        <w:t xml:space="preserve">. For LL-37, a review describes promoting effects on tumors of the ovary, lung, breast, prostate, pancreas, and skin, but inhibiting effects on colorectal and gastric cancer</w:t>
      </w:r>
      <w:r>
        <w:rPr>
          <w:rStyle w:val="FootnoteReference"/>
        </w:rPr>
        <w:footnoteReference w:id="2683"/>
      </w:r>
      <w:r>
        <w:t xml:space="preserve">. For Dihexa, the connection to the c-Met system has been described</w:t>
      </w:r>
      <w:r>
        <w:rPr>
          <w:rStyle w:val="FootnoteReference"/>
        </w:rPr>
        <w:footnoteReference w:id="2684"/>
      </w:r>
      <w:r>
        <w:t xml:space="preserve">; there are no carcinogenicity studies.</w:t>
      </w:r>
    </w:p>
    <w:p>
      <w:pPr>
        <w:pStyle w:val="BodyText"/>
      </w:pPr>
      <w:r>
        <w:t xml:space="preserve">All of these findings come from animal experiments, cell cultures, or the mechanism of action. None proves a cancer risk in humans. But they show that</w:t>
      </w:r>
      <w:r>
        <w:t xml:space="preserve"> </w:t>
      </w:r>
      <w:r>
        <w:t xml:space="preserve">“</w:t>
      </w:r>
      <w:r>
        <w:t xml:space="preserve">natural,</w:t>
      </w:r>
      <w:r>
        <w:t xml:space="preserve">”</w:t>
      </w:r>
      <w:r>
        <w:t xml:space="preserve"> </w:t>
      </w:r>
      <w:r>
        <w:t xml:space="preserve">“</w:t>
      </w:r>
      <w:r>
        <w:t xml:space="preserve">endogenous,</w:t>
      </w:r>
      <w:r>
        <w:t xml:space="preserve">”</w:t>
      </w:r>
      <w:r>
        <w:t xml:space="preserve"> </w:t>
      </w:r>
      <w:r>
        <w:t xml:space="preserve">or</w:t>
      </w:r>
      <w:r>
        <w:t xml:space="preserve"> </w:t>
      </w:r>
      <w:r>
        <w:t xml:space="preserve">“</w:t>
      </w:r>
      <w:r>
        <w:t xml:space="preserve">regenerative</w:t>
      </w:r>
      <w:r>
        <w:t xml:space="preserve">”</w:t>
      </w:r>
      <w:r>
        <w:t xml:space="preserve"> </w:t>
      </w:r>
      <w:r>
        <w:t xml:space="preserve">does not automatically mean</w:t>
      </w:r>
      <w:r>
        <w:t xml:space="preserve"> </w:t>
      </w:r>
      <w:r>
        <w:t xml:space="preserve">“</w:t>
      </w:r>
      <w:r>
        <w:t xml:space="preserve">harmless</w:t>
      </w:r>
      <w:r>
        <w:t xml:space="preserve">”</w:t>
      </w:r>
      <w:r>
        <w:t xml:space="preserve"> </w:t>
      </w:r>
      <w:r>
        <w:t xml:space="preserve">– and that for none of these substances do the long-term data exist with which the question could be answered.</w:t>
      </w:r>
    </w:p>
    <w:bookmarkEnd w:id="2685"/>
    <w:bookmarkStart w:id="2690" w:name="X93d33233a56134832dad2a17bcc5a7958c0b27b"/>
    <w:p>
      <w:pPr>
        <w:pStyle w:val="Heading3"/>
      </w:pPr>
      <w:r>
        <w:t xml:space="preserve">Pigment cells: Melanotan, setmelanotide, and afamelanotide</w:t>
      </w:r>
    </w:p>
    <w:p>
      <w:pPr>
        <w:pStyle w:val="FirstParagraph"/>
      </w:pPr>
      <w:r>
        <w:t xml:space="preserve">The melanocortin peptides stimulate the pigment cells (melanocytes) of the skin. This is the desired effect with afamelanotide, a side effect with setmelanotide and bremelanotide, and the actual selling point with Melanotan II. Since melanoma arises from pigment cells, the question of skin cancer is obvious.</w:t>
      </w:r>
    </w:p>
    <w:p>
      <w:pPr>
        <w:pStyle w:val="BodyText"/>
      </w:pPr>
      <w:r>
        <w:t xml:space="preserve">For the unapproved</w:t>
      </w:r>
      <w:r>
        <w:t xml:space="preserve"> </w:t>
      </w:r>
      <w:r>
        <w:rPr>
          <w:bCs/>
          <w:b/>
        </w:rPr>
        <w:t xml:space="preserve">Melanotan II</w:t>
      </w:r>
      <w:r>
        <w:t xml:space="preserve">, there are several case reports of melanomas discovered during or shortly after use. One review counted four cases in which melanomas arose from existing moles, while emphasizing that conclusive proof of a connection is lacking</w:t>
      </w:r>
      <w:r>
        <w:rPr>
          <w:rStyle w:val="FootnoteReference"/>
        </w:rPr>
        <w:footnoteReference w:id="2686"/>
      </w:r>
      <w:r>
        <w:t xml:space="preserve">. Among 179 published cases of suddenly appearing moles, some of which were attributed to Melanotan, five were associated with a melanoma</w:t>
      </w:r>
      <w:r>
        <w:rPr>
          <w:rStyle w:val="FootnoteReference"/>
        </w:rPr>
        <w:footnoteReference w:id="2687"/>
      </w:r>
      <w:r>
        <w:t xml:space="preserve">. Interpretation is difficult: many of those affected also used tanning beds or sunbathed intensively, which independently increases melanoma risk. And case reports cannot provide frequencies. See the chapter Melanotan II.</w:t>
      </w:r>
    </w:p>
    <w:p>
      <w:pPr>
        <w:pStyle w:val="BodyText"/>
      </w:pPr>
      <w:r>
        <w:t xml:space="preserve">For the approved</w:t>
      </w:r>
      <w:r>
        <w:t xml:space="preserve"> </w:t>
      </w:r>
      <w:r>
        <w:rPr>
          <w:bCs/>
          <w:b/>
        </w:rPr>
        <w:t xml:space="preserve">afamelanotide</w:t>
      </w:r>
      <w:r>
        <w:t xml:space="preserve">, more systematic data are available. In a study with 15 treated people and 103 moles, dermoscopy showed temporary changes that had regressed after one year; there were no signs of malignancy or new moles</w:t>
      </w:r>
      <w:r>
        <w:rPr>
          <w:rStyle w:val="FootnoteReference"/>
        </w:rPr>
        <w:footnoteReference w:id="2688"/>
      </w:r>
      <w:r>
        <w:t xml:space="preserve">. With</w:t>
      </w:r>
      <w:r>
        <w:t xml:space="preserve"> </w:t>
      </w:r>
      <w:r>
        <w:rPr>
          <w:bCs/>
          <w:b/>
        </w:rPr>
        <w:t xml:space="preserve">setmelanotide</w:t>
      </w:r>
      <w:r>
        <w:t xml:space="preserve">, no malignant skin changes occurred in an observation over up to 46 months</w:t>
      </w:r>
      <w:r>
        <w:rPr>
          <w:rStyle w:val="FootnoteReference"/>
        </w:rPr>
        <w:footnoteReference w:id="2689"/>
      </w:r>
      <w:r>
        <w:t xml:space="preserve">. These data are reassuring, but small and short relative to the time it takes a melanoma to develop. The prescribing information provides for regular skin checks. They cannot be transferred to Melanotan II: a different substance, untested products, often combined with UV radiation.</w:t>
      </w:r>
    </w:p>
    <w:bookmarkEnd w:id="2690"/>
    <w:bookmarkStart w:id="2697" w:name="glp-1-and-the-thyroid-c-cells"/>
    <w:p>
      <w:pPr>
        <w:pStyle w:val="Heading3"/>
      </w:pPr>
      <w:r>
        <w:t xml:space="preserve">GLP-1 and the thyroid C cells</w:t>
      </w:r>
    </w:p>
    <w:p>
      <w:pPr>
        <w:pStyle w:val="FirstParagraph"/>
      </w:pPr>
      <w:r>
        <w:t xml:space="preserve">In rats and mice, GLP-1 receptor agonists led in long-term experiments to growths and tumors of the C cells of the thyroid. The mechanism is well understood: the C cells of rodents carry the GLP-1 receptor; its activation increases the release of calcitonin and cell division. In humans and monkeys, the receptor is considerably rarer on the C cells. Monkeys that received liraglutide for 20 months at concentrations more than 60 times higher than in humans did not develop C-cell hyperplasia</w:t>
      </w:r>
      <w:r>
        <w:rPr>
          <w:rStyle w:val="FootnoteReference"/>
        </w:rPr>
        <w:footnoteReference w:id="2691"/>
      </w:r>
      <w:r>
        <w:t xml:space="preserve">.</w:t>
      </w:r>
    </w:p>
    <w:p>
      <w:pPr>
        <w:pStyle w:val="BodyText"/>
      </w:pPr>
      <w:r>
        <w:t xml:space="preserve">This does not completely rule out an effect in humans. In human thyroid tissue, one study found the GLP-1 receptor in all samples of medullary thyroid carcinoma and C-cell hyperplasia, in 18% of papillary carcinomas, and in some of the C cells of healthy thyroids</w:t>
      </w:r>
      <w:r>
        <w:rPr>
          <w:rStyle w:val="FootnoteReference"/>
        </w:rPr>
        <w:footnoteReference w:id="2692"/>
      </w:r>
      <w:r>
        <w:t xml:space="preserve">.</w:t>
      </w:r>
    </w:p>
    <w:p>
      <w:pPr>
        <w:pStyle w:val="BodyText"/>
      </w:pPr>
      <w:r>
        <w:t xml:space="preserve">The studies in humans do not yield a consistent picture:</w:t>
      </w:r>
    </w:p>
    <w:p>
      <w:pPr>
        <w:numPr>
          <w:ilvl w:val="0"/>
          <w:numId w:val="1339"/>
        </w:numPr>
        <w:pStyle w:val="Compact"/>
      </w:pPr>
      <w:r>
        <w:t xml:space="preserve">In the LEADER trial, calcitonin did not rise with liraglutide over up to five years, and no medullary carcinomas occurred</w:t>
      </w:r>
      <w:r>
        <w:rPr>
          <w:rStyle w:val="FootnoteReference"/>
        </w:rPr>
        <w:footnoteReference w:id="2693"/>
      </w:r>
      <w:r>
        <w:t xml:space="preserve">.</w:t>
      </w:r>
    </w:p>
    <w:p>
      <w:pPr>
        <w:numPr>
          <w:ilvl w:val="0"/>
          <w:numId w:val="1339"/>
        </w:numPr>
        <w:pStyle w:val="Compact"/>
      </w:pPr>
      <w:r>
        <w:t xml:space="preserve">A French case-control study with 2,562 cases found, after one to three years of treatment, an increased risk of thyroid cancer overall (hazard ratio 1.58) and of medullary carcinoma (1.78)</w:t>
      </w:r>
      <w:r>
        <w:rPr>
          <w:rStyle w:val="FootnoteReference"/>
        </w:rPr>
        <w:footnoteReference w:id="2694"/>
      </w:r>
      <w:r>
        <w:t xml:space="preserve">.</w:t>
      </w:r>
    </w:p>
    <w:p>
      <w:pPr>
        <w:numPr>
          <w:ilvl w:val="0"/>
          <w:numId w:val="1339"/>
        </w:numPr>
        <w:pStyle w:val="Compact"/>
      </w:pPr>
      <w:r>
        <w:t xml:space="preserve">A Scandinavian cohort study with 145,410 people on GLP-1 receptor agonists found no increased risk (hazard ratio 0.93; 1.33 versus 1.46 cases per 10,000 person-years). For the rare medullary carcinoma, the estimate was very uncertain (hazard ratio 1.19; confidence interval 0.37 to 3.86)</w:t>
      </w:r>
      <w:r>
        <w:rPr>
          <w:rStyle w:val="FootnoteReference"/>
        </w:rPr>
        <w:footnoteReference w:id="2695"/>
      </w:r>
      <w:r>
        <w:t xml:space="preserve">.</w:t>
      </w:r>
    </w:p>
    <w:p>
      <w:pPr>
        <w:numPr>
          <w:ilvl w:val="0"/>
          <w:numId w:val="1339"/>
        </w:numPr>
        <w:pStyle w:val="Compact"/>
      </w:pPr>
      <w:r>
        <w:t xml:space="preserve">A meta-analysis of 50 randomized trials lasting at least one year showed a signal for thyroid cancer (odds ratio 1.55), which was more pronounced in longer trials</w:t>
      </w:r>
      <w:r>
        <w:rPr>
          <w:rStyle w:val="FootnoteReference"/>
        </w:rPr>
        <w:footnoteReference w:id="2696"/>
      </w:r>
      <w:r>
        <w:t xml:space="preserve">.</w:t>
      </w:r>
    </w:p>
    <w:p>
      <w:pPr>
        <w:pStyle w:val="FirstParagraph"/>
      </w:pPr>
      <w:r>
        <w:t xml:space="preserve">How does this fit together? Part of the signal could be due to more frequent examinations: people who are closely monitored for diabetes or obesity more often receive an ultrasound in which small, harmless papillary carcinomas are discovered. A small genuine risk, however, cannot be ruled out. For people with a personal or family history of medullary thyroid carcinoma or with MEN 2 syndrome, a contraindication therefore continues to apply. See the chapter Liraglutide.</w:t>
      </w:r>
    </w:p>
    <w:bookmarkEnd w:id="2697"/>
    <w:bookmarkStart w:id="2701" w:name="pancreas"/>
    <w:p>
      <w:pPr>
        <w:pStyle w:val="Heading3"/>
      </w:pPr>
      <w:r>
        <w:t xml:space="preserve">Pancreas</w:t>
      </w:r>
    </w:p>
    <w:p>
      <w:pPr>
        <w:pStyle w:val="FirstParagraph"/>
      </w:pPr>
      <w:r>
        <w:t xml:space="preserve">After the early reports of pancreatitis with exenatide and liraglutide, an increased risk of pancreatic cancer was also feared. The data have not confirmed this so far. A meta-analysis of 62 randomized trials found no established increase in risk (relative risk 1.30; confidence interval 0.86 to 1.97); in a subgroup of studies with additional medications it was increased, without additional medications it was not</w:t>
      </w:r>
      <w:r>
        <w:rPr>
          <w:rStyle w:val="FootnoteReference"/>
        </w:rPr>
        <w:footnoteReference w:id="2698"/>
      </w:r>
      <w:r>
        <w:t xml:space="preserve">. The authors point out that many studies without a single event were not included in the calculation at all. In a large US cohort study, pancreatic cancer was even less common with GLP-1 receptor agonists than with insulin (hazard ratio 0.41)</w:t>
      </w:r>
      <w:r>
        <w:rPr>
          <w:rStyle w:val="FootnoteReference"/>
        </w:rPr>
        <w:footnoteReference w:id="2699"/>
      </w:r>
      <w:r>
        <w:t xml:space="preserve"> </w:t>
      </w:r>
      <w:r>
        <w:t xml:space="preserve">– although insulin is often used in longer-standing, more severe diabetes.</w:t>
      </w:r>
    </w:p>
    <w:p>
      <w:pPr>
        <w:pStyle w:val="BodyText"/>
      </w:pPr>
      <w:r>
        <w:t xml:space="preserve">For neuroendocrine tumors, a rare group of tumors that arise in the pancreas among other places and in some cases carry the GLP-1 receptor, a review concludes that the available data show no general increase, but that important gaps exist, for example regarding hereditary predisposition</w:t>
      </w:r>
      <w:r>
        <w:rPr>
          <w:rStyle w:val="FootnoteReference"/>
        </w:rPr>
        <w:footnoteReference w:id="2700"/>
      </w:r>
      <w:r>
        <w:t xml:space="preserve">.</w:t>
      </w:r>
    </w:p>
    <w:bookmarkEnd w:id="2701"/>
    <w:bookmarkStart w:id="2702" w:name="Xaf9916aaef9511562667b0dc0f39cda89f2a00d"/>
    <w:p>
      <w:pPr>
        <w:pStyle w:val="Heading3"/>
      </w:pPr>
      <w:r>
        <w:t xml:space="preserve">What new meta-analyses and large cohorts show on GLP-1 and cancer</w:t>
      </w:r>
    </w:p>
    <w:p>
      <w:pPr>
        <w:pStyle w:val="FirstParagraph"/>
      </w:pPr>
      <w:r>
        <w:t xml:space="preserve">With the wide use of GLP-1 drugs, several very large analyses have been published since 2024. They paint a predominantly reassuring picture, though one that is unclear on individual 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Data</w:t>
            </w:r>
          </w:p>
        </w:tc>
        <w:tc>
          <w:tcPr/>
          <w:p>
            <w:pPr>
              <w:pStyle w:val="Compact"/>
              <w:jc w:val="left"/>
            </w:pPr>
            <w:r>
              <w:t xml:space="preserve">Result for cancer overall</w:t>
            </w:r>
          </w:p>
        </w:tc>
        <w:tc>
          <w:tcPr/>
          <w:p>
            <w:pPr>
              <w:pStyle w:val="Compact"/>
              <w:jc w:val="left"/>
            </w:pPr>
            <w:r>
              <w:t xml:space="preserve">Notable findings</w:t>
            </w:r>
          </w:p>
        </w:tc>
      </w:tr>
      <w:tr>
        <w:tc>
          <w:tcPr/>
          <w:p>
            <w:pPr>
              <w:pStyle w:val="Compact"/>
              <w:jc w:val="left"/>
            </w:pPr>
            <w:r>
              <w:t xml:space="preserve">Silverii 2025, PMID 40437949</w:t>
            </w:r>
          </w:p>
        </w:tc>
        <w:tc>
          <w:tcPr/>
          <w:p>
            <w:pPr>
              <w:pStyle w:val="Compact"/>
              <w:jc w:val="left"/>
            </w:pPr>
            <w:r>
              <w:t xml:space="preserve">50 RCTs, at least 52 weeks</w:t>
            </w:r>
          </w:p>
        </w:tc>
        <w:tc>
          <w:tcPr/>
          <w:p>
            <w:pPr>
              <w:pStyle w:val="Compact"/>
              <w:jc w:val="left"/>
            </w:pPr>
            <w:r>
              <w:t xml:space="preserve">no difference (odds ratio 1.05)</w:t>
            </w:r>
          </w:p>
        </w:tc>
        <w:tc>
          <w:tcPr/>
          <w:p>
            <w:pPr>
              <w:pStyle w:val="Compact"/>
              <w:jc w:val="left"/>
            </w:pPr>
            <w:r>
              <w:t xml:space="preserve">thyroid 1.55; uterus in obesity 0.24</w:t>
            </w:r>
          </w:p>
        </w:tc>
      </w:tr>
      <w:tr>
        <w:tc>
          <w:tcPr/>
          <w:p>
            <w:pPr>
              <w:pStyle w:val="Compact"/>
              <w:jc w:val="left"/>
            </w:pPr>
            <w:r>
              <w:t xml:space="preserve">Wang 2024, PMID 38967919</w:t>
            </w:r>
          </w:p>
        </w:tc>
        <w:tc>
          <w:tcPr/>
          <w:p>
            <w:pPr>
              <w:pStyle w:val="Compact"/>
              <w:jc w:val="left"/>
            </w:pPr>
            <w:r>
              <w:t xml:space="preserve">1,651,452 people with type 2 diabetes</w:t>
            </w:r>
          </w:p>
        </w:tc>
        <w:tc>
          <w:tcPr/>
          <w:p>
            <w:pPr>
              <w:pStyle w:val="Compact"/>
              <w:jc w:val="left"/>
            </w:pPr>
            <w:r>
              <w:t xml:space="preserve">vs. insulin fewer for 10 of 13 cancer types</w:t>
            </w:r>
          </w:p>
        </w:tc>
        <w:tc>
          <w:tcPr/>
          <w:p>
            <w:pPr>
              <w:pStyle w:val="Compact"/>
              <w:jc w:val="left"/>
            </w:pPr>
            <w:r>
              <w:t xml:space="preserve">vs. metformin more kidney cancer (1.54)</w:t>
            </w:r>
          </w:p>
        </w:tc>
      </w:tr>
      <w:tr>
        <w:tc>
          <w:tcPr/>
          <w:p>
            <w:pPr>
              <w:pStyle w:val="Compact"/>
              <w:jc w:val="left"/>
            </w:pPr>
            <w:r>
              <w:t xml:space="preserve">Dai 2025, PMID 40839273</w:t>
            </w:r>
          </w:p>
        </w:tc>
        <w:tc>
          <w:tcPr/>
          <w:p>
            <w:pPr>
              <w:pStyle w:val="Compact"/>
              <w:jc w:val="left"/>
            </w:pPr>
            <w:r>
              <w:t xml:space="preserve">86,632 adults with obesity</w:t>
            </w:r>
          </w:p>
        </w:tc>
        <w:tc>
          <w:tcPr/>
          <w:p>
            <w:pPr>
              <w:pStyle w:val="Compact"/>
              <w:jc w:val="left"/>
            </w:pPr>
            <w:r>
              <w:t xml:space="preserve">less cancer (hazard ratio 0.83)</w:t>
            </w:r>
          </w:p>
        </w:tc>
        <w:tc>
          <w:tcPr/>
          <w:p>
            <w:pPr>
              <w:pStyle w:val="Compact"/>
              <w:jc w:val="left"/>
            </w:pPr>
            <w:r>
              <w:t xml:space="preserve">kidney cancer borderline increased (1.38)</w:t>
            </w:r>
          </w:p>
        </w:tc>
      </w:tr>
      <w:tr>
        <w:tc>
          <w:tcPr/>
          <w:p>
            <w:pPr>
              <w:pStyle w:val="Compact"/>
              <w:jc w:val="left"/>
            </w:pPr>
            <w:r>
              <w:t xml:space="preserve">Hsu 2026, PMID 42252247</w:t>
            </w:r>
          </w:p>
        </w:tc>
        <w:tc>
          <w:tcPr/>
          <w:p>
            <w:pPr>
              <w:pStyle w:val="Compact"/>
              <w:jc w:val="left"/>
            </w:pPr>
            <w:r>
              <w:t xml:space="preserve">161,798 adults with obesity without diabetes</w:t>
            </w:r>
          </w:p>
        </w:tc>
        <w:tc>
          <w:tcPr/>
          <w:p>
            <w:pPr>
              <w:pStyle w:val="Compact"/>
              <w:jc w:val="left"/>
            </w:pPr>
            <w:r>
              <w:t xml:space="preserve">fewer obesity-related cancers (0.59)</w:t>
            </w:r>
          </w:p>
        </w:tc>
        <w:tc>
          <w:tcPr/>
          <w:p>
            <w:pPr>
              <w:pStyle w:val="Compact"/>
              <w:jc w:val="left"/>
            </w:pPr>
            <w:r>
              <w:t xml:space="preserve">median follow-up 2 years</w:t>
            </w:r>
          </w:p>
        </w:tc>
      </w:tr>
    </w:tbl>
    <w:p>
      <w:pPr>
        <w:pStyle w:val="BodyText"/>
      </w:pPr>
      <w:r>
        <w:t xml:space="preserve">How should these figures be read?</w:t>
      </w:r>
    </w:p>
    <w:p>
      <w:pPr>
        <w:numPr>
          <w:ilvl w:val="0"/>
          <w:numId w:val="1340"/>
        </w:numPr>
        <w:pStyle w:val="Compact"/>
      </w:pPr>
      <w:r>
        <w:rPr>
          <w:bCs/>
          <w:b/>
        </w:rPr>
        <w:t xml:space="preserve">The randomized trials</w:t>
      </w:r>
      <w:r>
        <w:t xml:space="preserve"> </w:t>
      </w:r>
      <w:r>
        <w:t xml:space="preserve">show no overall influence on cancer risk. This is the most reliable result, but the trials are too short for cancer.</w:t>
      </w:r>
    </w:p>
    <w:p>
      <w:pPr>
        <w:numPr>
          <w:ilvl w:val="0"/>
          <w:numId w:val="1340"/>
        </w:numPr>
        <w:pStyle w:val="Compact"/>
      </w:pPr>
      <w:r>
        <w:rPr>
          <w:bCs/>
          <w:b/>
        </w:rPr>
        <w:t xml:space="preserve">The large observational studies</w:t>
      </w:r>
      <w:r>
        <w:t xml:space="preserve"> </w:t>
      </w:r>
      <w:r>
        <w:t xml:space="preserve">tend to show less cancer with GLP-1 drugs. This fits with the idea that weight loss reduces obesity-related cancers. But it may also be because people who receive such drugs differ in many ways from the comparison groups. A follow-up of two years is very short for a statement about cancer prevention.</w:t>
      </w:r>
    </w:p>
    <w:p>
      <w:pPr>
        <w:numPr>
          <w:ilvl w:val="0"/>
          <w:numId w:val="1340"/>
        </w:numPr>
        <w:pStyle w:val="Compact"/>
      </w:pPr>
      <w:r>
        <w:rPr>
          <w:bCs/>
          <w:b/>
        </w:rPr>
        <w:t xml:space="preserve">Kidney cancer</w:t>
      </w:r>
      <w:r>
        <w:t xml:space="preserve"> </w:t>
      </w:r>
      <w:r>
        <w:t xml:space="preserve">appears as a possible signal in two cohort studies. Whether this is a genuine effect remains to be seen.</w:t>
      </w:r>
    </w:p>
    <w:p>
      <w:pPr>
        <w:numPr>
          <w:ilvl w:val="0"/>
          <w:numId w:val="1340"/>
        </w:numPr>
        <w:pStyle w:val="Compact"/>
      </w:pPr>
      <w:r>
        <w:rPr>
          <w:bCs/>
          <w:b/>
        </w:rPr>
        <w:t xml:space="preserve">Thyroid cancer</w:t>
      </w:r>
      <w:r>
        <w:t xml:space="preserve"> </w:t>
      </w:r>
      <w:r>
        <w:t xml:space="preserve">remains the open question, as described above.</w:t>
      </w:r>
    </w:p>
    <w:p>
      <w:pPr>
        <w:pStyle w:val="FirstParagraph"/>
      </w:pPr>
      <w:r>
        <w:t xml:space="preserve">Whether GLP-1 drugs actually protect against cancer cannot be said with the available data. On the question of whether they cause cancer, current knowledge suggests: for most cancer types no, for thyroid and kidney not conclusively resolved. For the new multi-agonists such as retatrutide, survodutide, or mazdutide, there are still too few treatment years to make separate statements.</w:t>
      </w:r>
    </w:p>
    <w:bookmarkEnd w:id="2702"/>
    <w:bookmarkStart w:id="2703" w:name="key-points-in-brief-5"/>
    <w:p>
      <w:pPr>
        <w:pStyle w:val="Heading3"/>
      </w:pPr>
      <w:r>
        <w:t xml:space="preserve">Key points in brief</w:t>
      </w:r>
    </w:p>
    <w:p>
      <w:pPr>
        <w:numPr>
          <w:ilvl w:val="0"/>
          <w:numId w:val="1341"/>
        </w:numPr>
        <w:pStyle w:val="Compact"/>
      </w:pPr>
      <w:r>
        <w:t xml:space="preserve">The best data on cancer risk exist, of all things, for the peptides for which the concern seems least justified: the approved GLP-1 drugs. For most cancer types they show no increased risk; the thyroid signal is unresolved.</w:t>
      </w:r>
    </w:p>
    <w:p>
      <w:pPr>
        <w:numPr>
          <w:ilvl w:val="0"/>
          <w:numId w:val="1341"/>
        </w:numPr>
        <w:pStyle w:val="Compact"/>
      </w:pPr>
      <w:r>
        <w:t xml:space="preserve">For the growth hormone–IGF-1 axis, a moderate association between persistently higher IGF-1 levels and some cancer types is well established. For healthy people who artificially raise IGF-1 over years, studies are lacking.</w:t>
      </w:r>
    </w:p>
    <w:p>
      <w:pPr>
        <w:numPr>
          <w:ilvl w:val="0"/>
          <w:numId w:val="1341"/>
        </w:numPr>
        <w:pStyle w:val="Compact"/>
      </w:pPr>
      <w:r>
        <w:t xml:space="preserve">For BPC-157, TB-500, Epitalon, humanin, Dihexa, and similar substances, there are only theoretical and animal-experimental indications – in both directions. Long-term data on carcinogenesis do not exist.</w:t>
      </w:r>
    </w:p>
    <w:p>
      <w:pPr>
        <w:numPr>
          <w:ilvl w:val="0"/>
          <w:numId w:val="1341"/>
        </w:numPr>
        <w:pStyle w:val="Compact"/>
      </w:pPr>
      <w:r>
        <w:t xml:space="preserve">For Melanotan II, there are melanoma case reports, but no frequency data. For the approved afamelanotide, small studies found no malignant changes.</w:t>
      </w:r>
    </w:p>
    <w:p>
      <w:pPr>
        <w:numPr>
          <w:ilvl w:val="0"/>
          <w:numId w:val="1341"/>
        </w:numPr>
        <w:pStyle w:val="Compact"/>
      </w:pPr>
      <w:r>
        <w:t xml:space="preserve">For people with active or past cancer, all growth-promoting peptides are particularly problematic without medical supervision.</w:t>
      </w:r>
    </w:p>
    <w:bookmarkEnd w:id="2703"/>
    <w:bookmarkEnd w:id="2704"/>
    <w:bookmarkStart w:id="2735" w:name="immune-reactions-and-antibodies"/>
    <w:p>
      <w:pPr>
        <w:pStyle w:val="Heading2"/>
      </w:pPr>
      <w:r>
        <w:t xml:space="preserve">Immune Reactions and Antibodies</w:t>
      </w:r>
    </w:p>
    <w:p>
      <w:pPr>
        <w:pStyle w:val="FirstParagraph"/>
      </w:pPr>
      <w:r>
        <w:t xml:space="preserve">The immune system’s job is to recognize what is foreign. Peptides stand at a boundary here: many are modeled on the body’s own messenger substances but chemically modified so that they act longer. Others come from animals, from bacteria, or from the laboratory. In addition, most peptides are injected under the skin – a place where particularly large numbers of immune cells lie in wait for intruders.</w:t>
      </w:r>
    </w:p>
    <w:p>
      <w:pPr>
        <w:pStyle w:val="BodyText"/>
      </w:pPr>
      <w:r>
        <w:t xml:space="preserve">Immune reactions to peptides range from harmless redness at the injection site through antibodies that can only be detected in the laboratory to rare life-threatening allergic reactions. This chapter categorizes these reactions, compares the peptides, and shows the role that impurities play.</w:t>
      </w:r>
    </w:p>
    <w:bookmarkStart w:id="2706" w:name="Xa00e25ae01419014ac463d75c36d814bafb5e9c"/>
    <w:p>
      <w:pPr>
        <w:pStyle w:val="Heading3"/>
      </w:pPr>
      <w:r>
        <w:t xml:space="preserve">Why peptides can trigger an immune reaction</w:t>
      </w:r>
    </w:p>
    <w:p>
      <w:pPr>
        <w:pStyle w:val="FirstParagraph"/>
      </w:pPr>
      <w:r>
        <w:t xml:space="preserve">Whether the immune system classifies a peptide as foreign depends on several factors:</w:t>
      </w:r>
    </w:p>
    <w:p>
      <w:pPr>
        <w:numPr>
          <w:ilvl w:val="0"/>
          <w:numId w:val="1342"/>
        </w:numPr>
        <w:pStyle w:val="Compact"/>
      </w:pPr>
      <w:r>
        <w:rPr>
          <w:bCs/>
          <w:b/>
        </w:rPr>
        <w:t xml:space="preserve">Origin and similarity to the body’s own substances.</w:t>
      </w:r>
      <w:r>
        <w:t xml:space="preserve"> </w:t>
      </w:r>
      <w:r>
        <w:t xml:space="preserve">Exenatide was developed from a peptide in the saliva of a lizard and differs considerably from human GLP-1. Liraglutide and semaglutide, by contrast, are closely modeled on the human hormone.</w:t>
      </w:r>
    </w:p>
    <w:p>
      <w:pPr>
        <w:numPr>
          <w:ilvl w:val="0"/>
          <w:numId w:val="1342"/>
        </w:numPr>
        <w:pStyle w:val="Compact"/>
      </w:pPr>
      <w:r>
        <w:rPr>
          <w:bCs/>
          <w:b/>
        </w:rPr>
        <w:t xml:space="preserve">Size and modifications.</w:t>
      </w:r>
      <w:r>
        <w:t xml:space="preserve"> </w:t>
      </w:r>
      <w:r>
        <w:t xml:space="preserve">Longer molecules, attached fatty acids, linkers, or antibody components (as with maridebart cafraglutide) offer more surface for attack.</w:t>
      </w:r>
    </w:p>
    <w:p>
      <w:pPr>
        <w:numPr>
          <w:ilvl w:val="0"/>
          <w:numId w:val="1342"/>
        </w:numPr>
        <w:pStyle w:val="Compact"/>
      </w:pPr>
      <w:r>
        <w:rPr>
          <w:bCs/>
          <w:b/>
        </w:rPr>
        <w:t xml:space="preserve">Aggregation.</w:t>
      </w:r>
      <w:r>
        <w:t xml:space="preserve"> </w:t>
      </w:r>
      <w:r>
        <w:t xml:space="preserve">Peptides can clump together into larger aggregates that the immune system recognizes more easily.</w:t>
      </w:r>
    </w:p>
    <w:p>
      <w:pPr>
        <w:numPr>
          <w:ilvl w:val="0"/>
          <w:numId w:val="1342"/>
        </w:numPr>
        <w:pStyle w:val="Compact"/>
      </w:pPr>
      <w:r>
        <w:rPr>
          <w:bCs/>
          <w:b/>
        </w:rPr>
        <w:t xml:space="preserve">Impurities.</w:t>
      </w:r>
      <w:r>
        <w:t xml:space="preserve"> </w:t>
      </w:r>
      <w:r>
        <w:t xml:space="preserve">Even small amounts of incorrectly manufactured peptide fragments or bacterial components can trigger a defensive reaction (more on this below).</w:t>
      </w:r>
    </w:p>
    <w:p>
      <w:pPr>
        <w:numPr>
          <w:ilvl w:val="0"/>
          <w:numId w:val="1342"/>
        </w:numPr>
        <w:pStyle w:val="Compact"/>
      </w:pPr>
      <w:r>
        <w:rPr>
          <w:bCs/>
          <w:b/>
        </w:rPr>
        <w:t xml:space="preserve">Frequency and duration of use.</w:t>
      </w:r>
      <w:r>
        <w:t xml:space="preserve"> </w:t>
      </w:r>
      <w:r>
        <w:t xml:space="preserve">Someone who injects a peptide repeatedly over months gives the immune system many opportunities to react to it.</w:t>
      </w:r>
    </w:p>
    <w:p>
      <w:pPr>
        <w:pStyle w:val="FirstParagraph"/>
      </w:pPr>
      <w:r>
        <w:t xml:space="preserve">For the assessment of antibodies against drugs – experts speak of anti-drug antibodies (ADA) – a uniform terminology has become established</w:t>
      </w:r>
      <w:r>
        <w:rPr>
          <w:rStyle w:val="FootnoteReference"/>
        </w:rPr>
        <w:footnoteReference w:id="2705"/>
      </w:r>
      <w:r>
        <w:t xml:space="preserve">. Four questions are important: How many of those treated form antibodies? How high is the amount (the titer)? Do the antibodies inhibit the effect (neutralizing antibodies)? And do they also react with the body’s own hormone (cross-reactivity)? The last point would be the most concerning: antibodies that block not only the drug but also the body’s own hormone could leave a permanent disorder.</w:t>
      </w:r>
    </w:p>
    <w:bookmarkEnd w:id="2706"/>
    <w:bookmarkStart w:id="2709" w:name="X6c0f23ca2fd4eddc6e0f610e1cf0a15d08e334f"/>
    <w:p>
      <w:pPr>
        <w:pStyle w:val="Heading3"/>
      </w:pPr>
      <w:r>
        <w:t xml:space="preserve">Anti-drug antibodies: what the studies show</w:t>
      </w:r>
    </w:p>
    <w:p>
      <w:pPr>
        <w:pStyle w:val="FirstParagraph"/>
      </w:pPr>
      <w:r>
        <w:t xml:space="preserve">Systematic studies are available for the approved GLP-1 drugs. They show how differently often antibodies arise – and that a high frequency does not automatically mean a clinical problem.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Antibodies in</w:t>
            </w:r>
          </w:p>
        </w:tc>
        <w:tc>
          <w:tcPr/>
          <w:p>
            <w:pPr>
              <w:pStyle w:val="Compact"/>
              <w:jc w:val="left"/>
            </w:pPr>
            <w:r>
              <w:t xml:space="preserve">Consequences</w:t>
            </w:r>
          </w:p>
        </w:tc>
        <w:tc>
          <w:tcPr/>
          <w:p>
            <w:pPr>
              <w:pStyle w:val="Compact"/>
              <w:jc w:val="left"/>
            </w:pPr>
            <w:r>
              <w:t xml:space="preserve">Source</w:t>
            </w:r>
          </w:p>
        </w:tc>
      </w:tr>
      <w:tr>
        <w:tc>
          <w:tcPr/>
          <w:p>
            <w:pPr>
              <w:pStyle w:val="Compact"/>
              <w:jc w:val="left"/>
            </w:pPr>
            <w:r>
              <w:t xml:space="preserve">Exenatide</w:t>
            </w:r>
          </w:p>
        </w:tc>
        <w:tc>
          <w:tcPr/>
          <w:p>
            <w:pPr>
              <w:pStyle w:val="Compact"/>
              <w:jc w:val="left"/>
            </w:pPr>
            <w:r>
              <w:t xml:space="preserve">61% after 26 weeks (LEAD-6)</w:t>
            </w:r>
          </w:p>
        </w:tc>
        <w:tc>
          <w:tcPr/>
          <w:p>
            <w:pPr>
              <w:pStyle w:val="Compact"/>
              <w:jc w:val="left"/>
            </w:pPr>
            <w:r>
              <w:t xml:space="preserve">high titers: smaller HbA1c reduction</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8.3 to 8.7%, low titers</w:t>
            </w:r>
          </w:p>
        </w:tc>
        <w:tc>
          <w:tcPr/>
          <w:p>
            <w:pPr>
              <w:pStyle w:val="Compact"/>
              <w:jc w:val="left"/>
            </w:pPr>
            <w:r>
              <w:t xml:space="preserve">no weakening of effect</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neutralizing 0.9%</w:t>
            </w:r>
          </w:p>
        </w:tc>
        <w:tc>
          <w:tcPr/>
          <w:p>
            <w:pPr>
              <w:pStyle w:val="Compact"/>
              <w:jc w:val="left"/>
            </w:pPr>
            <w:r>
              <w:t xml:space="preserve">no hypersensitivity in antibody-positive patients</w:t>
            </w:r>
          </w:p>
        </w:tc>
        <w:tc>
          <w:tcPr/>
          <w:p>
            <w:pPr>
              <w:pStyle w:val="Compact"/>
              <w:jc w:val="left"/>
            </w:pPr>
            <w:r>
              <w:t xml:space="preserve">Milicevic 2016, PMID 26847401</w:t>
            </w:r>
          </w:p>
        </w:tc>
      </w:tr>
      <w:tr>
        <w:tc>
          <w:tcPr/>
          <w:p>
            <w:pPr>
              <w:pStyle w:val="Compact"/>
              <w:jc w:val="left"/>
            </w:pPr>
            <w:r>
              <w:t xml:space="preserve">Tirzepatide</w:t>
            </w:r>
          </w:p>
        </w:tc>
        <w:tc>
          <w:tcPr/>
          <w:p>
            <w:pPr>
              <w:pStyle w:val="Compact"/>
              <w:jc w:val="left"/>
            </w:pPr>
            <w:r>
              <w:t xml:space="preserve">51.1%, neutralizing about 2%</w:t>
            </w:r>
          </w:p>
        </w:tc>
        <w:tc>
          <w:tcPr/>
          <w:p>
            <w:pPr>
              <w:pStyle w:val="Compact"/>
              <w:jc w:val="left"/>
            </w:pPr>
            <w:r>
              <w:t xml:space="preserve">no weakening of effect; more skin and allergic reactions</w:t>
            </w:r>
          </w:p>
        </w:tc>
        <w:tc>
          <w:tcPr/>
          <w:p>
            <w:pPr>
              <w:pStyle w:val="Compact"/>
              <w:jc w:val="left"/>
            </w:pPr>
            <w:r>
              <w:t xml:space="preserve">Mullins 2024, PMID 37700637</w:t>
            </w:r>
          </w:p>
        </w:tc>
      </w:tr>
      <w:tr>
        <w:tc>
          <w:tcPr/>
          <w:p>
            <w:pPr>
              <w:pStyle w:val="Compact"/>
              <w:jc w:val="left"/>
            </w:pPr>
            <w:r>
              <w:t xml:space="preserve">Sermorelin</w:t>
            </w:r>
          </w:p>
        </w:tc>
        <w:tc>
          <w:tcPr/>
          <w:p>
            <w:pPr>
              <w:pStyle w:val="Compact"/>
              <w:jc w:val="left"/>
            </w:pPr>
            <w:r>
              <w:t xml:space="preserve">14 of 18 children</w:t>
            </w:r>
          </w:p>
        </w:tc>
        <w:tc>
          <w:tcPr/>
          <w:p>
            <w:pPr>
              <w:pStyle w:val="Compact"/>
              <w:jc w:val="left"/>
            </w:pPr>
            <w:r>
              <w:t xml:space="preserve">no discernible consequences</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none in 12 weeks</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Exenatide</w:t>
      </w:r>
      <w:r>
        <w:t xml:space="preserve"> </w:t>
      </w:r>
      <w:r>
        <w:t xml:space="preserve">is the prime example of a peptide that frequently provokes antibodies because of its non-human origin. In the LEAD-6 trial, 113 of 185 treated people had antibodies against exenatide after 26 weeks; high antibody levels were associated with a significantly smaller reduction in long-term blood sugar. After switching to liraglutide, these antibodies did not impair the further effect</w:t>
      </w:r>
      <w:r>
        <w:rPr>
          <w:rStyle w:val="FootnoteReference"/>
        </w:rPr>
        <w:footnoteReference w:id="2707"/>
      </w:r>
      <w:r>
        <w:t xml:space="preserve">.</w:t>
      </w:r>
    </w:p>
    <w:p>
      <w:pPr>
        <w:pStyle w:val="BodyText"/>
      </w:pPr>
      <w:r>
        <w:rPr>
          <w:bCs/>
          <w:b/>
        </w:rPr>
        <w:t xml:space="preserve">Tirzepatide</w:t>
      </w:r>
      <w:r>
        <w:t xml:space="preserve"> </w:t>
      </w:r>
      <w:r>
        <w:t xml:space="preserve">shows that even a peptide modeled on the human hormone can frequently be recognized. In seven phase 3 trials with 5,025 evaluable participants, 51.1% formed antibodies during treatment. Neutralizing antibodies against the effect at the GIP and GLP-1 receptors were found in 1.9% and 2.1%, respectively, and those that also neutralized the body’s own hormones in less than 1%. This had no influence on blood levels or effect. However, antibody-positive participants more frequently experienced hypersensitivity reactions and injection-site reactions, mostly mild to moderate</w:t>
      </w:r>
      <w:r>
        <w:rPr>
          <w:rStyle w:val="FootnoteReference"/>
        </w:rPr>
        <w:footnoteReference w:id="2708"/>
      </w:r>
      <w:r>
        <w:t xml:space="preserve">.</w:t>
      </w:r>
    </w:p>
    <w:p>
      <w:pPr>
        <w:pStyle w:val="BodyText"/>
      </w:pPr>
      <w:r>
        <w:t xml:space="preserve">For the newer agents – retatrutide, survodutide, mazdutide, cagrilintide, amycretin, and the antibody-based maridebart cafraglutide – comparable pooled analyses have not yet been published. For maridebart cafraglutide this is particularly relevant, because antibody drugs can have their own immunogenicity (chapter Maridebart Cafraglutide).</w:t>
      </w:r>
    </w:p>
    <w:p>
      <w:pPr>
        <w:pStyle w:val="BodyText"/>
      </w:pPr>
      <w:r>
        <w:t xml:space="preserve">For most gray-market peptides there are no antibody data at all. This applies to BPC-157, TB-500, CJC-1295, ipamorelin, MOTS-c, humanin, Epitalon, and many others. The chapters on MOTS-c, humanin, and FOXO4-DRI point out that antibodies are conceivable with repeated injection but have never been studied. Anyone who injects such substances for months therefore cannot know whether their body is forming antibodies and what effects these have.</w:t>
      </w:r>
    </w:p>
    <w:bookmarkEnd w:id="2709"/>
    <w:bookmarkStart w:id="2713" w:name="injection-site-reactions"/>
    <w:p>
      <w:pPr>
        <w:pStyle w:val="Heading3"/>
      </w:pPr>
      <w:r>
        <w:t xml:space="preserve">Injection-site reactions</w:t>
      </w:r>
    </w:p>
    <w:p>
      <w:pPr>
        <w:pStyle w:val="FirstParagraph"/>
      </w:pPr>
      <w:r>
        <w:t xml:space="preserve">Redness, itching, swelling, small bruises, or palpable nodules at the injection site are the most common immune and tissue reactions to injected peptides. A meta-analysis of 14 randomized trials with 4,861 participants found an approximately three-and-a-half-fold increased risk of such reactions with GLP-1 receptor agonists compared with the comparison groups (relative risk 3.55). In the US adverse event reporting database, exenatide and dulaglutide stood out in particular for bleeding at the injection site</w:t>
      </w:r>
      <w:r>
        <w:rPr>
          <w:rStyle w:val="FootnoteReference"/>
        </w:rPr>
        <w:footnoteReference w:id="2710"/>
      </w:r>
      <w:r>
        <w:t xml:space="preserve">.</w:t>
      </w:r>
    </w:p>
    <w:p>
      <w:pPr>
        <w:pStyle w:val="BodyText"/>
      </w:pPr>
      <w:r>
        <w:t xml:space="preserve">The frequency varies considerably between peptides: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Injection-site reactions</w:t>
            </w:r>
          </w:p>
        </w:tc>
        <w:tc>
          <w:tcPr/>
          <w:p>
            <w:pPr>
              <w:pStyle w:val="Compact"/>
              <w:jc w:val="left"/>
            </w:pPr>
            <w:r>
              <w:t xml:space="preserve">Source</w:t>
            </w:r>
          </w:p>
        </w:tc>
      </w:tr>
      <w:tr>
        <w:tc>
          <w:tcPr/>
          <w:p>
            <w:pPr>
              <w:pStyle w:val="Compact"/>
              <w:jc w:val="left"/>
            </w:pPr>
            <w:r>
              <w:t xml:space="preserve">Setmelanotide</w:t>
            </w:r>
          </w:p>
        </w:tc>
        <w:tc>
          <w:tcPr/>
          <w:p>
            <w:pPr>
              <w:pStyle w:val="Compact"/>
              <w:jc w:val="left"/>
            </w:pPr>
            <w:r>
              <w:t xml:space="preserve">96% (meta-analysis, 7 studies)</w:t>
            </w:r>
          </w:p>
        </w:tc>
        <w:tc>
          <w:tcPr/>
          <w:p>
            <w:pPr>
              <w:pStyle w:val="Compact"/>
              <w:jc w:val="left"/>
            </w:pPr>
            <w:r>
              <w:t xml:space="preserve">Sridharan 2026, PMID 39924461</w:t>
            </w:r>
          </w:p>
        </w:tc>
      </w:tr>
      <w:tr>
        <w:tc>
          <w:tcPr/>
          <w:p>
            <w:pPr>
              <w:pStyle w:val="Compact"/>
              <w:jc w:val="left"/>
            </w:pPr>
            <w:r>
              <w:t xml:space="preserve">Elamipretide (SS-31)</w:t>
            </w:r>
          </w:p>
        </w:tc>
        <w:tc>
          <w:tcPr/>
          <w:p>
            <w:pPr>
              <w:pStyle w:val="Compact"/>
              <w:jc w:val="left"/>
            </w:pPr>
            <w:r>
              <w:t xml:space="preserve">80%, mostly mild</w:t>
            </w:r>
          </w:p>
        </w:tc>
        <w:tc>
          <w:tcPr/>
          <w:p>
            <w:pPr>
              <w:pStyle w:val="Compact"/>
              <w:jc w:val="left"/>
            </w:pPr>
            <w:r>
              <w:t xml:space="preserve">Karaa 2020, PMID 32096613</w:t>
            </w:r>
          </w:p>
        </w:tc>
      </w:tr>
      <w:tr>
        <w:tc>
          <w:tcPr/>
          <w:p>
            <w:pPr>
              <w:pStyle w:val="Compact"/>
              <w:jc w:val="left"/>
            </w:pPr>
            <w:r>
              <w:t xml:space="preserve">Mecasermin</w:t>
            </w:r>
          </w:p>
        </w:tc>
        <w:tc>
          <w:tcPr/>
          <w:p>
            <w:pPr>
              <w:pStyle w:val="Compact"/>
              <w:jc w:val="left"/>
            </w:pPr>
            <w:r>
              <w:t xml:space="preserve">fatty tissue changes in 32%</w:t>
            </w:r>
          </w:p>
        </w:tc>
        <w:tc>
          <w:tcPr/>
          <w:p>
            <w:pPr>
              <w:pStyle w:val="Compact"/>
              <w:jc w:val="left"/>
            </w:pPr>
            <w:r>
              <w:t xml:space="preserve">Chernausek 2007, PMID 17192294</w:t>
            </w:r>
          </w:p>
        </w:tc>
      </w:tr>
      <w:tr>
        <w:tc>
          <w:tcPr/>
          <w:p>
            <w:pPr>
              <w:pStyle w:val="Compact"/>
              <w:jc w:val="left"/>
            </w:pPr>
            <w:r>
              <w:t xml:space="preserve">Tirzepatide</w:t>
            </w:r>
          </w:p>
        </w:tc>
        <w:tc>
          <w:tcPr/>
          <w:p>
            <w:pPr>
              <w:pStyle w:val="Compact"/>
              <w:jc w:val="left"/>
            </w:pPr>
            <w:r>
              <w:t xml:space="preserve">2 to 7%</w:t>
            </w:r>
          </w:p>
        </w:tc>
        <w:tc>
          <w:tcPr/>
          <w:p>
            <w:pPr>
              <w:pStyle w:val="Compact"/>
              <w:jc w:val="left"/>
            </w:pPr>
            <w:r>
              <w:t xml:space="preserve">Gupta 2026, PMID 42930571</w:t>
            </w:r>
          </w:p>
        </w:tc>
      </w:tr>
      <w:tr>
        <w:tc>
          <w:tcPr/>
          <w:p>
            <w:pPr>
              <w:pStyle w:val="Compact"/>
              <w:jc w:val="left"/>
            </w:pPr>
            <w:r>
              <w:t xml:space="preserve">Bremelanotide</w:t>
            </w:r>
          </w:p>
        </w:tc>
        <w:tc>
          <w:tcPr/>
          <w:p>
            <w:pPr>
              <w:pStyle w:val="Compact"/>
              <w:jc w:val="left"/>
            </w:pPr>
            <w:r>
              <w:t xml:space="preserve">5.4% vs. 0.5% on placebo</w:t>
            </w:r>
          </w:p>
        </w:tc>
        <w:tc>
          <w:tcPr/>
          <w:p>
            <w:pPr>
              <w:pStyle w:val="Compact"/>
              <w:jc w:val="left"/>
            </w:pPr>
            <w:r>
              <w:t xml:space="preserve">Clayton 2022, PMID 35147466</w:t>
            </w:r>
          </w:p>
        </w:tc>
      </w:tr>
    </w:tbl>
    <w:p>
      <w:pPr>
        <w:pStyle w:val="BodyText"/>
      </w:pPr>
      <w:r>
        <w:t xml:space="preserve">With the weekly formulation of exenatide, small nodules often form because the microspheres that release the active ingredient slowly are broken down under the skin. In the five-year analysis of DURATION-1, such reactions became less frequent over time</w:t>
      </w:r>
      <w:r>
        <w:rPr>
          <w:rStyle w:val="FootnoteReference"/>
        </w:rPr>
        <w:footnoteReference w:id="2711"/>
      </w:r>
      <w:r>
        <w:t xml:space="preserve">. With mecasermin, the finding was a thickening of the fatty tissue at the injection site (lipohypertrophy).</w:t>
      </w:r>
    </w:p>
    <w:p>
      <w:pPr>
        <w:pStyle w:val="BodyText"/>
      </w:pPr>
      <w:r>
        <w:t xml:space="preserve">It is important to distinguish these from</w:t>
      </w:r>
      <w:r>
        <w:t xml:space="preserve"> </w:t>
      </w:r>
      <w:r>
        <w:rPr>
          <w:bCs/>
          <w:b/>
        </w:rPr>
        <w:t xml:space="preserve">infection</w:t>
      </w:r>
      <w:r>
        <w:t xml:space="preserve">. Redness that increases over days, becomes warm, is painful, forms pus, or is accompanied by fever is not a harmless reaction. After Argireline injections into the forehead and temples, a 45-year-old woman developed nodules and abscesses; the cause was the difficult-to-treat bacterium</w:t>
      </w:r>
      <w:r>
        <w:t xml:space="preserve"> </w:t>
      </w:r>
      <w:r>
        <w:rPr>
          <w:iCs/>
          <w:i/>
        </w:rPr>
        <w:t xml:space="preserve">Mycobacterium abscessus</w:t>
      </w:r>
      <w:r>
        <w:t xml:space="preserve">, and treatment lasted five months</w:t>
      </w:r>
      <w:r>
        <w:rPr>
          <w:rStyle w:val="FootnoteReference"/>
        </w:rPr>
        <w:footnoteReference w:id="2712"/>
      </w:r>
      <w:r>
        <w:t xml:space="preserve">. Such infections usually do not originate from the peptide but from non-sterile products or procedures – more on this in the chapter</w:t>
      </w:r>
      <w:r>
        <w:t xml:space="preserve"> </w:t>
      </w:r>
      <w:r>
        <w:t xml:space="preserve">“</w:t>
      </w:r>
      <w:r>
        <w:t xml:space="preserve">Gray-Market Products.</w:t>
      </w:r>
      <w:r>
        <w:t xml:space="preserve">”</w:t>
      </w:r>
    </w:p>
    <w:bookmarkEnd w:id="2713"/>
    <w:bookmarkStart w:id="2722" w:name="allergic-reactions-and-anaphylaxis"/>
    <w:p>
      <w:pPr>
        <w:pStyle w:val="Heading3"/>
      </w:pPr>
      <w:r>
        <w:t xml:space="preserve">Allergic reactions and anaphylaxis</w:t>
      </w:r>
    </w:p>
    <w:p>
      <w:pPr>
        <w:pStyle w:val="FirstParagraph"/>
      </w:pPr>
      <w:r>
        <w:t xml:space="preserve">Anaphylaxis is a severe allergic reaction affecting the whole body, with skin rash, swelling, shortness of breath, and circulatory collapse. It is rare with peptide drugs, but it does occur.</w:t>
      </w:r>
    </w:p>
    <w:p>
      <w:pPr>
        <w:pStyle w:val="BodyText"/>
      </w:pPr>
      <w:r>
        <w:t xml:space="preserve">For the GLP-1 drugs, there are large database studies on this. In three US insurance databases with 696,089 new users, the incidence of anaphylaxis ranged, depending on the agent, from 1.0 (lixisenatide) to 6.0 (exenatide) cases per 10,000 person-years; the authors consider anaphylaxis with GLP-1 drugs to be rare</w:t>
      </w:r>
      <w:r>
        <w:rPr>
          <w:rStyle w:val="FootnoteReference"/>
        </w:rPr>
        <w:footnoteReference w:id="2714"/>
      </w:r>
      <w:r>
        <w:t xml:space="preserve">. A study from the United Kingdom and the US compared GLP-1 receptor agonists with two other groups of diabetes drugs. Compared with DPP-4 inhibitors, the risk was not significantly increased (hazard ratio 1.15); compared with SGLT2 inhibitors, it was 38% higher (40.7 versus 29.4 cases per 100,000 person-years)</w:t>
      </w:r>
      <w:r>
        <w:rPr>
          <w:rStyle w:val="FootnoteReference"/>
        </w:rPr>
        <w:footnoteReference w:id="2715"/>
      </w:r>
      <w:r>
        <w:t xml:space="preserve">. This is a relative increase in an absolutely very rare reaction.</w:t>
      </w:r>
    </w:p>
    <w:p>
      <w:pPr>
        <w:pStyle w:val="BodyText"/>
      </w:pPr>
      <w:r>
        <w:t xml:space="preserve">Individual cases show what such reactions can look like:</w:t>
      </w:r>
    </w:p>
    <w:p>
      <w:pPr>
        <w:numPr>
          <w:ilvl w:val="0"/>
          <w:numId w:val="1343"/>
        </w:numPr>
        <w:pStyle w:val="Compact"/>
      </w:pPr>
      <w:r>
        <w:t xml:space="preserve">Case reports describe anaphylaxis with the weekly formulation of exenatide</w:t>
      </w:r>
      <w:r>
        <w:rPr>
          <w:rStyle w:val="FootnoteReference"/>
        </w:rPr>
        <w:footnoteReference w:id="2716"/>
      </w:r>
      <w:r>
        <w:t xml:space="preserve"> </w:t>
      </w:r>
      <w:r>
        <w:t xml:space="preserve">and an allergic reaction to exenatide and lixisenatide, but not to liraglutide</w:t>
      </w:r>
      <w:r>
        <w:rPr>
          <w:rStyle w:val="FootnoteReference"/>
        </w:rPr>
        <w:footnoteReference w:id="2717"/>
      </w:r>
      <w:r>
        <w:t xml:space="preserve"> </w:t>
      </w:r>
      <w:r>
        <w:t xml:space="preserve">– an indication that the lizard-derived agents are recognized differently from the human-like ones.</w:t>
      </w:r>
    </w:p>
    <w:p>
      <w:pPr>
        <w:numPr>
          <w:ilvl w:val="0"/>
          <w:numId w:val="1343"/>
        </w:numPr>
        <w:pStyle w:val="Compact"/>
      </w:pPr>
      <w:r>
        <w:t xml:space="preserve">With tirzepatide, a biphasic anaphylaxis has been described in which the symptoms recurred after initial improvement</w:t>
      </w:r>
      <w:r>
        <w:rPr>
          <w:rStyle w:val="FootnoteReference"/>
        </w:rPr>
        <w:footnoteReference w:id="2718"/>
      </w:r>
      <w:r>
        <w:t xml:space="preserve">.</w:t>
      </w:r>
    </w:p>
    <w:p>
      <w:pPr>
        <w:numPr>
          <w:ilvl w:val="0"/>
          <w:numId w:val="1343"/>
        </w:numPr>
        <w:pStyle w:val="Compact"/>
      </w:pPr>
      <w:r>
        <w:t xml:space="preserve">A 50-year-old woman developed massive swelling of the lips, tongue, and throat four hours after her first injection of semaglutide from a compounding pharmacy and had to be mechanically ventilated for four days. Only afterward did it emerge that she had accidentally injected ten times the amount</w:t>
      </w:r>
      <w:r>
        <w:rPr>
          <w:rStyle w:val="FootnoteReference"/>
        </w:rPr>
        <w:footnoteReference w:id="2719"/>
      </w:r>
      <w:r>
        <w:t xml:space="preserve">.</w:t>
      </w:r>
    </w:p>
    <w:p>
      <w:pPr>
        <w:numPr>
          <w:ilvl w:val="0"/>
          <w:numId w:val="1343"/>
        </w:numPr>
        <w:pStyle w:val="Compact"/>
      </w:pPr>
      <w:r>
        <w:t xml:space="preserve">After a Cerebrolysin infusion, an 85-year-old man developed life-threatening anaphylaxis that was confirmed in the laboratory</w:t>
      </w:r>
      <w:r>
        <w:rPr>
          <w:rStyle w:val="FootnoteReference"/>
        </w:rPr>
        <w:footnoteReference w:id="2720"/>
      </w:r>
      <w:r>
        <w:t xml:space="preserve">. Cerebrolysin is a mixture of peptides from pig brain; animal extracts such as this or thymalin generally bring along more foreign proteins (chapters Cerebrolysin, Thymalin).</w:t>
      </w:r>
    </w:p>
    <w:p>
      <w:pPr>
        <w:pStyle w:val="FirstParagraph"/>
      </w:pPr>
      <w:r>
        <w:t xml:space="preserve">Allergies are also possible with cosmetic peptides, albeit rarely. In a small study of a cream containing, among other ingredients, palmitoyl pentapeptide-4, a suspected allergic reaction occurred; which ingredient was responsible remained unclear</w:t>
      </w:r>
      <w:r>
        <w:rPr>
          <w:rStyle w:val="FootnoteReference"/>
        </w:rPr>
        <w:footnoteReference w:id="2721"/>
      </w:r>
      <w:r>
        <w:t xml:space="preserve">.</w:t>
      </w:r>
    </w:p>
    <w:p>
      <w:pPr>
        <w:pStyle w:val="BodyText"/>
      </w:pPr>
      <w:r>
        <w:t xml:space="preserve">For gray-market peptides there are no frequency data. The risk of a severe allergic reaction is particularly high there, however, because use usually takes place without medical supervision and nobody is on hand with emergency medication in a crisis. Shortness of breath, swelling of the face or throat, and circulatory symptoms after an injection are always an emergency.</w:t>
      </w:r>
    </w:p>
    <w:bookmarkEnd w:id="2722"/>
    <w:bookmarkStart w:id="2727" w:name="inflammatory-and-autoimmune-reactions"/>
    <w:p>
      <w:pPr>
        <w:pStyle w:val="Heading3"/>
      </w:pPr>
      <w:r>
        <w:t xml:space="preserve">Inflammatory and autoimmune reactions</w:t>
      </w:r>
    </w:p>
    <w:p>
      <w:pPr>
        <w:pStyle w:val="FirstParagraph"/>
      </w:pPr>
      <w:r>
        <w:t xml:space="preserve">Some peptides are themselves part of the immune system. This makes them interesting, but also risky.</w:t>
      </w:r>
    </w:p>
    <w:p>
      <w:pPr>
        <w:pStyle w:val="BodyText"/>
      </w:pPr>
      <w:r>
        <w:rPr>
          <w:bCs/>
          <w:b/>
        </w:rPr>
        <w:t xml:space="preserve">LL-37</w:t>
      </w:r>
      <w:r>
        <w:t xml:space="preserve"> </w:t>
      </w:r>
      <w:r>
        <w:t xml:space="preserve">is an endogenous defense peptide. In psoriasis, it plays a key role: it binds to the body’s own genetic material and makes it visible to certain immune cells, which then release inflammatory messenger substances</w:t>
      </w:r>
      <w:r>
        <w:rPr>
          <w:rStyle w:val="FootnoteReference"/>
        </w:rPr>
        <w:footnoteReference w:id="2723"/>
      </w:r>
      <w:r>
        <w:t xml:space="preserve">. In two-thirds of people with moderate to severe psoriasis, T cells were found that specifically recognize LL-37 – so there it acts like an autoantigen</w:t>
      </w:r>
      <w:r>
        <w:rPr>
          <w:rStyle w:val="FootnoteReference"/>
        </w:rPr>
        <w:footnoteReference w:id="2724"/>
      </w:r>
      <w:r>
        <w:t xml:space="preserve">. After injections of LL-37 into skin metastases, a patient developed inflammatory, wart-like skin changes</w:t>
      </w:r>
      <w:r>
        <w:rPr>
          <w:rStyle w:val="FootnoteReference"/>
        </w:rPr>
        <w:footnoteReference w:id="2725"/>
      </w:r>
      <w:r>
        <w:t xml:space="preserve">. For people with psoriasis, rosacea, or other autoimmune diseases, this is an indication to be taken seriously (chapter LL-37).</w:t>
      </w:r>
    </w:p>
    <w:p>
      <w:pPr>
        <w:pStyle w:val="BodyText"/>
      </w:pPr>
      <w:r>
        <w:rPr>
          <w:bCs/>
          <w:b/>
        </w:rPr>
        <w:t xml:space="preserve">Immunostimulating peptides</w:t>
      </w:r>
      <w:r>
        <w:t xml:space="preserve"> </w:t>
      </w:r>
      <w:r>
        <w:t xml:space="preserve">such as thymosin alpha-1 and thymalin are intended to stimulate the body’s defenses. Whether this is harmful in autoimmune diseases or after organ transplants has not been studied (chapters Thymosin Alpha-1, Thymalin).</w:t>
      </w:r>
    </w:p>
    <w:p>
      <w:pPr>
        <w:pStyle w:val="BodyText"/>
      </w:pPr>
      <w:r>
        <w:t xml:space="preserve">For the GLP-1 drugs, a systematic review describes, in addition to the common mild skin reactions, rare but potentially serious immune-mediated conditions, including angioedema, blistering autoimmune diseases, drug eruptions, and vasculitis</w:t>
      </w:r>
      <w:r>
        <w:rPr>
          <w:rStyle w:val="FootnoteReference"/>
        </w:rPr>
        <w:footnoteReference w:id="2726"/>
      </w:r>
      <w:r>
        <w:t xml:space="preserve">. How common they are cannot be determined from case reports.</w:t>
      </w:r>
    </w:p>
    <w:bookmarkEnd w:id="2727"/>
    <w:bookmarkStart w:id="2733" w:name="impurities-as-triggers"/>
    <w:p>
      <w:pPr>
        <w:pStyle w:val="Heading3"/>
      </w:pPr>
      <w:r>
        <w:t xml:space="preserve">Impurities as triggers</w:t>
      </w:r>
    </w:p>
    <w:p>
      <w:pPr>
        <w:pStyle w:val="FirstParagraph"/>
      </w:pPr>
      <w:r>
        <w:t xml:space="preserve">Some immune reactions are not due to the peptide itself but to what additionally ends up in the vial during its manufacture.</w:t>
      </w:r>
    </w:p>
    <w:p>
      <w:pPr>
        <w:pStyle w:val="BodyText"/>
      </w:pPr>
      <w:r>
        <w:rPr>
          <w:bCs/>
          <w:b/>
        </w:rPr>
        <w:t xml:space="preserve">Defective peptides.</w:t>
      </w:r>
      <w:r>
        <w:t xml:space="preserve"> </w:t>
      </w:r>
      <w:r>
        <w:t xml:space="preserve">Chemical synthesis produces molecules in which a building block is missing, occurs twice, or is chemically altered. Such impurities can contain new structures that the immune system’s T cells recognize. For this reason, the US drug regulatory agency requires information on every new impurity compared with the reference product for generic versions of synthetic peptides</w:t>
      </w:r>
      <w:r>
        <w:rPr>
          <w:rStyle w:val="FootnoteReference"/>
        </w:rPr>
        <w:footnoteReference w:id="2728"/>
      </w:r>
      <w:r>
        <w:t xml:space="preserve">. What such an assessment looks like is shown by a study of generic versions of the osteoporosis peptide teriparatide, in which impurities were evaluated using computational methods, binding assays, and experiments with human immune cells</w:t>
      </w:r>
      <w:r>
        <w:rPr>
          <w:rStyle w:val="FootnoteReference"/>
        </w:rPr>
        <w:footnoteReference w:id="2729"/>
      </w:r>
      <w:r>
        <w:t xml:space="preserve">.</w:t>
      </w:r>
    </w:p>
    <w:p>
      <w:pPr>
        <w:pStyle w:val="BodyText"/>
      </w:pPr>
      <w:r>
        <w:rPr>
          <w:bCs/>
          <w:b/>
        </w:rPr>
        <w:t xml:space="preserve">GLP-1 copies.</w:t>
      </w:r>
      <w:r>
        <w:t xml:space="preserve"> </w:t>
      </w:r>
      <w:r>
        <w:t xml:space="preserve">A manufacturer-affiliated analysis of 16 injectable and 8 oral semaglutide copies found new impurities, including larger protein molecules, and new recognition sites for the immune system predicted by computational methods; liraglutide copies showed a greater tendency to aggregate</w:t>
      </w:r>
      <w:r>
        <w:rPr>
          <w:rStyle w:val="FootnoteReference"/>
        </w:rPr>
        <w:footnoteReference w:id="2730"/>
      </w:r>
      <w:r>
        <w:t xml:space="preserve">. Whether these differences actually provoke more antibodies in humans was not measured. That a carefully manufactured synthetic copy is not automatically more problematic is shown by another study: a synthetic liraglutide generic did not stimulate human immune cells in the laboratory more strongly than the genetically engineered original</w:t>
      </w:r>
      <w:r>
        <w:rPr>
          <w:rStyle w:val="FootnoteReference"/>
        </w:rPr>
        <w:footnoteReference w:id="2731"/>
      </w:r>
      <w:r>
        <w:t xml:space="preserve">. What matters, then, is not the manufacturing method but quality control.</w:t>
      </w:r>
    </w:p>
    <w:p>
      <w:pPr>
        <w:pStyle w:val="BodyText"/>
      </w:pPr>
      <w:r>
        <w:rPr>
          <w:bCs/>
          <w:b/>
        </w:rPr>
        <w:t xml:space="preserve">Endotoxins and germs.</w:t>
      </w:r>
      <w:r>
        <w:t xml:space="preserve"> </w:t>
      </w:r>
      <w:r>
        <w:t xml:space="preserve">Endotoxins, cell wall components of bacteria, directly activate the innate immune system and can trigger fever, chills, and circulatory reactions. In test purchases of semaglutide from illegal online pharmacies, they were detectable in all samples (Ashraf 2024, PMID 39509151; details in Part I). A control laboratory detected the bacterium</w:t>
      </w:r>
      <w:r>
        <w:t xml:space="preserve"> </w:t>
      </w:r>
      <w:r>
        <w:rPr>
          <w:iCs/>
          <w:i/>
        </w:rPr>
        <w:t xml:space="preserve">Bacillus cereus</w:t>
      </w:r>
      <w:r>
        <w:t xml:space="preserve">, which can destroy red blood cells, in two illegal peptide preparations for injection</w:t>
      </w:r>
      <w:r>
        <w:rPr>
          <w:rStyle w:val="FootnoteReference"/>
        </w:rPr>
        <w:footnoteReference w:id="2732"/>
      </w:r>
      <w:r>
        <w:t xml:space="preserve">.</w:t>
      </w:r>
    </w:p>
    <w:p>
      <w:pPr>
        <w:pStyle w:val="BodyText"/>
      </w:pPr>
      <w:r>
        <w:t xml:space="preserve">For the gray market, this means: even if a peptide itself is only weakly immunogenic, the product may be. And because neither impurity profiles nor endotoxin limits are tested for gray-market goods, a reaction can hardly be attributed to a specific component after the fact.</w:t>
      </w:r>
    </w:p>
    <w:bookmarkEnd w:id="2733"/>
    <w:bookmarkStart w:id="2734" w:name="what-this-means-in-practice"/>
    <w:p>
      <w:pPr>
        <w:pStyle w:val="Heading3"/>
      </w:pPr>
      <w:r>
        <w:t xml:space="preserve">What this means in practice</w:t>
      </w:r>
    </w:p>
    <w:p>
      <w:pPr>
        <w:numPr>
          <w:ilvl w:val="0"/>
          <w:numId w:val="1344"/>
        </w:numPr>
        <w:pStyle w:val="Compact"/>
      </w:pPr>
      <w:r>
        <w:t xml:space="preserve">Antibodies against peptide drugs are common but usually without consequences. With exenatide, high titers can weaken the effect; with tirzepatide, they are associated with somewhat more skin and hypersensitivity reactions.</w:t>
      </w:r>
    </w:p>
    <w:p>
      <w:pPr>
        <w:numPr>
          <w:ilvl w:val="0"/>
          <w:numId w:val="1344"/>
        </w:numPr>
        <w:pStyle w:val="Compact"/>
      </w:pPr>
      <w:r>
        <w:t xml:space="preserve">Injection-site reactions are the most common immune reaction and almost the rule with some peptides. Increasing redness, warmth, pus, or fever, on the other hand, indicate an infection.</w:t>
      </w:r>
    </w:p>
    <w:p>
      <w:pPr>
        <w:numPr>
          <w:ilvl w:val="0"/>
          <w:numId w:val="1344"/>
        </w:numPr>
        <w:pStyle w:val="Compact"/>
      </w:pPr>
      <w:r>
        <w:t xml:space="preserve">Anaphylaxis is very rare with approved GLP-1 drugs – on the order of a few cases per 10,000 treatment years. There are also case reports for tirzepatide, Cerebrolysin, and an accidental overdose.</w:t>
      </w:r>
    </w:p>
    <w:p>
      <w:pPr>
        <w:numPr>
          <w:ilvl w:val="0"/>
          <w:numId w:val="1344"/>
        </w:numPr>
        <w:pStyle w:val="Compact"/>
      </w:pPr>
      <w:r>
        <w:t xml:space="preserve">For most gray-market peptides, data on antibodies and allergies are completely lacking. Impurities and endotoxins are an additional, incalculable risk there.</w:t>
      </w:r>
    </w:p>
    <w:p>
      <w:pPr>
        <w:numPr>
          <w:ilvl w:val="0"/>
          <w:numId w:val="1344"/>
        </w:numPr>
        <w:pStyle w:val="Compact"/>
      </w:pPr>
      <w:r>
        <w:t xml:space="preserve">Anyone who has already had an allergic reaction to a peptide should mention this at every medical treatment. Whether related agents are tolerated can only be clarified by a physician.</w:t>
      </w:r>
    </w:p>
    <w:bookmarkEnd w:id="2734"/>
    <w:bookmarkEnd w:id="2735"/>
    <w:bookmarkStart w:id="2779" w:name="Xe9dbfb74057653a0f0ee0149ef36afdba976662"/>
    <w:p>
      <w:pPr>
        <w:pStyle w:val="Heading2"/>
      </w:pPr>
      <w:r>
        <w:t xml:space="preserve">Gray-Market Products: What Laboratory Analyses Show</w:t>
      </w:r>
    </w:p>
    <w:p>
      <w:pPr>
        <w:pStyle w:val="FirstParagraph"/>
      </w:pPr>
      <w:r>
        <w:t xml:space="preserve">In the chapter</w:t>
      </w:r>
      <w:r>
        <w:t xml:space="preserve"> </w:t>
      </w:r>
      <w:r>
        <w:t xml:space="preserve">“</w:t>
      </w:r>
      <w:r>
        <w:t xml:space="preserve">The Gray Market,</w:t>
      </w:r>
      <w:r>
        <w:t xml:space="preserve">”</w:t>
      </w:r>
      <w:r>
        <w:t xml:space="preserve"> </w:t>
      </w:r>
      <w:r>
        <w:t xml:space="preserve">Part I described what</w:t>
      </w:r>
      <w:r>
        <w:t xml:space="preserve"> </w:t>
      </w:r>
      <w:r>
        <w:t xml:space="preserve">“</w:t>
      </w:r>
      <w:r>
        <w:t xml:space="preserve">research peptides</w:t>
      </w:r>
      <w:r>
        <w:t xml:space="preserve">”</w:t>
      </w:r>
      <w:r>
        <w:t xml:space="preserve"> </w:t>
      </w:r>
      <w:r>
        <w:t xml:space="preserve">are and presented individual sensational findings: semaglutide powder with a purity of 7.7 to 14.4%, Melanotan vials containing less than half the stated amount, counterfeit Ozempic containing insulin. This chapter goes one step further. It asks who analyzes such products in the first place, which types of errors recur across many investigations, what these analyses cannot show – and what data from poison control centers reveal about the consequences of dosing errors with GLP-1 drugs.</w:t>
      </w:r>
    </w:p>
    <w:bookmarkStart w:id="2737" w:name="who-analyzes-gray-market-products"/>
    <w:p>
      <w:pPr>
        <w:pStyle w:val="Heading3"/>
      </w:pPr>
      <w:r>
        <w:t xml:space="preserve">Who analyzes gray-market products</w:t>
      </w:r>
    </w:p>
    <w:p>
      <w:pPr>
        <w:pStyle w:val="FirstParagraph"/>
      </w:pPr>
      <w:r>
        <w:t xml:space="preserve">Most of the data come from three sources.</w:t>
      </w:r>
    </w:p>
    <w:p>
      <w:pPr>
        <w:pStyle w:val="BodyText"/>
      </w:pPr>
      <w:r>
        <w:rPr>
          <w:bCs/>
          <w:b/>
        </w:rPr>
        <w:t xml:space="preserve">Official medicines control laboratories.</w:t>
      </w:r>
      <w:r>
        <w:t xml:space="preserve"> </w:t>
      </w:r>
      <w:r>
        <w:t xml:space="preserve">In Europe, they work together in a network coordinated by the European Directorate for the Quality of Medicines. They examine samples seized by customs, police, or health authorities. A Belgian laboratory, for example, developed a screening method with which 25 different peptides can be identified in unknown injectable preparations in a single run – including some that had not yet been seized but were already being discussed in internet forums</w:t>
      </w:r>
      <w:r>
        <w:rPr>
          <w:rStyle w:val="FootnoteReference"/>
        </w:rPr>
        <w:footnoteReference w:id="2736"/>
      </w:r>
      <w:r>
        <w:t xml:space="preserve">.</w:t>
      </w:r>
    </w:p>
    <w:p>
      <w:pPr>
        <w:pStyle w:val="BodyText"/>
      </w:pPr>
      <w:r>
        <w:rPr>
          <w:bCs/>
          <w:b/>
        </w:rPr>
        <w:t xml:space="preserve">Anti-doping and forensic laboratories.</w:t>
      </w:r>
      <w:r>
        <w:t xml:space="preserve"> </w:t>
      </w:r>
      <w:r>
        <w:t xml:space="preserve">They analyze seized goods from the sports environment in order to keep their detection methods up to date. The findings from Cologne, Norway, and Denmark in Part I come from this source.</w:t>
      </w:r>
    </w:p>
    <w:p>
      <w:pPr>
        <w:pStyle w:val="BodyText"/>
      </w:pPr>
      <w:r>
        <w:rPr>
          <w:bCs/>
          <w:b/>
        </w:rPr>
        <w:t xml:space="preserve">Test purchases by research groups.</w:t>
      </w:r>
      <w:r>
        <w:t xml:space="preserve"> </w:t>
      </w:r>
      <w:r>
        <w:t xml:space="preserve">These groups deliberately buy products from online sellers and check what arrives. Such studies are rarer, but come closest to the situation of buyers.</w:t>
      </w:r>
    </w:p>
    <w:p>
      <w:pPr>
        <w:pStyle w:val="BodyText"/>
      </w:pPr>
      <w:r>
        <w:t xml:space="preserve">The methods used answer different questions: mass spectrometry shows</w:t>
      </w:r>
      <w:r>
        <w:t xml:space="preserve"> </w:t>
      </w:r>
      <w:r>
        <w:rPr>
          <w:iCs/>
          <w:i/>
        </w:rPr>
        <w:t xml:space="preserve">which</w:t>
      </w:r>
      <w:r>
        <w:t xml:space="preserve"> </w:t>
      </w:r>
      <w:r>
        <w:t xml:space="preserve">substance is present; liquid chromatography measures</w:t>
      </w:r>
      <w:r>
        <w:t xml:space="preserve"> </w:t>
      </w:r>
      <w:r>
        <w:rPr>
          <w:iCs/>
          <w:i/>
        </w:rPr>
        <w:t xml:space="preserve">how much</w:t>
      </w:r>
      <w:r>
        <w:t xml:space="preserve"> </w:t>
      </w:r>
      <w:r>
        <w:t xml:space="preserve">and</w:t>
      </w:r>
      <w:r>
        <w:t xml:space="preserve"> </w:t>
      </w:r>
      <w:r>
        <w:rPr>
          <w:iCs/>
          <w:i/>
        </w:rPr>
        <w:t xml:space="preserve">how pure</w:t>
      </w:r>
      <w:r>
        <w:t xml:space="preserve">; special methods detect metals, solvent residues, bacteria, or endotoxins. No laboratory routinely tests for everything. If a report determines only identity, it says nothing about germs, and vice versa.</w:t>
      </w:r>
    </w:p>
    <w:bookmarkEnd w:id="2737"/>
    <w:bookmarkStart w:id="2757" w:name="four-types-of-errors-that-keep-recurring"/>
    <w:p>
      <w:pPr>
        <w:pStyle w:val="Heading3"/>
      </w:pPr>
      <w:r>
        <w:t xml:space="preserve">Four types of errors that keep recurring</w:t>
      </w:r>
    </w:p>
    <w:p>
      <w:pPr>
        <w:pStyle w:val="FirstParagraph"/>
      </w:pPr>
      <w:r>
        <w:t xml:space="preserve">Across the individual analyses, the findings can be grouped into four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 of error</w:t>
            </w:r>
          </w:p>
        </w:tc>
        <w:tc>
          <w:tcPr/>
          <w:p>
            <w:pPr>
              <w:pStyle w:val="Compact"/>
              <w:jc w:val="left"/>
            </w:pPr>
            <w:r>
              <w:t xml:space="preserve">Examples from analyses</w:t>
            </w:r>
          </w:p>
        </w:tc>
        <w:tc>
          <w:tcPr/>
          <w:p>
            <w:pPr>
              <w:pStyle w:val="Compact"/>
              <w:jc w:val="left"/>
            </w:pPr>
            <w:r>
              <w:t xml:space="preserve">Source</w:t>
            </w:r>
          </w:p>
        </w:tc>
      </w:tr>
      <w:tr>
        <w:tc>
          <w:tcPr/>
          <w:p>
            <w:pPr>
              <w:pStyle w:val="Compact"/>
              <w:jc w:val="left"/>
            </w:pPr>
            <w:r>
              <w:t xml:space="preserve">Wrong active ingredient or none</w:t>
            </w:r>
          </w:p>
        </w:tc>
        <w:tc>
          <w:tcPr/>
          <w:p>
            <w:pPr>
              <w:pStyle w:val="Compact"/>
              <w:jc w:val="left"/>
            </w:pPr>
            <w:r>
              <w:t xml:space="preserve">9 of 36 seized samples without any peptide or protein</w:t>
            </w:r>
          </w:p>
        </w:tc>
        <w:tc>
          <w:tcPr/>
          <w:p>
            <w:pPr>
              <w:pStyle w:val="Compact"/>
              <w:jc w:val="left"/>
            </w:pPr>
            <w:r>
              <w:t xml:space="preserve">Høj 2021, PMID 33686802</w:t>
            </w:r>
          </w:p>
        </w:tc>
      </w:tr>
      <w:tr>
        <w:tc>
          <w:tcPr/>
          <w:p>
            <w:pPr>
              <w:pStyle w:val="Compact"/>
              <w:jc w:val="left"/>
            </w:pPr>
            <w:r>
              <w:t xml:space="preserve">Wrong amount</w:t>
            </w:r>
          </w:p>
        </w:tc>
        <w:tc>
          <w:tcPr/>
          <w:p>
            <w:pPr>
              <w:pStyle w:val="Compact"/>
              <w:jc w:val="left"/>
            </w:pPr>
            <w:r>
              <w:t xml:space="preserve">only 41% of 44 internet products with the correct amount of active ingredient</w:t>
            </w:r>
          </w:p>
        </w:tc>
        <w:tc>
          <w:tcPr/>
          <w:p>
            <w:pPr>
              <w:pStyle w:val="Compact"/>
              <w:jc w:val="left"/>
            </w:pPr>
            <w:r>
              <w:t xml:space="preserve">Van Wagoner 2017, PMID 29183075</w:t>
            </w:r>
          </w:p>
        </w:tc>
      </w:tr>
      <w:tr>
        <w:tc>
          <w:tcPr/>
          <w:p>
            <w:pPr>
              <w:pStyle w:val="Compact"/>
              <w:jc w:val="left"/>
            </w:pPr>
            <w:r>
              <w:t xml:space="preserve">Low purity, degradation products</w:t>
            </w:r>
          </w:p>
        </w:tc>
        <w:tc>
          <w:tcPr/>
          <w:p>
            <w:pPr>
              <w:pStyle w:val="Compact"/>
              <w:jc w:val="left"/>
            </w:pPr>
            <w:r>
              <w:t xml:space="preserve">purity of 5 to 75% for certain peptides</w:t>
            </w:r>
          </w:p>
        </w:tc>
        <w:tc>
          <w:tcPr/>
          <w:p>
            <w:pPr>
              <w:pStyle w:val="Compact"/>
              <w:jc w:val="left"/>
            </w:pPr>
            <w:r>
              <w:t xml:space="preserve">Janvier 2018, PMID 30029448</w:t>
            </w:r>
          </w:p>
        </w:tc>
      </w:tr>
      <w:tr>
        <w:tc>
          <w:tcPr/>
          <w:p>
            <w:pPr>
              <w:pStyle w:val="Compact"/>
              <w:jc w:val="left"/>
            </w:pPr>
            <w:r>
              <w:t xml:space="preserve">Dangerous accompanying substances</w:t>
            </w:r>
          </w:p>
        </w:tc>
        <w:tc>
          <w:tcPr/>
          <w:p>
            <w:pPr>
              <w:pStyle w:val="Compact"/>
              <w:jc w:val="left"/>
            </w:pPr>
            <w:r>
              <w:t xml:space="preserve">arsenic and lead, in some cases up to ten times the limit</w:t>
            </w:r>
          </w:p>
        </w:tc>
        <w:tc>
          <w:tcPr/>
          <w:p>
            <w:pPr>
              <w:pStyle w:val="Compact"/>
              <w:jc w:val="left"/>
            </w:pPr>
            <w:r>
              <w:t xml:space="preserve">Janvier 2018, PMID 30029448</w:t>
            </w:r>
          </w:p>
        </w:tc>
      </w:tr>
    </w:tbl>
    <w:bookmarkStart w:id="2743" w:name="wrong-active-ingredient-or-none-at-all"/>
    <w:p>
      <w:pPr>
        <w:pStyle w:val="Heading4"/>
      </w:pPr>
      <w:r>
        <w:t xml:space="preserve">Wrong active ingredient or none at all</w:t>
      </w:r>
    </w:p>
    <w:p>
      <w:pPr>
        <w:pStyle w:val="FirstParagraph"/>
      </w:pPr>
      <w:r>
        <w:t xml:space="preserve">In 2019, a Danish forensic laboratory received 36 seized samples suspected of containing peptides or proteins. Fifteen contained a prohibited doping agent, 12 a substance that was not on the Danish doping list, and 9 contained no peptide or protein at all</w:t>
      </w:r>
      <w:r>
        <w:rPr>
          <w:rStyle w:val="FootnoteReference"/>
        </w:rPr>
        <w:footnoteReference w:id="2738"/>
      </w:r>
      <w:r>
        <w:t xml:space="preserve">. In a Europe-wide customs operation, the laboratories reported growth hormone, sermorelin, Melanotan II, and preparations with no active ingredient at all among the seized injectable products; the shipments were on average too large for personal use and presumably partly intended for resale</w:t>
      </w:r>
      <w:r>
        <w:rPr>
          <w:rStyle w:val="FootnoteReference"/>
        </w:rPr>
        <w:footnoteReference w:id="2739"/>
      </w:r>
      <w:r>
        <w:t xml:space="preserve">. In a Belgian case, a preparation suspected to be IGF-1 instead contained a different growth factor, epidermal growth factor (EGF)</w:t>
      </w:r>
      <w:r>
        <w:rPr>
          <w:rStyle w:val="FootnoteReference"/>
        </w:rPr>
        <w:footnoteReference w:id="2740"/>
      </w:r>
      <w:r>
        <w:t xml:space="preserve">.</w:t>
      </w:r>
    </w:p>
    <w:p>
      <w:pPr>
        <w:pStyle w:val="BodyText"/>
      </w:pPr>
      <w:r>
        <w:t xml:space="preserve">A horse doping laboratory analyzed products offered online under the names</w:t>
      </w:r>
      <w:r>
        <w:t xml:space="preserve"> </w:t>
      </w:r>
      <w:r>
        <w:t xml:space="preserve">“</w:t>
      </w:r>
      <w:r>
        <w:t xml:space="preserve">TB500,</w:t>
      </w:r>
      <w:r>
        <w:t xml:space="preserve">”</w:t>
      </w:r>
      <w:r>
        <w:t xml:space="preserve"> </w:t>
      </w:r>
      <w:r>
        <w:t xml:space="preserve">“</w:t>
      </w:r>
      <w:r>
        <w:t xml:space="preserve">TB1000,</w:t>
      </w:r>
      <w:r>
        <w:t xml:space="preserve">”</w:t>
      </w:r>
      <w:r>
        <w:t xml:space="preserve"> </w:t>
      </w:r>
      <w:r>
        <w:t xml:space="preserve">and</w:t>
      </w:r>
      <w:r>
        <w:t xml:space="preserve"> </w:t>
      </w:r>
      <w:r>
        <w:t xml:space="preserve">“</w:t>
      </w:r>
      <w:r>
        <w:t xml:space="preserve">SGF1000.</w:t>
      </w:r>
      <w:r>
        <w:t xml:space="preserve">”</w:t>
      </w:r>
      <w:r>
        <w:t xml:space="preserve"> </w:t>
      </w:r>
      <w:r>
        <w:t xml:space="preserve">The contents of the TB products did not consistently match earlier descriptions.</w:t>
      </w:r>
      <w:r>
        <w:t xml:space="preserve"> </w:t>
      </w:r>
      <w:r>
        <w:t xml:space="preserve">“</w:t>
      </w:r>
      <w:r>
        <w:t xml:space="preserve">SGF1000</w:t>
      </w:r>
      <w:r>
        <w:t xml:space="preserve">”</w:t>
      </w:r>
      <w:r>
        <w:t xml:space="preserve"> </w:t>
      </w:r>
      <w:r>
        <w:t xml:space="preserve">consisted predominantly of connective tissue and blood proteins from sheep; the supposedly growth-promoting components were extremely diluted</w:t>
      </w:r>
      <w:r>
        <w:rPr>
          <w:rStyle w:val="FootnoteReference"/>
        </w:rPr>
        <w:footnoteReference w:id="2741"/>
      </w:r>
      <w:r>
        <w:t xml:space="preserve">.</w:t>
      </w:r>
    </w:p>
    <w:p>
      <w:pPr>
        <w:pStyle w:val="BodyText"/>
      </w:pPr>
      <w:r>
        <w:t xml:space="preserve">How often label and contents diverge is shown by a US study that concerned not peptides but so-called SARMs, which, however, use the same distribution channel: of 44 internet products, only 52% contained any active ingredient from the advertised class of substances at all. 39% contained other unapproved substances, including the growth hormone secretagogue ibutamoren, 9% contained no active ingredient at all, and 25% contained undeclared substances</w:t>
      </w:r>
      <w:r>
        <w:rPr>
          <w:rStyle w:val="FootnoteReference"/>
        </w:rPr>
        <w:footnoteReference w:id="2742"/>
      </w:r>
      <w:r>
        <w:t xml:space="preserve">.</w:t>
      </w:r>
    </w:p>
    <w:bookmarkEnd w:id="2743"/>
    <w:bookmarkStart w:id="2747" w:name="wrong-amount"/>
    <w:p>
      <w:pPr>
        <w:pStyle w:val="Heading4"/>
      </w:pPr>
      <w:r>
        <w:t xml:space="preserve">Wrong amount</w:t>
      </w:r>
    </w:p>
    <w:p>
      <w:pPr>
        <w:pStyle w:val="FirstParagraph"/>
      </w:pPr>
      <w:r>
        <w:t xml:space="preserve">Even when the right substance is in the vial, the amount is often wrong. In the US analysis mentioned above, the measured amount of active ingredient matched the label in only 18 of 44 products (41%)</w:t>
      </w:r>
      <w:r>
        <w:rPr>
          <w:rStyle w:val="FootnoteReference"/>
        </w:rPr>
        <w:footnoteReference w:id="2744"/>
      </w:r>
      <w:r>
        <w:t xml:space="preserve">. A French toxicology laboratory examined 75 drugs from the bodybuilding scene seized on the black market: 33% were substandard, that is, incorrectly dosed, 32% were falsified, meaning they had different contents than stated, and only 19% fully matched the original</w:t>
      </w:r>
      <w:r>
        <w:rPr>
          <w:rStyle w:val="FootnoteReference"/>
        </w:rPr>
        <w:footnoteReference w:id="2745"/>
      </w:r>
      <w:r>
        <w:t xml:space="preserve">. A five-year European market surveillance with 324 samples from 13 countries concluded, based on the limited quantitative data, that most samples contained effective amounts and some were even overdosed</w:t>
      </w:r>
      <w:r>
        <w:rPr>
          <w:rStyle w:val="FootnoteReference"/>
        </w:rPr>
        <w:footnoteReference w:id="2746"/>
      </w:r>
      <w:r>
        <w:t xml:space="preserve">.</w:t>
      </w:r>
    </w:p>
    <w:p>
      <w:pPr>
        <w:pStyle w:val="BodyText"/>
      </w:pPr>
      <w:r>
        <w:t xml:space="preserve">Both are dangerous: too little active ingredient tempts people to</w:t>
      </w:r>
      <w:r>
        <w:t xml:space="preserve"> </w:t>
      </w:r>
      <w:r>
        <w:t xml:space="preserve">“</w:t>
      </w:r>
      <w:r>
        <w:t xml:space="preserve">top up</w:t>
      </w:r>
      <w:r>
        <w:t xml:space="preserve">”</w:t>
      </w:r>
      <w:r>
        <w:t xml:space="preserve"> </w:t>
      </w:r>
      <w:r>
        <w:t xml:space="preserve">the dose; too much leads directly to stronger side effects. With GLP-1 drugs, whose tolerability depends heavily on slow dose escalation, an unknown amount is particularly problematic.</w:t>
      </w:r>
    </w:p>
    <w:bookmarkEnd w:id="2747"/>
    <w:bookmarkStart w:id="2752" w:name="Xa8bf3ac819901bc30a8d5007e05a82064d33f1c"/>
    <w:p>
      <w:pPr>
        <w:pStyle w:val="Heading4"/>
      </w:pPr>
      <w:r>
        <w:t xml:space="preserve">Low purity, degradation products, and designer variants</w:t>
      </w:r>
    </w:p>
    <w:p>
      <w:pPr>
        <w:pStyle w:val="FirstParagraph"/>
      </w:pPr>
      <w:r>
        <w:t xml:space="preserve">The most comprehensive systematic study comes from Belgium. The control laboratory bought the ten most frequently counterfeited peptide drugs on the Belgian market from three presumably illegal internet pharmacies and tested them for active ingredient, peptide impurities, small organic foreign substances, metals, and solvent residues. The amount per vial varied greatly, and for peptides containing the amino acid cysteine, purity ranged between 5 and 75%</w:t>
      </w:r>
      <w:r>
        <w:rPr>
          <w:rStyle w:val="FootnoteReference"/>
        </w:rPr>
        <w:footnoteReference w:id="2748"/>
      </w:r>
      <w:r>
        <w:t xml:space="preserve">.</w:t>
      </w:r>
    </w:p>
    <w:p>
      <w:pPr>
        <w:pStyle w:val="BodyText"/>
      </w:pPr>
      <w:r>
        <w:t xml:space="preserve">Other laboratories found numerous oxidized, that is, chemically altered, peptide forms in black-market products of IGF-1 variants</w:t>
      </w:r>
      <w:r>
        <w:rPr>
          <w:rStyle w:val="FootnoteReference"/>
        </w:rPr>
        <w:footnoteReference w:id="2749"/>
      </w:r>
      <w:r>
        <w:t xml:space="preserve"> </w:t>
      </w:r>
      <w:r>
        <w:t xml:space="preserve">and a purity of 30% in a seized Melanotan II sample</w:t>
      </w:r>
      <w:r>
        <w:rPr>
          <w:rStyle w:val="FootnoteReference"/>
        </w:rPr>
        <w:footnoteReference w:id="2750"/>
      </w:r>
      <w:r>
        <w:t xml:space="preserve">. In preparations seized by Danish customs, variants of GHRP-2, GHRP-6, ipamorelin, and a GHRH fragment were found, each with an additional glycine amino acid placed in front</w:t>
      </w:r>
      <w:r>
        <w:rPr>
          <w:rStyle w:val="FootnoteReference"/>
        </w:rPr>
        <w:footnoteReference w:id="2751"/>
      </w:r>
      <w:r>
        <w:t xml:space="preserve">. Such</w:t>
      </w:r>
      <w:r>
        <w:t xml:space="preserve"> </w:t>
      </w:r>
      <w:r>
        <w:t xml:space="preserve">“</w:t>
      </w:r>
      <w:r>
        <w:t xml:space="preserve">designer variants</w:t>
      </w:r>
      <w:r>
        <w:t xml:space="preserve">”</w:t>
      </w:r>
      <w:r>
        <w:t xml:space="preserve"> </w:t>
      </w:r>
      <w:r>
        <w:t xml:space="preserve">are presumably intended to evade doping tests. Their effect and safety in humans are completely unknown.</w:t>
      </w:r>
    </w:p>
    <w:bookmarkEnd w:id="2752"/>
    <w:bookmarkStart w:id="2756" w:name="dangerous-accompanying-substances"/>
    <w:p>
      <w:pPr>
        <w:pStyle w:val="Heading4"/>
      </w:pPr>
      <w:r>
        <w:t xml:space="preserve">Dangerous accompanying substances</w:t>
      </w:r>
    </w:p>
    <w:p>
      <w:pPr>
        <w:pStyle w:val="FirstParagraph"/>
      </w:pPr>
      <w:r>
        <w:t xml:space="preserve">In the Belgian study, the toxic elements arsenic and lead were found. One sample was contaminated with lead, and several contained arsenic in concentrations up to ten times the international limit for injectable drugs. More detailed analysis showed that the arsenic was entirely in the more toxic inorganic form. The authors point out that arsenic is carcinogenic and that lead accumulates in the body – an additional, insidious risk with repeated use over months</w:t>
      </w:r>
      <w:r>
        <w:rPr>
          <w:rStyle w:val="FootnoteReference"/>
        </w:rPr>
        <w:footnoteReference w:id="2753"/>
      </w:r>
      <w:r>
        <w:t xml:space="preserve">.</w:t>
      </w:r>
    </w:p>
    <w:p>
      <w:pPr>
        <w:pStyle w:val="BodyText"/>
      </w:pPr>
      <w:r>
        <w:t xml:space="preserve">Added to this are germs and bacterial components. The same laboratory detected the bacterium</w:t>
      </w:r>
      <w:r>
        <w:t xml:space="preserve"> </w:t>
      </w:r>
      <w:r>
        <w:rPr>
          <w:iCs/>
          <w:i/>
        </w:rPr>
        <w:t xml:space="preserve">Bacillus cereus</w:t>
      </w:r>
      <w:r>
        <w:t xml:space="preserve"> </w:t>
      </w:r>
      <w:r>
        <w:t xml:space="preserve">in two illegal peptide preparations for injection</w:t>
      </w:r>
      <w:r>
        <w:rPr>
          <w:rStyle w:val="FootnoteReference"/>
        </w:rPr>
        <w:footnoteReference w:id="2754"/>
      </w:r>
      <w:r>
        <w:t xml:space="preserve">. In the semaglutide test purchases from Part I, endotoxins were detectable in all samples</w:t>
      </w:r>
      <w:r>
        <w:rPr>
          <w:rStyle w:val="FootnoteReference"/>
        </w:rPr>
        <w:footnoteReference w:id="2755"/>
      </w:r>
      <w:r>
        <w:t xml:space="preserve">. Why this is relevant for the immune system is described in the chapter</w:t>
      </w:r>
      <w:r>
        <w:t xml:space="preserve"> </w:t>
      </w:r>
      <w:r>
        <w:t xml:space="preserve">“</w:t>
      </w:r>
      <w:r>
        <w:t xml:space="preserve">Immune Reactions and Antibodies.</w:t>
      </w:r>
      <w:r>
        <w:t xml:space="preserve">”</w:t>
      </w:r>
    </w:p>
    <w:bookmarkEnd w:id="2756"/>
    <w:bookmarkEnd w:id="2757"/>
    <w:bookmarkStart w:id="2763" w:name="ever-new-substances"/>
    <w:p>
      <w:pPr>
        <w:pStyle w:val="Heading3"/>
      </w:pPr>
      <w:r>
        <w:t xml:space="preserve">Ever new substances</w:t>
      </w:r>
    </w:p>
    <w:p>
      <w:pPr>
        <w:pStyle w:val="FirstParagraph"/>
      </w:pPr>
      <w:r>
        <w:t xml:space="preserve">The gray market reacts quickly to trends. A European market surveillance with 1,104 reported cases from 16 countries between 2017 and 2019 found that 11% of samples contained biological molecules, above all</w:t>
      </w:r>
      <w:r>
        <w:t xml:space="preserve"> </w:t>
      </w:r>
      <w:r>
        <w:t xml:space="preserve">“</w:t>
      </w:r>
      <w:r>
        <w:t xml:space="preserve">research peptides</w:t>
      </w:r>
      <w:r>
        <w:t xml:space="preserve">”</w:t>
      </w:r>
      <w:r>
        <w:t xml:space="preserve">; this was the second most common category overall</w:t>
      </w:r>
      <w:r>
        <w:rPr>
          <w:rStyle w:val="FootnoteReference"/>
        </w:rPr>
        <w:footnoteReference w:id="2758"/>
      </w:r>
      <w:r>
        <w:t xml:space="preserve">. Belgian laboratories identified the</w:t>
      </w:r>
      <w:r>
        <w:t xml:space="preserve"> </w:t>
      </w:r>
      <w:r>
        <w:t xml:space="preserve">“</w:t>
      </w:r>
      <w:r>
        <w:t xml:space="preserve">anti-aging peptide</w:t>
      </w:r>
      <w:r>
        <w:t xml:space="preserve">”</w:t>
      </w:r>
      <w:r>
        <w:t xml:space="preserve"> </w:t>
      </w:r>
      <w:r>
        <w:t xml:space="preserve">Epitalon</w:t>
      </w:r>
      <w:r>
        <w:rPr>
          <w:rStyle w:val="FootnoteReference"/>
        </w:rPr>
        <w:footnoteReference w:id="2759"/>
      </w:r>
      <w:r>
        <w:t xml:space="preserve"> </w:t>
      </w:r>
      <w:r>
        <w:t xml:space="preserve">as well as the nootropic peptides Selank and Semax in seized preparations; the laboratory then developed its own detection method for ten such peptides offered online</w:t>
      </w:r>
      <w:r>
        <w:rPr>
          <w:rStyle w:val="FootnoteReference"/>
        </w:rPr>
        <w:footnoteReference w:id="2760"/>
      </w:r>
      <w:r>
        <w:t xml:space="preserve">. Meanwhile, agents that are still in clinical trials are also being offered, such as retatrutide and amycretin (chapters Retatrutide, Amycretin).</w:t>
      </w:r>
    </w:p>
    <w:p>
      <w:pPr>
        <w:pStyle w:val="BodyText"/>
      </w:pPr>
      <w:r>
        <w:t xml:space="preserve">For the control laboratories, this means a race: a substance for which no reference standard yet exists cannot be reliably identified. For buyers, it means that the least is known about the contents and quality of the newest products.</w:t>
      </w:r>
    </w:p>
    <w:p>
      <w:pPr>
        <w:pStyle w:val="BodyText"/>
      </w:pPr>
      <w:r>
        <w:t xml:space="preserve">Increasingly, gray-market products are also appearing in forms that seem more harmless than an injection. A US study found 24 patches and one gel sold as dietary supplements and advertised as</w:t>
      </w:r>
      <w:r>
        <w:t xml:space="preserve"> </w:t>
      </w:r>
      <w:r>
        <w:t xml:space="preserve">“</w:t>
      </w:r>
      <w:r>
        <w:t xml:space="preserve">natural GLP-1.</w:t>
      </w:r>
      <w:r>
        <w:t xml:space="preserve">”</w:t>
      </w:r>
      <w:r>
        <w:t xml:space="preserve"> </w:t>
      </w:r>
      <w:r>
        <w:t xml:space="preserve">None provided a certificate of analysis, many advertised misleadingly; under US law, selling such patches as dietary supplements is not permitted</w:t>
      </w:r>
      <w:r>
        <w:rPr>
          <w:rStyle w:val="FootnoteReference"/>
        </w:rPr>
        <w:footnoteReference w:id="2761"/>
      </w:r>
      <w:r>
        <w:t xml:space="preserve">. In the European market surveillance, 24% of muscle-building preparations were presented as dietary supplements – people who buy them often do not know that they are taking an unapproved drug</w:t>
      </w:r>
      <w:r>
        <w:rPr>
          <w:rStyle w:val="FootnoteReference"/>
        </w:rPr>
        <w:footnoteReference w:id="2762"/>
      </w:r>
      <w:r>
        <w:t xml:space="preserve">.</w:t>
      </w:r>
    </w:p>
    <w:bookmarkEnd w:id="2763"/>
    <w:bookmarkStart w:id="2764" w:name="what-the-analyses-do-not-show"/>
    <w:p>
      <w:pPr>
        <w:pStyle w:val="Heading3"/>
      </w:pPr>
      <w:r>
        <w:t xml:space="preserve">What the analyses do not show</w:t>
      </w:r>
    </w:p>
    <w:p>
      <w:pPr>
        <w:pStyle w:val="FirstParagraph"/>
      </w:pPr>
      <w:r>
        <w:t xml:space="preserve">As clear as the findings are, they have limits.</w:t>
      </w:r>
    </w:p>
    <w:p>
      <w:pPr>
        <w:numPr>
          <w:ilvl w:val="0"/>
          <w:numId w:val="1345"/>
        </w:numPr>
        <w:pStyle w:val="Compact"/>
      </w:pPr>
      <w:r>
        <w:rPr>
          <w:bCs/>
          <w:b/>
        </w:rPr>
        <w:t xml:space="preserve">No representative sample.</w:t>
      </w:r>
      <w:r>
        <w:t xml:space="preserve"> </w:t>
      </w:r>
      <w:r>
        <w:t xml:space="preserve">Seized goods are a selection of what catches the attention of customs. Test purchases usually cover only a few sellers. The proportion of defective products in the market as a whole cannot be calculated from this.</w:t>
      </w:r>
    </w:p>
    <w:p>
      <w:pPr>
        <w:numPr>
          <w:ilvl w:val="0"/>
          <w:numId w:val="1345"/>
        </w:numPr>
        <w:pStyle w:val="Compact"/>
      </w:pPr>
      <w:r>
        <w:rPr>
          <w:bCs/>
          <w:b/>
        </w:rPr>
        <w:t xml:space="preserve">Snapshots.</w:t>
      </w:r>
      <w:r>
        <w:t xml:space="preserve"> </w:t>
      </w:r>
      <w:r>
        <w:t xml:space="preserve">A seller whose goods are correct today may deliver a different batch tomorrow. Good results from one analysis do not apply to the next vial.</w:t>
      </w:r>
    </w:p>
    <w:p>
      <w:pPr>
        <w:numPr>
          <w:ilvl w:val="0"/>
          <w:numId w:val="1345"/>
        </w:numPr>
        <w:pStyle w:val="Compact"/>
      </w:pPr>
      <w:r>
        <w:rPr>
          <w:bCs/>
          <w:b/>
        </w:rPr>
        <w:t xml:space="preserve">Not everything is tested.</w:t>
      </w:r>
      <w:r>
        <w:t xml:space="preserve"> </w:t>
      </w:r>
      <w:r>
        <w:t xml:space="preserve">Many reports determine only the identity of the active ingredient. Whether a product with the</w:t>
      </w:r>
      <w:r>
        <w:t xml:space="preserve"> </w:t>
      </w:r>
      <w:r>
        <w:t xml:space="preserve">“</w:t>
      </w:r>
      <w:r>
        <w:t xml:space="preserve">right</w:t>
      </w:r>
      <w:r>
        <w:t xml:space="preserve">”</w:t>
      </w:r>
      <w:r>
        <w:t xml:space="preserve"> </w:t>
      </w:r>
      <w:r>
        <w:t xml:space="preserve">contents was sterile and free of endotoxins then remains open.</w:t>
      </w:r>
    </w:p>
    <w:p>
      <w:pPr>
        <w:numPr>
          <w:ilvl w:val="0"/>
          <w:numId w:val="1345"/>
        </w:numPr>
        <w:pStyle w:val="Compact"/>
      </w:pPr>
      <w:r>
        <w:rPr>
          <w:bCs/>
          <w:b/>
        </w:rPr>
        <w:t xml:space="preserve">No statement about effect and safety.</w:t>
      </w:r>
      <w:r>
        <w:t xml:space="preserve"> </w:t>
      </w:r>
      <w:r>
        <w:t xml:space="preserve">Even a pure product is only as safe as the active ingredient itself. For most gray-market peptides, human studies on this are lacking (see Part II).</w:t>
      </w:r>
    </w:p>
    <w:bookmarkEnd w:id="2764"/>
    <w:bookmarkStart w:id="2776" w:name="X0cd4e7f1abdb2b8dfd7fcd5e4b83356f8478856"/>
    <w:p>
      <w:pPr>
        <w:pStyle w:val="Heading3"/>
      </w:pPr>
      <w:r>
        <w:t xml:space="preserve">GLP-1 drugs: what poison control centers report</w:t>
      </w:r>
    </w:p>
    <w:p>
      <w:pPr>
        <w:pStyle w:val="FirstParagraph"/>
      </w:pPr>
      <w:r>
        <w:t xml:space="preserve">For the GLP-1 drugs, there is an additional data source that shows what actually goes wrong in use: calls to poison control centers. In the US, these are collected in a national database. These data do not always distinguish between the original product, compounded drugs, and gray-market goods, but they show the magnitude of the problems.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Period and scope</w:t>
            </w:r>
          </w:p>
        </w:tc>
        <w:tc>
          <w:tcPr/>
          <w:p>
            <w:pPr>
              <w:pStyle w:val="Compact"/>
              <w:jc w:val="left"/>
            </w:pPr>
            <w:r>
              <w:t xml:space="preserve">Key findings</w:t>
            </w:r>
          </w:p>
        </w:tc>
      </w:tr>
      <w:tr>
        <w:tc>
          <w:tcPr/>
          <w:p>
            <w:pPr>
              <w:pStyle w:val="Compact"/>
              <w:jc w:val="left"/>
            </w:pPr>
            <w:r>
              <w:t xml:space="preserve">Gaw 2024, PMID 38421490</w:t>
            </w:r>
          </w:p>
        </w:tc>
        <w:tc>
          <w:tcPr/>
          <w:p>
            <w:pPr>
              <w:pStyle w:val="Compact"/>
              <w:jc w:val="left"/>
            </w:pPr>
            <w:r>
              <w:t xml:space="preserve">US, 2017–2022, 5,713 cases</w:t>
            </w:r>
          </w:p>
        </w:tc>
        <w:tc>
          <w:tcPr/>
          <w:p>
            <w:pPr>
              <w:pStyle w:val="Compact"/>
              <w:jc w:val="left"/>
            </w:pPr>
            <w:r>
              <w:t xml:space="preserve">79.9% medication errors; 6.2% serious outcomes, one death</w:t>
            </w:r>
          </w:p>
        </w:tc>
      </w:tr>
      <w:tr>
        <w:tc>
          <w:tcPr/>
          <w:p>
            <w:pPr>
              <w:pStyle w:val="Compact"/>
              <w:jc w:val="left"/>
            </w:pPr>
            <w:r>
              <w:t xml:space="preserve">Miller 2026, PMID 41634285</w:t>
            </w:r>
          </w:p>
        </w:tc>
        <w:tc>
          <w:tcPr/>
          <w:p>
            <w:pPr>
              <w:pStyle w:val="Compact"/>
              <w:jc w:val="left"/>
            </w:pPr>
            <w:r>
              <w:t xml:space="preserve">US, 2012–2023, 10,033 cases</w:t>
            </w:r>
          </w:p>
        </w:tc>
        <w:tc>
          <w:tcPr/>
          <w:p>
            <w:pPr>
              <w:pStyle w:val="Compact"/>
              <w:jc w:val="left"/>
            </w:pPr>
            <w:r>
              <w:t xml:space="preserve">more cases after obesity approval, share with physician or hospital contact from 23.0 to 33.5%</w:t>
            </w:r>
          </w:p>
        </w:tc>
      </w:tr>
      <w:tr>
        <w:tc>
          <w:tcPr/>
          <w:p>
            <w:pPr>
              <w:pStyle w:val="Compact"/>
              <w:jc w:val="left"/>
            </w:pPr>
            <w:r>
              <w:t xml:space="preserve">Senthilkumar 2026, PMID 41784916</w:t>
            </w:r>
          </w:p>
        </w:tc>
        <w:tc>
          <w:tcPr/>
          <w:p>
            <w:pPr>
              <w:pStyle w:val="Compact"/>
              <w:jc w:val="left"/>
            </w:pPr>
            <w:r>
              <w:t xml:space="preserve">US, 2017–2024, 13,924 cases</w:t>
            </w:r>
          </w:p>
        </w:tc>
        <w:tc>
          <w:tcPr/>
          <w:p>
            <w:pPr>
              <w:pStyle w:val="Compact"/>
              <w:jc w:val="left"/>
            </w:pPr>
            <w:r>
              <w:t xml:space="preserve">91.7% with no or mild effects; 42 serious outcomes, two deaths</w:t>
            </w:r>
          </w:p>
        </w:tc>
      </w:tr>
      <w:tr>
        <w:tc>
          <w:tcPr/>
          <w:p>
            <w:pPr>
              <w:pStyle w:val="Compact"/>
              <w:jc w:val="left"/>
            </w:pPr>
            <w:r>
              <w:t xml:space="preserve">Ho 2025, PMID 40371098</w:t>
            </w:r>
          </w:p>
        </w:tc>
        <w:tc>
          <w:tcPr/>
          <w:p>
            <w:pPr>
              <w:pStyle w:val="Compact"/>
              <w:jc w:val="left"/>
            </w:pPr>
            <w:r>
              <w:t xml:space="preserve">California, 2017–2023, 1,047 cases</w:t>
            </w:r>
          </w:p>
        </w:tc>
        <w:tc>
          <w:tcPr/>
          <w:p>
            <w:pPr>
              <w:pStyle w:val="Compact"/>
              <w:jc w:val="left"/>
            </w:pPr>
            <w:r>
              <w:t xml:space="preserve">21.0% in the emergency department, 4.4% hospitalized; hypoglycemia in 3.8%</w:t>
            </w:r>
          </w:p>
        </w:tc>
      </w:tr>
    </w:tbl>
    <w:p>
      <w:pPr>
        <w:pStyle w:val="BodyText"/>
      </w:pPr>
      <w:r>
        <w:t xml:space="preserve">Several patterns stand out:</w:t>
      </w:r>
    </w:p>
    <w:p>
      <w:pPr>
        <w:pStyle w:val="BodyText"/>
      </w:pPr>
      <w:r>
        <w:rPr>
          <w:bCs/>
          <w:b/>
        </w:rPr>
        <w:t xml:space="preserve">The number of cases rose sharply with increasing use.</w:t>
      </w:r>
      <w:r>
        <w:t xml:space="preserve"> </w:t>
      </w:r>
      <w:r>
        <w:t xml:space="preserve">From 2021 to 2022, the rate of reported cases per million inhabitants increased by 80.9%</w:t>
      </w:r>
      <w:r>
        <w:rPr>
          <w:rStyle w:val="FootnoteReference"/>
        </w:rPr>
        <w:footnoteReference w:id="2765"/>
      </w:r>
      <w:r>
        <w:t xml:space="preserve">. Between 2017 and 2024, it rose by a total of 1,830.8%</w:t>
      </w:r>
      <w:r>
        <w:rPr>
          <w:rStyle w:val="FootnoteReference"/>
        </w:rPr>
        <w:footnoteReference w:id="2766"/>
      </w:r>
      <w:r>
        <w:t xml:space="preserve">.</w:t>
      </w:r>
    </w:p>
    <w:p>
      <w:pPr>
        <w:pStyle w:val="BodyText"/>
      </w:pPr>
      <w:r>
        <w:rPr>
          <w:bCs/>
          <w:b/>
        </w:rPr>
        <w:t xml:space="preserve">Most cases are medication errors.</w:t>
      </w:r>
      <w:r>
        <w:t xml:space="preserve"> </w:t>
      </w:r>
      <w:r>
        <w:t xml:space="preserve">In all analyses, unintentional errors in use predominated, for example a double or incorrectly measured dose</w:t>
      </w:r>
      <w:r>
        <w:rPr>
          <w:rStyle w:val="FootnoteReference"/>
        </w:rPr>
        <w:footnoteReference w:id="2767"/>
      </w:r>
      <w:r>
        <w:t xml:space="preserve">. In an analysis from a single center, 21% of cases were due to errors when using the prefilled pen for the first time</w:t>
      </w:r>
      <w:r>
        <w:rPr>
          <w:rStyle w:val="FootnoteReference"/>
        </w:rPr>
        <w:footnoteReference w:id="2768"/>
      </w:r>
      <w:r>
        <w:t xml:space="preserve">. Errors therefore also happen with approved products. In the California analysis, 36 cases involved compounded drugs; in 91.7% of these, errors in measuring or injecting were the cause</w:t>
      </w:r>
      <w:r>
        <w:rPr>
          <w:rStyle w:val="FootnoteReference"/>
        </w:rPr>
        <w:footnoteReference w:id="2769"/>
      </w:r>
      <w:r>
        <w:t xml:space="preserve">. This fits with the case reports of confusion between milliliters,</w:t>
      </w:r>
      <w:r>
        <w:t xml:space="preserve"> </w:t>
      </w:r>
      <w:r>
        <w:t xml:space="preserve">“</w:t>
      </w:r>
      <w:r>
        <w:t xml:space="preserve">units,</w:t>
      </w:r>
      <w:r>
        <w:t xml:space="preserve">”</w:t>
      </w:r>
      <w:r>
        <w:t xml:space="preserve"> </w:t>
      </w:r>
      <w:r>
        <w:t xml:space="preserve">and milligrams with vials described in Part I.</w:t>
      </w:r>
    </w:p>
    <w:p>
      <w:pPr>
        <w:pStyle w:val="BodyText"/>
      </w:pPr>
      <w:r>
        <w:rPr>
          <w:bCs/>
          <w:b/>
        </w:rPr>
        <w:t xml:space="preserve">The consequences are usually mild, but not always.</w:t>
      </w:r>
      <w:r>
        <w:t xml:space="preserve"> </w:t>
      </w:r>
      <w:r>
        <w:t xml:space="preserve">Nausea and vomiting predominate. A notable minority, however, needs medical treatment, and there were deaths</w:t>
      </w:r>
      <w:r>
        <w:rPr>
          <w:rStyle w:val="FootnoteReference"/>
        </w:rPr>
        <w:footnoteReference w:id="2770"/>
      </w:r>
      <w:r>
        <w:t xml:space="preserve">. Hypoglycemia occurred in 3.4%</w:t>
      </w:r>
      <w:r>
        <w:rPr>
          <w:rStyle w:val="FootnoteReference"/>
        </w:rPr>
        <w:footnoteReference w:id="2771"/>
      </w:r>
      <w:r>
        <w:t xml:space="preserve"> </w:t>
      </w:r>
      <w:r>
        <w:t xml:space="preserve">to 3.8%</w:t>
      </w:r>
      <w:r>
        <w:rPr>
          <w:rStyle w:val="FootnoteReference"/>
        </w:rPr>
        <w:footnoteReference w:id="2772"/>
      </w:r>
      <w:r>
        <w:t xml:space="preserve"> </w:t>
      </w:r>
      <w:r>
        <w:t xml:space="preserve">of cases; in another analysis it occurred rarely, but also after use of a GLP-1 drug alone</w:t>
      </w:r>
      <w:r>
        <w:rPr>
          <w:rStyle w:val="FootnoteReference"/>
        </w:rPr>
        <w:footnoteReference w:id="2773"/>
      </w:r>
      <w:r>
        <w:t xml:space="preserve">. How severe an overdose can be is shown by the case described in the chapter</w:t>
      </w:r>
      <w:r>
        <w:t xml:space="preserve"> </w:t>
      </w:r>
      <w:r>
        <w:t xml:space="preserve">“</w:t>
      </w:r>
      <w:r>
        <w:t xml:space="preserve">Immune Reactions</w:t>
      </w:r>
      <w:r>
        <w:t xml:space="preserve">”</w:t>
      </w:r>
      <w:r>
        <w:t xml:space="preserve"> </w:t>
      </w:r>
      <w:r>
        <w:t xml:space="preserve">of a woman who, after an accidental tenfold dose from a compounding pharmacy, had to be mechanically ventilated because of massive swelling in her throat and also developed hypoglycemia</w:t>
      </w:r>
      <w:r>
        <w:rPr>
          <w:rStyle w:val="FootnoteReference"/>
        </w:rPr>
        <w:footnoteReference w:id="2774"/>
      </w:r>
      <w:r>
        <w:t xml:space="preserve">.</w:t>
      </w:r>
    </w:p>
    <w:p>
      <w:pPr>
        <w:pStyle w:val="BodyText"/>
      </w:pPr>
      <w:r>
        <w:rPr>
          <w:bCs/>
          <w:b/>
        </w:rPr>
        <w:t xml:space="preserve">Adolescents are a separate risk group.</w:t>
      </w:r>
      <w:r>
        <w:t xml:space="preserve"> </w:t>
      </w:r>
      <w:r>
        <w:t xml:space="preserve">Among children and adolescents between 6 and 17 years of age, the case rate rose most sharply between 2017 and 2024. They were hospitalized more often than adults (relative risk 2.66), and their cases were considerably more often due to intentional misuse (relative risk 8.12)</w:t>
      </w:r>
      <w:r>
        <w:rPr>
          <w:rStyle w:val="FootnoteReference"/>
        </w:rPr>
        <w:footnoteReference w:id="2775"/>
      </w:r>
      <w:r>
        <w:t xml:space="preserve">. More on this in the following chapter.</w:t>
      </w:r>
    </w:p>
    <w:bookmarkEnd w:id="2776"/>
    <w:bookmarkStart w:id="2777" w:name="what-follows-from-this"/>
    <w:p>
      <w:pPr>
        <w:pStyle w:val="Heading3"/>
      </w:pPr>
      <w:r>
        <w:t xml:space="preserve">What follows from this</w:t>
      </w:r>
    </w:p>
    <w:p>
      <w:pPr>
        <w:pStyle w:val="FirstParagraph"/>
      </w:pPr>
      <w:r>
        <w:t xml:space="preserve">The laboratory analyses and the data from poison control centers describe two sides of the same problem. The analyses show that gray-market products can deviate from the label in every conceivable respect: in the substance, in the amount, in purity, and in toxic accompanying substances. The poison control data show that measuring errors are common even with tested products – and that vials that first have to be reconstituted and converted are particularly error-prone.</w:t>
      </w:r>
    </w:p>
    <w:p>
      <w:pPr>
        <w:pStyle w:val="BodyText"/>
      </w:pPr>
      <w:r>
        <w:t xml:space="preserve">Combining the two results in a risk that cannot be described by any study of an active ingredient: anyone who injects a gray-market peptide knows neither the contents nor the amount, and every deviation is further amplified by possible calculation errors of their own. The safety data from the approval trials described in Part II do not apply to these products.</w:t>
      </w:r>
    </w:p>
    <w:bookmarkEnd w:id="2777"/>
    <w:bookmarkStart w:id="2778" w:name="key-points-in-brief-6"/>
    <w:p>
      <w:pPr>
        <w:pStyle w:val="Heading3"/>
      </w:pPr>
      <w:r>
        <w:t xml:space="preserve">Key points in brief</w:t>
      </w:r>
    </w:p>
    <w:p>
      <w:pPr>
        <w:numPr>
          <w:ilvl w:val="0"/>
          <w:numId w:val="1346"/>
        </w:numPr>
        <w:pStyle w:val="Compact"/>
      </w:pPr>
      <w:r>
        <w:t xml:space="preserve">Official, forensic, and anti-doping laboratories regularly find wrong active ingredients, wrong amounts, low purity, and designer variants in gray-market peptides.</w:t>
      </w:r>
    </w:p>
    <w:p>
      <w:pPr>
        <w:numPr>
          <w:ilvl w:val="0"/>
          <w:numId w:val="1346"/>
        </w:numPr>
        <w:pStyle w:val="Compact"/>
      </w:pPr>
      <w:r>
        <w:t xml:space="preserve">A systematic Belgian analysis additionally found arsenic and lead, in some cases up to ten times the limit for injectables, as well as bacteria in injectable preparations.</w:t>
      </w:r>
    </w:p>
    <w:p>
      <w:pPr>
        <w:numPr>
          <w:ilvl w:val="0"/>
          <w:numId w:val="1346"/>
        </w:numPr>
        <w:pStyle w:val="Compact"/>
      </w:pPr>
      <w:r>
        <w:t xml:space="preserve">New</w:t>
      </w:r>
      <w:r>
        <w:t xml:space="preserve"> </w:t>
      </w:r>
      <w:r>
        <w:t xml:space="preserve">“</w:t>
      </w:r>
      <w:r>
        <w:t xml:space="preserve">research peptides</w:t>
      </w:r>
      <w:r>
        <w:t xml:space="preserve">”</w:t>
      </w:r>
      <w:r>
        <w:t xml:space="preserve"> </w:t>
      </w:r>
      <w:r>
        <w:t xml:space="preserve">appear faster than control laboratories can develop detection methods.</w:t>
      </w:r>
    </w:p>
    <w:p>
      <w:pPr>
        <w:numPr>
          <w:ilvl w:val="0"/>
          <w:numId w:val="1346"/>
        </w:numPr>
        <w:pStyle w:val="Compact"/>
      </w:pPr>
      <w:r>
        <w:t xml:space="preserve">Analyses are snapshots; a good result does not apply to the next batch.</w:t>
      </w:r>
    </w:p>
    <w:p>
      <w:pPr>
        <w:numPr>
          <w:ilvl w:val="0"/>
          <w:numId w:val="1346"/>
        </w:numPr>
        <w:pStyle w:val="Compact"/>
      </w:pPr>
      <w:r>
        <w:t xml:space="preserve">In the US, the number of calls to poison control centers concerning GLP-1 drugs has risen sharply. Most cases are medication errors with mild consequences; a minority are serious. With compounded preparations, almost all cases were due to measuring errors.</w:t>
      </w:r>
    </w:p>
    <w:bookmarkEnd w:id="2778"/>
    <w:bookmarkEnd w:id="2779"/>
    <w:bookmarkStart w:id="2824" w:name="interactions-and-special-risk-groups"/>
    <w:p>
      <w:pPr>
        <w:pStyle w:val="Heading2"/>
      </w:pPr>
      <w:r>
        <w:t xml:space="preserve">Interactions and Special Risk Groups</w:t>
      </w:r>
    </w:p>
    <w:p>
      <w:pPr>
        <w:pStyle w:val="FirstParagraph"/>
      </w:pPr>
      <w:r>
        <w:t xml:space="preserve">The studies on which the approval of a drug is based almost always exclude certain people: pregnant women, children, very old people or people with multiple conditions, people with eating disorders or severe mental illness. What applies to the study participants can therefore be transferred to these groups only to a limited extent. Added to this are interactions with other drugs and situations such as anesthesia, in which an otherwise harmless effect can suddenly become dangerous.</w:t>
      </w:r>
    </w:p>
    <w:p>
      <w:pPr>
        <w:pStyle w:val="BodyText"/>
      </w:pPr>
      <w:r>
        <w:t xml:space="preserve">This chapter brings these questions together. It does not replace medical advice or the prescribing information. For approved drugs, the prescribing information is binding regarding contraindications and interactions; for unapproved peptides, there are as a rule no data at all on these groups.</w:t>
      </w:r>
    </w:p>
    <w:bookmarkStart w:id="2785" w:name="pregnancy-and-breastfeeding"/>
    <w:p>
      <w:pPr>
        <w:pStyle w:val="Heading3"/>
      </w:pPr>
      <w:r>
        <w:t xml:space="preserve">Pregnancy and breastfeeding</w:t>
      </w:r>
    </w:p>
    <w:p>
      <w:pPr>
        <w:pStyle w:val="FirstParagraph"/>
      </w:pPr>
      <w:r>
        <w:t xml:space="preserve">For almost all peptides in this book: in pregnancy, they have not been studied or are not indicated. The prescribing information for the GLP-1 drugs states that they should not be used during pregnancy and should be stopped in good time before a planned pregnancy (chapters Semaglutide, Tirzepatide). For maridebart cafraglutide this is particularly important, because in an early study its effect persisted for up to 150 days after the last dose (chapter Maridebart Cafraglutide).</w:t>
      </w:r>
    </w:p>
    <w:p>
      <w:pPr>
        <w:pStyle w:val="BodyText"/>
      </w:pPr>
      <w:r>
        <w:t xml:space="preserve">Because GLP-1 drugs are used by many women of childbearing age and weight loss can improve fertility, unplanned pregnancies nevertheless occur during treatment. For this situation, data are now available that are predominantly reassuring:</w:t>
      </w:r>
    </w:p>
    <w:p>
      <w:pPr>
        <w:numPr>
          <w:ilvl w:val="0"/>
          <w:numId w:val="1347"/>
        </w:numPr>
        <w:pStyle w:val="Compact"/>
      </w:pPr>
      <w:r>
        <w:t xml:space="preserve">In a large study from four Nordic countries, the US, and Israel, the rate of major malformations in children of women with type 2 diabetes who had received GLP-1 receptor agonists around conception was not higher than with insulin (adjusted relative risk 0.95)</w:t>
      </w:r>
      <w:r>
        <w:rPr>
          <w:rStyle w:val="FootnoteReference"/>
        </w:rPr>
        <w:footnoteReference w:id="2780"/>
      </w:r>
      <w:r>
        <w:t xml:space="preserve">.</w:t>
      </w:r>
    </w:p>
    <w:p>
      <w:pPr>
        <w:numPr>
          <w:ilvl w:val="0"/>
          <w:numId w:val="1347"/>
        </w:numPr>
        <w:pStyle w:val="Compact"/>
      </w:pPr>
      <w:r>
        <w:t xml:space="preserve">An analysis from six teratology information services found major malformations in 2.6% of 168 pregnancies with GLP-1 exposure in the first trimester, compared with 2.3% and 3.9% in the comparison groups</w:t>
      </w:r>
      <w:r>
        <w:rPr>
          <w:rStyle w:val="FootnoteReference"/>
        </w:rPr>
        <w:footnoteReference w:id="2781"/>
      </w:r>
      <w:r>
        <w:t xml:space="preserve">.</w:t>
      </w:r>
    </w:p>
    <w:p>
      <w:pPr>
        <w:numPr>
          <w:ilvl w:val="0"/>
          <w:numId w:val="1347"/>
        </w:numPr>
        <w:pStyle w:val="Compact"/>
      </w:pPr>
      <w:r>
        <w:t xml:space="preserve">A US study with 3,572 pregnancies compared women who continued to fill prescriptions for the drug into the first trimester with women who stopped it. No clearly increased risk of miscarriage or stillbirth, growth disorders, or malformations was found; however, the estimates for malformations were so imprecise that a meaningful difference cannot be ruled out either</w:t>
      </w:r>
      <w:r>
        <w:rPr>
          <w:rStyle w:val="FootnoteReference"/>
        </w:rPr>
        <w:footnoteReference w:id="2782"/>
      </w:r>
      <w:r>
        <w:t xml:space="preserve">.</w:t>
      </w:r>
    </w:p>
    <w:p>
      <w:pPr>
        <w:numPr>
          <w:ilvl w:val="0"/>
          <w:numId w:val="1347"/>
        </w:numPr>
        <w:pStyle w:val="Compact"/>
      </w:pPr>
      <w:r>
        <w:t xml:space="preserve">A meta-analysis of seven cohort studies with over 40,000 exposed pregnancies found no statistically significant increase in major malformations; a signal for urinary tract malformations was based only on unadjusted data. The authors rate the certainty of the evidence as low</w:t>
      </w:r>
      <w:r>
        <w:rPr>
          <w:rStyle w:val="FootnoteReference"/>
        </w:rPr>
        <w:footnoteReference w:id="2783"/>
      </w:r>
      <w:r>
        <w:t xml:space="preserve">.</w:t>
      </w:r>
    </w:p>
    <w:p>
      <w:pPr>
        <w:pStyle w:val="FirstParagraph"/>
      </w:pPr>
      <w:r>
        <w:t xml:space="preserve">These data help in assessing an</w:t>
      </w:r>
      <w:r>
        <w:t xml:space="preserve"> </w:t>
      </w:r>
      <w:r>
        <w:rPr>
          <w:iCs/>
          <w:i/>
        </w:rPr>
        <w:t xml:space="preserve">accidental</w:t>
      </w:r>
      <w:r>
        <w:t xml:space="preserve"> </w:t>
      </w:r>
      <w:r>
        <w:t xml:space="preserve">exposure. They are not evidence that planned use during pregnancy would be safe. For breastfeeding, the data are even thinner; a small study with ten women on the transfer of bremelanotide into breast milk has been completed</w:t>
      </w:r>
      <w:r>
        <w:rPr>
          <w:rStyle w:val="FootnoteReference"/>
        </w:rPr>
        <w:footnoteReference w:id="2784"/>
      </w:r>
      <w:r>
        <w:t xml:space="preserve">.</w:t>
      </w:r>
    </w:p>
    <w:p>
      <w:pPr>
        <w:pStyle w:val="BodyText"/>
      </w:pPr>
      <w:r>
        <w:t xml:space="preserve">Some peptides are dangerous in pregnancy because of their mechanism of action. Oxytocin induces labor; use as a nasal spray outside medical supervision is risky during pregnancy (chapter Oxytocin). For gray-market peptides such as BPC-157, TB-500, Epitalon, or the growth hormone secretagogues, there are no data whatsoever on pregnancy and breastfeeding.</w:t>
      </w:r>
    </w:p>
    <w:bookmarkEnd w:id="2785"/>
    <w:bookmarkStart w:id="2790" w:name="oral-contraception-and-gastric-emptying"/>
    <w:p>
      <w:pPr>
        <w:pStyle w:val="Heading3"/>
      </w:pPr>
      <w:r>
        <w:t xml:space="preserve">Oral contraception and gastric emptying</w:t>
      </w:r>
    </w:p>
    <w:p>
      <w:pPr>
        <w:pStyle w:val="FirstParagraph"/>
      </w:pPr>
      <w:r>
        <w:t xml:space="preserve">GLP-1 drugs, amylin analogs such as pramlintide, and also bremelanotide slow the emptying of the stomach. As a result, tablets taken at the same time can enter the bloodstream later or in different amounts. This mainly affects drugs for which a rapid onset of action or a steady blood level is important.</w:t>
      </w:r>
    </w:p>
    <w:p>
      <w:pPr>
        <w:pStyle w:val="BodyText"/>
      </w:pPr>
      <w:r>
        <w:t xml:space="preserve">The contraceptive pill has been studied particularly closely. For semaglutide, a study with 43 women found no reduced absorption of the two hormones of a common combined pill; the level of the progestin was even 20% higher with semaglutide</w:t>
      </w:r>
      <w:r>
        <w:rPr>
          <w:rStyle w:val="FootnoteReference"/>
        </w:rPr>
        <w:footnoteReference w:id="2786"/>
      </w:r>
      <w:r>
        <w:t xml:space="preserve">. Tirzepatide is different: a review of six studies found a significant reduction in the amount of hormone absorbed only with tirzepatide, not with the other GLP-1 receptor agonists. As an explanation, the authors cite the stronger delay in gastric emptying after the first dose and after dose increases</w:t>
      </w:r>
      <w:r>
        <w:rPr>
          <w:rStyle w:val="FootnoteReference"/>
        </w:rPr>
        <w:footnoteReference w:id="2787"/>
      </w:r>
      <w:r>
        <w:t xml:space="preserve">. The prescribing information for tirzepatide therefore contains a separate note on contraception with tablets; the details are given there and should be discussed with your physician.</w:t>
      </w:r>
    </w:p>
    <w:p>
      <w:pPr>
        <w:pStyle w:val="BodyText"/>
      </w:pPr>
      <w:r>
        <w:t xml:space="preserve">Regardless of the agent: severe vomiting or diarrhea – common with GLP-1 drugs – can impair the absorption of any tablet, including the pill.</w:t>
      </w:r>
    </w:p>
    <w:p>
      <w:pPr>
        <w:pStyle w:val="BodyText"/>
      </w:pPr>
      <w:r>
        <w:t xml:space="preserve">Other known interactions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Interaction</w:t>
            </w:r>
          </w:p>
        </w:tc>
        <w:tc>
          <w:tcPr/>
          <w:p>
            <w:pPr>
              <w:pStyle w:val="Compact"/>
              <w:jc w:val="left"/>
            </w:pPr>
            <w:r>
              <w:t xml:space="preserve">Significance</w:t>
            </w:r>
          </w:p>
        </w:tc>
        <w:tc>
          <w:tcPr/>
          <w:p>
            <w:pPr>
              <w:pStyle w:val="Compact"/>
              <w:jc w:val="left"/>
            </w:pPr>
            <w:r>
              <w:t xml:space="preserve">Chapter</w:t>
            </w:r>
          </w:p>
        </w:tc>
      </w:tr>
      <w:tr>
        <w:tc>
          <w:tcPr/>
          <w:p>
            <w:pPr>
              <w:pStyle w:val="Compact"/>
              <w:jc w:val="left"/>
            </w:pPr>
            <w:r>
              <w:t xml:space="preserve">GLP-1 drugs, pramlintide</w:t>
            </w:r>
          </w:p>
        </w:tc>
        <w:tc>
          <w:tcPr/>
          <w:p>
            <w:pPr>
              <w:pStyle w:val="Compact"/>
              <w:jc w:val="left"/>
            </w:pPr>
            <w:r>
              <w:t xml:space="preserve">delayed absorption of tablets</w:t>
            </w:r>
          </w:p>
        </w:tc>
        <w:tc>
          <w:tcPr/>
          <w:p>
            <w:pPr>
              <w:pStyle w:val="Compact"/>
              <w:jc w:val="left"/>
            </w:pPr>
            <w:r>
              <w:t xml:space="preserve">relevant for drugs with a narrow therapeutic range</w:t>
            </w:r>
          </w:p>
        </w:tc>
        <w:tc>
          <w:tcPr/>
          <w:p>
            <w:pPr>
              <w:pStyle w:val="Compact"/>
              <w:jc w:val="left"/>
            </w:pPr>
            <w:r>
              <w:t xml:space="preserve">Semaglutide, Pramlintide</w:t>
            </w:r>
          </w:p>
        </w:tc>
      </w:tr>
      <w:tr>
        <w:tc>
          <w:tcPr/>
          <w:p>
            <w:pPr>
              <w:pStyle w:val="Compact"/>
              <w:jc w:val="left"/>
            </w:pPr>
            <w:r>
              <w:t xml:space="preserve">Tirzepatide</w:t>
            </w:r>
          </w:p>
        </w:tc>
        <w:tc>
          <w:tcPr/>
          <w:p>
            <w:pPr>
              <w:pStyle w:val="Compact"/>
              <w:jc w:val="left"/>
            </w:pPr>
            <w:r>
              <w:t xml:space="preserve">less hormone absorbed from the pill</w:t>
            </w:r>
          </w:p>
        </w:tc>
        <w:tc>
          <w:tcPr/>
          <w:p>
            <w:pPr>
              <w:pStyle w:val="Compact"/>
              <w:jc w:val="left"/>
            </w:pPr>
            <w:r>
              <w:t xml:space="preserve">note in the prescribing information</w:t>
            </w:r>
          </w:p>
        </w:tc>
        <w:tc>
          <w:tcPr/>
          <w:p>
            <w:pPr>
              <w:pStyle w:val="Compact"/>
              <w:jc w:val="left"/>
            </w:pPr>
            <w:r>
              <w:t xml:space="preserve">Tirzepatide</w:t>
            </w:r>
          </w:p>
        </w:tc>
      </w:tr>
      <w:tr>
        <w:tc>
          <w:tcPr/>
          <w:p>
            <w:pPr>
              <w:pStyle w:val="Compact"/>
              <w:jc w:val="left"/>
            </w:pPr>
            <w:r>
              <w:t xml:space="preserve">Bremelanotide</w:t>
            </w:r>
          </w:p>
        </w:tc>
        <w:tc>
          <w:tcPr/>
          <w:p>
            <w:pPr>
              <w:pStyle w:val="Compact"/>
              <w:jc w:val="left"/>
            </w:pPr>
            <w:r>
              <w:t xml:space="preserve">lower levels of indomethacin and naltrexone</w:t>
            </w:r>
          </w:p>
        </w:tc>
        <w:tc>
          <w:tcPr/>
          <w:p>
            <w:pPr>
              <w:pStyle w:val="Compact"/>
              <w:jc w:val="left"/>
            </w:pPr>
            <w:r>
              <w:t xml:space="preserve">effect of these drugs may decrease</w:t>
            </w:r>
          </w:p>
        </w:tc>
        <w:tc>
          <w:tcPr/>
          <w:p>
            <w:pPr>
              <w:pStyle w:val="Compact"/>
              <w:jc w:val="left"/>
            </w:pPr>
            <w:r>
              <w:t xml:space="preserve">Bremelanotide</w:t>
            </w:r>
          </w:p>
        </w:tc>
      </w:tr>
      <w:tr>
        <w:tc>
          <w:tcPr/>
          <w:p>
            <w:pPr>
              <w:pStyle w:val="Compact"/>
              <w:jc w:val="left"/>
            </w:pPr>
            <w:r>
              <w:t xml:space="preserve">Macimorelin</w:t>
            </w:r>
          </w:p>
        </w:tc>
        <w:tc>
          <w:tcPr/>
          <w:p>
            <w:pPr>
              <w:pStyle w:val="Compact"/>
              <w:jc w:val="left"/>
            </w:pPr>
            <w:r>
              <w:t xml:space="preserve">prolongs the QT interval</w:t>
            </w:r>
          </w:p>
        </w:tc>
        <w:tc>
          <w:tcPr/>
          <w:p>
            <w:pPr>
              <w:pStyle w:val="Compact"/>
              <w:jc w:val="left"/>
            </w:pPr>
            <w:r>
              <w:t xml:space="preserve">caution with other QT-prolonging drugs</w:t>
            </w:r>
          </w:p>
        </w:tc>
        <w:tc>
          <w:tcPr/>
          <w:p>
            <w:pPr>
              <w:pStyle w:val="Compact"/>
              <w:jc w:val="left"/>
            </w:pPr>
            <w:r>
              <w:t xml:space="preserve">Macimorelin</w:t>
            </w:r>
          </w:p>
        </w:tc>
      </w:tr>
      <w:tr>
        <w:tc>
          <w:tcPr/>
          <w:p>
            <w:pPr>
              <w:pStyle w:val="Compact"/>
              <w:jc w:val="left"/>
            </w:pPr>
            <w:r>
              <w:t xml:space="preserve">Orforglipron</w:t>
            </w:r>
          </w:p>
        </w:tc>
        <w:tc>
          <w:tcPr/>
          <w:p>
            <w:pPr>
              <w:pStyle w:val="Compact"/>
              <w:jc w:val="left"/>
            </w:pPr>
            <w:r>
              <w:t xml:space="preserve">metabolized by liver enzymes</w:t>
            </w:r>
          </w:p>
        </w:tc>
        <w:tc>
          <w:tcPr/>
          <w:p>
            <w:pPr>
              <w:pStyle w:val="Compact"/>
              <w:jc w:val="left"/>
            </w:pPr>
            <w:r>
              <w:t xml:space="preserve">interactions with other drugs possible</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sedatives and sleeping pills, alcohol</w:t>
            </w:r>
          </w:p>
        </w:tc>
        <w:tc>
          <w:tcPr/>
          <w:p>
            <w:pPr>
              <w:pStyle w:val="Compact"/>
              <w:jc w:val="left"/>
            </w:pPr>
            <w:r>
              <w:t xml:space="preserve">not studied</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blood clotting (animal data only)</w:t>
            </w:r>
          </w:p>
        </w:tc>
        <w:tc>
          <w:tcPr/>
          <w:p>
            <w:pPr>
              <w:pStyle w:val="Compact"/>
              <w:jc w:val="left"/>
            </w:pPr>
            <w:r>
              <w:t xml:space="preserve">unknown with anticoagulants</w:t>
            </w:r>
          </w:p>
        </w:tc>
        <w:tc>
          <w:tcPr/>
          <w:p>
            <w:pPr>
              <w:pStyle w:val="Compact"/>
              <w:jc w:val="left"/>
            </w:pPr>
            <w:r>
              <w:t xml:space="preserve">BPC-157</w:t>
            </w:r>
          </w:p>
        </w:tc>
      </w:tr>
    </w:tbl>
    <w:p>
      <w:pPr>
        <w:pStyle w:val="BodyText"/>
      </w:pPr>
      <w:r>
        <w:t xml:space="preserve">The interaction of bremelanotide with indomethacin and naltrexone is described in the approval data</w:t>
      </w:r>
      <w:r>
        <w:rPr>
          <w:rStyle w:val="FootnoteReference"/>
        </w:rPr>
        <w:footnoteReference w:id="2788"/>
      </w:r>
      <w:r>
        <w:t xml:space="preserve">. The QT prolongation caused by macimorelin was measured in a thorough ECG study</w:t>
      </w:r>
      <w:r>
        <w:rPr>
          <w:rStyle w:val="FootnoteReference"/>
        </w:rPr>
        <w:footnoteReference w:id="2789"/>
      </w:r>
      <w:r>
        <w:t xml:space="preserve">.</w:t>
      </w:r>
    </w:p>
    <w:bookmarkEnd w:id="2790"/>
    <w:bookmarkStart w:id="2795" w:name="anesthesia-endoscopy-and-aspiration"/>
    <w:p>
      <w:pPr>
        <w:pStyle w:val="Heading3"/>
      </w:pPr>
      <w:r>
        <w:t xml:space="preserve">Anesthesia, endoscopy, and aspiration</w:t>
      </w:r>
    </w:p>
    <w:p>
      <w:pPr>
        <w:pStyle w:val="FirstParagraph"/>
      </w:pPr>
      <w:r>
        <w:t xml:space="preserve">Before anesthesia, the stomach should be empty. The reason: if stomach contents enter the airways during anesthesia (aspiration), severe pneumonia can follow. Because GLP-1 drugs slow gastric emptying, the stomach may still contain food residue despite the prescribed fasting period.</w:t>
      </w:r>
    </w:p>
    <w:p>
      <w:pPr>
        <w:pStyle w:val="BodyText"/>
      </w:pPr>
      <w:r>
        <w:t xml:space="preserve">The studies on this paint a two-sided picture:</w:t>
      </w:r>
    </w:p>
    <w:p>
      <w:pPr>
        <w:numPr>
          <w:ilvl w:val="0"/>
          <w:numId w:val="1348"/>
        </w:numPr>
        <w:pStyle w:val="Compact"/>
      </w:pPr>
      <w:r>
        <w:rPr>
          <w:bCs/>
          <w:b/>
        </w:rPr>
        <w:t xml:space="preserve">More residual stomach content is well established.</w:t>
      </w:r>
      <w:r>
        <w:t xml:space="preserve"> </w:t>
      </w:r>
      <w:r>
        <w:t xml:space="preserve">A meta-analysis of 23 observational studies with 262,018 people undergoing upper endoscopy found an approximately four-and-a-half-fold increased risk of food residue in the stomach with GLP-1 receptor agonists (odds ratio 4.54) and likewise more frequently aborted examinations. Aspiration pneumonia did not occur more frequently (odds ratio 0.96)</w:t>
      </w:r>
      <w:r>
        <w:rPr>
          <w:rStyle w:val="FootnoteReference"/>
        </w:rPr>
        <w:footnoteReference w:id="2791"/>
      </w:r>
      <w:r>
        <w:t xml:space="preserve">.</w:t>
      </w:r>
    </w:p>
    <w:p>
      <w:pPr>
        <w:numPr>
          <w:ilvl w:val="0"/>
          <w:numId w:val="1348"/>
        </w:numPr>
        <w:pStyle w:val="Compact"/>
      </w:pPr>
      <w:r>
        <w:t xml:space="preserve">In a study using gastric ultrasound before planned surgery, 49% of people on semaglutide had a</w:t>
      </w:r>
      <w:r>
        <w:t xml:space="preserve"> </w:t>
      </w:r>
      <w:r>
        <w:t xml:space="preserve">“</w:t>
      </w:r>
      <w:r>
        <w:t xml:space="preserve">full stomach,</w:t>
      </w:r>
      <w:r>
        <w:t xml:space="preserve">”</w:t>
      </w:r>
      <w:r>
        <w:t xml:space="preserve"> </w:t>
      </w:r>
      <w:r>
        <w:t xml:space="preserve">but only 18% of comparable control persons; solid food residue was found in 42% versus 7%. This was the case even though a dose had been skipped before the operation</w:t>
      </w:r>
      <w:r>
        <w:rPr>
          <w:rStyle w:val="FootnoteReference"/>
        </w:rPr>
        <w:footnoteReference w:id="2792"/>
      </w:r>
      <w:r>
        <w:t xml:space="preserve">.</w:t>
      </w:r>
    </w:p>
    <w:p>
      <w:pPr>
        <w:numPr>
          <w:ilvl w:val="0"/>
          <w:numId w:val="1348"/>
        </w:numPr>
        <w:pStyle w:val="Compact"/>
      </w:pPr>
      <w:r>
        <w:rPr>
          <w:bCs/>
          <w:b/>
        </w:rPr>
        <w:t xml:space="preserve">Actual aspirations are rare.</w:t>
      </w:r>
      <w:r>
        <w:t xml:space="preserve"> </w:t>
      </w:r>
      <w:r>
        <w:t xml:space="preserve">In a large US database study with 296,389 matched pairs of people with type 2 diabetes, respiratory complications after surgery were even less frequent with GLP-1 receptor agonists (0.09% versus 0.34%), and aspirations occurred in 0.01% versus 0.03%. The authors emphasize that it is unclear whether precautions had already been taken in these cases</w:t>
      </w:r>
      <w:r>
        <w:rPr>
          <w:rStyle w:val="FootnoteReference"/>
        </w:rPr>
        <w:footnoteReference w:id="2793"/>
      </w:r>
      <w:r>
        <w:t xml:space="preserve">.</w:t>
      </w:r>
    </w:p>
    <w:p>
      <w:pPr>
        <w:pStyle w:val="FirstParagraph"/>
      </w:pPr>
      <w:r>
        <w:t xml:space="preserve">Aspiration rates may be low precisely because anesthesia teams are aware of the risk and adjust their approach. Whether pausing the drug before an endoscopy reduces the problem is to be clarified by a large study in China</w:t>
      </w:r>
      <w:r>
        <w:rPr>
          <w:rStyle w:val="FootnoteReference"/>
        </w:rPr>
        <w:footnoteReference w:id="2794"/>
      </w:r>
      <w:r>
        <w:t xml:space="preserve">. For those being treated, this means above all: before any surgery, anesthesia, or endoscopy, state that you are using a GLP-1 drug – even if it comes from a compounding pharmacy or the gray market. How to handle the drug before the procedure is decided by the treatment team according to the applicable recommendations. Anyone who does not regard a gray-market product as a drug and therefore does not mention it deprives the anesthesia team of this opportunity.</w:t>
      </w:r>
    </w:p>
    <w:bookmarkEnd w:id="2795"/>
    <w:bookmarkStart w:id="2798" w:name="X8b3c90231338940df715d35adc5955eb5c5539c"/>
    <w:p>
      <w:pPr>
        <w:pStyle w:val="Heading3"/>
      </w:pPr>
      <w:r>
        <w:t xml:space="preserve">Combination with diabetes drugs and hypoglycemia</w:t>
      </w:r>
    </w:p>
    <w:p>
      <w:pPr>
        <w:pStyle w:val="FirstParagraph"/>
      </w:pPr>
      <w:r>
        <w:t xml:space="preserve">As described in the chapter</w:t>
      </w:r>
      <w:r>
        <w:t xml:space="preserve"> </w:t>
      </w:r>
      <w:r>
        <w:t xml:space="preserve">“</w:t>
      </w:r>
      <w:r>
        <w:t xml:space="preserve">Side Effects by Organ System,</w:t>
      </w:r>
      <w:r>
        <w:t xml:space="preserve">”</w:t>
      </w:r>
      <w:r>
        <w:t xml:space="preserve"> </w:t>
      </w:r>
      <w:r>
        <w:t xml:space="preserve">GLP-1 drugs alone hardly cause dangerous hypoglycemia. This changes in combination with insulin or sulfonylureas, which lower blood sugar independently of the current level. In a study of exenatide added to metformin and a sulfonylurea, mild to moderate hypoglycemia occurred in up to 28%, compared with 13% on placebo; with a low-dose sulfonylurea it was less frequent</w:t>
      </w:r>
      <w:r>
        <w:rPr>
          <w:rStyle w:val="FootnoteReference"/>
        </w:rPr>
        <w:footnoteReference w:id="2796"/>
      </w:r>
      <w:r>
        <w:t xml:space="preserve">. With pramlintide, which is used together with insulin, severe hypoglycemia occurred more frequently than with placebo</w:t>
      </w:r>
      <w:r>
        <w:rPr>
          <w:rStyle w:val="FootnoteReference"/>
        </w:rPr>
        <w:footnoteReference w:id="2797"/>
      </w:r>
      <w:r>
        <w:t xml:space="preserve">. The prescribing information therefore provides for reviewing the dose of the other diabetes drugs at the start; implementation belongs in a physician’s hands.</w:t>
      </w:r>
    </w:p>
    <w:p>
      <w:pPr>
        <w:pStyle w:val="BodyText"/>
      </w:pPr>
      <w:r>
        <w:t xml:space="preserve">For several unapproved peptides, additional lowering of blood sugar is theoretically conceivable, for example for MOTS-c or IGF-1 LR3 (chapters MOTS-c, IGF-1 LR3). This has not been studied. Conversely, the peptides of the growth hormone axis can raise blood sugar and upset an existing diabetes treatment (chapters Ibutamoren, Tesamorelin).</w:t>
      </w:r>
    </w:p>
    <w:bookmarkEnd w:id="2798"/>
    <w:bookmarkStart w:id="2803" w:name="children-and-adolescents-3"/>
    <w:p>
      <w:pPr>
        <w:pStyle w:val="Heading3"/>
      </w:pPr>
      <w:r>
        <w:t xml:space="preserve">Children and adolescents</w:t>
      </w:r>
    </w:p>
    <w:p>
      <w:pPr>
        <w:pStyle w:val="FirstParagraph"/>
      </w:pPr>
      <w:r>
        <w:t xml:space="preserve">Semaglutide and liraglutide are also approved in the EU and the US for adolescents aged twelve and over with obesity. The approval trials show a side effect profile similar to that in adults: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w:t>
            </w:r>
          </w:p>
        </w:tc>
        <w:tc>
          <w:tcPr/>
          <w:p>
            <w:pPr>
              <w:pStyle w:val="Compact"/>
              <w:jc w:val="left"/>
            </w:pPr>
            <w:r>
              <w:t xml:space="preserve">Gastrointestinal complaints</w:t>
            </w:r>
          </w:p>
        </w:tc>
        <w:tc>
          <w:tcPr/>
          <w:p>
            <w:pPr>
              <w:pStyle w:val="Compact"/>
              <w:jc w:val="left"/>
            </w:pPr>
            <w:r>
              <w:t xml:space="preserve">Other findings</w:t>
            </w:r>
          </w:p>
        </w:tc>
      </w:tr>
      <w:tr>
        <w:tc>
          <w:tcPr/>
          <w:p>
            <w:pPr>
              <w:pStyle w:val="Compact"/>
              <w:jc w:val="left"/>
            </w:pPr>
            <w:r>
              <w:t xml:space="preserve">STEP TEENS (Weghuber 2022), PMID 36322838</w:t>
            </w:r>
          </w:p>
        </w:tc>
        <w:tc>
          <w:tcPr/>
          <w:p>
            <w:pPr>
              <w:pStyle w:val="Compact"/>
              <w:jc w:val="left"/>
            </w:pPr>
            <w:r>
              <w:t xml:space="preserve">201 adolescents, semaglutide, 68 weeks</w:t>
            </w:r>
          </w:p>
        </w:tc>
        <w:tc>
          <w:tcPr/>
          <w:p>
            <w:pPr>
              <w:pStyle w:val="Compact"/>
              <w:jc w:val="left"/>
            </w:pPr>
            <w:r>
              <w:t xml:space="preserve">62% vs. 42%</w:t>
            </w:r>
          </w:p>
        </w:tc>
        <w:tc>
          <w:tcPr/>
          <w:p>
            <w:pPr>
              <w:pStyle w:val="Compact"/>
              <w:jc w:val="left"/>
            </w:pPr>
            <w:r>
              <w:t xml:space="preserve">gallstones in 4%; serious events 11% vs. 9%</w:t>
            </w:r>
          </w:p>
        </w:tc>
      </w:tr>
      <w:tr>
        <w:tc>
          <w:tcPr/>
          <w:p>
            <w:pPr>
              <w:pStyle w:val="Compact"/>
              <w:jc w:val="left"/>
            </w:pPr>
            <w:r>
              <w:t xml:space="preserve">SCALE Teens (Kelly 2020), PMID 32233338</w:t>
            </w:r>
          </w:p>
        </w:tc>
        <w:tc>
          <w:tcPr/>
          <w:p>
            <w:pPr>
              <w:pStyle w:val="Compact"/>
              <w:jc w:val="left"/>
            </w:pPr>
            <w:r>
              <w:t xml:space="preserve">251 adolescents, liraglutide, 56 weeks</w:t>
            </w:r>
          </w:p>
        </w:tc>
        <w:tc>
          <w:tcPr/>
          <w:p>
            <w:pPr>
              <w:pStyle w:val="Compact"/>
              <w:jc w:val="left"/>
            </w:pPr>
            <w:r>
              <w:t xml:space="preserve">64.8% vs. 36.5%</w:t>
            </w:r>
          </w:p>
        </w:tc>
        <w:tc>
          <w:tcPr/>
          <w:p>
            <w:pPr>
              <w:pStyle w:val="Compact"/>
              <w:jc w:val="left"/>
            </w:pPr>
            <w:r>
              <w:t xml:space="preserve">discontinuation due to side effects 10.4% vs. 0%</w:t>
            </w:r>
          </w:p>
        </w:tc>
      </w:tr>
    </w:tbl>
    <w:p>
      <w:pPr>
        <w:pStyle w:val="BodyText"/>
      </w:pPr>
      <w:r>
        <w:t xml:space="preserve">In the liraglutide study, BMI rose again more after stopping than with placebo, and there was one suicide in the liraglutide group, which the investigators classified as probably not treatment-related</w:t>
      </w:r>
      <w:r>
        <w:rPr>
          <w:rStyle w:val="FootnoteReference"/>
        </w:rPr>
        <w:footnoteReference w:id="2799"/>
      </w:r>
      <w:r>
        <w:t xml:space="preserve">. A meta-analysis of nine randomized and two observational studies in adolescents found no overall increase in suicidal behavior or depression</w:t>
      </w:r>
      <w:r>
        <w:rPr>
          <w:rStyle w:val="FootnoteReference"/>
        </w:rPr>
        <w:footnoteReference w:id="2800"/>
      </w:r>
      <w:r>
        <w:t xml:space="preserve">.</w:t>
      </w:r>
    </w:p>
    <w:p>
      <w:pPr>
        <w:pStyle w:val="BodyText"/>
      </w:pPr>
      <w:r>
        <w:t xml:space="preserve">The data from US poison control centers paint a different picture. Among children and adolescents between 6 and 17 years of age, reported cases involving GLP-1 drugs rose most sharply between 2017 and 2024. They were hospitalized more often than adults (relative risk 2.66), vomited more often, and their cases were about eight times as often due to intentional misuse</w:t>
      </w:r>
      <w:r>
        <w:rPr>
          <w:rStyle w:val="FootnoteReference"/>
        </w:rPr>
        <w:footnoteReference w:id="2801"/>
      </w:r>
      <w:r>
        <w:t xml:space="preserve">. This suggests that adolescents sometimes use these drugs outside of medical treatment.</w:t>
      </w:r>
    </w:p>
    <w:p>
      <w:pPr>
        <w:pStyle w:val="BodyText"/>
      </w:pPr>
      <w:r>
        <w:t xml:space="preserve">For the peptides from the fitness and bodybuilding scene, it is unclear how widespread they are among adolescents. A review points to advertising on social media and indications of growing use also by younger recreational athletes, but emphasizes that studies on prevalence are lacking</w:t>
      </w:r>
      <w:r>
        <w:rPr>
          <w:rStyle w:val="FootnoteReference"/>
        </w:rPr>
        <w:footnoteReference w:id="2802"/>
      </w:r>
      <w:r>
        <w:t xml:space="preserve">. For adolescents whose growth and hormonal system are not yet complete, intervening in the growth hormone or sex hormone axis with unapproved substances is particularly risky. The approved peptides for children – such as mecasermin for severe IGF-1 deficiency – are used exclusively under specialist supervision (chapter Mecasermin).</w:t>
      </w:r>
    </w:p>
    <w:bookmarkEnd w:id="2803"/>
    <w:bookmarkStart w:id="2806" w:name="older-people"/>
    <w:p>
      <w:pPr>
        <w:pStyle w:val="Heading3"/>
      </w:pPr>
      <w:r>
        <w:t xml:space="preserve">Older people</w:t>
      </w:r>
    </w:p>
    <w:p>
      <w:pPr>
        <w:pStyle w:val="FirstParagraph"/>
      </w:pPr>
      <w:r>
        <w:t xml:space="preserve">With age, the risk increases that side effects will be more severe. For older people, four points are particularly important with peptides:</w:t>
      </w:r>
    </w:p>
    <w:p>
      <w:pPr>
        <w:numPr>
          <w:ilvl w:val="0"/>
          <w:numId w:val="1349"/>
        </w:numPr>
        <w:pStyle w:val="Compact"/>
      </w:pPr>
      <w:r>
        <w:rPr>
          <w:bCs/>
          <w:b/>
        </w:rPr>
        <w:t xml:space="preserve">Fluid loss.</w:t>
      </w:r>
      <w:r>
        <w:t xml:space="preserve"> </w:t>
      </w:r>
      <w:r>
        <w:t xml:space="preserve">Vomiting and diarrhea with GLP-1 drugs can lead more quickly to dehydration and kidney problems in older people.</w:t>
      </w:r>
    </w:p>
    <w:p>
      <w:pPr>
        <w:numPr>
          <w:ilvl w:val="0"/>
          <w:numId w:val="1349"/>
        </w:numPr>
        <w:pStyle w:val="Compact"/>
      </w:pPr>
      <w:r>
        <w:rPr>
          <w:bCs/>
          <w:b/>
        </w:rPr>
        <w:t xml:space="preserve">Muscle mass.</w:t>
      </w:r>
      <w:r>
        <w:t xml:space="preserve"> </w:t>
      </w:r>
      <w:r>
        <w:t xml:space="preserve">Someone who already has little muscle copes poorly with further loss (see the following section).</w:t>
      </w:r>
    </w:p>
    <w:p>
      <w:pPr>
        <w:numPr>
          <w:ilvl w:val="0"/>
          <w:numId w:val="1349"/>
        </w:numPr>
        <w:pStyle w:val="Compact"/>
      </w:pPr>
      <w:r>
        <w:rPr>
          <w:bCs/>
          <w:b/>
        </w:rPr>
        <w:t xml:space="preserve">Fluid retention and the heart.</w:t>
      </w:r>
      <w:r>
        <w:t xml:space="preserve"> </w:t>
      </w:r>
      <w:r>
        <w:t xml:space="preserve">Growth hormone led more frequently to tissue swelling, joint pain, and carpal tunnel syndrome in healthy older people</w:t>
      </w:r>
      <w:r>
        <w:rPr>
          <w:rStyle w:val="FootnoteReference"/>
        </w:rPr>
        <w:footnoteReference w:id="2804"/>
      </w:r>
      <w:r>
        <w:t xml:space="preserve">. A study of ibutamoren in older people after hip fracture was stopped because of a signal for heart failure</w:t>
      </w:r>
      <w:r>
        <w:rPr>
          <w:rStyle w:val="FootnoteReference"/>
        </w:rPr>
        <w:footnoteReference w:id="2805"/>
      </w:r>
      <w:r>
        <w:t xml:space="preserve">. So precisely the peptides advertised as</w:t>
      </w:r>
      <w:r>
        <w:t xml:space="preserve"> </w:t>
      </w:r>
      <w:r>
        <w:t xml:space="preserve">“</w:t>
      </w:r>
      <w:r>
        <w:t xml:space="preserve">anti-aging</w:t>
      </w:r>
      <w:r>
        <w:t xml:space="preserve">”</w:t>
      </w:r>
      <w:r>
        <w:t xml:space="preserve"> </w:t>
      </w:r>
      <w:r>
        <w:t xml:space="preserve">agents tend to place a burden on older hearts.</w:t>
      </w:r>
    </w:p>
    <w:p>
      <w:pPr>
        <w:numPr>
          <w:ilvl w:val="0"/>
          <w:numId w:val="1349"/>
        </w:numPr>
        <w:pStyle w:val="Compact"/>
      </w:pPr>
      <w:r>
        <w:rPr>
          <w:bCs/>
          <w:b/>
        </w:rPr>
        <w:t xml:space="preserve">Multiple medications.</w:t>
      </w:r>
      <w:r>
        <w:t xml:space="preserve"> </w:t>
      </w:r>
      <w:r>
        <w:t xml:space="preserve">Older people often take many drugs at the same time. Delayed gastric emptying can alter their absorption, and combinations with blood sugar–lowering drugs increase the risk of hypoglycemia and falls.</w:t>
      </w:r>
    </w:p>
    <w:bookmarkEnd w:id="2806"/>
    <w:bookmarkStart w:id="2811" w:name="muscle-loss-with-substantial-weight-loss"/>
    <w:p>
      <w:pPr>
        <w:pStyle w:val="Heading3"/>
      </w:pPr>
      <w:r>
        <w:t xml:space="preserve">Muscle loss with substantial weight loss</w:t>
      </w:r>
    </w:p>
    <w:p>
      <w:pPr>
        <w:pStyle w:val="FirstParagraph"/>
      </w:pPr>
      <w:r>
        <w:t xml:space="preserve">With any weight loss, fat-free mass, which includes muscles, organs, and water, is lost in addition to fat. With the highly effective GLP-1 drugs, the question is whether this proportion is unusually high and whether it is harmful.</w:t>
      </w:r>
    </w:p>
    <w:p>
      <w:pPr>
        <w:numPr>
          <w:ilvl w:val="0"/>
          <w:numId w:val="1350"/>
        </w:numPr>
        <w:pStyle w:val="Compact"/>
      </w:pPr>
      <w:r>
        <w:t xml:space="preserve">In a substudy of SURMOUNT-1 with 160 participants, the weight lost with tirzepatide consisted of about 75% fat and 25% fat-free mass – in the same proportion as with placebo, only with a considerably larger total loss. These proportions remained similar in most subgroups, including when separated by age</w:t>
      </w:r>
      <w:r>
        <w:rPr>
          <w:rStyle w:val="FootnoteReference"/>
        </w:rPr>
        <w:footnoteReference w:id="2807"/>
      </w:r>
      <w:r>
        <w:t xml:space="preserve">.</w:t>
      </w:r>
    </w:p>
    <w:p>
      <w:pPr>
        <w:numPr>
          <w:ilvl w:val="0"/>
          <w:numId w:val="1350"/>
        </w:numPr>
        <w:pStyle w:val="Compact"/>
      </w:pPr>
      <w:r>
        <w:t xml:space="preserve">A network meta-analysis of 22 studies likewise found that around 25% of weight loss was fat-free mass. Semaglutide and tirzepatide led to the greatest weight loss, but were also among the agents with which the most fat-free mass was lost</w:t>
      </w:r>
      <w:r>
        <w:rPr>
          <w:rStyle w:val="FootnoteReference"/>
        </w:rPr>
        <w:footnoteReference w:id="2808"/>
      </w:r>
      <w:r>
        <w:t xml:space="preserve">.</w:t>
      </w:r>
    </w:p>
    <w:p>
      <w:pPr>
        <w:numPr>
          <w:ilvl w:val="0"/>
          <w:numId w:val="1350"/>
        </w:numPr>
        <w:pStyle w:val="Compact"/>
      </w:pPr>
      <w:r>
        <w:t xml:space="preserve">A systematic review of 35 studies arrived at a somewhat higher proportion: at the median, 28.3% of weight loss was accounted for by muscle-related measures, and in 65% of the studies the proportion was above a benchmark of about 25%. Not a single study had objectively measured physical performance</w:t>
      </w:r>
      <w:r>
        <w:rPr>
          <w:rStyle w:val="FootnoteReference"/>
        </w:rPr>
        <w:footnoteReference w:id="2809"/>
      </w:r>
      <w:r>
        <w:t xml:space="preserve">.</w:t>
      </w:r>
    </w:p>
    <w:p>
      <w:pPr>
        <w:numPr>
          <w:ilvl w:val="0"/>
          <w:numId w:val="1350"/>
        </w:numPr>
        <w:pStyle w:val="Compact"/>
      </w:pPr>
      <w:r>
        <w:t xml:space="preserve">Another meta-analysis emphasizes the other side: because fat decreases more than muscle, the</w:t>
      </w:r>
      <w:r>
        <w:t xml:space="preserve"> </w:t>
      </w:r>
      <w:r>
        <w:rPr>
          <w:iCs/>
          <w:i/>
        </w:rPr>
        <w:t xml:space="preserve">proportion</w:t>
      </w:r>
      <w:r>
        <w:t xml:space="preserve"> </w:t>
      </w:r>
      <w:r>
        <w:t xml:space="preserve">of fat-free mass in body weight rose by 1.81 percentage points. The authors recommend accompanying treatment with nutrition and exercise programs</w:t>
      </w:r>
      <w:r>
        <w:rPr>
          <w:rStyle w:val="FootnoteReference"/>
        </w:rPr>
        <w:footnoteReference w:id="2810"/>
      </w:r>
      <w:r>
        <w:t xml:space="preserve">.</w:t>
      </w:r>
    </w:p>
    <w:p>
      <w:pPr>
        <w:pStyle w:val="FirstParagraph"/>
      </w:pPr>
      <w:r>
        <w:t xml:space="preserve">In summary: muscle loss with GLP-1 drugs does not appear to be substantially greater relative to total weight loss than with other forms of weight reduction – but in absolute kilograms it is considerable because of the large loss. Whether this has consequences for strength, falls, or independence has not been studied. For older people, people with little muscle mass, and people with frailty, this is an open question. Whether cagrilintide combinations affect muscle loss is currently being studied (chapter Cagrilintide).</w:t>
      </w:r>
    </w:p>
    <w:bookmarkEnd w:id="2811"/>
    <w:bookmarkStart w:id="2816" w:name="eating-disorders"/>
    <w:p>
      <w:pPr>
        <w:pStyle w:val="Heading3"/>
      </w:pPr>
      <w:r>
        <w:t xml:space="preserve">Eating disorders</w:t>
      </w:r>
    </w:p>
    <w:p>
      <w:pPr>
        <w:pStyle w:val="FirstParagraph"/>
      </w:pPr>
      <w:r>
        <w:t xml:space="preserve">GLP-1 drugs dampen appetite and the sensation of hunger. For people with anorexia nervosa or bulimia, precisely this effect can be dangerous: it can reinforce restrictive eating behavior and worsen the illness. A case report describes the misuse of semaglutide in atypical anorexia</w:t>
      </w:r>
      <w:r>
        <w:rPr>
          <w:rStyle w:val="FootnoteReference"/>
        </w:rPr>
        <w:footnoteReference w:id="2812"/>
      </w:r>
      <w:r>
        <w:t xml:space="preserve">, and a US cross-sectional study examined how widespread use and misuse of GLP-1 drugs are among people with eating disorders</w:t>
      </w:r>
      <w:r>
        <w:rPr>
          <w:rStyle w:val="FootnoteReference"/>
        </w:rPr>
        <w:footnoteReference w:id="2813"/>
      </w:r>
      <w:r>
        <w:t xml:space="preserve">.</w:t>
      </w:r>
    </w:p>
    <w:p>
      <w:pPr>
        <w:pStyle w:val="BodyText"/>
      </w:pPr>
      <w:r>
        <w:t xml:space="preserve">In 2026, a panel of 45 experts and people with lived experience developed recommendations in a consensus process. According to these, before starting GLP-1 treatment, current and past eating disorders should be asked about using a short, validated questionnaire, symptoms should be monitored during treatment, and in active anorexia, atypical anorexia, or bulimia with severe food restriction, these drugs should as a rule not be used. Caution is also warranted with past eating disorders</w:t>
      </w:r>
      <w:r>
        <w:rPr>
          <w:rStyle w:val="FootnoteReference"/>
        </w:rPr>
        <w:footnoteReference w:id="2814"/>
      </w:r>
      <w:r>
        <w:t xml:space="preserve">.</w:t>
      </w:r>
    </w:p>
    <w:p>
      <w:pPr>
        <w:pStyle w:val="BodyText"/>
      </w:pPr>
      <w:r>
        <w:t xml:space="preserve">For binge-eating disorder, in which eating binges occur without compensatory behaviors, there are, by contrast, first indications that GLP-1 drugs could reduce binge episodes</w:t>
      </w:r>
      <w:r>
        <w:rPr>
          <w:rStyle w:val="FootnoteReference"/>
        </w:rPr>
        <w:footnoteReference w:id="2815"/>
      </w:r>
      <w:r>
        <w:t xml:space="preserve">. This shows how important an accurate diagnosis is. Via the gray market and via online providers with little medical supervision, precisely this inquiry is lost.</w:t>
      </w:r>
    </w:p>
    <w:bookmarkEnd w:id="2816"/>
    <w:bookmarkStart w:id="2822" w:name="competitive-sports-and-doping-controls"/>
    <w:p>
      <w:pPr>
        <w:pStyle w:val="Heading3"/>
      </w:pPr>
      <w:r>
        <w:t xml:space="preserve">Competitive sports and doping controls</w:t>
      </w:r>
    </w:p>
    <w:p>
      <w:pPr>
        <w:pStyle w:val="FirstParagraph"/>
      </w:pPr>
      <w:r>
        <w:t xml:space="preserve">For athletes who are subject to doping controls, the situation with peptides is particularly delicate. According to the Prohibited List of the World Anti-Doping Agency (WADA), roughly the following applies:</w:t>
      </w:r>
    </w:p>
    <w:p>
      <w:pPr>
        <w:numPr>
          <w:ilvl w:val="0"/>
          <w:numId w:val="1351"/>
        </w:numPr>
        <w:pStyle w:val="Compact"/>
      </w:pPr>
      <w:r>
        <w:rPr>
          <w:bCs/>
          <w:b/>
        </w:rPr>
        <w:t xml:space="preserve">Prohibited (S2, peptide hormones and growth factors):</w:t>
      </w:r>
      <w:r>
        <w:t xml:space="preserve"> </w:t>
      </w:r>
      <w:r>
        <w:t xml:space="preserve">all growth hormone secretagogues and IGF-1 variants, thymosin beta-4 and TB-500, ARA-290, and in men gonadorelin and LH releasers such as kisspeptin.</w:t>
      </w:r>
    </w:p>
    <w:p>
      <w:pPr>
        <w:numPr>
          <w:ilvl w:val="0"/>
          <w:numId w:val="1351"/>
        </w:numPr>
        <w:pStyle w:val="Compact"/>
      </w:pPr>
      <w:r>
        <w:rPr>
          <w:bCs/>
          <w:b/>
        </w:rPr>
        <w:t xml:space="preserve">Prohibited (S0, non-approved substances):</w:t>
      </w:r>
      <w:r>
        <w:t xml:space="preserve"> </w:t>
      </w:r>
      <w:r>
        <w:t xml:space="preserve">substances without approval as human medicines, such as BPC-157, Melanotan II, and the GLP-1 multi-agonists still in trials such as retatrutide.</w:t>
      </w:r>
    </w:p>
    <w:p>
      <w:pPr>
        <w:numPr>
          <w:ilvl w:val="0"/>
          <w:numId w:val="1351"/>
        </w:numPr>
        <w:pStyle w:val="Compact"/>
      </w:pPr>
      <w:r>
        <w:rPr>
          <w:bCs/>
          <w:b/>
        </w:rPr>
        <w:t xml:space="preserve">Prohibited (S4):</w:t>
      </w:r>
      <w:r>
        <w:t xml:space="preserve"> </w:t>
      </w:r>
      <w:r>
        <w:t xml:space="preserve">MOTS-c as an activator of the enzyme AMPK.</w:t>
      </w:r>
    </w:p>
    <w:p>
      <w:pPr>
        <w:numPr>
          <w:ilvl w:val="0"/>
          <w:numId w:val="1351"/>
        </w:numPr>
        <w:pStyle w:val="Compact"/>
      </w:pPr>
      <w:r>
        <w:rPr>
          <w:bCs/>
          <w:b/>
        </w:rPr>
        <w:t xml:space="preserve">Not prohibited:</w:t>
      </w:r>
      <w:r>
        <w:t xml:space="preserve"> </w:t>
      </w:r>
      <w:r>
        <w:t xml:space="preserve">the approved GLP-1 drugs. Semaglutide and tirzepatide have, however, been included in WADA’s monitoring program in order to detect possible misuse; laboratories have already developed detection methods for blood and dried blood spots</w:t>
      </w:r>
      <w:r>
        <w:rPr>
          <w:rStyle w:val="FootnoteReference"/>
        </w:rPr>
        <w:footnoteReference w:id="2817"/>
      </w:r>
      <w:r>
        <w:t xml:space="preserve">.</w:t>
      </w:r>
    </w:p>
    <w:p>
      <w:pPr>
        <w:pStyle w:val="FirstParagraph"/>
      </w:pPr>
      <w:r>
        <w:t xml:space="preserve">The details are given in the respective chapters. Three points are important across all peptides.</w:t>
      </w:r>
    </w:p>
    <w:p>
      <w:pPr>
        <w:pStyle w:val="BodyText"/>
      </w:pPr>
      <w:r>
        <w:rPr>
          <w:bCs/>
          <w:b/>
        </w:rPr>
        <w:t xml:space="preserve">Contaminated products.</w:t>
      </w:r>
      <w:r>
        <w:t xml:space="preserve"> </w:t>
      </w:r>
      <w:r>
        <w:t xml:space="preserve">An athlete is responsible for every prohibited substance in their body – even if it comes from a mislabeled product. The laboratory analyses in the chapter</w:t>
      </w:r>
      <w:r>
        <w:t xml:space="preserve"> </w:t>
      </w:r>
      <w:r>
        <w:t xml:space="preserve">“</w:t>
      </w:r>
      <w:r>
        <w:t xml:space="preserve">Gray-Market Products</w:t>
      </w:r>
      <w:r>
        <w:t xml:space="preserve">”</w:t>
      </w:r>
      <w:r>
        <w:t xml:space="preserve"> </w:t>
      </w:r>
      <w:r>
        <w:t xml:space="preserve">show that gray-market goods frequently contain different or additional substances and that prohibited agents also turn up in products presented as dietary supplements</w:t>
      </w:r>
      <w:r>
        <w:rPr>
          <w:rStyle w:val="FootnoteReference"/>
        </w:rPr>
        <w:footnoteReference w:id="2818"/>
      </w:r>
      <w:r>
        <w:t xml:space="preserve">.</w:t>
      </w:r>
    </w:p>
    <w:p>
      <w:pPr>
        <w:pStyle w:val="BodyText"/>
      </w:pPr>
      <w:r>
        <w:rPr>
          <w:bCs/>
          <w:b/>
        </w:rPr>
        <w:t xml:space="preserve">Designer variants.</w:t>
      </w:r>
      <w:r>
        <w:t xml:space="preserve"> </w:t>
      </w:r>
      <w:r>
        <w:t xml:space="preserve">Modified peptides such as Gly-GHRP-2 or Gly-ipamorelin are presumably intended to evade tests</w:t>
      </w:r>
      <w:r>
        <w:rPr>
          <w:rStyle w:val="FootnoteReference"/>
        </w:rPr>
        <w:footnoteReference w:id="2819"/>
      </w:r>
      <w:r>
        <w:t xml:space="preserve">. Their effect and safety are completely unknown. Experience shows that anti-doping laboratories update their methods; samples are also stored long-term and can be reanalyzed later.</w:t>
      </w:r>
    </w:p>
    <w:p>
      <w:pPr>
        <w:pStyle w:val="BodyText"/>
      </w:pPr>
      <w:r>
        <w:rPr>
          <w:bCs/>
          <w:b/>
        </w:rPr>
        <w:t xml:space="preserve">Questionable benefit.</w:t>
      </w:r>
      <w:r>
        <w:t xml:space="preserve"> </w:t>
      </w:r>
      <w:r>
        <w:t xml:space="preserve">A review of incretin drugs in sport concludes that clinical studies do not show a consistent improvement in physical performance in humans and that 20 to 30% of weight loss is accounted for by fat-free mass</w:t>
      </w:r>
      <w:r>
        <w:rPr>
          <w:rStyle w:val="FootnoteReference"/>
        </w:rPr>
        <w:footnoteReference w:id="2820"/>
      </w:r>
      <w:r>
        <w:t xml:space="preserve">. For the regenerative peptides and the growth hormone secretagogues, a sports medicine review concludes that they remain experimental, with an uncertain safety profile, questionable product quality, and far-reaching doping bans</w:t>
      </w:r>
      <w:r>
        <w:rPr>
          <w:rStyle w:val="FootnoteReference"/>
        </w:rPr>
        <w:footnoteReference w:id="2821"/>
      </w:r>
      <w:r>
        <w:t xml:space="preserve">.</w:t>
      </w:r>
    </w:p>
    <w:bookmarkEnd w:id="2822"/>
    <w:bookmarkStart w:id="2823" w:name="key-points-in-brief-7"/>
    <w:p>
      <w:pPr>
        <w:pStyle w:val="Heading3"/>
      </w:pPr>
      <w:r>
        <w:t xml:space="preserve">Key points in brief</w:t>
      </w:r>
    </w:p>
    <w:p>
      <w:pPr>
        <w:numPr>
          <w:ilvl w:val="0"/>
          <w:numId w:val="1352"/>
        </w:numPr>
        <w:pStyle w:val="Compact"/>
      </w:pPr>
      <w:r>
        <w:t xml:space="preserve">In pregnancy, almost all peptides have not been studied or are not indicated. For accidental exposure to GLP-1 drugs, the data are predominantly reassuring, but uncertain.</w:t>
      </w:r>
    </w:p>
    <w:p>
      <w:pPr>
        <w:numPr>
          <w:ilvl w:val="0"/>
          <w:numId w:val="1352"/>
        </w:numPr>
        <w:pStyle w:val="Compact"/>
      </w:pPr>
      <w:r>
        <w:t xml:space="preserve">Tirzepatide can reduce the absorption of the pill; this was not found with semaglutide. Vomiting and diarrhea impair the absorption of any tablet.</w:t>
      </w:r>
    </w:p>
    <w:p>
      <w:pPr>
        <w:numPr>
          <w:ilvl w:val="0"/>
          <w:numId w:val="1352"/>
        </w:numPr>
        <w:pStyle w:val="Compact"/>
      </w:pPr>
      <w:r>
        <w:t xml:space="preserve">With GLP-1 drugs, the stomach more often remains full. Before anesthesia and endoscopies, the treatment team must know about this.</w:t>
      </w:r>
    </w:p>
    <w:p>
      <w:pPr>
        <w:numPr>
          <w:ilvl w:val="0"/>
          <w:numId w:val="1352"/>
        </w:numPr>
        <w:pStyle w:val="Compact"/>
      </w:pPr>
      <w:r>
        <w:t xml:space="preserve">In combination with insulin or sulfonylureas, the risk of hypoglycemia rises.</w:t>
      </w:r>
    </w:p>
    <w:p>
      <w:pPr>
        <w:numPr>
          <w:ilvl w:val="0"/>
          <w:numId w:val="1352"/>
        </w:numPr>
        <w:pStyle w:val="Compact"/>
      </w:pPr>
      <w:r>
        <w:t xml:space="preserve">Adolescents stand out in poison control data because of intentional misuse; in eating disorders, GLP-1 drugs should as a rule not be used.</w:t>
      </w:r>
    </w:p>
    <w:p>
      <w:pPr>
        <w:numPr>
          <w:ilvl w:val="0"/>
          <w:numId w:val="1352"/>
        </w:numPr>
        <w:pStyle w:val="Compact"/>
      </w:pPr>
      <w:r>
        <w:t xml:space="preserve">Around a quarter of the weight lost with GLP-1 drugs is fat-free mass; whether this has functional consequences is open.</w:t>
      </w:r>
    </w:p>
    <w:p>
      <w:pPr>
        <w:numPr>
          <w:ilvl w:val="0"/>
          <w:numId w:val="1352"/>
        </w:numPr>
        <w:pStyle w:val="Compact"/>
      </w:pPr>
      <w:r>
        <w:t xml:space="preserve">For athletes, most peptides are prohibited, and gray-market products additionally carry the risk of undeclared doping agents.</w:t>
      </w:r>
    </w:p>
    <w:bookmarkEnd w:id="2823"/>
    <w:bookmarkEnd w:id="2824"/>
    <w:bookmarkEnd w:id="2825"/>
    <w:bookmarkStart w:id="2977" w:name="part-v-the-future"/>
    <w:p>
      <w:pPr>
        <w:pStyle w:val="Heading1"/>
      </w:pPr>
      <w:r>
        <w:t xml:space="preserve">Part V – The Future</w:t>
      </w:r>
    </w:p>
    <w:p>
      <w:pPr>
        <w:pStyle w:val="FirstParagraph"/>
      </w:pPr>
      <w:r>
        <w:t xml:space="preserve">The preceding parts have described what is known about peptides today. This final part looks ahead: Which agents are in the large trials that will end in the next few years? Will injections be replaced by tablets? What do expiring patents mean for prices and access? And what developments can be expected by 2035?</w:t>
      </w:r>
    </w:p>
    <w:p>
      <w:pPr>
        <w:pStyle w:val="BodyText"/>
      </w:pPr>
      <w:r>
        <w:t xml:space="preserve">Statements about the future are strictly separated in this book.</w:t>
      </w:r>
      <w:r>
        <w:t xml:space="preserve"> </w:t>
      </w:r>
      <w:r>
        <w:rPr>
          <w:bCs/>
          <w:b/>
        </w:rPr>
        <w:t xml:space="preserve">Established</w:t>
      </w:r>
      <w:r>
        <w:t xml:space="preserve"> </w:t>
      </w:r>
      <w:r>
        <w:t xml:space="preserve">is what has been entered in a trial registry, published in a peer-reviewed study, or decided by authorities. Even that is only a snapshot: trials are extended, scaled down, or terminated, and planned completion dates often shift by years. Everything else is the</w:t>
      </w:r>
      <w:r>
        <w:t xml:space="preserve"> </w:t>
      </w:r>
      <w:r>
        <w:rPr>
          <w:bCs/>
          <w:b/>
        </w:rPr>
        <w:t xml:space="preserve">author’s assessment</w:t>
      </w:r>
      <w:r>
        <w:t xml:space="preserve"> </w:t>
      </w:r>
      <w:r>
        <w:t xml:space="preserve">and is explicitly labeled as such. The research reflects the status as of October 2026.</w:t>
      </w:r>
    </w:p>
    <w:bookmarkStart w:id="2867" w:name="the-pipeline-what-is-in-phase-2-and-3"/>
    <w:p>
      <w:pPr>
        <w:pStyle w:val="Heading2"/>
      </w:pPr>
      <w:r>
        <w:t xml:space="preserve">The Pipeline: What Is in Phase 2 and 3</w:t>
      </w:r>
    </w:p>
    <w:p>
      <w:pPr>
        <w:pStyle w:val="FirstParagraph"/>
      </w:pPr>
      <w:r>
        <w:t xml:space="preserve">The pharmaceutical industry uses the term</w:t>
      </w:r>
      <w:r>
        <w:t xml:space="preserve"> </w:t>
      </w:r>
      <w:r>
        <w:t xml:space="preserve">“</w:t>
      </w:r>
      <w:r>
        <w:t xml:space="preserve">pipeline</w:t>
      </w:r>
      <w:r>
        <w:t xml:space="preserve">”</w:t>
      </w:r>
      <w:r>
        <w:t xml:space="preserve"> </w:t>
      </w:r>
      <w:r>
        <w:t xml:space="preserve">to refer to the totality of agents in development. The stages are explained in Part I: in</w:t>
      </w:r>
      <w:r>
        <w:t xml:space="preserve"> </w:t>
      </w:r>
      <w:r>
        <w:rPr>
          <w:bCs/>
          <w:b/>
        </w:rPr>
        <w:t xml:space="preserve">phase 1</w:t>
      </w:r>
      <w:r>
        <w:t xml:space="preserve">, an agent is usually tested for tolerability in a small number of healthy people; in</w:t>
      </w:r>
      <w:r>
        <w:t xml:space="preserve"> </w:t>
      </w:r>
      <w:r>
        <w:rPr>
          <w:bCs/>
          <w:b/>
        </w:rPr>
        <w:t xml:space="preserve">phase 2</w:t>
      </w:r>
      <w:r>
        <w:t xml:space="preserve">, in a few hundred patients for efficacy and appropriate dose; in</w:t>
      </w:r>
      <w:r>
        <w:t xml:space="preserve"> </w:t>
      </w:r>
      <w:r>
        <w:rPr>
          <w:bCs/>
          <w:b/>
        </w:rPr>
        <w:t xml:space="preserve">phase 3</w:t>
      </w:r>
      <w:r>
        <w:t xml:space="preserve">, in thousands for approval.</w:t>
      </w:r>
      <w:r>
        <w:t xml:space="preserve"> </w:t>
      </w:r>
      <w:r>
        <w:rPr>
          <w:bCs/>
          <w:b/>
        </w:rPr>
        <w:t xml:space="preserve">Phase 4</w:t>
      </w:r>
      <w:r>
        <w:t xml:space="preserve"> </w:t>
      </w:r>
      <w:r>
        <w:t xml:space="preserve">refers to studies of drugs that have already been approved. If you want to know what could come onto the market in the next five years, you need to look above all at phase 3.</w:t>
      </w:r>
    </w:p>
    <w:bookmarkStart w:id="2828" w:name="how-the-analysis-was-done"/>
    <w:p>
      <w:pPr>
        <w:pStyle w:val="Heading3"/>
      </w:pPr>
      <w:r>
        <w:t xml:space="preserve">How the analysis was done</w:t>
      </w:r>
    </w:p>
    <w:p>
      <w:pPr>
        <w:pStyle w:val="FirstParagraph"/>
      </w:pPr>
      <w:r>
        <w:t xml:space="preserve">The basis is the registry listings of ClinicalTrials.gov, which were queried for the 58 agents in this book in October 2026 (see Methodology in the appendix). A small analysis program filtered out all entries that</w:t>
      </w:r>
    </w:p>
    <w:p>
      <w:pPr>
        <w:numPr>
          <w:ilvl w:val="0"/>
          <w:numId w:val="1353"/>
        </w:numPr>
        <w:pStyle w:val="Compact"/>
      </w:pPr>
      <w:r>
        <w:t xml:space="preserve">describe an</w:t>
      </w:r>
      <w:r>
        <w:t xml:space="preserve"> </w:t>
      </w:r>
      <w:r>
        <w:rPr>
          <w:bCs/>
          <w:b/>
        </w:rPr>
        <w:t xml:space="preserve">interventional</w:t>
      </w:r>
      <w:r>
        <w:t xml:space="preserve"> </w:t>
      </w:r>
      <w:r>
        <w:t xml:space="preserve">study, that is, a study in which an agent is deliberately administered (not purely observational), and</w:t>
      </w:r>
    </w:p>
    <w:p>
      <w:pPr>
        <w:numPr>
          <w:ilvl w:val="0"/>
          <w:numId w:val="1353"/>
        </w:numPr>
        <w:pStyle w:val="Compact"/>
      </w:pPr>
      <w:r>
        <w:t xml:space="preserve">are marked as</w:t>
      </w:r>
      <w:r>
        <w:t xml:space="preserve"> </w:t>
      </w:r>
      <w:r>
        <w:rPr>
          <w:bCs/>
          <w:b/>
        </w:rPr>
        <w:t xml:space="preserve">ongoing</w:t>
      </w:r>
      <w:r>
        <w:t xml:space="preserve">: recruiting, active but not recruiting, not yet recruiting, or enrolling by invitation only.</w:t>
      </w:r>
    </w:p>
    <w:p>
      <w:pPr>
        <w:pStyle w:val="FirstParagraph"/>
      </w:pPr>
      <w:r>
        <w:t xml:space="preserve">Studies that appear under several agents – for example, a comparison of retatrutide with tirzepatide – were counted only once.</w:t>
      </w:r>
    </w:p>
    <w:p>
      <w:pPr>
        <w:pStyle w:val="BodyText"/>
      </w:pPr>
      <w:r>
        <w:rPr>
          <w:bCs/>
          <w:b/>
        </w:rPr>
        <w:t xml:space="preserve">What was excluded – and why:</w:t>
      </w:r>
    </w:p>
    <w:p>
      <w:pPr>
        <w:numPr>
          <w:ilvl w:val="0"/>
          <w:numId w:val="1354"/>
        </w:numPr>
        <w:pStyle w:val="Compact"/>
      </w:pPr>
      <w:r>
        <w:rPr>
          <w:bCs/>
          <w:b/>
        </w:rPr>
        <w:t xml:space="preserve">Eight entries from the sponsor</w:t>
      </w:r>
      <w:r>
        <w:rPr>
          <w:bCs/>
          <w:b/>
        </w:rPr>
        <w:t xml:space="preserve"> </w:t>
      </w:r>
      <w:r>
        <w:rPr>
          <w:bCs/>
          <w:b/>
        </w:rPr>
        <w:t xml:space="preserve">“</w:t>
      </w:r>
      <w:r>
        <w:rPr>
          <w:bCs/>
          <w:b/>
        </w:rPr>
        <w:t xml:space="preserve">Hudson Biotech</w:t>
      </w:r>
      <w:r>
        <w:rPr>
          <w:bCs/>
          <w:b/>
        </w:rPr>
        <w:t xml:space="preserve">”</w:t>
      </w:r>
      <w:r>
        <w:t xml:space="preserve"> </w:t>
      </w:r>
      <w:r>
        <w:t xml:space="preserve">(one each for BPC-157, GHK-Cu, Melanotan II, MOTS-c, retatrutide, TB-500, tesamorelin, and tirzepatide). One entry from this sponsor describes itself in its own description as a fictitious example (see the chapters BPC-157 and TB-500). None of these entries is counted as a genuine study in this book.</w:t>
      </w:r>
    </w:p>
    <w:p>
      <w:pPr>
        <w:numPr>
          <w:ilvl w:val="0"/>
          <w:numId w:val="1354"/>
        </w:numPr>
        <w:pStyle w:val="Compact"/>
      </w:pPr>
      <w:r>
        <w:rPr>
          <w:bCs/>
          <w:b/>
        </w:rPr>
        <w:t xml:space="preserve">All 1,000 hits for the search term</w:t>
      </w:r>
      <w:r>
        <w:rPr>
          <w:bCs/>
          <w:b/>
        </w:rPr>
        <w:t xml:space="preserve"> </w:t>
      </w:r>
      <w:r>
        <w:rPr>
          <w:bCs/>
          <w:b/>
        </w:rPr>
        <w:t xml:space="preserve">“</w:t>
      </w:r>
      <w:r>
        <w:rPr>
          <w:bCs/>
          <w:b/>
        </w:rPr>
        <w:t xml:space="preserve">gonadorelin.</w:t>
      </w:r>
      <w:r>
        <w:rPr>
          <w:bCs/>
          <w:b/>
        </w:rPr>
        <w:t xml:space="preserve">”</w:t>
      </w:r>
      <w:r>
        <w:t xml:space="preserve"> </w:t>
      </w:r>
      <w:r>
        <w:t xml:space="preserve">They overwhelmingly concern synthetic variants of the hormone GnRH (such as leuprorelin or triptorelin) in the treatment of prostate and breast cancer or in fertility medicine – that is, other drugs. The few entries on natural GnRH are discussed in the chapter Gonadorelin; none of them is an ongoing phase 3 trial.</w:t>
      </w:r>
    </w:p>
    <w:p>
      <w:pPr>
        <w:pStyle w:val="FirstParagraph"/>
      </w:pPr>
      <w:r>
        <w:rPr>
          <w:bCs/>
          <w:b/>
        </w:rPr>
        <w:t xml:space="preserve">What was not excluded, but checked:</w:t>
      </w:r>
      <w:r>
        <w:t xml:space="preserve"> </w:t>
      </w:r>
      <w:r>
        <w:t xml:space="preserve">For glutathione, collagen, and carnosine, the search terms are so general that many hits mention the substance only as a component of a mixture, as a comparator, or as a measured parameter. For example, a large dengue study appears under glutathione because it tests N-acetylcysteine – a precursor of glutathione</w:t>
      </w:r>
      <w:r>
        <w:rPr>
          <w:rStyle w:val="FootnoteReference"/>
        </w:rPr>
        <w:footnoteReference w:id="2826"/>
      </w:r>
      <w:r>
        <w:t xml:space="preserve">. Under larazotide, two studies on an entirely different agent for Fabry disease appear</w:t>
      </w:r>
      <w:r>
        <w:rPr>
          <w:rStyle w:val="FootnoteReference"/>
        </w:rPr>
        <w:footnoteReference w:id="2827"/>
      </w:r>
      <w:r>
        <w:t xml:space="preserve">. These hits are included in the total figures but are not counted as peptide studies in the assessment.</w:t>
      </w:r>
    </w:p>
    <w:p>
      <w:pPr>
        <w:pStyle w:val="BodyText"/>
      </w:pPr>
      <w:r>
        <w:rPr>
          <w:bCs/>
          <w:b/>
        </w:rPr>
        <w:t xml:space="preserve">Two limitations of the analysis:</w:t>
      </w:r>
      <w:r>
        <w:t xml:space="preserve"> </w:t>
      </w:r>
      <w:r>
        <w:t xml:space="preserve">First, not all sponsors report the completion of their study promptly; some entries with a completion date in 2025 are still listed as</w:t>
      </w:r>
      <w:r>
        <w:t xml:space="preserve"> </w:t>
      </w:r>
      <w:r>
        <w:t xml:space="preserve">“</w:t>
      </w:r>
      <w:r>
        <w:t xml:space="preserve">ongoing</w:t>
      </w:r>
      <w:r>
        <w:t xml:space="preserve">”</w:t>
      </w:r>
      <w:r>
        <w:t xml:space="preserve"> </w:t>
      </w:r>
      <w:r>
        <w:t xml:space="preserve">in the registry. Second, the query covers only the 58 agents in this book. New molecules without their own chapter appear only if they are tested against one of these agents. This is why a targeted additional search was carried out for the new mechanisms of action further below.</w:t>
      </w:r>
    </w:p>
    <w:bookmarkEnd w:id="2828"/>
    <w:bookmarkStart w:id="2836" w:name="the-result-in-figures"/>
    <w:p>
      <w:pPr>
        <w:pStyle w:val="Heading3"/>
      </w:pPr>
      <w:r>
        <w:t xml:space="preserve">The result in figures</w:t>
      </w:r>
    </w:p>
    <w:p>
      <w:pPr>
        <w:pStyle w:val="FirstParagraph"/>
      </w:pPr>
      <w:r>
        <w:t xml:space="preserve">After the exclusions, 730 ongoing interventional studies remained. Of these, 568 – a good three-quarters – concern agents in Group A (metabolism and weight).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Ongoing studies in total</w:t>
            </w:r>
          </w:p>
        </w:tc>
        <w:tc>
          <w:tcPr/>
          <w:p>
            <w:pPr>
              <w:pStyle w:val="Compact"/>
              <w:jc w:val="left"/>
            </w:pPr>
            <w:r>
              <w:t xml:space="preserve">Of which Group A</w:t>
            </w:r>
          </w:p>
        </w:tc>
      </w:tr>
      <w:tr>
        <w:tc>
          <w:tcPr/>
          <w:p>
            <w:pPr>
              <w:pStyle w:val="Compact"/>
              <w:jc w:val="left"/>
            </w:pPr>
            <w:r>
              <w:t xml:space="preserve">Phase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Phase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Phase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Phase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Phase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Phase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No phase specified</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Of the 157 ongoing phase 3 trials, 68 were still recruiting, 54 were active without further enrollment, and 35 had not yet started. Adding the combined phase 2/3 studies, there are 176 late-stage studies; 157 of them (142 in phase 3, 15 in phase 2/3) – almost nine out of ten – belong to Group A.</w:t>
      </w:r>
    </w:p>
    <w:p>
      <w:pPr>
        <w:pStyle w:val="BodyText"/>
      </w:pPr>
      <w:r>
        <w:t xml:space="preserve">In Group A, roughly one in three of these late-stage studies is run by universities and hospitals, the rest by companies. The planned completion dates are distributed as follows: 21 studies are scheduled to end in 2026, 49 in 2027, 41 in 2028, and 44 between 2029 and 2033. The real wave of new results is therefore still to come in 2027 and 2028.</w:t>
      </w:r>
    </w:p>
    <w:p>
      <w:pPr>
        <w:pStyle w:val="BodyText"/>
      </w:pPr>
      <w:r>
        <w:rPr>
          <w:bCs/>
          <w:b/>
        </w:rPr>
        <w:t xml:space="preserve">Groups B to F</w:t>
      </w:r>
      <w:r>
        <w:t xml:space="preserve"> </w:t>
      </w:r>
      <w:r>
        <w:t xml:space="preserve">look completely different. After reviewing the entries, only five ongoing phase 3 trials remain in which an agent from this book is actually the investigational product: thymosin alpha-1 after colorectal cancer surgery</w:t>
      </w:r>
      <w:r>
        <w:rPr>
          <w:rStyle w:val="FootnoteReference"/>
        </w:rPr>
        <w:footnoteReference w:id="2829"/>
      </w:r>
      <w:r>
        <w:t xml:space="preserve">, thymosin beta-4 eye drops for neurotrophic keratopathy</w:t>
      </w:r>
      <w:r>
        <w:rPr>
          <w:rStyle w:val="FootnoteReference"/>
        </w:rPr>
        <w:footnoteReference w:id="2830"/>
      </w:r>
      <w:r>
        <w:t xml:space="preserve">, elamipretide for dry macular degeneration</w:t>
      </w:r>
      <w:r>
        <w:rPr>
          <w:rStyle w:val="FootnoteReference"/>
        </w:rPr>
        <w:footnoteReference w:id="2831"/>
      </w:r>
      <w:r>
        <w:t xml:space="preserve">, afamelanotide for vitiligo</w:t>
      </w:r>
      <w:r>
        <w:rPr>
          <w:rStyle w:val="FootnoteReference"/>
        </w:rPr>
        <w:footnoteReference w:id="2832"/>
      </w:r>
      <w:r>
        <w:t xml:space="preserve">, and ibutamoren, which is not a peptide, in children with growth hormone deficiency</w:t>
      </w:r>
      <w:r>
        <w:rPr>
          <w:rStyle w:val="FootnoteReference"/>
        </w:rPr>
        <w:footnoteReference w:id="2833"/>
      </w:r>
      <w:r>
        <w:t xml:space="preserve">. In addition, there are some combined phase 2/3 studies, for example on oxytocin nasal spray for chronic pain</w:t>
      </w:r>
      <w:r>
        <w:rPr>
          <w:rStyle w:val="FootnoteReference"/>
        </w:rPr>
        <w:footnoteReference w:id="2834"/>
      </w:r>
      <w:r>
        <w:t xml:space="preserve"> </w:t>
      </w:r>
      <w:r>
        <w:t xml:space="preserve">and on thymosin alpha-1 for recurrent implantation failure after in vitro fertilization</w:t>
      </w:r>
      <w:r>
        <w:rPr>
          <w:rStyle w:val="FootnoteReference"/>
        </w:rPr>
        <w:footnoteReference w:id="2835"/>
      </w:r>
      <w:r>
        <w:t xml:space="preserve">. For the</w:t>
      </w:r>
      <w:r>
        <w:t xml:space="preserve"> </w:t>
      </w:r>
      <w:r>
        <w:t xml:space="preserve">“</w:t>
      </w:r>
      <w:r>
        <w:t xml:space="preserve">research peptides</w:t>
      </w:r>
      <w:r>
        <w:t xml:space="preserve">”</w:t>
      </w:r>
      <w:r>
        <w:t xml:space="preserve"> </w:t>
      </w:r>
      <w:r>
        <w:t xml:space="preserve">most popular on the internet – BPC-157, CJC-1295, ipamorelin, Epitalon, Semax, Selank – not a single phase 3 trial is ongoing.</w:t>
      </w:r>
    </w:p>
    <w:bookmarkEnd w:id="2836"/>
    <w:bookmarkStart w:id="2837" w:name="X0854cbdfbccb707544c438548b0a4332a85d8a4"/>
    <w:p>
      <w:pPr>
        <w:pStyle w:val="Heading3"/>
      </w:pPr>
      <w:r>
        <w:t xml:space="preserve">The most important ongoing phase 3 trials</w:t>
      </w:r>
    </w:p>
    <w:p>
      <w:pPr>
        <w:pStyle w:val="FirstParagraph"/>
      </w:pPr>
      <w:r>
        <w:t xml:space="preserve">The following tables show a selection by size and importance.</w:t>
      </w:r>
      <w:r>
        <w:t xml:space="preserve"> </w:t>
      </w:r>
      <w:r>
        <w:t xml:space="preserve">“</w:t>
      </w:r>
      <w:r>
        <w:t xml:space="preserve">Expected completion</w:t>
      </w:r>
      <w:r>
        <w:t xml:space="preserve">”</w:t>
      </w:r>
      <w:r>
        <w:t xml:space="preserve"> </w:t>
      </w:r>
      <w:r>
        <w:t xml:space="preserve">is the study completion date given in the registry (as of October 2026); the primary endpoint is often analyzed a few months earlier, and publications usually follow six months to a year later.</w:t>
      </w:r>
    </w:p>
    <w:p>
      <w:pPr>
        <w:pStyle w:val="BodyText"/>
      </w:pPr>
      <w:r>
        <w:rPr>
          <w:bCs/>
          <w:b/>
        </w:rPr>
        <w:t xml:space="preserve">Metabolism and weight (Group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 / NCT</w:t>
            </w:r>
          </w:p>
        </w:tc>
        <w:tc>
          <w:tcPr/>
          <w:p>
            <w:pPr>
              <w:pStyle w:val="Compact"/>
              <w:jc w:val="left"/>
            </w:pPr>
            <w:r>
              <w:t xml:space="preserve">Agent</w:t>
            </w:r>
          </w:p>
        </w:tc>
        <w:tc>
          <w:tcPr/>
          <w:p>
            <w:pPr>
              <w:pStyle w:val="Compact"/>
              <w:jc w:val="left"/>
            </w:pPr>
            <w:r>
              <w:t xml:space="preserve">Research question</w:t>
            </w:r>
          </w:p>
        </w:tc>
        <w:tc>
          <w:tcPr/>
          <w:p>
            <w:pPr>
              <w:pStyle w:val="Compact"/>
              <w:jc w:val="left"/>
            </w:pPr>
            <w:r>
              <w:t xml:space="preserve">Expected completion</w:t>
            </w:r>
          </w:p>
        </w:tc>
      </w:tr>
      <w:tr>
        <w:tc>
          <w:tcPr/>
          <w:p>
            <w:pPr>
              <w:pStyle w:val="Compact"/>
              <w:jc w:val="left"/>
            </w:pPr>
            <w:r>
              <w:t xml:space="preserve">TRIUMPH-5, NCT06662383</w:t>
            </w:r>
          </w:p>
        </w:tc>
        <w:tc>
          <w:tcPr/>
          <w:p>
            <w:pPr>
              <w:pStyle w:val="Compact"/>
              <w:jc w:val="left"/>
            </w:pPr>
            <w:r>
              <w:t xml:space="preserve">Retatrutide vs. tirzepatide</w:t>
            </w:r>
          </w:p>
        </w:tc>
        <w:tc>
          <w:tcPr/>
          <w:p>
            <w:pPr>
              <w:pStyle w:val="Compact"/>
              <w:jc w:val="left"/>
            </w:pPr>
            <w:r>
              <w:t xml:space="preserve">weight loss, 800 adults</w:t>
            </w:r>
          </w:p>
        </w:tc>
        <w:tc>
          <w:tcPr/>
          <w:p>
            <w:pPr>
              <w:pStyle w:val="Compact"/>
              <w:jc w:val="left"/>
            </w:pPr>
            <w:r>
              <w:t xml:space="preserve">December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weight loss without diabetes, 3,853 participants</w:t>
            </w:r>
          </w:p>
        </w:tc>
        <w:tc>
          <w:tcPr/>
          <w:p>
            <w:pPr>
              <w:pStyle w:val="Compact"/>
              <w:jc w:val="left"/>
            </w:pPr>
            <w:r>
              <w:t xml:space="preserve">April 2027</w:t>
            </w:r>
          </w:p>
        </w:tc>
      </w:tr>
      <w:tr>
        <w:tc>
          <w:tcPr/>
          <w:p>
            <w:pPr>
              <w:pStyle w:val="Compact"/>
              <w:jc w:val="left"/>
            </w:pPr>
            <w:r>
              <w:t xml:space="preserve">SURMOUNT-MMO, NCT05556512</w:t>
            </w:r>
          </w:p>
        </w:tc>
        <w:tc>
          <w:tcPr/>
          <w:p>
            <w:pPr>
              <w:pStyle w:val="Compact"/>
              <w:jc w:val="left"/>
            </w:pPr>
            <w:r>
              <w:t xml:space="preserve">Tirzepatide</w:t>
            </w:r>
          </w:p>
        </w:tc>
        <w:tc>
          <w:tcPr/>
          <w:p>
            <w:pPr>
              <w:pStyle w:val="Compact"/>
              <w:jc w:val="left"/>
            </w:pPr>
            <w:r>
              <w:t xml:space="preserve">cardiovascular events and death, 15,374 participants</w:t>
            </w:r>
          </w:p>
        </w:tc>
        <w:tc>
          <w:tcPr/>
          <w:p>
            <w:pPr>
              <w:pStyle w:val="Compact"/>
              <w:jc w:val="left"/>
            </w:pPr>
            <w:r>
              <w:t xml:space="preserve">October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cardiovascular events, 7,101 participants</w:t>
            </w:r>
          </w:p>
        </w:tc>
        <w:tc>
          <w:tcPr/>
          <w:p>
            <w:pPr>
              <w:pStyle w:val="Compact"/>
              <w:jc w:val="left"/>
            </w:pPr>
            <w:r>
              <w:t xml:space="preserve">October 2027</w:t>
            </w:r>
          </w:p>
        </w:tc>
      </w:tr>
      <w:tr>
        <w:tc>
          <w:tcPr/>
          <w:p>
            <w:pPr>
              <w:pStyle w:val="Compact"/>
              <w:jc w:val="left"/>
            </w:pPr>
            <w:r>
              <w:t xml:space="preserve">NCT07564414</w:t>
            </w:r>
          </w:p>
        </w:tc>
        <w:tc>
          <w:tcPr/>
          <w:p>
            <w:pPr>
              <w:pStyle w:val="Compact"/>
              <w:jc w:val="left"/>
            </w:pPr>
            <w:r>
              <w:t xml:space="preserve">CagriSema (higher doses) vs. semaglutide</w:t>
            </w:r>
          </w:p>
        </w:tc>
        <w:tc>
          <w:tcPr/>
          <w:p>
            <w:pPr>
              <w:pStyle w:val="Compact"/>
              <w:jc w:val="left"/>
            </w:pPr>
            <w:r>
              <w:t xml:space="preserve">weight loss, 2,500 participants</w:t>
            </w:r>
          </w:p>
        </w:tc>
        <w:tc>
          <w:tcPr/>
          <w:p>
            <w:pPr>
              <w:pStyle w:val="Compact"/>
              <w:jc w:val="left"/>
            </w:pPr>
            <w:r>
              <w:t xml:space="preserve">April 2028</w:t>
            </w:r>
          </w:p>
        </w:tc>
      </w:tr>
      <w:tr>
        <w:tc>
          <w:tcPr/>
          <w:p>
            <w:pPr>
              <w:pStyle w:val="Compact"/>
              <w:jc w:val="left"/>
            </w:pPr>
            <w:r>
              <w:t xml:space="preserve">TRIUMPH-6, NCT06859268</w:t>
            </w:r>
          </w:p>
        </w:tc>
        <w:tc>
          <w:tcPr/>
          <w:p>
            <w:pPr>
              <w:pStyle w:val="Compact"/>
              <w:jc w:val="left"/>
            </w:pPr>
            <w:r>
              <w:t xml:space="preserve">Retatrutide</w:t>
            </w:r>
          </w:p>
        </w:tc>
        <w:tc>
          <w:tcPr/>
          <w:p>
            <w:pPr>
              <w:pStyle w:val="Compact"/>
              <w:jc w:val="left"/>
            </w:pPr>
            <w:r>
              <w:t xml:space="preserve">weight maintenance after loss, 643 participants</w:t>
            </w:r>
          </w:p>
        </w:tc>
        <w:tc>
          <w:tcPr/>
          <w:p>
            <w:pPr>
              <w:pStyle w:val="Compact"/>
              <w:jc w:val="left"/>
            </w:pPr>
            <w:r>
              <w:t xml:space="preserve">April 2028</w:t>
            </w:r>
          </w:p>
        </w:tc>
      </w:tr>
      <w:tr>
        <w:tc>
          <w:tcPr/>
          <w:p>
            <w:pPr>
              <w:pStyle w:val="Compact"/>
              <w:jc w:val="left"/>
            </w:pPr>
            <w:r>
              <w:t xml:space="preserve">TRIUMPH-Outcomes, NCT06383390</w:t>
            </w:r>
          </w:p>
        </w:tc>
        <w:tc>
          <w:tcPr/>
          <w:p>
            <w:pPr>
              <w:pStyle w:val="Compact"/>
              <w:jc w:val="left"/>
            </w:pPr>
            <w:r>
              <w:t xml:space="preserve">Retatrutide</w:t>
            </w:r>
          </w:p>
        </w:tc>
        <w:tc>
          <w:tcPr/>
          <w:p>
            <w:pPr>
              <w:pStyle w:val="Compact"/>
              <w:jc w:val="left"/>
            </w:pPr>
            <w:r>
              <w:t xml:space="preserve">cardiac and kidney events, 10,000 participants</w:t>
            </w:r>
          </w:p>
        </w:tc>
        <w:tc>
          <w:tcPr/>
          <w:p>
            <w:pPr>
              <w:pStyle w:val="Compact"/>
              <w:jc w:val="left"/>
            </w:pPr>
            <w:r>
              <w:t xml:space="preserve">February 2029</w:t>
            </w:r>
          </w:p>
        </w:tc>
      </w:tr>
      <w:tr>
        <w:tc>
          <w:tcPr/>
          <w:p>
            <w:pPr>
              <w:pStyle w:val="Compact"/>
              <w:jc w:val="left"/>
            </w:pPr>
            <w:r>
              <w:t xml:space="preserve">ESSENCE, NCT04822181</w:t>
            </w:r>
          </w:p>
        </w:tc>
        <w:tc>
          <w:tcPr/>
          <w:p>
            <w:pPr>
              <w:pStyle w:val="Compact"/>
              <w:jc w:val="left"/>
            </w:pPr>
            <w:r>
              <w:t xml:space="preserve">Semaglutide</w:t>
            </w:r>
          </w:p>
        </w:tc>
        <w:tc>
          <w:tcPr/>
          <w:p>
            <w:pPr>
              <w:pStyle w:val="Compact"/>
              <w:jc w:val="left"/>
            </w:pPr>
            <w:r>
              <w:t xml:space="preserve">fatty liver disease (MASH), 1,205 participants</w:t>
            </w:r>
          </w:p>
        </w:tc>
        <w:tc>
          <w:tcPr/>
          <w:p>
            <w:pPr>
              <w:pStyle w:val="Compact"/>
              <w:jc w:val="left"/>
            </w:pPr>
            <w:r>
              <w:t xml:space="preserve">April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liver complications in cirrhosis, 1,590 participants</w:t>
            </w:r>
          </w:p>
        </w:tc>
        <w:tc>
          <w:tcPr/>
          <w:p>
            <w:pPr>
              <w:pStyle w:val="Compact"/>
              <w:jc w:val="left"/>
            </w:pPr>
            <w:r>
              <w:t xml:space="preserve">June 2029</w:t>
            </w:r>
          </w:p>
        </w:tc>
      </w:tr>
      <w:tr>
        <w:tc>
          <w:tcPr/>
          <w:p>
            <w:pPr>
              <w:pStyle w:val="Compact"/>
              <w:jc w:val="left"/>
            </w:pPr>
            <w:r>
              <w:t xml:space="preserve">AMAZE 1, NCT07339423</w:t>
            </w:r>
          </w:p>
        </w:tc>
        <w:tc>
          <w:tcPr/>
          <w:p>
            <w:pPr>
              <w:pStyle w:val="Compact"/>
              <w:jc w:val="left"/>
            </w:pPr>
            <w:r>
              <w:t xml:space="preserve">Amycretin (zenagamtide)</w:t>
            </w:r>
          </w:p>
        </w:tc>
        <w:tc>
          <w:tcPr/>
          <w:p>
            <w:pPr>
              <w:pStyle w:val="Compact"/>
              <w:jc w:val="left"/>
            </w:pPr>
            <w:r>
              <w:t xml:space="preserve">weight loss, 1,150 participants</w:t>
            </w:r>
          </w:p>
        </w:tc>
        <w:tc>
          <w:tcPr/>
          <w:p>
            <w:pPr>
              <w:pStyle w:val="Compact"/>
              <w:jc w:val="left"/>
            </w:pPr>
            <w:r>
              <w:t xml:space="preserve">August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cardiovascular events, 12,800 participants</w:t>
            </w:r>
          </w:p>
        </w:tc>
        <w:tc>
          <w:tcPr/>
          <w:p>
            <w:pPr>
              <w:pStyle w:val="Compact"/>
              <w:jc w:val="left"/>
            </w:pPr>
            <w:r>
              <w:t xml:space="preserve">September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heart failure with obesity, 5,056 participants</w:t>
            </w:r>
          </w:p>
        </w:tc>
        <w:tc>
          <w:tcPr/>
          <w:p>
            <w:pPr>
              <w:pStyle w:val="Compact"/>
              <w:jc w:val="left"/>
            </w:pPr>
            <w:r>
              <w:t xml:space="preserve">September 2030</w:t>
            </w:r>
          </w:p>
        </w:tc>
      </w:tr>
      <w:tr>
        <w:tc>
          <w:tcPr/>
          <w:p>
            <w:pPr>
              <w:pStyle w:val="Compact"/>
              <w:jc w:val="left"/>
            </w:pPr>
            <w:r>
              <w:t xml:space="preserve">AMBIENCE, NCT07861100</w:t>
            </w:r>
          </w:p>
        </w:tc>
        <w:tc>
          <w:tcPr/>
          <w:p>
            <w:pPr>
              <w:pStyle w:val="Compact"/>
              <w:jc w:val="left"/>
            </w:pPr>
            <w:r>
              <w:t xml:space="preserve">Amycretin (zenagamtide)</w:t>
            </w:r>
          </w:p>
        </w:tc>
        <w:tc>
          <w:tcPr/>
          <w:p>
            <w:pPr>
              <w:pStyle w:val="Compact"/>
              <w:jc w:val="left"/>
            </w:pPr>
            <w:r>
              <w:t xml:space="preserve">cardiovascular events, 8,500 planned</w:t>
            </w:r>
          </w:p>
        </w:tc>
        <w:tc>
          <w:tcPr/>
          <w:p>
            <w:pPr>
              <w:pStyle w:val="Compact"/>
              <w:jc w:val="left"/>
            </w:pPr>
            <w:r>
              <w:t xml:space="preserve">September 2030</w:t>
            </w:r>
          </w:p>
        </w:tc>
      </w:tr>
      <w:tr>
        <w:tc>
          <w:tcPr/>
          <w:p>
            <w:pPr>
              <w:pStyle w:val="Compact"/>
              <w:jc w:val="left"/>
            </w:pPr>
            <w:r>
              <w:t xml:space="preserve">ATTAIN-Outcomes, NCT07241390</w:t>
            </w:r>
          </w:p>
        </w:tc>
        <w:tc>
          <w:tcPr/>
          <w:p>
            <w:pPr>
              <w:pStyle w:val="Compact"/>
              <w:jc w:val="left"/>
            </w:pPr>
            <w:r>
              <w:t xml:space="preserve">Orforglipron (not a peptide)</w:t>
            </w:r>
          </w:p>
        </w:tc>
        <w:tc>
          <w:tcPr/>
          <w:p>
            <w:pPr>
              <w:pStyle w:val="Compact"/>
              <w:jc w:val="left"/>
            </w:pPr>
            <w:r>
              <w:t xml:space="preserve">cardiovascular events, 7,140 participants</w:t>
            </w:r>
          </w:p>
        </w:tc>
        <w:tc>
          <w:tcPr/>
          <w:p>
            <w:pPr>
              <w:pStyle w:val="Compact"/>
              <w:jc w:val="left"/>
            </w:pPr>
            <w:r>
              <w:t xml:space="preserve">August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with fibrosis, 1,800 participants</w:t>
            </w:r>
          </w:p>
        </w:tc>
        <w:tc>
          <w:tcPr/>
          <w:p>
            <w:pPr>
              <w:pStyle w:val="Compact"/>
              <w:jc w:val="left"/>
            </w:pPr>
            <w:r>
              <w:t xml:space="preserve">December 2031</w:t>
            </w:r>
          </w:p>
        </w:tc>
      </w:tr>
      <w:tr>
        <w:tc>
          <w:tcPr/>
          <w:p>
            <w:pPr>
              <w:pStyle w:val="Compact"/>
              <w:jc w:val="left"/>
            </w:pPr>
            <w:r>
              <w:t xml:space="preserve">SYNERGY-Outcomes, NCT07165028</w:t>
            </w:r>
          </w:p>
        </w:tc>
        <w:tc>
          <w:tcPr/>
          <w:p>
            <w:pPr>
              <w:pStyle w:val="Compact"/>
              <w:jc w:val="left"/>
            </w:pPr>
            <w:r>
              <w:t xml:space="preserve">Tirzepatide and retatrutide</w:t>
            </w:r>
          </w:p>
        </w:tc>
        <w:tc>
          <w:tcPr/>
          <w:p>
            <w:pPr>
              <w:pStyle w:val="Compact"/>
              <w:jc w:val="left"/>
            </w:pPr>
            <w:r>
              <w:t xml:space="preserve">major liver events, 4,500 participants</w:t>
            </w:r>
          </w:p>
        </w:tc>
        <w:tc>
          <w:tcPr/>
          <w:p>
            <w:pPr>
              <w:pStyle w:val="Compact"/>
              <w:jc w:val="left"/>
            </w:pPr>
            <w:r>
              <w:t xml:space="preserve">August 2032</w:t>
            </w:r>
          </w:p>
        </w:tc>
      </w:tr>
    </w:tbl>
    <w:p>
      <w:pPr>
        <w:pStyle w:val="BodyText"/>
      </w:pPr>
      <w:r>
        <w:rPr>
          <w:bCs/>
          <w:b/>
        </w:rPr>
        <w:t xml:space="preserve">Other groups: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 / NCT</w:t>
            </w:r>
          </w:p>
        </w:tc>
        <w:tc>
          <w:tcPr/>
          <w:p>
            <w:pPr>
              <w:pStyle w:val="Compact"/>
              <w:jc w:val="left"/>
            </w:pPr>
            <w:r>
              <w:t xml:space="preserve">Agent</w:t>
            </w:r>
          </w:p>
        </w:tc>
        <w:tc>
          <w:tcPr/>
          <w:p>
            <w:pPr>
              <w:pStyle w:val="Compact"/>
              <w:jc w:val="left"/>
            </w:pPr>
            <w:r>
              <w:t xml:space="preserve">Research question</w:t>
            </w:r>
          </w:p>
        </w:tc>
        <w:tc>
          <w:tcPr/>
          <w:p>
            <w:pPr>
              <w:pStyle w:val="Compact"/>
              <w:jc w:val="left"/>
            </w:pPr>
            <w:r>
              <w:t xml:space="preserve">Expected completion</w:t>
            </w:r>
          </w:p>
        </w:tc>
      </w:tr>
      <w:tr>
        <w:tc>
          <w:tcPr/>
          <w:p>
            <w:pPr>
              <w:pStyle w:val="Compact"/>
              <w:jc w:val="left"/>
            </w:pPr>
            <w:r>
              <w:t xml:space="preserve">SEER-2, NCT05555589</w:t>
            </w:r>
          </w:p>
        </w:tc>
        <w:tc>
          <w:tcPr/>
          <w:p>
            <w:pPr>
              <w:pStyle w:val="Compact"/>
              <w:jc w:val="left"/>
            </w:pPr>
            <w:r>
              <w:t xml:space="preserve">Thymosin beta-4 (eye drops)</w:t>
            </w:r>
          </w:p>
        </w:tc>
        <w:tc>
          <w:tcPr/>
          <w:p>
            <w:pPr>
              <w:pStyle w:val="Compact"/>
              <w:jc w:val="left"/>
            </w:pPr>
            <w:r>
              <w:t xml:space="preserve">corneal healing, 70 participants</w:t>
            </w:r>
          </w:p>
        </w:tc>
        <w:tc>
          <w:tcPr/>
          <w:p>
            <w:pPr>
              <w:pStyle w:val="Compact"/>
              <w:jc w:val="left"/>
            </w:pPr>
            <w:r>
              <w:t xml:space="preserve">May 2026 (result pending)</w:t>
            </w:r>
          </w:p>
        </w:tc>
      </w:tr>
      <w:tr>
        <w:tc>
          <w:tcPr/>
          <w:p>
            <w:pPr>
              <w:pStyle w:val="Compact"/>
              <w:jc w:val="left"/>
            </w:pPr>
            <w:r>
              <w:t xml:space="preserve">NCT06109649</w:t>
            </w:r>
          </w:p>
        </w:tc>
        <w:tc>
          <w:tcPr/>
          <w:p>
            <w:pPr>
              <w:pStyle w:val="Compact"/>
              <w:jc w:val="left"/>
            </w:pPr>
            <w:r>
              <w:t xml:space="preserve">Afamelanotide</w:t>
            </w:r>
          </w:p>
        </w:tc>
        <w:tc>
          <w:tcPr/>
          <w:p>
            <w:pPr>
              <w:pStyle w:val="Compact"/>
              <w:jc w:val="left"/>
            </w:pPr>
            <w:r>
              <w:t xml:space="preserve">vitiligo with phototherapy, 200 participants</w:t>
            </w:r>
          </w:p>
        </w:tc>
        <w:tc>
          <w:tcPr/>
          <w:p>
            <w:pPr>
              <w:pStyle w:val="Compact"/>
              <w:jc w:val="left"/>
            </w:pPr>
            <w:r>
              <w:t xml:space="preserve">June 2026 (result pending)</w:t>
            </w:r>
          </w:p>
        </w:tc>
      </w:tr>
      <w:tr>
        <w:tc>
          <w:tcPr/>
          <w:p>
            <w:pPr>
              <w:pStyle w:val="Compact"/>
              <w:jc w:val="left"/>
            </w:pPr>
            <w:r>
              <w:t xml:space="preserve">NCT05086614</w:t>
            </w:r>
          </w:p>
        </w:tc>
        <w:tc>
          <w:tcPr/>
          <w:p>
            <w:pPr>
              <w:pStyle w:val="Compact"/>
              <w:jc w:val="left"/>
            </w:pPr>
            <w:r>
              <w:t xml:space="preserve">Thymosin alpha-1</w:t>
            </w:r>
          </w:p>
        </w:tc>
        <w:tc>
          <w:tcPr/>
          <w:p>
            <w:pPr>
              <w:pStyle w:val="Compact"/>
              <w:jc w:val="left"/>
            </w:pPr>
            <w:r>
              <w:t xml:space="preserve">disease-free survival after colorectal cancer, 2,500 participants</w:t>
            </w:r>
          </w:p>
        </w:tc>
        <w:tc>
          <w:tcPr/>
          <w:p>
            <w:pPr>
              <w:pStyle w:val="Compact"/>
              <w:jc w:val="left"/>
            </w:pPr>
            <w:r>
              <w:t xml:space="preserve">March 2027</w:t>
            </w:r>
          </w:p>
        </w:tc>
      </w:tr>
      <w:tr>
        <w:tc>
          <w:tcPr/>
          <w:p>
            <w:pPr>
              <w:pStyle w:val="Compact"/>
              <w:jc w:val="left"/>
            </w:pPr>
            <w:r>
              <w:t xml:space="preserve">ReNEW, NCT06373731</w:t>
            </w:r>
          </w:p>
        </w:tc>
        <w:tc>
          <w:tcPr/>
          <w:p>
            <w:pPr>
              <w:pStyle w:val="Compact"/>
              <w:jc w:val="left"/>
            </w:pPr>
            <w:r>
              <w:t xml:space="preserve">Elamipretide (SS-31)</w:t>
            </w:r>
          </w:p>
        </w:tc>
        <w:tc>
          <w:tcPr/>
          <w:p>
            <w:pPr>
              <w:pStyle w:val="Compact"/>
              <w:jc w:val="left"/>
            </w:pPr>
            <w:r>
              <w:t xml:space="preserve">dry macular degeneration, 313 participants</w:t>
            </w:r>
          </w:p>
        </w:tc>
        <w:tc>
          <w:tcPr/>
          <w:p>
            <w:pPr>
              <w:pStyle w:val="Compact"/>
              <w:jc w:val="left"/>
            </w:pPr>
            <w:r>
              <w:t xml:space="preserve">September 2027</w:t>
            </w:r>
          </w:p>
        </w:tc>
      </w:tr>
      <w:tr>
        <w:tc>
          <w:tcPr/>
          <w:p>
            <w:pPr>
              <w:pStyle w:val="Compact"/>
              <w:jc w:val="left"/>
            </w:pPr>
            <w:r>
              <w:t xml:space="preserve">NCT06948214</w:t>
            </w:r>
          </w:p>
        </w:tc>
        <w:tc>
          <w:tcPr/>
          <w:p>
            <w:pPr>
              <w:pStyle w:val="Compact"/>
              <w:jc w:val="left"/>
            </w:pPr>
            <w:r>
              <w:t xml:space="preserve">Ibutamoren (LUM-201, not a peptide)</w:t>
            </w:r>
          </w:p>
        </w:tc>
        <w:tc>
          <w:tcPr/>
          <w:p>
            <w:pPr>
              <w:pStyle w:val="Compact"/>
              <w:jc w:val="left"/>
            </w:pPr>
            <w:r>
              <w:t xml:space="preserve">growth in children with hormone deficiency, 150 participants</w:t>
            </w:r>
          </w:p>
        </w:tc>
        <w:tc>
          <w:tcPr/>
          <w:p>
            <w:pPr>
              <w:pStyle w:val="Compact"/>
              <w:jc w:val="left"/>
            </w:pPr>
            <w:r>
              <w:t xml:space="preserve">January 2028</w:t>
            </w:r>
          </w:p>
        </w:tc>
      </w:tr>
    </w:tbl>
    <w:p>
      <w:pPr>
        <w:pStyle w:val="BodyText"/>
      </w:pPr>
      <w:r>
        <w:t xml:space="preserve">Details on each study are given in the section</w:t>
      </w:r>
      <w:r>
        <w:t xml:space="preserve"> </w:t>
      </w:r>
      <w:r>
        <w:t xml:space="preserve">“</w:t>
      </w:r>
      <w:r>
        <w:t xml:space="preserve">Ongoing studies and outlook</w:t>
      </w:r>
      <w:r>
        <w:t xml:space="preserve">”</w:t>
      </w:r>
      <w:r>
        <w:t xml:space="preserve"> </w:t>
      </w:r>
      <w:r>
        <w:t xml:space="preserve">of the respective chapter.</w:t>
      </w:r>
    </w:p>
    <w:bookmarkEnd w:id="2837"/>
    <w:bookmarkStart w:id="2847" w:name="X7f835002284688093b42e313eb9e494aaba08e6"/>
    <w:p>
      <w:pPr>
        <w:pStyle w:val="Heading3"/>
      </w:pPr>
      <w:r>
        <w:t xml:space="preserve">What the registry reveals about the direction</w:t>
      </w:r>
    </w:p>
    <w:p>
      <w:pPr>
        <w:pStyle w:val="FirstParagraph"/>
      </w:pPr>
      <w:r>
        <w:rPr>
          <w:bCs/>
          <w:b/>
        </w:rPr>
        <w:t xml:space="preserve">From the scale to hard endpoints.</w:t>
      </w:r>
      <w:r>
        <w:t xml:space="preserve"> </w:t>
      </w:r>
      <w:r>
        <w:t xml:space="preserve">The first generation of weight-loss trials mainly measured kilograms. The large trials of the coming years ask whether heart attacks, strokes, heart failure, kidney failure, or liver cirrhosis become less frequent. All six ongoing phase 3 trials in Group A with more than 5,000 participants each are such outcome trials. For health insurers deciding on reimbursement, these results are more important than any record in weight loss.</w:t>
      </w:r>
    </w:p>
    <w:p>
      <w:pPr>
        <w:pStyle w:val="BodyText"/>
      </w:pPr>
      <w:r>
        <w:rPr>
          <w:bCs/>
          <w:b/>
        </w:rPr>
        <w:t xml:space="preserve">Head-to-head comparisons.</w:t>
      </w:r>
      <w:r>
        <w:t xml:space="preserve"> </w:t>
      </w:r>
      <w:r>
        <w:t xml:space="preserve">New agents increasingly have to measure up against the established ones, not just against placebo: retatrutide against tirzepatide</w:t>
      </w:r>
      <w:r>
        <w:rPr>
          <w:rStyle w:val="FootnoteReference"/>
        </w:rPr>
        <w:footnoteReference w:id="2838"/>
      </w:r>
      <w:r>
        <w:t xml:space="preserve">, zenagamtide against semaglutide (AMAZE 7, NCT07668414), maridebart cafraglutide against semaglutide in type 2 diabetes (MARITIME-T2D-3, NCT07866066). New companies are also competing directly: Roche is testing the GLP-1/GIP dual agonist enicepatide against tirzepatide</w:t>
      </w:r>
      <w:r>
        <w:rPr>
          <w:rStyle w:val="FootnoteReference"/>
        </w:rPr>
        <w:footnoteReference w:id="2839"/>
      </w:r>
      <w:r>
        <w:t xml:space="preserve">, the company Kailera the agent ribupatide against semaglutide (KaiNETIC-3, NCT07284979), and AstraZeneca the once-daily oral agent elecoglipron against the semaglutide tablet (Eluminate-2, NCT07662213).</w:t>
      </w:r>
    </w:p>
    <w:p>
      <w:pPr>
        <w:pStyle w:val="BodyText"/>
      </w:pPr>
      <w:r>
        <w:rPr>
          <w:bCs/>
          <w:b/>
        </w:rPr>
        <w:t xml:space="preserve">Maintaining weight rather than just losing it.</w:t>
      </w:r>
      <w:r>
        <w:t xml:space="preserve"> </w:t>
      </w:r>
      <w:r>
        <w:t xml:space="preserve">Several studies explicitly examine the period after weight loss: retatrutide for weight maintenance (TRIUMPH-6, NCT06859268), a long-term CagriSema study over two years plus extension</w:t>
      </w:r>
      <w:r>
        <w:rPr>
          <w:rStyle w:val="FootnoteReference"/>
        </w:rPr>
        <w:footnoteReference w:id="2840"/>
      </w:r>
      <w:r>
        <w:t xml:space="preserve">, switching from other GLP-1 drugs to the monthly maridebart cafraglutide</w:t>
      </w:r>
      <w:r>
        <w:rPr>
          <w:rStyle w:val="FootnoteReference"/>
        </w:rPr>
        <w:footnoteReference w:id="2841"/>
      </w:r>
      <w:r>
        <w:t xml:space="preserve"> </w:t>
      </w:r>
      <w:r>
        <w:t xml:space="preserve">or to berobenatide, a monthly injectable investigational agent from Pfizer</w:t>
      </w:r>
      <w:r>
        <w:rPr>
          <w:rStyle w:val="FootnoteReference"/>
        </w:rPr>
        <w:footnoteReference w:id="2842"/>
      </w:r>
      <w:r>
        <w:t xml:space="preserve">. The background is studies such as SURMOUNT-4: those who stopped tirzepatide after 36 weeks regained an average of 14.0% in the following year, while weight fell by a further 5.5% with continued treatment</w:t>
      </w:r>
      <w:r>
        <w:rPr>
          <w:rStyle w:val="FootnoteReference"/>
        </w:rPr>
        <w:footnoteReference w:id="2843"/>
      </w:r>
      <w:r>
        <w:t xml:space="preserve">.</w:t>
      </w:r>
    </w:p>
    <w:p>
      <w:pPr>
        <w:pStyle w:val="BodyText"/>
      </w:pPr>
      <w:r>
        <w:rPr>
          <w:bCs/>
          <w:b/>
        </w:rPr>
        <w:t xml:space="preserve">New countries, new molecules.</w:t>
      </w:r>
      <w:r>
        <w:t xml:space="preserve"> </w:t>
      </w:r>
      <w:r>
        <w:t xml:space="preserve">A large proportion of the new phase 3 trials comes from Chinese companies testing their own GLP-1-based agents against semaglutide or dulaglutide – for example, bofanglutide, injected every two weeks (BALANCE-OBS, NCT07622810), or the exendin-4 fusion protein JY09</w:t>
      </w:r>
      <w:r>
        <w:rPr>
          <w:rStyle w:val="FootnoteReference"/>
        </w:rPr>
        <w:footnoteReference w:id="2844"/>
      </w:r>
      <w:r>
        <w:t xml:space="preserve">. The market is therefore becoming broader, not just stronger.</w:t>
      </w:r>
    </w:p>
    <w:p>
      <w:pPr>
        <w:pStyle w:val="BodyText"/>
      </w:pPr>
      <w:r>
        <w:rPr>
          <w:bCs/>
          <w:b/>
        </w:rPr>
        <w:t xml:space="preserve">Children and adolescents.</w:t>
      </w:r>
      <w:r>
        <w:t xml:space="preserve"> </w:t>
      </w:r>
      <w:r>
        <w:t xml:space="preserve">For almost all major agents, studies are ongoing in adolescents, and in some cases also in children, for example for tirzepatide</w:t>
      </w:r>
      <w:r>
        <w:rPr>
          <w:rStyle w:val="FootnoteReference"/>
        </w:rPr>
        <w:footnoteReference w:id="2845"/>
      </w:r>
      <w:r>
        <w:t xml:space="preserve">, orforglipron</w:t>
      </w:r>
      <w:r>
        <w:rPr>
          <w:rStyle w:val="FootnoteReference"/>
        </w:rPr>
        <w:footnoteReference w:id="2846"/>
      </w:r>
      <w:r>
        <w:t xml:space="preserve">, and CagriSema (NCT07253285, planned completion 2033).</w:t>
      </w:r>
    </w:p>
    <w:p>
      <w:pPr>
        <w:pStyle w:val="BodyText"/>
      </w:pPr>
      <w:r>
        <w:rPr>
          <w:bCs/>
          <w:b/>
        </w:rPr>
        <w:t xml:space="preserve">And outside metabolism?</w:t>
      </w:r>
      <w:r>
        <w:t xml:space="preserve"> </w:t>
      </w:r>
      <w:r>
        <w:t xml:space="preserve">Here the pipeline is thin. Where a peptide cannot be patented, is already sold as a dietary supplement, or exists only on the gray market, hardly anyone finances expensive approval trials. This explains why the very peptides most discussed on the internet are practically absent from the registries.</w:t>
      </w:r>
    </w:p>
    <w:bookmarkEnd w:id="2847"/>
    <w:bookmarkStart w:id="2865" w:name="new-mechanisms-of-action"/>
    <w:p>
      <w:pPr>
        <w:pStyle w:val="Heading3"/>
      </w:pPr>
      <w:r>
        <w:t xml:space="preserve">New mechanisms of action</w:t>
      </w:r>
    </w:p>
    <w:bookmarkStart w:id="2851" w:name="triple-agonists"/>
    <w:p>
      <w:pPr>
        <w:pStyle w:val="Heading4"/>
      </w:pPr>
      <w:r>
        <w:t xml:space="preserve">Triple agonists</w:t>
      </w:r>
    </w:p>
    <w:p>
      <w:pPr>
        <w:pStyle w:val="FirstParagraph"/>
      </w:pPr>
      <w:r>
        <w:t xml:space="preserve">Retatrutide activates three receptors at once: GLP-1, GIP, and glucagon. The glucagon component is intended to increase energy expenditure and fat breakdown in the liver. In the phase 2 trial with 338 adults, weight fell by 24.2% after 48 weeks at the highest dose studied, compared with 2.1% on placebo</w:t>
      </w:r>
      <w:r>
        <w:rPr>
          <w:rStyle w:val="FootnoteReference"/>
        </w:rPr>
        <w:footnoteReference w:id="2848"/>
      </w:r>
      <w:r>
        <w:t xml:space="preserve">. The first phase 3 trial, TRIUMPH-1, with 2,339 adults confirmed this: after 80 weeks, weight loss was 17.6 to 25.0% depending on dose, compared with 3.9% on placebo. In participants with knee osteoarthritis, pain decreased, and in those with sleep apnea, the number of breathing pauses</w:t>
      </w:r>
      <w:r>
        <w:rPr>
          <w:rStyle w:val="FootnoteReference"/>
        </w:rPr>
        <w:footnoteReference w:id="2849"/>
      </w:r>
      <w:r>
        <w:t xml:space="preserve">. Whether this additional weight loss also leads to fewer cardiac and kidney events is to be shown by TRIUMPH-Outcomes by 2029</w:t>
      </w:r>
      <w:r>
        <w:rPr>
          <w:rStyle w:val="FootnoteReference"/>
        </w:rPr>
        <w:footnoteReference w:id="2850"/>
      </w:r>
      <w:r>
        <w:t xml:space="preserve">. Details and side effects are described in the chapter Retatrutide.</w:t>
      </w:r>
    </w:p>
    <w:bookmarkEnd w:id="2851"/>
    <w:bookmarkStart w:id="2856" w:name="amylin-the-fourth-hormone-pathway"/>
    <w:p>
      <w:pPr>
        <w:pStyle w:val="Heading4"/>
      </w:pPr>
      <w:r>
        <w:t xml:space="preserve">Amylin: the fourth hormone pathway</w:t>
      </w:r>
    </w:p>
    <w:p>
      <w:pPr>
        <w:pStyle w:val="FirstParagraph"/>
      </w:pPr>
      <w:r>
        <w:t xml:space="preserve">Amylin is released together with insulin and acts in the brainstem to promote satiety. Three lines of development can be distinguished:</w:t>
      </w:r>
    </w:p>
    <w:p>
      <w:pPr>
        <w:numPr>
          <w:ilvl w:val="0"/>
          <w:numId w:val="1355"/>
        </w:numPr>
        <w:pStyle w:val="Compact"/>
      </w:pPr>
      <w:r>
        <w:rPr>
          <w:bCs/>
          <w:b/>
        </w:rPr>
        <w:t xml:space="preserve">Combination in one injection:</w:t>
      </w:r>
      <w:r>
        <w:t xml:space="preserve"> </w:t>
      </w:r>
      <w:r>
        <w:t xml:space="preserve">CagriSema combines the amylin analog cagrilintide with semaglutide. In REDEFINE 1 with 3,417 adults, weight fell by 20.4% after 68 weeks, compared with 3.0% on placebo; gastrointestinal complaints occurred in 79.6% versus 39.9%</w:t>
      </w:r>
      <w:r>
        <w:rPr>
          <w:rStyle w:val="FootnoteReference"/>
        </w:rPr>
        <w:footnoteReference w:id="2852"/>
      </w:r>
      <w:r>
        <w:t xml:space="preserve">.</w:t>
      </w:r>
    </w:p>
    <w:p>
      <w:pPr>
        <w:numPr>
          <w:ilvl w:val="0"/>
          <w:numId w:val="1355"/>
        </w:numPr>
        <w:pStyle w:val="Compact"/>
      </w:pPr>
      <w:r>
        <w:rPr>
          <w:bCs/>
          <w:b/>
        </w:rPr>
        <w:t xml:space="preserve">One molecule for two receptors:</w:t>
      </w:r>
      <w:r>
        <w:t xml:space="preserve"> </w:t>
      </w:r>
      <w:r>
        <w:t xml:space="preserve">Amycretin, since 2026 zenagamtide, activates GLP-1 and amylin receptors simultaneously. In a small phase 1b/2a study with 125 participants, weight fell by 24.3% after 36 weeks at the highest dose level</w:t>
      </w:r>
      <w:r>
        <w:rPr>
          <w:rStyle w:val="FootnoteReference"/>
        </w:rPr>
        <w:footnoteReference w:id="2853"/>
      </w:r>
      <w:r>
        <w:t xml:space="preserve">. The phase 3 program AMAZE has been running since 2026.</w:t>
      </w:r>
    </w:p>
    <w:p>
      <w:pPr>
        <w:numPr>
          <w:ilvl w:val="0"/>
          <w:numId w:val="1355"/>
        </w:numPr>
        <w:pStyle w:val="Compact"/>
      </w:pPr>
      <w:r>
        <w:rPr>
          <w:bCs/>
          <w:b/>
        </w:rPr>
        <w:t xml:space="preserve">Amylin alone:</w:t>
      </w:r>
      <w:r>
        <w:t xml:space="preserve"> </w:t>
      </w:r>
      <w:r>
        <w:t xml:space="preserve">Here the hope is better tolerability. Eloralintide, a selective amylin receptor agonist from Lilly, led to 9 to 20% weight loss after 48 weeks in a phase 2 trial with 263 adults, compared with 0.4% on placebo; nausea and fatigue were, depending on the dose, considerably more frequent than with placebo</w:t>
      </w:r>
      <w:r>
        <w:rPr>
          <w:rStyle w:val="FootnoteReference"/>
        </w:rPr>
        <w:footnoteReference w:id="2854"/>
      </w:r>
      <w:r>
        <w:t xml:space="preserve">. Petrelintide from Zealand Pharma lowered weight by 7.9 to 9.8% after 28 weeks in the phase 2 trial ZUPREME 1 with 493 participants (placebo 1.7%). Nausea occurred in 20% versus 6%, but vomiting was not more frequent than with placebo</w:t>
      </w:r>
      <w:r>
        <w:rPr>
          <w:rStyle w:val="FootnoteReference"/>
        </w:rPr>
        <w:footnoteReference w:id="2855"/>
      </w:r>
      <w:r>
        <w:t xml:space="preserve">.</w:t>
      </w:r>
    </w:p>
    <w:p>
      <w:pPr>
        <w:pStyle w:val="FirstParagraph"/>
      </w:pPr>
      <w:r>
        <w:t xml:space="preserve">Both pure amylin agents are now in phase 3: eloralintide in ENLIGHTEN-1 with 1,980 planned participants (NCT07321886, completion July 2030), petrelintide in ZUPREME-3 with 3,900 planned participants under the leadership of Roche (NCT07843498, completion March 2029). Lilly is also testing a combination of eloralintide and tirzepatide (AMPLIFY-1, NCT07881432, 2,115 planned participants).</w:t>
      </w:r>
    </w:p>
    <w:bookmarkEnd w:id="2856"/>
    <w:bookmarkStart w:id="2859" w:name="antibodypeptide-conjugates"/>
    <w:p>
      <w:pPr>
        <w:pStyle w:val="Heading4"/>
      </w:pPr>
      <w:r>
        <w:t xml:space="preserve">Antibody–peptide conjugates</w:t>
      </w:r>
    </w:p>
    <w:p>
      <w:pPr>
        <w:pStyle w:val="FirstParagraph"/>
      </w:pPr>
      <w:r>
        <w:t xml:space="preserve">Peptides are rapidly broken down in the body and excreted via the kidneys. One solution is to couple them to an antibody that remains in the blood for weeks. A review describes such antibody–peptide conjugates as a distinct new class of agents: unlike fusion proteins, the peptide is produced chemically and only then attached to the antibody, so that it can also contain unusual building blocks</w:t>
      </w:r>
      <w:r>
        <w:rPr>
          <w:rStyle w:val="FootnoteReference"/>
        </w:rPr>
        <w:footnoteReference w:id="2857"/>
      </w:r>
      <w:r>
        <w:t xml:space="preserve">.</w:t>
      </w:r>
    </w:p>
    <w:p>
      <w:pPr>
        <w:pStyle w:val="BodyText"/>
      </w:pPr>
      <w:r>
        <w:t xml:space="preserve">The best-known example is maridebart cafraglutide (MariTide). It combines an antibody that blocks the GIP receptor with GLP-1-like peptides that activate the GLP-1 receptor. In the phase 2 trial with 592 participants, it was injected every four or eight weeks. After 52 weeks, weight loss without diabetes was 12.3 to 16.2% (placebo 2.5%), and with type 2 diabetes 8.4 to 12.3% (placebo 1.7%). Gastrointestinal complaints were common, but less frequent when the dose was increased slowly</w:t>
      </w:r>
      <w:r>
        <w:rPr>
          <w:rStyle w:val="FootnoteReference"/>
        </w:rPr>
        <w:footnoteReference w:id="2858"/>
      </w:r>
      <w:r>
        <w:t xml:space="preserve">. The concept is: fewer injections rather than maximum effect.</w:t>
      </w:r>
    </w:p>
    <w:bookmarkEnd w:id="2859"/>
    <w:bookmarkStart w:id="2863" w:name="preserving-muscle-during-weight-loss"/>
    <w:p>
      <w:pPr>
        <w:pStyle w:val="Heading4"/>
      </w:pPr>
      <w:r>
        <w:t xml:space="preserve">Preserving muscle during weight loss</w:t>
      </w:r>
    </w:p>
    <w:p>
      <w:pPr>
        <w:pStyle w:val="FirstParagraph"/>
      </w:pPr>
      <w:r>
        <w:t xml:space="preserve">With any substantial weight loss, muscle and bone mass are also lost. One approach is the antibody</w:t>
      </w:r>
      <w:r>
        <w:t xml:space="preserve"> </w:t>
      </w:r>
      <w:r>
        <w:rPr>
          <w:bCs/>
          <w:b/>
        </w:rPr>
        <w:t xml:space="preserve">bimagrumab</w:t>
      </w:r>
      <w:r>
        <w:t xml:space="preserve">, which blocks activin type II receptors – switches that slow muscle growth. Bimagrumab is not a peptide, but it is being specifically combined with peptide drugs.</w:t>
      </w:r>
    </w:p>
    <w:p>
      <w:pPr>
        <w:numPr>
          <w:ilvl w:val="0"/>
          <w:numId w:val="1356"/>
        </w:numPr>
        <w:pStyle w:val="Compact"/>
      </w:pPr>
      <w:r>
        <w:t xml:space="preserve">In a phase 2 trial with 75 adults with type 2 diabetes and overweight, bimagrumab alone reduced fat mass by 20.5% after 48 weeks, while fat-free mass increased by 3.6% (placebo −0.5% and −0.8%)</w:t>
      </w:r>
      <w:r>
        <w:rPr>
          <w:rStyle w:val="FootnoteReference"/>
        </w:rPr>
        <w:footnoteReference w:id="2860"/>
      </w:r>
      <w:r>
        <w:t xml:space="preserve">.</w:t>
      </w:r>
    </w:p>
    <w:p>
      <w:pPr>
        <w:numPr>
          <w:ilvl w:val="0"/>
          <w:numId w:val="1356"/>
        </w:numPr>
        <w:pStyle w:val="Compact"/>
      </w:pPr>
      <w:r>
        <w:t xml:space="preserve">In a phase 2 trial with 507 adults with obesity, weight loss after 48 weeks was 9.3 kg with bimagrumab alone, 14.2 kg with semaglutide alone, and 17.8 kg with the combination (placebo 3.3 kg). Common side effects of bimagrumab were muscle cramps, diarrhea, and acne</w:t>
      </w:r>
      <w:r>
        <w:rPr>
          <w:rStyle w:val="FootnoteReference"/>
        </w:rPr>
        <w:footnoteReference w:id="2861"/>
      </w:r>
      <w:r>
        <w:t xml:space="preserve">.</w:t>
      </w:r>
    </w:p>
    <w:p>
      <w:pPr>
        <w:pStyle w:val="FirstParagraph"/>
      </w:pPr>
      <w:r>
        <w:t xml:space="preserve">Lilly is now testing bimagrumab with tirzepatide (NCT06643728, 252 participants, completion January 2027). A smaller study at Massachusetts General Hospital is examining the same combination with regard to body composition and bone</w:t>
      </w:r>
      <w:r>
        <w:rPr>
          <w:rStyle w:val="FootnoteReference"/>
        </w:rPr>
        <w:footnoteReference w:id="2862"/>
      </w:r>
      <w:r>
        <w:t xml:space="preserve">. Whether more muscle mass on a scan also means more strength, fewer falls, or fewer fractures has not yet been demonstrated. No phase 3 trials are listed in the registry.</w:t>
      </w:r>
    </w:p>
    <w:bookmarkEnd w:id="2863"/>
    <w:bookmarkStart w:id="2864" w:name="tablets"/>
    <w:p>
      <w:pPr>
        <w:pStyle w:val="Heading4"/>
      </w:pPr>
      <w:r>
        <w:t xml:space="preserve">Tablets</w:t>
      </w:r>
    </w:p>
    <w:p>
      <w:pPr>
        <w:pStyle w:val="FirstParagraph"/>
      </w:pPr>
      <w:r>
        <w:t xml:space="preserve">Perhaps the most consequential change concerns not the receptor but the route into the body: tablets containing peptides and small molecules that act like peptides. The next chapter is devoted to this topic.</w:t>
      </w:r>
    </w:p>
    <w:bookmarkEnd w:id="2864"/>
    <w:bookmarkEnd w:id="2865"/>
    <w:bookmarkStart w:id="2866" w:name="key-points-in-brief-8"/>
    <w:p>
      <w:pPr>
        <w:pStyle w:val="Heading3"/>
      </w:pPr>
      <w:r>
        <w:t xml:space="preserve">Key points in brief</w:t>
      </w:r>
    </w:p>
    <w:p>
      <w:pPr>
        <w:numPr>
          <w:ilvl w:val="0"/>
          <w:numId w:val="1357"/>
        </w:numPr>
        <w:pStyle w:val="Compact"/>
      </w:pPr>
      <w:r>
        <w:t xml:space="preserve">After excluding fictitious and unrelated entries, 730 interventional studies are ongoing on the agents in this book, including 157 in phase 3.</w:t>
      </w:r>
    </w:p>
    <w:p>
      <w:pPr>
        <w:numPr>
          <w:ilvl w:val="0"/>
          <w:numId w:val="1357"/>
        </w:numPr>
        <w:pStyle w:val="Compact"/>
      </w:pPr>
      <w:r>
        <w:t xml:space="preserve">Almost nine out of ten late-stage studies concern metabolism and weight. For the popular gray-market peptides, not a single phase 3 trial is ongoing.</w:t>
      </w:r>
    </w:p>
    <w:p>
      <w:pPr>
        <w:numPr>
          <w:ilvl w:val="0"/>
          <w:numId w:val="1357"/>
        </w:numPr>
        <w:pStyle w:val="Compact"/>
      </w:pPr>
      <w:r>
        <w:t xml:space="preserve">The large cardiovascular, kidney, and liver trials will end between 2027 and 2032. Only they will show whether the new agents achieve more than lowering weight.</w:t>
      </w:r>
    </w:p>
    <w:p>
      <w:pPr>
        <w:numPr>
          <w:ilvl w:val="0"/>
          <w:numId w:val="1357"/>
        </w:numPr>
        <w:pStyle w:val="Compact"/>
      </w:pPr>
      <w:r>
        <w:t xml:space="preserve">New mechanisms of action – triple agonists, amylin, antibody–peptide conjugates, muscle preservation – are supported by phase 2 trials, and most are in phase 3. Approval is not assured for any of these new agents.</w:t>
      </w:r>
    </w:p>
    <w:bookmarkEnd w:id="2866"/>
    <w:bookmarkEnd w:id="2867"/>
    <w:bookmarkStart w:id="2903" w:name="tablets-instead-of-injections"/>
    <w:p>
      <w:pPr>
        <w:pStyle w:val="Heading2"/>
      </w:pPr>
      <w:r>
        <w:t xml:space="preserve">Tablets Instead of Injections</w:t>
      </w:r>
    </w:p>
    <w:p>
      <w:pPr>
        <w:pStyle w:val="FirstParagraph"/>
      </w:pPr>
      <w:r>
        <w:t xml:space="preserve">Almost all peptide drugs in this book are injected. There is a simple reason for this: the gastrointestinal tract is designed to break down proteins and peptides into their building blocks. What makes sense for food renders a peptide useless as a drug before it reaches the blood. Part I described these obstacles in detail (chapter</w:t>
      </w:r>
      <w:r>
        <w:t xml:space="preserve"> </w:t>
      </w:r>
      <w:r>
        <w:t xml:space="preserve">“</w:t>
      </w:r>
      <w:r>
        <w:t xml:space="preserve">How Peptides Get into the Body</w:t>
      </w:r>
      <w:r>
        <w:t xml:space="preserve">”</w:t>
      </w:r>
      <w:r>
        <w:t xml:space="preserve">).</w:t>
      </w:r>
    </w:p>
    <w:p>
      <w:pPr>
        <w:pStyle w:val="BodyText"/>
      </w:pPr>
      <w:r>
        <w:t xml:space="preserve">There are several reasons why tablets are nevertheless being intensively researched. Many people do not like injecting themselves. Injections usually have to be refrigerated, and pens are complex to manufacture. And because, according to current knowledge, anti-obesity drugs have to be taken permanently to work, every simplification of long-term treatment counts. A review describes how oral forms of insulin, calcitonin, parathyroid hormone, and vasopressin had already been tested in clinical studies, and that only semaglutide brought the breakthrough for a widely used agent</w:t>
      </w:r>
      <w:r>
        <w:rPr>
          <w:rStyle w:val="FootnoteReference"/>
        </w:rPr>
        <w:footnoteReference w:id="2868"/>
      </w:r>
      <w:r>
        <w:t xml:space="preserve">.</w:t>
      </w:r>
    </w:p>
    <w:p>
      <w:pPr>
        <w:pStyle w:val="BodyText"/>
      </w:pPr>
      <w:r>
        <w:t xml:space="preserve">Today there are two fundamentally different routes to a tablet: either you protect a</w:t>
      </w:r>
      <w:r>
        <w:t xml:space="preserve"> </w:t>
      </w:r>
      <w:r>
        <w:rPr>
          <w:bCs/>
          <w:b/>
        </w:rPr>
        <w:t xml:space="preserve">peptide</w:t>
      </w:r>
      <w:r>
        <w:t xml:space="preserve"> </w:t>
      </w:r>
      <w:r>
        <w:t xml:space="preserve">so that at least a small part is absorbed – or you replace the peptide with a</w:t>
      </w:r>
      <w:r>
        <w:t xml:space="preserve"> </w:t>
      </w:r>
      <w:r>
        <w:rPr>
          <w:bCs/>
          <w:b/>
        </w:rPr>
        <w:t xml:space="preserve">small molecule</w:t>
      </w:r>
      <w:r>
        <w:t xml:space="preserve"> </w:t>
      </w:r>
      <w:r>
        <w:t xml:space="preserve">that passes from the gut into the blood like an ordinary drug and nevertheless acts on the same receptor.</w:t>
      </w:r>
    </w:p>
    <w:bookmarkStart w:id="2883" w:name="route-1-peptide-plus-absorption-enhancer"/>
    <w:p>
      <w:pPr>
        <w:pStyle w:val="Heading3"/>
      </w:pPr>
      <w:r>
        <w:t xml:space="preserve">Route 1: Peptide plus absorption enhancer</w:t>
      </w:r>
    </w:p>
    <w:bookmarkStart w:id="2870" w:name="the-principle"/>
    <w:p>
      <w:pPr>
        <w:pStyle w:val="Heading4"/>
      </w:pPr>
      <w:r>
        <w:t xml:space="preserve">The principle</w:t>
      </w:r>
    </w:p>
    <w:p>
      <w:pPr>
        <w:pStyle w:val="FirstParagraph"/>
      </w:pPr>
      <w:r>
        <w:t xml:space="preserve">An</w:t>
      </w:r>
      <w:r>
        <w:t xml:space="preserve"> </w:t>
      </w:r>
      <w:r>
        <w:rPr>
          <w:bCs/>
          <w:b/>
        </w:rPr>
        <w:t xml:space="preserve">absorption enhancer</w:t>
      </w:r>
      <w:r>
        <w:t xml:space="preserve"> </w:t>
      </w:r>
      <w:r>
        <w:t xml:space="preserve">(technical term: permeation enhancer) is an excipient that briefly makes the mucosa more permeable or protects the peptide from degradation. In the semaglutide tablet, this is the excipient</w:t>
      </w:r>
      <w:r>
        <w:t xml:space="preserve"> </w:t>
      </w:r>
      <w:r>
        <w:rPr>
          <w:bCs/>
          <w:b/>
        </w:rPr>
        <w:t xml:space="preserve">SNAC</w:t>
      </w:r>
      <w:r>
        <w:t xml:space="preserve">. It raises the pH in the immediate vicinity of the tablet, dampens the activation of the digestive enzyme pepsin, and ensures that semaglutide is present as a single molecule that is more easily absorbed. Nevertheless, according to a review, only about 0.4 to 1% of the active ingredient reaches the blood – and only when fasting and with little water. After a meal, practically no semaglutide is detectable in the blood</w:t>
      </w:r>
      <w:r>
        <w:rPr>
          <w:rStyle w:val="FootnoteReference"/>
        </w:rPr>
        <w:footnoteReference w:id="2869"/>
      </w:r>
      <w:r>
        <w:t xml:space="preserve">. This is the reason for the strict administration rules set out in the prescribing information.</w:t>
      </w:r>
    </w:p>
    <w:bookmarkEnd w:id="2870"/>
    <w:bookmarkStart w:id="2872" w:name="the-semaglutide-tablet-in-obesity"/>
    <w:p>
      <w:pPr>
        <w:pStyle w:val="Heading4"/>
      </w:pPr>
      <w:r>
        <w:t xml:space="preserve">The semaglutide tablet in obesity</w:t>
      </w:r>
    </w:p>
    <w:p>
      <w:pPr>
        <w:pStyle w:val="FirstParagraph"/>
      </w:pPr>
      <w:r>
        <w:t xml:space="preserve">For type 2 diabetes, the semaglutide tablet (Rybelsus) has been approved in the EU since 2020. For obesity, higher doses were tested: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OASIS 1 (Knop 2023), PMID 37385278</w:t>
            </w:r>
          </w:p>
        </w:tc>
        <w:tc>
          <w:tcPr/>
          <w:p>
            <w:pPr>
              <w:pStyle w:val="Compact"/>
              <w:jc w:val="left"/>
            </w:pPr>
            <w:r>
              <w:t xml:space="preserve">667 adults without diabetes, tablet vs. placebo</w:t>
            </w:r>
          </w:p>
        </w:tc>
        <w:tc>
          <w:tcPr/>
          <w:p>
            <w:pPr>
              <w:pStyle w:val="Compact"/>
              <w:jc w:val="left"/>
            </w:pPr>
            <w:r>
              <w:t xml:space="preserve">68 weeks</w:t>
            </w:r>
          </w:p>
        </w:tc>
        <w:tc>
          <w:tcPr/>
          <w:p>
            <w:pPr>
              <w:pStyle w:val="Compact"/>
              <w:jc w:val="left"/>
            </w:pPr>
            <w:r>
              <w:t xml:space="preserve">−15.1% weight vs. −2.4%</w:t>
            </w:r>
          </w:p>
        </w:tc>
      </w:tr>
      <w:tr>
        <w:tc>
          <w:tcPr/>
          <w:p>
            <w:pPr>
              <w:pStyle w:val="Compact"/>
              <w:jc w:val="left"/>
            </w:pPr>
            <w:r>
              <w:t xml:space="preserve">OASIS 4 (Wharton 2025), PMID 40934115</w:t>
            </w:r>
          </w:p>
        </w:tc>
        <w:tc>
          <w:tcPr/>
          <w:p>
            <w:pPr>
              <w:pStyle w:val="Compact"/>
              <w:jc w:val="left"/>
            </w:pPr>
            <w:r>
              <w:t xml:space="preserve">307 adults without diabetes, lower tablet dose vs. placebo</w:t>
            </w:r>
          </w:p>
        </w:tc>
        <w:tc>
          <w:tcPr/>
          <w:p>
            <w:pPr>
              <w:pStyle w:val="Compact"/>
              <w:jc w:val="left"/>
            </w:pPr>
            <w:r>
              <w:t xml:space="preserve">64 weeks</w:t>
            </w:r>
          </w:p>
        </w:tc>
        <w:tc>
          <w:tcPr/>
          <w:p>
            <w:pPr>
              <w:pStyle w:val="Compact"/>
              <w:jc w:val="left"/>
            </w:pPr>
            <w:r>
              <w:t xml:space="preserve">−13.6% vs. −2.2%</w:t>
            </w:r>
          </w:p>
        </w:tc>
      </w:tr>
      <w:tr>
        <w:tc>
          <w:tcPr/>
          <w:p>
            <w:pPr>
              <w:pStyle w:val="Compact"/>
              <w:jc w:val="left"/>
            </w:pPr>
            <w:r>
              <w:t xml:space="preserve">For comparison: STEP 1 (Wilding 2021), PMID 33567185</w:t>
            </w:r>
          </w:p>
        </w:tc>
        <w:tc>
          <w:tcPr/>
          <w:p>
            <w:pPr>
              <w:pStyle w:val="Compact"/>
              <w:jc w:val="left"/>
            </w:pPr>
            <w:r>
              <w:t xml:space="preserve">1,961 adults without diabetes, weekly injection vs. placebo</w:t>
            </w:r>
          </w:p>
        </w:tc>
        <w:tc>
          <w:tcPr/>
          <w:p>
            <w:pPr>
              <w:pStyle w:val="Compact"/>
              <w:jc w:val="left"/>
            </w:pPr>
            <w:r>
              <w:t xml:space="preserve">68 weeks</w:t>
            </w:r>
          </w:p>
        </w:tc>
        <w:tc>
          <w:tcPr/>
          <w:p>
            <w:pPr>
              <w:pStyle w:val="Compact"/>
              <w:jc w:val="left"/>
            </w:pPr>
            <w:r>
              <w:t xml:space="preserve">−14.9% vs. −2.4%</w:t>
            </w:r>
          </w:p>
        </w:tc>
      </w:tr>
    </w:tbl>
    <w:p>
      <w:pPr>
        <w:pStyle w:val="BodyText"/>
      </w:pPr>
      <w:r>
        <w:t xml:space="preserve">In both tablet studies, gastrointestinal complaints were common: 80% versus 46% on placebo in OASIS 1, 74.0% versus 42.2% in OASIS 4. According to the chapter Semaglutide, the OASIS 4 study forms the basis of the Wegovy tablet approved in the US (please check current approval status). Another phase 3 trial of the tablet is ongoing (OASIS 5, NCT07770841, completion April 2028).</w:t>
      </w:r>
    </w:p>
    <w:p>
      <w:pPr>
        <w:pStyle w:val="BodyText"/>
      </w:pPr>
      <w:r>
        <w:t xml:space="preserve">The figures are close to those of the injection. A large direct comparison between tablet and injection in obesity is lacking, however, and cross-trial comparisons are only a rough guide.</w:t>
      </w:r>
    </w:p>
    <w:p>
      <w:pPr>
        <w:pStyle w:val="BodyText"/>
      </w:pPr>
      <w:r>
        <w:rPr>
          <w:bCs/>
          <w:b/>
        </w:rPr>
        <w:t xml:space="preserve">A disadvantage that is rarely mentioned:</w:t>
      </w:r>
      <w:r>
        <w:t xml:space="preserve"> </w:t>
      </w:r>
      <w:r>
        <w:t xml:space="preserve">because only a fraction is absorbed, the tablet needs many times more active ingredient. A cost estimate for generic versions after patent expiry arrived at 28 to 140 US dollars per person per year for injected semaglutide, and 186 to 380 US dollars for the tablet</w:t>
      </w:r>
      <w:r>
        <w:rPr>
          <w:rStyle w:val="FootnoteReference"/>
        </w:rPr>
        <w:footnoteReference w:id="2871"/>
      </w:r>
      <w:r>
        <w:t xml:space="preserve">. The tablet is therefore not automatically the cheaper solution (more on this in the chapter</w:t>
      </w:r>
      <w:r>
        <w:t xml:space="preserve"> </w:t>
      </w:r>
      <w:r>
        <w:t xml:space="preserve">“</w:t>
      </w:r>
      <w:r>
        <w:t xml:space="preserve">Patents, Generics, and Prices</w:t>
      </w:r>
      <w:r>
        <w:t xml:space="preserve">”</w:t>
      </w:r>
      <w:r>
        <w:t xml:space="preserve">).</w:t>
      </w:r>
    </w:p>
    <w:bookmarkEnd w:id="2872"/>
    <w:bookmarkStart w:id="2874" w:name="hard-endpoints-soul"/>
    <w:p>
      <w:pPr>
        <w:pStyle w:val="Heading4"/>
      </w:pPr>
      <w:r>
        <w:t xml:space="preserve">Hard endpoints: SOUL</w:t>
      </w:r>
    </w:p>
    <w:p>
      <w:pPr>
        <w:pStyle w:val="FirstParagraph"/>
      </w:pPr>
      <w:r>
        <w:t xml:space="preserve">For type 2 diabetes, the benefit of the semaglutide tablet beyond blood sugar has been demonstrated. In SOUL with 9,650 people with type 2 diabetes and vascular or kidney disease, major cardiovascular events over a mean observation period of about four years occurred in 12.0% on the tablet and in 13.8% on placebo (hazard ratio 0.86). The confirmatory kidney endpoints did not differ significantly</w:t>
      </w:r>
      <w:r>
        <w:rPr>
          <w:rStyle w:val="FootnoteReference"/>
        </w:rPr>
        <w:footnoteReference w:id="2873"/>
      </w:r>
      <w:r>
        <w:t xml:space="preserve">. For people with obesity without diabetes, there is as yet no such study with the tablet.</w:t>
      </w:r>
    </w:p>
    <w:bookmarkEnd w:id="2874"/>
    <w:bookmarkStart w:id="2877" w:name="amylin-and-glp-1-as-a-tablet"/>
    <w:p>
      <w:pPr>
        <w:pStyle w:val="Heading4"/>
      </w:pPr>
      <w:r>
        <w:t xml:space="preserve">Amylin and GLP-1 as a tablet</w:t>
      </w:r>
    </w:p>
    <w:p>
      <w:pPr>
        <w:pStyle w:val="FirstParagraph"/>
      </w:pPr>
      <w:r>
        <w:t xml:space="preserve">Novo Nordisk is also developing amycretin (since 2026 zenagamtide) as a tablet. According to the study publication, the peptide acts on GLP-1, amylin, and calcitonin receptors. In a phase 2 trial with 186 adults with type 2 diabetes, HbA1c fell after 36 weeks by 0.5 to 1.1 percentage points more in the three dose groups than with placebo. Gastrointestinal complaints occurred in 26 to 47% depending on dose (placebo 23%); serious adverse events affected 4% on zenagamtide and nobody on placebo</w:t>
      </w:r>
      <w:r>
        <w:rPr>
          <w:rStyle w:val="FootnoteReference"/>
        </w:rPr>
        <w:footnoteReference w:id="2875"/>
      </w:r>
      <w:r>
        <w:t xml:space="preserve">. The phase 3 trial AMAZE 9 is testing the tablet in overweight with 950 participants (NCT07720271, completion August 2028). A phase 1 study explicitly examines how the amount of water and the timing of meals affect absorption</w:t>
      </w:r>
      <w:r>
        <w:rPr>
          <w:rStyle w:val="FootnoteReference"/>
        </w:rPr>
        <w:footnoteReference w:id="2876"/>
      </w:r>
      <w:r>
        <w:t xml:space="preserve"> </w:t>
      </w:r>
      <w:r>
        <w:t xml:space="preserve">– an indication that this tablet, too, is likely to be subject to administration rules.</w:t>
      </w:r>
    </w:p>
    <w:bookmarkEnd w:id="2877"/>
    <w:bookmarkStart w:id="2882" w:name="oral-peptides-beyond-metabolism"/>
    <w:p>
      <w:pPr>
        <w:pStyle w:val="Heading4"/>
      </w:pPr>
      <w:r>
        <w:t xml:space="preserve">Oral peptides beyond metabolism</w:t>
      </w:r>
    </w:p>
    <w:p>
      <w:pPr>
        <w:pStyle w:val="FirstParagraph"/>
      </w:pPr>
      <w:r>
        <w:t xml:space="preserve">The breakthrough is not limited to weight-loss drugs. Two examples show that oral peptides are becoming a drug class of their own:</w:t>
      </w:r>
    </w:p>
    <w:p>
      <w:pPr>
        <w:numPr>
          <w:ilvl w:val="0"/>
          <w:numId w:val="1358"/>
        </w:numPr>
        <w:pStyle w:val="Compact"/>
      </w:pPr>
      <w:r>
        <w:rPr>
          <w:bCs/>
          <w:b/>
        </w:rPr>
        <w:t xml:space="preserve">Enlicitide</w:t>
      </w:r>
      <w:r>
        <w:t xml:space="preserve"> </w:t>
      </w:r>
      <w:r>
        <w:t xml:space="preserve">is a ring-shaped (macrocyclic) peptide that inhibits the protein PCSK9 and thus lowers LDL cholesterol. Until now, such inhibitors existed only as injections (antibodies). The agent was discovered using a method that searches very large peptide libraries for suitable binding partners, and was then specifically optimized chemically</w:t>
      </w:r>
      <w:r>
        <w:rPr>
          <w:rStyle w:val="FootnoteReference"/>
        </w:rPr>
        <w:footnoteReference w:id="2878"/>
      </w:r>
      <w:r>
        <w:t xml:space="preserve">. In the phase 3 trial CORALreef Lipids with 2,909 participants, LDL cholesterol fell by 57.1% after 24 weeks, while it rose by 3.0% on placebo. Adverse events occurred with similar frequency in both groups</w:t>
      </w:r>
      <w:r>
        <w:rPr>
          <w:rStyle w:val="FootnoteReference"/>
        </w:rPr>
        <w:footnoteReference w:id="2879"/>
      </w:r>
      <w:r>
        <w:t xml:space="preserve">. Whether this also prevents heart attacks and strokes is to be shown by CORALreef Outcomes with 14,550 participants (NCT06008756, completion November 2031).</w:t>
      </w:r>
    </w:p>
    <w:p>
      <w:pPr>
        <w:numPr>
          <w:ilvl w:val="0"/>
          <w:numId w:val="1358"/>
        </w:numPr>
        <w:pStyle w:val="Compact"/>
      </w:pPr>
      <w:r>
        <w:rPr>
          <w:bCs/>
          <w:b/>
        </w:rPr>
        <w:t xml:space="preserve">Icotrokinra</w:t>
      </w:r>
      <w:r>
        <w:t xml:space="preserve"> </w:t>
      </w:r>
      <w:r>
        <w:t xml:space="preserve">is an oral peptide that blocks the receptor for the inflammatory messenger interleukin-23. In the phase 3 trial ICONIC-LEAD with 684 adults and adolescents with moderate to severe psoriasis, 65% achieved (almost) clear skin after 16 weeks compared with 8% on placebo; adverse events were equally frequent in both groups (49%)</w:t>
      </w:r>
      <w:r>
        <w:rPr>
          <w:rStyle w:val="FootnoteReference"/>
        </w:rPr>
        <w:footnoteReference w:id="2880"/>
      </w:r>
      <w:r>
        <w:t xml:space="preserve">. In March 2026, icotrokinra was approved in the US, and the review in the EU was ongoing (Keam 2026, PMID 42243571; please check current status). The path there is remarkable: according to a pharmacological study, icotrokinra works</w:t>
      </w:r>
      <w:r>
        <w:t xml:space="preserve"> </w:t>
      </w:r>
      <w:r>
        <w:rPr>
          <w:bCs/>
          <w:b/>
        </w:rPr>
        <w:t xml:space="preserve">without</w:t>
      </w:r>
      <w:r>
        <w:t xml:space="preserve"> </w:t>
      </w:r>
      <w:r>
        <w:t xml:space="preserve">an absorption enhancer. In animal experiments, only 0.1 to 0.3% reached the blood, and yet a systemic effect was measurable, because the peptide is very stable and very potent</w:t>
      </w:r>
      <w:r>
        <w:rPr>
          <w:rStyle w:val="FootnoteReference"/>
        </w:rPr>
        <w:footnoteReference w:id="2881"/>
      </w:r>
      <w:r>
        <w:t xml:space="preserve">. Studies in ulcerative colitis are ongoing (ICONIC-UC, NCT07196748).</w:t>
      </w:r>
    </w:p>
    <w:p>
      <w:pPr>
        <w:pStyle w:val="FirstParagraph"/>
      </w:pPr>
      <w:r>
        <w:t xml:space="preserve">Neither agent is a gray-market peptide; both are molecules deliberately designed from scratch and tested over years in large trials. They have nothing in common with the</w:t>
      </w:r>
      <w:r>
        <w:t xml:space="preserve"> </w:t>
      </w:r>
      <w:r>
        <w:t xml:space="preserve">“</w:t>
      </w:r>
      <w:r>
        <w:t xml:space="preserve">oral</w:t>
      </w:r>
      <w:r>
        <w:t xml:space="preserve">”</w:t>
      </w:r>
      <w:r>
        <w:t xml:space="preserve"> </w:t>
      </w:r>
      <w:r>
        <w:t xml:space="preserve">peptides offered on the internet.</w:t>
      </w:r>
    </w:p>
    <w:bookmarkEnd w:id="2882"/>
    <w:bookmarkEnd w:id="2883"/>
    <w:bookmarkStart w:id="2892" w:name="X047821f39919933729d3e7003ab4f089ec04b5a"/>
    <w:p>
      <w:pPr>
        <w:pStyle w:val="Heading3"/>
      </w:pPr>
      <w:r>
        <w:t xml:space="preserve">Route 2: Small molecules instead of peptides</w:t>
      </w:r>
    </w:p>
    <w:bookmarkStart w:id="2889" w:name="orforglipron"/>
    <w:p>
      <w:pPr>
        <w:pStyle w:val="Heading4"/>
      </w:pPr>
      <w:r>
        <w:t xml:space="preserve">Orforglipron</w:t>
      </w:r>
    </w:p>
    <w:p>
      <w:pPr>
        <w:pStyle w:val="FirstParagraph"/>
      </w:pPr>
      <w:r>
        <w:t xml:space="preserve">Orforglipron is not a peptide but a small, chemically manufactured molecule that activates the GLP-1 receptor (described in detail in the chapter Orforglipron in Part II · A). It is taken once daily like an ordinary tablet, according to the studies without regard to meals or the amount of water</w:t>
      </w:r>
      <w:r>
        <w:rPr>
          <w:rStyle w:val="FootnoteReference"/>
        </w:rPr>
        <w:footnoteReference w:id="2884"/>
      </w:r>
      <w:r>
        <w:t xml:space="preserve">.</w:t>
      </w:r>
    </w:p>
    <w:p>
      <w:pPr>
        <w:numPr>
          <w:ilvl w:val="0"/>
          <w:numId w:val="1359"/>
        </w:numPr>
        <w:pStyle w:val="Compact"/>
      </w:pPr>
      <w:r>
        <w:rPr>
          <w:bCs/>
          <w:b/>
        </w:rPr>
        <w:t xml:space="preserve">Weight:</w:t>
      </w:r>
      <w:r>
        <w:t xml:space="preserve"> </w:t>
      </w:r>
      <w:r>
        <w:t xml:space="preserve">In ATTAIN-1 with 3,127 adults with obesity, weight fell by 11.2% after 72 weeks at the highest dose, compared with 2.1% on placebo. Between 5.3 and 10.3% discontinued due to side effects (placebo 2.7%)</w:t>
      </w:r>
      <w:r>
        <w:rPr>
          <w:rStyle w:val="FootnoteReference"/>
        </w:rPr>
        <w:footnoteReference w:id="2885"/>
      </w:r>
      <w:r>
        <w:t xml:space="preserve">.</w:t>
      </w:r>
    </w:p>
    <w:p>
      <w:pPr>
        <w:numPr>
          <w:ilvl w:val="0"/>
          <w:numId w:val="1359"/>
        </w:numPr>
        <w:pStyle w:val="Compact"/>
      </w:pPr>
      <w:r>
        <w:rPr>
          <w:bCs/>
          <w:b/>
        </w:rPr>
        <w:t xml:space="preserve">Blood sugar:</w:t>
      </w:r>
      <w:r>
        <w:t xml:space="preserve"> </w:t>
      </w:r>
      <w:r>
        <w:t xml:space="preserve">In an open-label comparison with the semaglutide tablet (ACHIEVE-3, 1,698 participants), orforglipron lowered HbA1c more after 52 weeks, at the higher dose of each by 1.91 versus 1.47 percentage points</w:t>
      </w:r>
      <w:r>
        <w:rPr>
          <w:rStyle w:val="FootnoteReference"/>
        </w:rPr>
        <w:footnoteReference w:id="2886"/>
      </w:r>
      <w:r>
        <w:t xml:space="preserve">.</w:t>
      </w:r>
    </w:p>
    <w:p>
      <w:pPr>
        <w:numPr>
          <w:ilvl w:val="0"/>
          <w:numId w:val="1359"/>
        </w:numPr>
        <w:pStyle w:val="Compact"/>
      </w:pPr>
      <w:r>
        <w:rPr>
          <w:bCs/>
          <w:b/>
        </w:rPr>
        <w:t xml:space="preserve">Maintaining weight:</w:t>
      </w:r>
      <w:r>
        <w:t xml:space="preserve"> </w:t>
      </w:r>
      <w:r>
        <w:t xml:space="preserve">In ATTAIN-MAINTAIN, participants switched to orforglipron or placebo after weight loss with injected tirzepatide or semaglutide. After 52 weeks, they maintained 74.7% and 79.3% of their weight loss, respectively, with orforglipron, and 49.2% and 37.6% with placebo. There was no group that simply continued to receive the injection; the authors themselves cite this as a limitation</w:t>
      </w:r>
      <w:r>
        <w:rPr>
          <w:rStyle w:val="FootnoteReference"/>
        </w:rPr>
        <w:footnoteReference w:id="2887"/>
      </w:r>
      <w:r>
        <w:t xml:space="preserve">.</w:t>
      </w:r>
    </w:p>
    <w:p>
      <w:pPr>
        <w:numPr>
          <w:ilvl w:val="0"/>
          <w:numId w:val="1359"/>
        </w:numPr>
        <w:pStyle w:val="Compact"/>
      </w:pPr>
      <w:r>
        <w:rPr>
          <w:bCs/>
          <w:b/>
        </w:rPr>
        <w:t xml:space="preserve">Liver:</w:t>
      </w:r>
      <w:r>
        <w:t xml:space="preserve"> </w:t>
      </w:r>
      <w:r>
        <w:t xml:space="preserve">With small GLP-1 molecules, liver values were a particular concern. A pooled analysis of seven phase 3 trials with 11,220 participants found no case with orforglipron that met the criteria for drug-induced liver injury</w:t>
      </w:r>
      <w:r>
        <w:rPr>
          <w:rStyle w:val="FootnoteReference"/>
        </w:rPr>
        <w:footnoteReference w:id="2888"/>
      </w:r>
      <w:r>
        <w:t xml:space="preserve">.</w:t>
      </w:r>
    </w:p>
    <w:bookmarkEnd w:id="2889"/>
    <w:bookmarkStart w:id="2891" w:name="not-every-small-molecule-makes-it"/>
    <w:p>
      <w:pPr>
        <w:pStyle w:val="Heading4"/>
      </w:pPr>
      <w:r>
        <w:t xml:space="preserve">Not every small molecule makes it</w:t>
      </w:r>
    </w:p>
    <w:p>
      <w:pPr>
        <w:pStyle w:val="FirstParagraph"/>
      </w:pPr>
      <w:r>
        <w:t xml:space="preserve">That the route is difficult is shown by</w:t>
      </w:r>
      <w:r>
        <w:t xml:space="preserve"> </w:t>
      </w:r>
      <w:r>
        <w:rPr>
          <w:bCs/>
          <w:b/>
        </w:rPr>
        <w:t xml:space="preserve">danuglipron</w:t>
      </w:r>
      <w:r>
        <w:t xml:space="preserve"> </w:t>
      </w:r>
      <w:r>
        <w:t xml:space="preserve">from Pfizer. In a phase 2b trial with 628 adults with obesity, in which the tablets were taken twice daily, weight did fall considerably more than with placebo, but only 39.3% completed treatment; about 38% discontinued due to side effects</w:t>
      </w:r>
      <w:r>
        <w:rPr>
          <w:rStyle w:val="FootnoteReference"/>
        </w:rPr>
        <w:footnoteReference w:id="2890"/>
      </w:r>
      <w:r>
        <w:t xml:space="preserve">. According to statements by the manufacturer, development was discontinued. Other companies are developing their own tablets; AstraZeneca, for example, is testing the agent elecoglipron in a phase 3 trial against the semaglutide tablet (Eluminate-2, NCT07662213).</w:t>
      </w:r>
    </w:p>
    <w:bookmarkEnd w:id="2891"/>
    <w:bookmarkEnd w:id="2892"/>
    <w:bookmarkStart w:id="2894" w:name="X436123d6f3de7177b34db24f9b7c6919017aea7"/>
    <w:p>
      <w:pPr>
        <w:pStyle w:val="Heading3"/>
      </w:pPr>
      <w:r>
        <w:t xml:space="preserve">Peptide tablet or small molecule: a comparison</w:t>
      </w:r>
    </w:p>
    <w:p>
      <w:pPr>
        <w:pStyle w:val="FirstParagraph"/>
      </w:pPr>
      <w:r>
        <w:t xml:space="preserve">A direct comparison of the semaglutide tablet with orforglipron in obesity is lacking. One analysis compared the two indirectly by matching the individual participant data of OASIS 4 with the published aggregate data of ATTAIN-1. According to this, weight loss with the semaglutide tablet was around 3 percentage points greater, and discontinuations due to side effects were more frequent with orforglipron</w:t>
      </w:r>
      <w:r>
        <w:rPr>
          <w:rStyle w:val="FootnoteReference"/>
        </w:rPr>
        <w:footnoteReference w:id="2893"/>
      </w:r>
      <w:r>
        <w:t xml:space="preserve">. Such indirect comparisons should be read with caution: individual data were available for only one of the two studies, namely those of the semaglutide program.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Peptide injection</w:t>
            </w:r>
          </w:p>
        </w:tc>
        <w:tc>
          <w:tcPr/>
          <w:p>
            <w:pPr>
              <w:pStyle w:val="Compact"/>
              <w:jc w:val="left"/>
            </w:pPr>
            <w:r>
              <w:t xml:space="preserve">Peptide tablet</w:t>
            </w:r>
          </w:p>
        </w:tc>
        <w:tc>
          <w:tcPr/>
          <w:p>
            <w:pPr>
              <w:pStyle w:val="Compact"/>
              <w:jc w:val="left"/>
            </w:pPr>
            <w:r>
              <w:t xml:space="preserve">Small molecule</w:t>
            </w:r>
          </w:p>
        </w:tc>
      </w:tr>
      <w:tr>
        <w:tc>
          <w:tcPr/>
          <w:p>
            <w:pPr>
              <w:pStyle w:val="Compact"/>
              <w:jc w:val="left"/>
            </w:pPr>
            <w:r>
              <w:t xml:space="preserve">Example</w:t>
            </w:r>
          </w:p>
        </w:tc>
        <w:tc>
          <w:tcPr/>
          <w:p>
            <w:pPr>
              <w:pStyle w:val="Compact"/>
              <w:jc w:val="left"/>
            </w:pPr>
            <w:r>
              <w:t xml:space="preserve">Semaglutide, tirzepatide</w:t>
            </w:r>
          </w:p>
        </w:tc>
        <w:tc>
          <w:tcPr/>
          <w:p>
            <w:pPr>
              <w:pStyle w:val="Compact"/>
              <w:jc w:val="left"/>
            </w:pPr>
            <w:r>
              <w:t xml:space="preserve">Semaglutide tablet, zenagamtide tablet</w:t>
            </w:r>
          </w:p>
        </w:tc>
        <w:tc>
          <w:tcPr/>
          <w:p>
            <w:pPr>
              <w:pStyle w:val="Compact"/>
              <w:jc w:val="left"/>
            </w:pPr>
            <w:r>
              <w:t xml:space="preserve">Orforglipron</w:t>
            </w:r>
          </w:p>
        </w:tc>
      </w:tr>
      <w:tr>
        <w:tc>
          <w:tcPr/>
          <w:p>
            <w:pPr>
              <w:pStyle w:val="Compact"/>
              <w:jc w:val="left"/>
            </w:pPr>
            <w:r>
              <w:t xml:space="preserve">Administration</w:t>
            </w:r>
          </w:p>
        </w:tc>
        <w:tc>
          <w:tcPr/>
          <w:p>
            <w:pPr>
              <w:pStyle w:val="Compact"/>
              <w:jc w:val="left"/>
            </w:pPr>
            <w:r>
              <w:t xml:space="preserve">weekly to monthly</w:t>
            </w:r>
          </w:p>
        </w:tc>
        <w:tc>
          <w:tcPr/>
          <w:p>
            <w:pPr>
              <w:pStyle w:val="Compact"/>
              <w:jc w:val="left"/>
            </w:pPr>
            <w:r>
              <w:t xml:space="preserve">daily, fasting, with administration rules</w:t>
            </w:r>
          </w:p>
        </w:tc>
        <w:tc>
          <w:tcPr/>
          <w:p>
            <w:pPr>
              <w:pStyle w:val="Compact"/>
              <w:jc w:val="left"/>
            </w:pPr>
            <w:r>
              <w:t xml:space="preserve">daily, no food rules</w:t>
            </w:r>
          </w:p>
        </w:tc>
      </w:tr>
      <w:tr>
        <w:tc>
          <w:tcPr/>
          <w:p>
            <w:pPr>
              <w:pStyle w:val="Compact"/>
              <w:jc w:val="left"/>
            </w:pPr>
            <w:r>
              <w:t xml:space="preserve">Amount of active ingredient needed</w:t>
            </w:r>
          </w:p>
        </w:tc>
        <w:tc>
          <w:tcPr/>
          <w:p>
            <w:pPr>
              <w:pStyle w:val="Compact"/>
              <w:jc w:val="left"/>
            </w:pPr>
            <w:r>
              <w:t xml:space="preserve">low</w:t>
            </w:r>
          </w:p>
        </w:tc>
        <w:tc>
          <w:tcPr/>
          <w:p>
            <w:pPr>
              <w:pStyle w:val="Compact"/>
              <w:jc w:val="left"/>
            </w:pPr>
            <w:r>
              <w:t xml:space="preserve">very high (absorption about 1%)</w:t>
            </w:r>
          </w:p>
        </w:tc>
        <w:tc>
          <w:tcPr/>
          <w:p>
            <w:pPr>
              <w:pStyle w:val="Compact"/>
              <w:jc w:val="left"/>
            </w:pPr>
            <w:r>
              <w:t xml:space="preserve">normal for tablets</w:t>
            </w:r>
          </w:p>
        </w:tc>
      </w:tr>
      <w:tr>
        <w:tc>
          <w:tcPr/>
          <w:p>
            <w:pPr>
              <w:pStyle w:val="Compact"/>
              <w:jc w:val="left"/>
            </w:pPr>
            <w:r>
              <w:t xml:space="preserve">Weight loss in studies</w:t>
            </w:r>
          </w:p>
        </w:tc>
        <w:tc>
          <w:tcPr/>
          <w:p>
            <w:pPr>
              <w:pStyle w:val="Compact"/>
              <w:jc w:val="left"/>
            </w:pPr>
            <w:r>
              <w:t xml:space="preserve">highest</w:t>
            </w:r>
          </w:p>
        </w:tc>
        <w:tc>
          <w:tcPr/>
          <w:p>
            <w:pPr>
              <w:pStyle w:val="Compact"/>
              <w:jc w:val="left"/>
            </w:pPr>
            <w:r>
              <w:t xml:space="preserve">similar to semaglutide injection</w:t>
            </w:r>
          </w:p>
        </w:tc>
        <w:tc>
          <w:tcPr/>
          <w:p>
            <w:pPr>
              <w:pStyle w:val="Compact"/>
              <w:jc w:val="left"/>
            </w:pPr>
            <w:r>
              <w:t xml:space="preserve">somewhat lower</w:t>
            </w:r>
          </w:p>
        </w:tc>
      </w:tr>
      <w:tr>
        <w:tc>
          <w:tcPr/>
          <w:p>
            <w:pPr>
              <w:pStyle w:val="Compact"/>
              <w:jc w:val="left"/>
            </w:pPr>
            <w:r>
              <w:t xml:space="preserve">Metabolism, interactions</w:t>
            </w:r>
          </w:p>
        </w:tc>
        <w:tc>
          <w:tcPr/>
          <w:p>
            <w:pPr>
              <w:pStyle w:val="Compact"/>
              <w:jc w:val="left"/>
            </w:pPr>
            <w:r>
              <w:t xml:space="preserve">like protein, hardly any interactions</w:t>
            </w:r>
          </w:p>
        </w:tc>
        <w:tc>
          <w:tcPr/>
          <w:p>
            <w:pPr>
              <w:pStyle w:val="Compact"/>
              <w:jc w:val="left"/>
            </w:pPr>
            <w:r>
              <w:t xml:space="preserve">like protein</w:t>
            </w:r>
          </w:p>
        </w:tc>
        <w:tc>
          <w:tcPr/>
          <w:p>
            <w:pPr>
              <w:pStyle w:val="Compact"/>
              <w:jc w:val="left"/>
            </w:pPr>
            <w:r>
              <w:t xml:space="preserve">via liver enzymes, interactions possible</w:t>
            </w:r>
          </w:p>
        </w:tc>
      </w:tr>
      <w:tr>
        <w:tc>
          <w:tcPr/>
          <w:p>
            <w:pPr>
              <w:pStyle w:val="Compact"/>
              <w:jc w:val="left"/>
            </w:pPr>
            <w:r>
              <w:t xml:space="preserve">Hard endpoints</w:t>
            </w:r>
          </w:p>
        </w:tc>
        <w:tc>
          <w:tcPr/>
          <w:p>
            <w:pPr>
              <w:pStyle w:val="Compact"/>
              <w:jc w:val="left"/>
            </w:pPr>
            <w:r>
              <w:t xml:space="preserve">demonstrated for several agents</w:t>
            </w:r>
          </w:p>
        </w:tc>
        <w:tc>
          <w:tcPr/>
          <w:p>
            <w:pPr>
              <w:pStyle w:val="Compact"/>
              <w:jc w:val="left"/>
            </w:pPr>
            <w:r>
              <w:t xml:space="preserve">demonstrated in type 2 diabetes (SOUL)</w:t>
            </w:r>
          </w:p>
        </w:tc>
        <w:tc>
          <w:tcPr/>
          <w:p>
            <w:pPr>
              <w:pStyle w:val="Compact"/>
              <w:jc w:val="left"/>
            </w:pPr>
            <w:r>
              <w:t xml:space="preserve">outcome trial running until 2031</w:t>
            </w:r>
          </w:p>
        </w:tc>
      </w:tr>
    </w:tbl>
    <w:p>
      <w:pPr>
        <w:pStyle w:val="BodyText"/>
      </w:pPr>
      <w:r>
        <w:t xml:space="preserve">The point</w:t>
      </w:r>
      <w:r>
        <w:t xml:space="preserve"> </w:t>
      </w:r>
      <w:r>
        <w:t xml:space="preserve">“</w:t>
      </w:r>
      <w:r>
        <w:t xml:space="preserve">interactions</w:t>
      </w:r>
      <w:r>
        <w:t xml:space="preserve">”</w:t>
      </w:r>
      <w:r>
        <w:t xml:space="preserve"> </w:t>
      </w:r>
      <w:r>
        <w:t xml:space="preserve">deserves an explanation: peptides are broken down in the body like other proteins. Small molecules such as orforglipron, by contrast, are metabolized by liver enzymes through which many other drugs also pass. For this reason, numerous interaction studies were carried out for orforglipron (see the chapter Orforglipron).</w:t>
      </w:r>
    </w:p>
    <w:bookmarkEnd w:id="2894"/>
    <w:bookmarkStart w:id="2900" w:name="open-questions-2"/>
    <w:p>
      <w:pPr>
        <w:pStyle w:val="Heading3"/>
      </w:pPr>
      <w:r>
        <w:t xml:space="preserve">Open questions</w:t>
      </w:r>
    </w:p>
    <w:p>
      <w:pPr>
        <w:pStyle w:val="FirstParagraph"/>
      </w:pPr>
      <w:r>
        <w:rPr>
          <w:bCs/>
          <w:b/>
        </w:rPr>
        <w:t xml:space="preserve">Do people take a daily tablet more reliably than a weekly injection?</w:t>
      </w:r>
      <w:r>
        <w:t xml:space="preserve"> </w:t>
      </w:r>
      <w:r>
        <w:t xml:space="preserve">That is by no means certain. Anyone who swaps one injection a week for seven tablets has seven opportunities a week to forget a dose. With the semaglutide tablet, there is the additional factor that even a meal taken too early can practically prevent absorption</w:t>
      </w:r>
      <w:r>
        <w:rPr>
          <w:rStyle w:val="FootnoteReference"/>
        </w:rPr>
        <w:footnoteReference w:id="2895"/>
      </w:r>
      <w:r>
        <w:t xml:space="preserve">. How this affects efficacy in everyday life is not shown by approval trials with their closely supervised participants.</w:t>
      </w:r>
    </w:p>
    <w:p>
      <w:pPr>
        <w:pStyle w:val="BodyText"/>
      </w:pPr>
      <w:r>
        <w:rPr>
          <w:bCs/>
          <w:b/>
        </w:rPr>
        <w:t xml:space="preserve">Are there hard endpoints for tablets in obesity?</w:t>
      </w:r>
      <w:r>
        <w:t xml:space="preserve"> </w:t>
      </w:r>
      <w:r>
        <w:t xml:space="preserve">Not yet. SOUL concerned people with type 2 diabetes. The cardiovascular trial of orforglipron runs until 2031</w:t>
      </w:r>
      <w:r>
        <w:rPr>
          <w:rStyle w:val="FootnoteReference"/>
        </w:rPr>
        <w:footnoteReference w:id="2896"/>
      </w:r>
      <w:r>
        <w:t xml:space="preserve">, and orforglipron is even being tested in people with overweight to prevent progression to obesity or to complications (ATTAIN-NOW, NCT07794579, 2,001 participants, completion September 2030).</w:t>
      </w:r>
    </w:p>
    <w:p>
      <w:pPr>
        <w:pStyle w:val="BodyText"/>
      </w:pPr>
      <w:r>
        <w:rPr>
          <w:bCs/>
          <w:b/>
        </w:rPr>
        <w:t xml:space="preserve">Is the tablet the drug for maintenance?</w:t>
      </w:r>
      <w:r>
        <w:t xml:space="preserve"> </w:t>
      </w:r>
      <w:r>
        <w:t xml:space="preserve">ATTAIN-MAINTAIN suggests that switching from the injection to a tablet can maintain a large part of the weight loss. Whether this is as good as continuing the injection was not tested.</w:t>
      </w:r>
    </w:p>
    <w:p>
      <w:pPr>
        <w:pStyle w:val="BodyText"/>
      </w:pPr>
      <w:r>
        <w:rPr>
          <w:bCs/>
          <w:b/>
        </w:rPr>
        <w:t xml:space="preserve">Will tablets become cheaper?</w:t>
      </w:r>
      <w:r>
        <w:t xml:space="preserve"> </w:t>
      </w:r>
      <w:r>
        <w:t xml:space="preserve">For small molecules this is plausible, because they are manufactured using standard chemical processes. For peptide tablets, the cost estimate tends to argue against it, because they need much more active ingredient</w:t>
      </w:r>
      <w:r>
        <w:rPr>
          <w:rStyle w:val="FootnoteReference"/>
        </w:rPr>
        <w:footnoteReference w:id="2897"/>
      </w:r>
      <w:r>
        <w:t xml:space="preserve">. Specific prices in Europe are open.</w:t>
      </w:r>
    </w:p>
    <w:p>
      <w:pPr>
        <w:pStyle w:val="BodyText"/>
      </w:pPr>
      <w:r>
        <w:rPr>
          <w:bCs/>
          <w:b/>
        </w:rPr>
        <w:t xml:space="preserve">What about drops, orally disintegrating tablets, and nasal sprays from the internet?</w:t>
      </w:r>
      <w:r>
        <w:t xml:space="preserve"> </w:t>
      </w:r>
      <w:r>
        <w:t xml:space="preserve">Caution is warranted here. A study of compounded pharmacy preparations made in the US found semaglutide or tirzepatide preparations for use under the tongue and as orally disintegrating tablets for which there is no evidence of efficacy and safety</w:t>
      </w:r>
      <w:r>
        <w:rPr>
          <w:rStyle w:val="FootnoteReference"/>
        </w:rPr>
        <w:footnoteReference w:id="2898"/>
      </w:r>
      <w:r>
        <w:t xml:space="preserve">. In a laboratory analysis, copies of oral semaglutide in some cases contained considerably less active ingredient than stated and released the active ingredient and SNAC differently from the original</w:t>
      </w:r>
      <w:r>
        <w:rPr>
          <w:rStyle w:val="FootnoteReference"/>
        </w:rPr>
        <w:footnoteReference w:id="2899"/>
      </w:r>
      <w:r>
        <w:t xml:space="preserve">. A peptide sold</w:t>
      </w:r>
      <w:r>
        <w:t xml:space="preserve"> </w:t>
      </w:r>
      <w:r>
        <w:t xml:space="preserve">“</w:t>
      </w:r>
      <w:r>
        <w:t xml:space="preserve">as a tablet</w:t>
      </w:r>
      <w:r>
        <w:t xml:space="preserve">”</w:t>
      </w:r>
      <w:r>
        <w:t xml:space="preserve"> </w:t>
      </w:r>
      <w:r>
        <w:t xml:space="preserve">is hardly absorbed without a tested formulation – this applies to semaglutide as much as to BPC-157 or other gray-market peptides.</w:t>
      </w:r>
    </w:p>
    <w:bookmarkEnd w:id="2900"/>
    <w:bookmarkStart w:id="2901" w:name="authors-assessment"/>
    <w:p>
      <w:pPr>
        <w:pStyle w:val="Heading3"/>
      </w:pPr>
      <w:r>
        <w:t xml:space="preserve">Author’s assessment</w:t>
      </w:r>
    </w:p>
    <w:p>
      <w:pPr>
        <w:pStyle w:val="FirstParagraph"/>
      </w:pPr>
      <w:r>
        <w:t xml:space="preserve">The injection will not disappear, but its monopoly is over. For the phase of substantial weight loss, injected agents are likely to remain ahead in the coming years, because they achieve the most in studies and the cardiovascular data have so far been available almost exclusively for them. For years-long maintenance, for people with a fear of needles, and for countries without a reliable cold chain, on the other hand, tablets are a real advance. Whether peptide tablets or small molecules will prevail will be decided less by efficacy than by price, convenience of administration, and long-term safety. This is an assessment; what is established is only that both routes are being tested in large phase 3 trials.</w:t>
      </w:r>
    </w:p>
    <w:bookmarkEnd w:id="2901"/>
    <w:bookmarkStart w:id="2902" w:name="key-points-in-brief-9"/>
    <w:p>
      <w:pPr>
        <w:pStyle w:val="Heading3"/>
      </w:pPr>
      <w:r>
        <w:t xml:space="preserve">Key points in brief</w:t>
      </w:r>
    </w:p>
    <w:p>
      <w:pPr>
        <w:numPr>
          <w:ilvl w:val="0"/>
          <w:numId w:val="1360"/>
        </w:numPr>
        <w:pStyle w:val="Compact"/>
      </w:pPr>
      <w:r>
        <w:t xml:space="preserve">Peptides as tablets work only with great technical effort. With the semaglutide tablet, about 1% of the active ingredient reaches the blood, yet in studies it achieves weight loss similar to that of the injection.</w:t>
      </w:r>
    </w:p>
    <w:p>
      <w:pPr>
        <w:numPr>
          <w:ilvl w:val="0"/>
          <w:numId w:val="1360"/>
        </w:numPr>
        <w:pStyle w:val="Compact"/>
      </w:pPr>
      <w:r>
        <w:t xml:space="preserve">Small molecules such as orforglipron circumvent the problem, but achieved somewhat less weight loss in studies and are metabolized by liver enzymes.</w:t>
      </w:r>
    </w:p>
    <w:p>
      <w:pPr>
        <w:numPr>
          <w:ilvl w:val="0"/>
          <w:numId w:val="1360"/>
        </w:numPr>
        <w:pStyle w:val="Compact"/>
      </w:pPr>
      <w:r>
        <w:t xml:space="preserve">Oral peptides are also becoming a drug class of their own outside metabolism, for example against high cholesterol (enlicitide) and psoriasis (icotrokinra).</w:t>
      </w:r>
    </w:p>
    <w:p>
      <w:pPr>
        <w:numPr>
          <w:ilvl w:val="0"/>
          <w:numId w:val="1360"/>
        </w:numPr>
        <w:pStyle w:val="Compact"/>
      </w:pPr>
      <w:r>
        <w:t xml:space="preserve">Long-term data, hard endpoints in obesity, adherence in everyday life, and prices remain open.</w:t>
      </w:r>
    </w:p>
    <w:p>
      <w:pPr>
        <w:numPr>
          <w:ilvl w:val="0"/>
          <w:numId w:val="1360"/>
        </w:numPr>
        <w:pStyle w:val="Compact"/>
      </w:pPr>
      <w:r>
        <w:t xml:space="preserve">Drugs should only be used under medical supervision and in accordance with the prescribing information;</w:t>
      </w:r>
      <w:r>
        <w:t xml:space="preserve"> </w:t>
      </w:r>
      <w:r>
        <w:t xml:space="preserve">“</w:t>
      </w:r>
      <w:r>
        <w:t xml:space="preserve">oral</w:t>
      </w:r>
      <w:r>
        <w:t xml:space="preserve">”</w:t>
      </w:r>
      <w:r>
        <w:t xml:space="preserve"> </w:t>
      </w:r>
      <w:r>
        <w:t xml:space="preserve">gray-market peptides have nothing to do with these developments.</w:t>
      </w:r>
    </w:p>
    <w:bookmarkEnd w:id="2902"/>
    <w:bookmarkEnd w:id="2903"/>
    <w:bookmarkStart w:id="2930" w:name="patents-generics-and-prices"/>
    <w:p>
      <w:pPr>
        <w:pStyle w:val="Heading2"/>
      </w:pPr>
      <w:r>
        <w:t xml:space="preserve">Patents, Generics, and Prices</w:t>
      </w:r>
    </w:p>
    <w:p>
      <w:pPr>
        <w:pStyle w:val="FirstParagraph"/>
      </w:pPr>
      <w:r>
        <w:t xml:space="preserve">Whether a drug works is decided by studies. Whether it reaches people is decided by patents, prices, supply chains, and health insurers. With the GLP-1 drugs, this second part of the story is almost as dramatic as the first: supply shortages, a market for pharmacy copies in the US, counterfeits worldwide – and in 2026 the expiry of the first semaglutide patents in large countries.</w:t>
      </w:r>
    </w:p>
    <w:p>
      <w:pPr>
        <w:pStyle w:val="BodyText"/>
      </w:pPr>
      <w:r>
        <w:rPr>
          <w:bCs/>
          <w:b/>
        </w:rPr>
        <w:t xml:space="preserve">An important note up front:</w:t>
      </w:r>
      <w:r>
        <w:t xml:space="preserve"> </w:t>
      </w:r>
      <w:r>
        <w:t xml:space="preserve">prices, patent terms, and reimbursement rules change quickly and are only partly documented in scientific publications. Where this chapter gives information without a study reference, it is marked “” Specific prices in euros are deliberately not given, because they differ depending on country, package, and point in time.</w:t>
      </w:r>
    </w:p>
    <w:bookmarkStart w:id="2905" w:name="X34cca4ec869829afe51b021e59a08b254d64bf7"/>
    <w:p>
      <w:pPr>
        <w:pStyle w:val="Heading3"/>
      </w:pPr>
      <w:r>
        <w:t xml:space="preserve">Patents, generics, and biosimilars: the terms</w:t>
      </w:r>
    </w:p>
    <w:p>
      <w:pPr>
        <w:pStyle w:val="FirstParagraph"/>
      </w:pPr>
      <w:r>
        <w:t xml:space="preserve">A</w:t>
      </w:r>
      <w:r>
        <w:t xml:space="preserve"> </w:t>
      </w:r>
      <w:r>
        <w:rPr>
          <w:bCs/>
          <w:b/>
        </w:rPr>
        <w:t xml:space="preserve">patent</w:t>
      </w:r>
      <w:r>
        <w:t xml:space="preserve"> </w:t>
      </w:r>
      <w:r>
        <w:t xml:space="preserve">gives the manufacturer the exclusive right to sell an active ingredient for a limited period. In the EU and the US, the basic term is 20 years from filing; because development takes many years, it can be extended for drugs by up to five years through a supplementary protection certificate. In addition to the patent on the active ingredient itself, there are often further patents on manufacturing processes, dosage forms, or pens.</w:t>
      </w:r>
    </w:p>
    <w:p>
      <w:pPr>
        <w:pStyle w:val="BodyText"/>
      </w:pPr>
      <w:r>
        <w:t xml:space="preserve">After protection expires, other manufacturers may offer copies:</w:t>
      </w:r>
    </w:p>
    <w:p>
      <w:pPr>
        <w:numPr>
          <w:ilvl w:val="0"/>
          <w:numId w:val="1361"/>
        </w:numPr>
        <w:pStyle w:val="Compact"/>
      </w:pPr>
      <w:r>
        <w:rPr>
          <w:bCs/>
          <w:b/>
        </w:rPr>
        <w:t xml:space="preserve">Generics</w:t>
      </w:r>
      <w:r>
        <w:t xml:space="preserve"> </w:t>
      </w:r>
      <w:r>
        <w:t xml:space="preserve">are copies of chemically manufactured active ingredients. They must show that they contain the same active ingredient and are equally available in the body; new large efficacy studies are not required.</w:t>
      </w:r>
    </w:p>
    <w:p>
      <w:pPr>
        <w:numPr>
          <w:ilvl w:val="0"/>
          <w:numId w:val="1361"/>
        </w:numPr>
        <w:pStyle w:val="Compact"/>
      </w:pPr>
      <w:r>
        <w:rPr>
          <w:bCs/>
          <w:b/>
        </w:rPr>
        <w:t xml:space="preserve">Biosimilars</w:t>
      </w:r>
      <w:r>
        <w:t xml:space="preserve"> </w:t>
      </w:r>
      <w:r>
        <w:t xml:space="preserve">are follow-on versions of biologically manufactured active ingredients, such as antibodies or fusion proteins. Because biological manufacturing never yields completely identical molecules, their approval is more complex.</w:t>
      </w:r>
    </w:p>
    <w:p>
      <w:pPr>
        <w:pStyle w:val="FirstParagraph"/>
      </w:pPr>
      <w:r>
        <w:t xml:space="preserve">Short peptides such as liraglutide or semaglutide are in between: they can be manufactured by genetic engineering or chemically. This has practical consequences. A laboratory analysis compared 16 injectable and 8 oral semaglutide copies as well as 2 liraglutide copies with the originals. It found new impurities, considerably less active ingredient than stated in several semaglutide tablets, and a greater tendency to aggregate with liraglutide</w:t>
      </w:r>
      <w:r>
        <w:rPr>
          <w:rStyle w:val="FootnoteReference"/>
        </w:rPr>
        <w:footnoteReference w:id="2904"/>
      </w:r>
      <w:r>
        <w:t xml:space="preserve">. Whether the differences mean anything clinically is unknown, according to the authors. But it shows why authorities look closely at peptide copies.</w:t>
      </w:r>
    </w:p>
    <w:bookmarkEnd w:id="2905"/>
    <w:bookmarkStart w:id="2907" w:name="liraglutide-the-first-glp-1-generic"/>
    <w:p>
      <w:pPr>
        <w:pStyle w:val="Heading3"/>
      </w:pPr>
      <w:r>
        <w:t xml:space="preserve">Liraglutide: the first GLP-1 generic</w:t>
      </w:r>
    </w:p>
    <w:p>
      <w:pPr>
        <w:pStyle w:val="FirstParagraph"/>
      </w:pPr>
      <w:r>
        <w:t xml:space="preserve">Liraglutide is the first GLP-1 agent whose protection has expired in large markets. In the US, generics of the diabetes form (Victoza) have been on the market since 2024, and of the obesity form (Saxenda) since 2025. In Europe, copies are gradually being added; the situation differs from country to country (see the chapter Liraglutide).</w:t>
      </w:r>
    </w:p>
    <w:p>
      <w:pPr>
        <w:pStyle w:val="BodyText"/>
      </w:pPr>
      <w:r>
        <w:t xml:space="preserve">For access to care, this has two sides. On the one hand, an agent with proven cardiovascular benefit in type 2 diabetes is becoming cheaper. On the other hand, liraglutide has to be injected daily and is considerably less effective for weight than semaglutide: in STEP 8, weight fell by an average of 15.8% with weekly semaglutide and by 6.4% with daily liraglutide; 38.5% versus 6.0% lost at least a fifth of their weight</w:t>
      </w:r>
      <w:r>
        <w:rPr>
          <w:rStyle w:val="FootnoteReference"/>
        </w:rPr>
        <w:footnoteReference w:id="2906"/>
      </w:r>
      <w:r>
        <w:t xml:space="preserve">. For people who cannot afford the newer drug, an inexpensive older drug may nevertheless be a better choice than none at all.</w:t>
      </w:r>
    </w:p>
    <w:bookmarkEnd w:id="2907"/>
    <w:bookmarkStart w:id="2912" w:name="semaglutide-2026-as-a-turning-point"/>
    <w:p>
      <w:pPr>
        <w:pStyle w:val="Heading3"/>
      </w:pPr>
      <w:r>
        <w:t xml:space="preserve">Semaglutide: 2026 as a turning point</w:t>
      </w:r>
    </w:p>
    <w:p>
      <w:pPr>
        <w:pStyle w:val="FirstParagraph"/>
      </w:pPr>
      <w:r>
        <w:t xml:space="preserve">For semaglutide, the patents expire in 2026 in several large countries outside the EU and the US, including, according to the chapter Semaglutide, Canada, China, India, and Brazil. An analysis of patent databases arrived at the following picture</w:t>
      </w:r>
      <w:r>
        <w:rPr>
          <w:rStyle w:val="FootnoteReference"/>
        </w:rPr>
        <w:footnoteReference w:id="2908"/>
      </w:r>
      <w:r>
        <w:t xml:space="preserve">:</w:t>
      </w:r>
    </w:p>
    <w:p>
      <w:pPr>
        <w:numPr>
          <w:ilvl w:val="0"/>
          <w:numId w:val="1362"/>
        </w:numPr>
        <w:pStyle w:val="Compact"/>
      </w:pPr>
      <w:r>
        <w:t xml:space="preserve">In twelve countries, patent protection ends in 2026. They account for 47% of people with obesity and 49% of people with type 2 diabetes worldwide.</w:t>
      </w:r>
    </w:p>
    <w:p>
      <w:pPr>
        <w:numPr>
          <w:ilvl w:val="0"/>
          <w:numId w:val="1362"/>
        </w:numPr>
        <w:pStyle w:val="Compact"/>
      </w:pPr>
      <w:r>
        <w:t xml:space="preserve">In 150 further countries, the authors found no patent filing at all.</w:t>
      </w:r>
    </w:p>
    <w:p>
      <w:pPr>
        <w:numPr>
          <w:ilvl w:val="0"/>
          <w:numId w:val="1362"/>
        </w:numPr>
        <w:pStyle w:val="Compact"/>
      </w:pPr>
      <w:r>
        <w:t xml:space="preserve">By the end of 2026, injectable semaglutide copies could thus be available in 162 countries, home to 69% of people with type 2 diabetes and 84% of people with clinical obesity.</w:t>
      </w:r>
    </w:p>
    <w:p>
      <w:pPr>
        <w:numPr>
          <w:ilvl w:val="0"/>
          <w:numId w:val="1362"/>
        </w:numPr>
        <w:pStyle w:val="Compact"/>
      </w:pPr>
      <w:r>
        <w:t xml:space="preserve">From data on active ingredient shipments from India, they estimated production costs: one year of injectable semaglutide could be offered as a generic for 28 to 140 US dollars per person, the tablet for 186 to 380 US dollars. The pen accounted for a disproportionately large share of the costs.</w:t>
      </w:r>
    </w:p>
    <w:p>
      <w:pPr>
        <w:pStyle w:val="FirstParagraph"/>
      </w:pPr>
      <w:r>
        <w:t xml:space="preserve">The authors themselves emphasize that pen costs, further patents, and weak health systems may nevertheless limit access. How strongly generics can push down prices is shown by an analysis from India: there, prices for SGLT2 inhibitors and GLP-1 receptor agonists fell by about 60 to 90% after patent expiry. Between Indian generic prices and US list prices, the authors found differences of 15- to 65-fold. They also point out, however, that generics from different manufacturers can differ in quality and absorption in the body</w:t>
      </w:r>
      <w:r>
        <w:rPr>
          <w:rStyle w:val="FootnoteReference"/>
        </w:rPr>
        <w:footnoteReference w:id="2909"/>
      </w:r>
      <w:r>
        <w:t xml:space="preserve">.</w:t>
      </w:r>
    </w:p>
    <w:p>
      <w:pPr>
        <w:pStyle w:val="BodyText"/>
      </w:pPr>
      <w:r>
        <w:rPr>
          <w:bCs/>
          <w:b/>
        </w:rPr>
        <w:t xml:space="preserve">In the EU and the US</w:t>
      </w:r>
      <w:r>
        <w:t xml:space="preserve">, semaglutide generics are not expected until around 2031/2032. For readers in Austria and Germany, this means: a semaglutide generic legally sold in Canada or India is not an approved drug here. The rules on importing for personal use are narrow (see the chapter</w:t>
      </w:r>
      <w:r>
        <w:t xml:space="preserve"> </w:t>
      </w:r>
      <w:r>
        <w:t xml:space="preserve">“</w:t>
      </w:r>
      <w:r>
        <w:t xml:space="preserve">Legal Framework</w:t>
      </w:r>
      <w:r>
        <w:t xml:space="preserve">”</w:t>
      </w:r>
      <w:r>
        <w:t xml:space="preserve"> </w:t>
      </w:r>
      <w:r>
        <w:t xml:space="preserve">in Part I), and online offers that refer to such generics are a typical gateway for counterfeits (see the chapter</w:t>
      </w:r>
      <w:r>
        <w:t xml:space="preserve"> </w:t>
      </w:r>
      <w:r>
        <w:t xml:space="preserve">“</w:t>
      </w:r>
      <w:r>
        <w:t xml:space="preserve">The Gray Market</w:t>
      </w:r>
      <w:r>
        <w:t xml:space="preserve">”</w:t>
      </w:r>
      <w:r>
        <w:t xml:space="preserve">).</w:t>
      </w:r>
    </w:p>
    <w:p>
      <w:pPr>
        <w:pStyle w:val="BodyText"/>
      </w:pPr>
      <w:r>
        <w:rPr>
          <w:bCs/>
          <w:b/>
        </w:rPr>
        <w:t xml:space="preserve">A political signal:</w:t>
      </w:r>
      <w:r>
        <w:t xml:space="preserve"> </w:t>
      </w:r>
      <w:r>
        <w:t xml:space="preserve">in September 2025, the World Health Organization added semaglutide, liraglutide, dulaglutide, and tirzepatide to its List of Essential Medicines. One commentary sees this as a step intended to facilitate price negotiations and the development of generics in low- and middle-income countries; at the same time, it names lack of funds, weak infrastructure, and the risk of uncritical use as hurdles</w:t>
      </w:r>
      <w:r>
        <w:rPr>
          <w:rStyle w:val="FootnoteReference"/>
        </w:rPr>
        <w:footnoteReference w:id="2910"/>
      </w:r>
      <w:r>
        <w:t xml:space="preserve">. In its first guideline on GLP-1 therapies for obesity, the WHO issues a conditional recommendation for long-term treatment together with intensive behavioral therapy. As reasons for the qualification, it cites, among other things, limited long-term data, costs, and the question of equitable access</w:t>
      </w:r>
      <w:r>
        <w:rPr>
          <w:rStyle w:val="FootnoteReference"/>
        </w:rPr>
        <w:footnoteReference w:id="2911"/>
      </w:r>
      <w:r>
        <w:t xml:space="preserve">.</w:t>
      </w:r>
    </w:p>
    <w:bookmarkEnd w:id="2912"/>
    <w:bookmarkStart w:id="2913" w:name="tirzepatide-and-the-successors"/>
    <w:p>
      <w:pPr>
        <w:pStyle w:val="Heading3"/>
      </w:pPr>
      <w:r>
        <w:t xml:space="preserve">Tirzepatide and the successors</w:t>
      </w:r>
    </w:p>
    <w:p>
      <w:pPr>
        <w:pStyle w:val="FirstParagraph"/>
      </w:pPr>
      <w:r>
        <w:t xml:space="preserve">For tirzepatide and all newer agents – retatrutide, CagriSema, amycretin, maridebart cafraglutide, orforglipron – patent expiry is not to be expected this decade. For tirzepatide, according to industry information, generics are expected in the second half of the 2030s at the earliest. This results in a foreseeable pattern: the older agents will become cheaper, the most potent will remain expensive.</w:t>
      </w:r>
    </w:p>
    <w:bookmarkEnd w:id="2913"/>
    <w:bookmarkStart w:id="2917" w:name="the-end-of-compounding-in-the-us"/>
    <w:p>
      <w:pPr>
        <w:pStyle w:val="Heading3"/>
      </w:pPr>
      <w:r>
        <w:t xml:space="preserve">The end of compounding in the US</w:t>
      </w:r>
    </w:p>
    <w:p>
      <w:pPr>
        <w:pStyle w:val="FirstParagraph"/>
      </w:pPr>
      <w:r>
        <w:t xml:space="preserve">During the official supply shortages, US pharmacies were allowed to prepare semaglutide and tirzepatide themselves (</w:t>
      </w:r>
      <w:r>
        <w:t xml:space="preserve">“</w:t>
      </w:r>
      <w:r>
        <w:t xml:space="preserve">compounding,</w:t>
      </w:r>
      <w:r>
        <w:t xml:space="preserve">”</w:t>
      </w:r>
      <w:r>
        <w:t xml:space="preserve"> </w:t>
      </w:r>
      <w:r>
        <w:t xml:space="preserve">see Part I). This gave rise to a large market. A study in the US state of Colorado found, in spring 2024, 93 companies with 188 locations advertising such preparations – mostly as medical spas or weight-loss services. Forty-one of these websites referred to FDA approval in their product descriptions, although the preparations had none. One provider advertised a mixture with BPC-157, a substance that the FDA has classified as unsuitable for compounding</w:t>
      </w:r>
      <w:r>
        <w:rPr>
          <w:rStyle w:val="FootnoteReference"/>
        </w:rPr>
        <w:footnoteReference w:id="2914"/>
      </w:r>
      <w:r>
        <w:t xml:space="preserve">.</w:t>
      </w:r>
    </w:p>
    <w:p>
      <w:pPr>
        <w:pStyle w:val="BodyText"/>
      </w:pPr>
      <w:r>
        <w:t xml:space="preserve">After the FDA declared the shortages over – for tirzepatide at the end of 2024, for semaglutide at the beginning of 2025 – the transition periods for copies of the approved products expired over the course of 2025. Since then, only preparations that differ from the approved products have been permitted. One analysis found 33 such products, including mixtures with vitamin B12, glycine, or a laxative, as well as drops and orally disintegrating tablets whose benefit and safety are largely unknown</w:t>
      </w:r>
      <w:r>
        <w:rPr>
          <w:rStyle w:val="FootnoteReference"/>
        </w:rPr>
        <w:footnoteReference w:id="2915"/>
      </w:r>
      <w:r>
        <w:t xml:space="preserve">. A laboratory found in tirzepatide–B12 mixtures from various providers a previously unknown impurity that arises from a chemical reaction between tirzepatide and certain forms of B12; what consequences it has for health is unknown</w:t>
      </w:r>
      <w:r>
        <w:rPr>
          <w:rStyle w:val="FootnoteReference"/>
        </w:rPr>
        <w:footnoteReference w:id="2916"/>
      </w:r>
      <w:r>
        <w:t xml:space="preserve">.</w:t>
      </w:r>
    </w:p>
    <w:p>
      <w:pPr>
        <w:pStyle w:val="BodyText"/>
      </w:pPr>
      <w:r>
        <w:t xml:space="preserve">Compounding has thus not disappeared but has shifted into a niche in which</w:t>
      </w:r>
      <w:r>
        <w:t xml:space="preserve"> </w:t>
      </w:r>
      <w:r>
        <w:t xml:space="preserve">“</w:t>
      </w:r>
      <w:r>
        <w:t xml:space="preserve">personalized</w:t>
      </w:r>
      <w:r>
        <w:t xml:space="preserve">”</w:t>
      </w:r>
      <w:r>
        <w:t xml:space="preserve"> </w:t>
      </w:r>
      <w:r>
        <w:t xml:space="preserve">additives provide the legal basis. In Europe, there is no comparable system.</w:t>
      </w:r>
    </w:p>
    <w:bookmarkEnd w:id="2917"/>
    <w:bookmarkStart w:id="2920" w:name="supply-shortages"/>
    <w:p>
      <w:pPr>
        <w:pStyle w:val="Heading3"/>
      </w:pPr>
      <w:r>
        <w:t xml:space="preserve">Supply shortages</w:t>
      </w:r>
    </w:p>
    <w:p>
      <w:pPr>
        <w:pStyle w:val="FirstParagraph"/>
      </w:pPr>
      <w:r>
        <w:t xml:space="preserve">From 2022 onward, demand for semaglutide and later tirzepatide exceeded production. People with type 2 diabetes were at times unable to obtain their medication. In Germany and Austria, authorities and professional societies called for Ozempic to be reserved for people with type 2 diabetes and not to be prescribed purely for weight loss.</w:t>
      </w:r>
    </w:p>
    <w:p>
      <w:pPr>
        <w:pStyle w:val="BodyText"/>
      </w:pPr>
      <w:r>
        <w:t xml:space="preserve">How large was the proportion of off-label prescriptions? A nationwide registry study from Denmark provides an answer. The number of new Ozempic users rose sharply from 2022, to a peak of 10 per 1,000 adults per year at the beginning of 2023. In 2022, a third of new users had no documented type 2 diabetes; in 2023 this proportion fell again. The authors conclude that prescriptions for weight loss explain only a smaller part of the shortage</w:t>
      </w:r>
      <w:r>
        <w:rPr>
          <w:rStyle w:val="FootnoteReference"/>
        </w:rPr>
        <w:footnoteReference w:id="2918"/>
      </w:r>
      <w:r>
        <w:t xml:space="preserve">.</w:t>
      </w:r>
    </w:p>
    <w:p>
      <w:pPr>
        <w:pStyle w:val="BodyText"/>
      </w:pPr>
      <w:r>
        <w:t xml:space="preserve">Shortages have direct consequences for treatment. In a US study of 288 people who stopped semaglutide or tirzepatide for weight loss within the first year, 11.8% cited supply shortages as the main reason. Most common, however, were cost or insurance problems (47.6%), followed by side effects (14.6%); 2.4% switched to a compounded product</w:t>
      </w:r>
      <w:r>
        <w:rPr>
          <w:rStyle w:val="FootnoteReference"/>
        </w:rPr>
        <w:footnoteReference w:id="2919"/>
      </w:r>
      <w:r>
        <w:t xml:space="preserve">.</w:t>
      </w:r>
    </w:p>
    <w:p>
      <w:pPr>
        <w:pStyle w:val="BodyText"/>
      </w:pPr>
      <w:r>
        <w:t xml:space="preserve">The manufacturers have since greatly expanded their production capacity, and the official shortages are considered over in the US. In Europe, the situation varies by product and country.</w:t>
      </w:r>
    </w:p>
    <w:bookmarkEnd w:id="2920"/>
    <w:bookmarkStart w:id="2925" w:name="prices-what-is-a-weight-loss-drug-worth"/>
    <w:p>
      <w:pPr>
        <w:pStyle w:val="Heading3"/>
      </w:pPr>
      <w:r>
        <w:t xml:space="preserve">Prices: What is a weight-loss drug worth?</w:t>
      </w:r>
    </w:p>
    <w:p>
      <w:pPr>
        <w:pStyle w:val="FirstParagraph"/>
      </w:pPr>
      <w:r>
        <w:t xml:space="preserve">In the US, list prices for GLP-1 drugs are considerably higher than in Europe. Health economic studies from the US therefore ask whether the benefit justifies the price:</w:t>
      </w:r>
    </w:p>
    <w:p>
      <w:pPr>
        <w:numPr>
          <w:ilvl w:val="0"/>
          <w:numId w:val="1363"/>
        </w:numPr>
        <w:pStyle w:val="Compact"/>
      </w:pPr>
      <w:r>
        <w:t xml:space="preserve">A modeling study for US adults found that tirzepatide and semaglutide would prevent many cases of diabetes and cardiovascular disease over a lifetime, but were not cost-effective at the net prices at the time. To reach a common threshold, prices would have had to fall by a further 30.5% (tirzepatide) and 81.9% (semaglutide), respectively</w:t>
      </w:r>
      <w:r>
        <w:rPr>
          <w:rStyle w:val="FootnoteReference"/>
        </w:rPr>
        <w:footnoteReference w:id="2921"/>
      </w:r>
      <w:r>
        <w:t xml:space="preserve">.</w:t>
      </w:r>
    </w:p>
    <w:p>
      <w:pPr>
        <w:numPr>
          <w:ilvl w:val="0"/>
          <w:numId w:val="1363"/>
        </w:numPr>
        <w:pStyle w:val="Compact"/>
      </w:pPr>
      <w:r>
        <w:t xml:space="preserve">A meta-analysis of nine health economic studies from high-income countries concluded that GLP-1 receptor agonists for the treatment of obesity without diabetes are generally not cost-effective from the payer’s perspective; this may be different in subgroups and over longer time horizons</w:t>
      </w:r>
      <w:r>
        <w:rPr>
          <w:rStyle w:val="FootnoteReference"/>
        </w:rPr>
        <w:footnoteReference w:id="2922"/>
      </w:r>
      <w:r>
        <w:t xml:space="preserve">.</w:t>
      </w:r>
    </w:p>
    <w:p>
      <w:pPr>
        <w:numPr>
          <w:ilvl w:val="0"/>
          <w:numId w:val="1363"/>
        </w:numPr>
        <w:pStyle w:val="Compact"/>
      </w:pPr>
      <w:r>
        <w:t xml:space="preserve">For people without diabetes who had already had a heart attack or stroke, a modeling study came out more favorably: at the price that self-paying patients in the US paid at the time of the analysis, semaglutide would be cost-effective in this group</w:t>
      </w:r>
      <w:r>
        <w:rPr>
          <w:rStyle w:val="FootnoteReference"/>
        </w:rPr>
        <w:footnoteReference w:id="2923"/>
      </w:r>
      <w:r>
        <w:t xml:space="preserve">.</w:t>
      </w:r>
    </w:p>
    <w:p>
      <w:pPr>
        <w:pStyle w:val="FirstParagraph"/>
      </w:pPr>
      <w:r>
        <w:t xml:space="preserve">Such calculations depend heavily on price assumptions, and prices are moving. In the US, the manufacturers have introduced considerably cheaper direct offers for self-paying patients since 2025 and have reached price agreements with the government; semaglutide is also the subject of government price negotiations for the Medicare program for older adults. How strongly coverage influences use is shown by a US analysis: after Wegovy was approved in March 2024 for reducing cardiovascular risk and covered by Medicare for this use, the number of Wegovy packages dispensed through Medicare rose by a relative 598.1%</w:t>
      </w:r>
      <w:r>
        <w:rPr>
          <w:rStyle w:val="FootnoteReference"/>
        </w:rPr>
        <w:footnoteReference w:id="2924"/>
      </w:r>
      <w:r>
        <w:t xml:space="preserve">.</w:t>
      </w:r>
    </w:p>
    <w:p>
      <w:pPr>
        <w:pStyle w:val="BodyText"/>
      </w:pPr>
      <w:r>
        <w:rPr>
          <w:bCs/>
          <w:b/>
        </w:rPr>
        <w:t xml:space="preserve">Author’s assessment:</w:t>
      </w:r>
      <w:r>
        <w:t xml:space="preserve"> </w:t>
      </w:r>
      <w:r>
        <w:t xml:space="preserve">prices for GLP-1-based drugs will fall in the coming years – through generics of older agents, through competition between manufacturers, through tablets made from small molecules, and through political pressure. This will be felt most strongly in countries with early patent expiry. In the EU, the big price drop is likely to come only with semaglutide generics at the beginning of the 2030s.</w:t>
      </w:r>
    </w:p>
    <w:bookmarkEnd w:id="2925"/>
    <w:bookmarkStart w:id="2926" w:name="reimbursement-in-germany-and-austria"/>
    <w:p>
      <w:pPr>
        <w:pStyle w:val="Heading3"/>
      </w:pPr>
      <w:r>
        <w:t xml:space="preserve">Reimbursement in Germany and Austria</w:t>
      </w:r>
    </w:p>
    <w:p>
      <w:pPr>
        <w:pStyle w:val="FirstParagraph"/>
      </w:pPr>
      <w:r>
        <w:rPr>
          <w:bCs/>
          <w:b/>
        </w:rPr>
        <w:t xml:space="preserve">Germany:</w:t>
      </w:r>
      <w:r>
        <w:t xml:space="preserve"> </w:t>
      </w:r>
      <w:r>
        <w:t xml:space="preserve">For type 2 diabetes, statutory health insurance covers the costs of approved GLP-1 drugs such as Ozempic, Rybelsus, Trulicity, or Mounjaro within the scope of their approval. Drugs that serve predominantly for weight reduction, by contrast, are excluded from reimbursement under § 34 SGB V; people with statutory insurance therefore usually have to pay for Wegovy, Saxenda, and Mounjaro for weight management themselves. Whether this rule will be changed for people with high cardiovascular risk is being discussed politically and within the self-governing bodies of the health system. Private health insurers decide according to their own policy terms.</w:t>
      </w:r>
    </w:p>
    <w:p>
      <w:pPr>
        <w:pStyle w:val="BodyText"/>
      </w:pPr>
      <w:r>
        <w:rPr>
          <w:bCs/>
          <w:b/>
        </w:rPr>
        <w:t xml:space="preserve">Austria:</w:t>
      </w:r>
      <w:r>
        <w:t xml:space="preserve"> </w:t>
      </w:r>
      <w:r>
        <w:t xml:space="preserve">For type 2 diabetes, GLP-1 drugs are reimbursable, but coverage is in some cases tied to conditions or to approval by the health insurance fund. For weight management alone, costs are as a rule not covered, or only in exceptional cases.</w:t>
      </w:r>
    </w:p>
    <w:p>
      <w:pPr>
        <w:pStyle w:val="BodyText"/>
      </w:pPr>
      <w:r>
        <w:t xml:space="preserve">In both countries: whether a treatment is reimbursed depends on the indication, the clinical findings, and the current legal situation. Your treating physician and your health insurer are the right people to ask. A prescription for weight loss with a product approved only for diabetes is off-label use and is not reimbursed.</w:t>
      </w:r>
    </w:p>
    <w:bookmarkEnd w:id="2926"/>
    <w:bookmarkStart w:id="2928" w:name="what-this-means-for-patients"/>
    <w:p>
      <w:pPr>
        <w:pStyle w:val="Heading3"/>
      </w:pPr>
      <w:r>
        <w:t xml:space="preserve">What this means for patients</w:t>
      </w:r>
    </w:p>
    <w:p>
      <w:pPr>
        <w:numPr>
          <w:ilvl w:val="0"/>
          <w:numId w:val="1364"/>
        </w:numPr>
        <w:pStyle w:val="Compact"/>
      </w:pPr>
      <w:r>
        <w:rPr>
          <w:bCs/>
          <w:b/>
        </w:rPr>
        <w:t xml:space="preserve">Cheaper does not mean gray market.</w:t>
      </w:r>
      <w:r>
        <w:t xml:space="preserve"> </w:t>
      </w:r>
      <w:r>
        <w:t xml:space="preserve">With patent expiry in other countries, offers referring to</w:t>
      </w:r>
      <w:r>
        <w:t xml:space="preserve"> </w:t>
      </w:r>
      <w:r>
        <w:t xml:space="preserve">“</w:t>
      </w:r>
      <w:r>
        <w:t xml:space="preserve">generics</w:t>
      </w:r>
      <w:r>
        <w:t xml:space="preserve">”</w:t>
      </w:r>
      <w:r>
        <w:t xml:space="preserve"> </w:t>
      </w:r>
      <w:r>
        <w:t xml:space="preserve">will increase. For Austria and Germany, only products approved here and obtained from pharmacies are tested drugs.</w:t>
      </w:r>
    </w:p>
    <w:p>
      <w:pPr>
        <w:numPr>
          <w:ilvl w:val="0"/>
          <w:numId w:val="1364"/>
        </w:numPr>
        <w:pStyle w:val="Compact"/>
      </w:pPr>
      <w:r>
        <w:rPr>
          <w:bCs/>
          <w:b/>
        </w:rPr>
        <w:t xml:space="preserve">Stopping for cost reasons is common – and has consequences.</w:t>
      </w:r>
      <w:r>
        <w:t xml:space="preserve"> </w:t>
      </w:r>
      <w:r>
        <w:t xml:space="preserve">In the STEP 1 extension, participants regained on average two-thirds of their weight loss one year after stopping semaglutide, and the improvements in blood pressure and blood values largely reversed</w:t>
      </w:r>
      <w:r>
        <w:rPr>
          <w:rStyle w:val="FootnoteReference"/>
        </w:rPr>
        <w:footnoteReference w:id="2927"/>
      </w:r>
      <w:r>
        <w:t xml:space="preserve">. Anyone considering stopping for cost reasons should discuss this with a physician.</w:t>
      </w:r>
    </w:p>
    <w:p>
      <w:pPr>
        <w:numPr>
          <w:ilvl w:val="0"/>
          <w:numId w:val="1364"/>
        </w:numPr>
        <w:pStyle w:val="Compact"/>
      </w:pPr>
      <w:r>
        <w:rPr>
          <w:bCs/>
          <w:b/>
        </w:rPr>
        <w:t xml:space="preserve">Older agents are not worthless.</w:t>
      </w:r>
      <w:r>
        <w:t xml:space="preserve"> </w:t>
      </w:r>
      <w:r>
        <w:t xml:space="preserve">Liraglutide or dulaglutide are well studied and have a proven cardiovascular benefit in type 2 diabetes. Which agent is suitable in an individual case is a medical decision.</w:t>
      </w:r>
    </w:p>
    <w:bookmarkEnd w:id="2928"/>
    <w:bookmarkStart w:id="2929" w:name="key-points-in-brief-10"/>
    <w:p>
      <w:pPr>
        <w:pStyle w:val="Heading3"/>
      </w:pPr>
      <w:r>
        <w:t xml:space="preserve">Key points in brief</w:t>
      </w:r>
    </w:p>
    <w:p>
      <w:pPr>
        <w:numPr>
          <w:ilvl w:val="0"/>
          <w:numId w:val="1365"/>
        </w:numPr>
        <w:pStyle w:val="Compact"/>
      </w:pPr>
      <w:r>
        <w:t xml:space="preserve">In 2026, patent protection for semaglutide ends in countries where almost half of the people with obesity live. Generics there could cost a fraction of today’s prices; in the EU and the US they are not expected until around 2031/2032 (please check).</w:t>
      </w:r>
    </w:p>
    <w:p>
      <w:pPr>
        <w:numPr>
          <w:ilvl w:val="0"/>
          <w:numId w:val="1365"/>
        </w:numPr>
        <w:pStyle w:val="Compact"/>
      </w:pPr>
      <w:r>
        <w:t xml:space="preserve">Generics already exist for liraglutide; tirzepatide and all newer agents are expected to remain patent-protected until well into the 2030s.</w:t>
      </w:r>
    </w:p>
    <w:p>
      <w:pPr>
        <w:numPr>
          <w:ilvl w:val="0"/>
          <w:numId w:val="1365"/>
        </w:numPr>
        <w:pStyle w:val="Compact"/>
      </w:pPr>
      <w:r>
        <w:t xml:space="preserve">US compounding of copies of approved products has largely ended since the shortages ended; what remains are modified preparations with untested additives.</w:t>
      </w:r>
    </w:p>
    <w:p>
      <w:pPr>
        <w:numPr>
          <w:ilvl w:val="0"/>
          <w:numId w:val="1365"/>
        </w:numPr>
        <w:pStyle w:val="Compact"/>
      </w:pPr>
      <w:r>
        <w:t xml:space="preserve">In studies, costs are the most common reason for stopping treatment. In Germany, weight-loss drugs are excluded from reimbursement; in Austria, reimbursement is only limited.</w:t>
      </w:r>
    </w:p>
    <w:bookmarkEnd w:id="2929"/>
    <w:bookmarkEnd w:id="2930"/>
    <w:bookmarkStart w:id="2976" w:name="forecasts-2030-to-2035"/>
    <w:p>
      <w:pPr>
        <w:pStyle w:val="Heading2"/>
      </w:pPr>
      <w:r>
        <w:t xml:space="preserve">Forecasts 2030 to 2035</w:t>
      </w:r>
    </w:p>
    <w:p>
      <w:pPr>
        <w:pStyle w:val="FirstParagraph"/>
      </w:pPr>
      <w:r>
        <w:t xml:space="preserve">Predictions in medicine have a poor track record. This book, too, contains examples: animal experiments and observational data raised hopes that GLP-1 drugs would slow cognitive decline in Alzheimer’s disease. In the two phase 3 trials evoke and evoke+ with a combined 3,808 participants, however, the disease progressed just as quickly with semaglutide tablets as with placebo</w:t>
      </w:r>
      <w:r>
        <w:rPr>
          <w:rStyle w:val="FootnoteReference"/>
        </w:rPr>
        <w:footnoteReference w:id="2931"/>
      </w:r>
      <w:r>
        <w:t xml:space="preserve">. In Parkinson’s disease, the phase 3 trial Exenatide-PD3 with 194 participants found no indication that exenatide slows progression</w:t>
      </w:r>
      <w:r>
        <w:rPr>
          <w:rStyle w:val="FootnoteReference"/>
        </w:rPr>
        <w:footnoteReference w:id="2932"/>
      </w:r>
      <w:r>
        <w:t xml:space="preserve">.</w:t>
      </w:r>
    </w:p>
    <w:p>
      <w:pPr>
        <w:pStyle w:val="BodyText"/>
      </w:pPr>
      <w:r>
        <w:t xml:space="preserve">This chapter therefore strictly separates, in every section:</w:t>
      </w:r>
    </w:p>
    <w:p>
      <w:pPr>
        <w:numPr>
          <w:ilvl w:val="0"/>
          <w:numId w:val="1366"/>
        </w:numPr>
        <w:pStyle w:val="Compact"/>
      </w:pPr>
      <w:r>
        <w:rPr>
          <w:bCs/>
          <w:b/>
        </w:rPr>
        <w:t xml:space="preserve">Established:</w:t>
      </w:r>
      <w:r>
        <w:t xml:space="preserve"> </w:t>
      </w:r>
      <w:r>
        <w:t xml:space="preserve">what is entered in trial registries (with a planned completion date), what has been published in peer-reviewed studies, and what authorities have decided. Even what is established can change – completion dates shift, trials are terminated.</w:t>
      </w:r>
    </w:p>
    <w:p>
      <w:pPr>
        <w:numPr>
          <w:ilvl w:val="0"/>
          <w:numId w:val="1366"/>
        </w:numPr>
        <w:pStyle w:val="Compact"/>
      </w:pPr>
      <w:r>
        <w:rPr>
          <w:bCs/>
          <w:b/>
        </w:rPr>
        <w:t xml:space="preserve">Author’s assessment:</w:t>
      </w:r>
      <w:r>
        <w:t xml:space="preserve"> </w:t>
      </w:r>
      <w:r>
        <w:t xml:space="preserve">a reasoned expectation that may be wrong. It is labeled as such and justified in each case.</w:t>
      </w:r>
    </w:p>
    <w:p>
      <w:pPr>
        <w:pStyle w:val="FirstParagraph"/>
      </w:pPr>
      <w:r>
        <w:t xml:space="preserve">The registry data reflect the status as of October 2026.</w:t>
      </w:r>
    </w:p>
    <w:bookmarkStart w:id="2942" w:name="group-a-metabolism-and-weight"/>
    <w:p>
      <w:pPr>
        <w:pStyle w:val="Heading3"/>
      </w:pPr>
      <w:r>
        <w:t xml:space="preserve">Group A – Metabolism and weight</w:t>
      </w:r>
    </w:p>
    <w:p>
      <w:pPr>
        <w:pStyle w:val="FirstParagraph"/>
      </w:pPr>
      <w:r>
        <w:rPr>
          <w:bCs/>
          <w:b/>
        </w:rPr>
        <w:t xml:space="preserve">Established:</w:t>
      </w:r>
    </w:p>
    <w:p>
      <w:pPr>
        <w:numPr>
          <w:ilvl w:val="0"/>
          <w:numId w:val="1367"/>
        </w:numPr>
        <w:pStyle w:val="Compact"/>
      </w:pPr>
      <w:r>
        <w:t xml:space="preserve">By 2032, at least nine large outcome and liver trials will end: SURMOUNT-MMO on tirzepatide</w:t>
      </w:r>
      <w:r>
        <w:rPr>
          <w:rStyle w:val="FootnoteReference"/>
        </w:rPr>
        <w:footnoteReference w:id="2933"/>
      </w:r>
      <w:r>
        <w:t xml:space="preserve"> </w:t>
      </w:r>
      <w:r>
        <w:t xml:space="preserve">and REDEFINE 3 on CagriSema</w:t>
      </w:r>
      <w:r>
        <w:rPr>
          <w:rStyle w:val="FootnoteReference"/>
        </w:rPr>
        <w:footnoteReference w:id="2934"/>
      </w:r>
      <w:r>
        <w:t xml:space="preserve"> </w:t>
      </w:r>
      <w:r>
        <w:t xml:space="preserve">in 2027, TRIUMPH-Outcomes on retatrutide</w:t>
      </w:r>
      <w:r>
        <w:rPr>
          <w:rStyle w:val="FootnoteReference"/>
        </w:rPr>
        <w:footnoteReference w:id="2935"/>
      </w:r>
      <w:r>
        <w:t xml:space="preserve"> </w:t>
      </w:r>
      <w:r>
        <w:t xml:space="preserve">and LIVERAGE-Cirrhosis on survodutide</w:t>
      </w:r>
      <w:r>
        <w:rPr>
          <w:rStyle w:val="FootnoteReference"/>
        </w:rPr>
        <w:footnoteReference w:id="2936"/>
      </w:r>
      <w:r>
        <w:t xml:space="preserve"> </w:t>
      </w:r>
      <w:r>
        <w:t xml:space="preserve">in 2029, MARITIME-CV and MARITIME-HF on maridebart cafraglutide</w:t>
      </w:r>
      <w:r>
        <w:rPr>
          <w:rStyle w:val="FootnoteReference"/>
        </w:rPr>
        <w:footnoteReference w:id="2937"/>
      </w:r>
      <w:r>
        <w:t xml:space="preserve"> </w:t>
      </w:r>
      <w:r>
        <w:t xml:space="preserve">as well as AMBIENCE on zenagamtide</w:t>
      </w:r>
      <w:r>
        <w:rPr>
          <w:rStyle w:val="FootnoteReference"/>
        </w:rPr>
        <w:footnoteReference w:id="2938"/>
      </w:r>
      <w:r>
        <w:t xml:space="preserve"> </w:t>
      </w:r>
      <w:r>
        <w:t xml:space="preserve">in 2030, ATTAIN-Outcomes on orforglipron</w:t>
      </w:r>
      <w:r>
        <w:rPr>
          <w:rStyle w:val="FootnoteReference"/>
        </w:rPr>
        <w:footnoteReference w:id="2939"/>
      </w:r>
      <w:r>
        <w:t xml:space="preserve"> </w:t>
      </w:r>
      <w:r>
        <w:t xml:space="preserve">in 2031, and SYNERGY-Outcomes on tirzepatide and retatrutide</w:t>
      </w:r>
      <w:r>
        <w:rPr>
          <w:rStyle w:val="FootnoteReference"/>
        </w:rPr>
        <w:footnoteReference w:id="2940"/>
      </w:r>
      <w:r>
        <w:t xml:space="preserve"> </w:t>
      </w:r>
      <w:r>
        <w:t xml:space="preserve">in 2032.</w:t>
      </w:r>
    </w:p>
    <w:p>
      <w:pPr>
        <w:numPr>
          <w:ilvl w:val="0"/>
          <w:numId w:val="1367"/>
        </w:numPr>
        <w:pStyle w:val="Compact"/>
      </w:pPr>
      <w:r>
        <w:t xml:space="preserve">Pure amylin agents are in phase 3: eloralintide (ENLIGHTEN-1, NCT07321886, completion 2030) and petrelintide (ZUPREME-3, NCT07843498, completion 2029).</w:t>
      </w:r>
    </w:p>
    <w:p>
      <w:pPr>
        <w:numPr>
          <w:ilvl w:val="0"/>
          <w:numId w:val="1367"/>
        </w:numPr>
        <w:pStyle w:val="Compact"/>
      </w:pPr>
      <w:r>
        <w:t xml:space="preserve">For CagriSema and orforglipron, according to the respective chapters, marketing applications have been submitted or announced; for retatrutide, they are expected after completion of TRIUMPH-1 and TRIUMPH-2 (as of October 2026, please check).</w:t>
      </w:r>
    </w:p>
    <w:p>
      <w:pPr>
        <w:numPr>
          <w:ilvl w:val="0"/>
          <w:numId w:val="1367"/>
        </w:numPr>
        <w:pStyle w:val="Compact"/>
      </w:pPr>
      <w:r>
        <w:t xml:space="preserve">In twelve countries, patent protection for semaglutide ends in 2026, including large markets outside the EU and the US</w:t>
      </w:r>
      <w:r>
        <w:rPr>
          <w:rStyle w:val="FootnoteReference"/>
        </w:rPr>
        <w:footnoteReference w:id="2941"/>
      </w:r>
      <w:r>
        <w:t xml:space="preserve">. In the EU and the US, generics are expected around 2031/2032.</w:t>
      </w:r>
    </w:p>
    <w:p>
      <w:pPr>
        <w:pStyle w:val="FirstParagraph"/>
      </w:pPr>
      <w:r>
        <w:rPr>
          <w:bCs/>
          <w:b/>
        </w:rPr>
        <w:t xml:space="preserve">Author’s assessment:</w:t>
      </w:r>
      <w:r>
        <w:t xml:space="preserve"> </w:t>
      </w:r>
      <w:r>
        <w:t xml:space="preserve">by 2030, several new classes of agents are likely to be approved in the EU – at least one amylin combination, one triple agonist, and one small molecule as a tablet. Reasoning: the phase 3 programs are well advanced, the results published so far are clearly positive, and the manufacturers have submitted or announced marketing applications. A mean weight loss of 20 to 25% in studies is then likely to be no longer the exception. More important than a new record, however, will be the question of which agent suits which person: who mainly needs heart protection, who has fatty liver disease, who wants to avoid injections, who tolerates side effects poorly. Between 2030 and 2035, I expect substantially falling prices for semaglutide in Europe due to generics, while the newest agents remain expensive. I consider the risk of two-tier care – the most potent drugs for those who pay out of pocket, older drugs for everyone else – to be real.</w:t>
      </w:r>
    </w:p>
    <w:bookmarkEnd w:id="2942"/>
    <w:bookmarkStart w:id="2945" w:name="Xc9d867f93d44f24fe89ad0a67bf22914317b384"/>
    <w:p>
      <w:pPr>
        <w:pStyle w:val="Heading3"/>
      </w:pPr>
      <w:r>
        <w:t xml:space="preserve">Group B – Healing, regeneration, and immune system</w:t>
      </w:r>
    </w:p>
    <w:p>
      <w:pPr>
        <w:pStyle w:val="FirstParagraph"/>
      </w:pPr>
      <w:r>
        <w:rPr>
          <w:bCs/>
          <w:b/>
        </w:rPr>
        <w:t xml:space="preserve">Established:</w:t>
      </w:r>
    </w:p>
    <w:p>
      <w:pPr>
        <w:numPr>
          <w:ilvl w:val="0"/>
          <w:numId w:val="1368"/>
        </w:numPr>
        <w:pStyle w:val="Compact"/>
      </w:pPr>
      <w:r>
        <w:t xml:space="preserve">The phase 3 trial of thymosin alpha-1 after colorectal cancer surgery with 2,500 participants is scheduled to end in March 2027</w:t>
      </w:r>
      <w:r>
        <w:rPr>
          <w:rStyle w:val="FootnoteReference"/>
        </w:rPr>
        <w:footnoteReference w:id="2943"/>
      </w:r>
      <w:r>
        <w:t xml:space="preserve">.</w:t>
      </w:r>
    </w:p>
    <w:p>
      <w:pPr>
        <w:numPr>
          <w:ilvl w:val="0"/>
          <w:numId w:val="1368"/>
        </w:numPr>
        <w:pStyle w:val="Compact"/>
      </w:pPr>
      <w:r>
        <w:t xml:space="preserve">The phase 3 trial SEER-2 with thymosin beta-4 eye drops for neurotrophic keratopathy was completed in May 2026 according to the registry; results were not available in October 2026</w:t>
      </w:r>
      <w:r>
        <w:rPr>
          <w:rStyle w:val="FootnoteReference"/>
        </w:rPr>
        <w:footnoteReference w:id="2944"/>
      </w:r>
      <w:r>
        <w:t xml:space="preserve">.</w:t>
      </w:r>
    </w:p>
    <w:p>
      <w:pPr>
        <w:numPr>
          <w:ilvl w:val="0"/>
          <w:numId w:val="1368"/>
        </w:numPr>
        <w:pStyle w:val="Compact"/>
      </w:pPr>
      <w:r>
        <w:t xml:space="preserve">A Chinese phase 2 trial with recombinant thymosin beta-4 after heart attack is planned (NCT07586865, 189 participants, completion May 2028).</w:t>
      </w:r>
    </w:p>
    <w:p>
      <w:pPr>
        <w:numPr>
          <w:ilvl w:val="0"/>
          <w:numId w:val="1368"/>
        </w:numPr>
        <w:pStyle w:val="Compact"/>
      </w:pPr>
      <w:r>
        <w:t xml:space="preserve">For BPC-157, a small randomized study with 30 participants after shoulder surgery is registered but has not yet started (NCT07803250, planned completion August 2027).</w:t>
      </w:r>
    </w:p>
    <w:p>
      <w:pPr>
        <w:pStyle w:val="FirstParagraph"/>
      </w:pPr>
      <w:r>
        <w:rPr>
          <w:bCs/>
          <w:b/>
        </w:rPr>
        <w:t xml:space="preserve">Author’s assessment:</w:t>
      </w:r>
      <w:r>
        <w:t xml:space="preserve"> </w:t>
      </w:r>
      <w:r>
        <w:t xml:space="preserve">I consider approval of BPC-157, TB-500, or KPV in the EU by 2035 to be very unlikely. Reasoning: there are no phase 2 or phase 3 programs and no manufacturer with a discernible interest in approval, and even a positive result from the small shoulder study would only be a first indication. More realistic is a niche approval for thymosin beta-4 eye drops for a rare corneal disease, provided SEER-2 turns out positive. Thymosin alpha-1 could play a greater role in cancer follow-up care in China if the colorectal cancer study is positive – but with reservations because of the lack of double-blinding.</w:t>
      </w:r>
    </w:p>
    <w:bookmarkEnd w:id="2945"/>
    <w:bookmarkStart w:id="2947" w:name="group-c-growth-hormone-axis"/>
    <w:p>
      <w:pPr>
        <w:pStyle w:val="Heading3"/>
      </w:pPr>
      <w:r>
        <w:t xml:space="preserve">Group C – Growth hormone axis</w:t>
      </w:r>
    </w:p>
    <w:p>
      <w:pPr>
        <w:pStyle w:val="FirstParagraph"/>
      </w:pPr>
      <w:r>
        <w:rPr>
          <w:bCs/>
          <w:b/>
        </w:rPr>
        <w:t xml:space="preserve">Established:</w:t>
      </w:r>
    </w:p>
    <w:p>
      <w:pPr>
        <w:numPr>
          <w:ilvl w:val="0"/>
          <w:numId w:val="1369"/>
        </w:numPr>
        <w:pStyle w:val="Compact"/>
      </w:pPr>
      <w:r>
        <w:t xml:space="preserve">Ibutamoren (not a peptide) is being tested as LUM-201 in a phase 3 trial with 150 children with growth hormone deficiency (NCT06948214, completion January 2028). A phase 2 trial with 202 older people with obesity is to study LUM-201 in addition to semaglutide (NCT07754045, completion February 2028).</w:t>
      </w:r>
    </w:p>
    <w:p>
      <w:pPr>
        <w:numPr>
          <w:ilvl w:val="0"/>
          <w:numId w:val="1369"/>
        </w:numPr>
        <w:pStyle w:val="Compact"/>
      </w:pPr>
      <w:r>
        <w:t xml:space="preserve">The long-term registry for mecasermin runs until the end of 2027</w:t>
      </w:r>
      <w:r>
        <w:rPr>
          <w:rStyle w:val="FootnoteReference"/>
        </w:rPr>
        <w:footnoteReference w:id="2946"/>
      </w:r>
      <w:r>
        <w:t xml:space="preserve">.</w:t>
      </w:r>
    </w:p>
    <w:p>
      <w:pPr>
        <w:numPr>
          <w:ilvl w:val="0"/>
          <w:numId w:val="1369"/>
        </w:numPr>
        <w:pStyle w:val="Compact"/>
      </w:pPr>
      <w:r>
        <w:t xml:space="preserve">For sermorelin, CJC-1295, ipamorelin, GHRP-2, GHRP-6, hexarelin, and IGF-1 LR3, no ongoing study is registered (see the respective chapters).</w:t>
      </w:r>
    </w:p>
    <w:p>
      <w:pPr>
        <w:pStyle w:val="FirstParagraph"/>
      </w:pPr>
      <w:r>
        <w:rPr>
          <w:bCs/>
          <w:b/>
        </w:rPr>
        <w:t xml:space="preserve">Author’s assessment:</w:t>
      </w:r>
      <w:r>
        <w:t xml:space="preserve"> </w:t>
      </w:r>
      <w:r>
        <w:t xml:space="preserve">I consider a new approval of a growth hormone–releasing peptide for adults by 2035 to be unlikely. Reasoning: the substances are old and hardly patentable, and the safety questions surrounding persistently elevated IGF-1 levels (see Part IV) make large studies expensive and risky. Another trend is interesting: because substantial weight loss also costs muscle, the growth hormone axis could receive new attention as a possible means of protecting muscle – the study of LUM-201 and semaglutide is a first example. Whether any benefit will result is completely open.</w:t>
      </w:r>
    </w:p>
    <w:bookmarkEnd w:id="2947"/>
    <w:bookmarkStart w:id="2951" w:name="group-d-brain-sleep-and-longevity"/>
    <w:p>
      <w:pPr>
        <w:pStyle w:val="Heading3"/>
      </w:pPr>
      <w:r>
        <w:t xml:space="preserve">Group D – Brain, sleep, and longevity</w:t>
      </w:r>
    </w:p>
    <w:p>
      <w:pPr>
        <w:pStyle w:val="FirstParagraph"/>
      </w:pPr>
      <w:r>
        <w:rPr>
          <w:bCs/>
          <w:b/>
        </w:rPr>
        <w:t xml:space="preserve">Established:</w:t>
      </w:r>
    </w:p>
    <w:p>
      <w:pPr>
        <w:numPr>
          <w:ilvl w:val="0"/>
          <w:numId w:val="1370"/>
        </w:numPr>
        <w:pStyle w:val="Compact"/>
      </w:pPr>
      <w:r>
        <w:t xml:space="preserve">Elamipretide (SS-31) has had accelerated approval in the US for Barth syndrome since September 2025, tied to a confirmatory study (4TAZPower, NCT07531251, completion November 2029). The phase 3 trial ReNEW in dry macular degeneration is scheduled to end in September 2027</w:t>
      </w:r>
      <w:r>
        <w:rPr>
          <w:rStyle w:val="FootnoteReference"/>
        </w:rPr>
        <w:footnoteReference w:id="2948"/>
      </w:r>
      <w:r>
        <w:t xml:space="preserve">.</w:t>
      </w:r>
    </w:p>
    <w:p>
      <w:pPr>
        <w:numPr>
          <w:ilvl w:val="0"/>
          <w:numId w:val="1370"/>
        </w:numPr>
        <w:pStyle w:val="Compact"/>
      </w:pPr>
      <w:r>
        <w:t xml:space="preserve">For Cerebrolysin, only smaller studies are ongoing, for example in CADASIL</w:t>
      </w:r>
      <w:r>
        <w:rPr>
          <w:rStyle w:val="FootnoteReference"/>
        </w:rPr>
        <w:footnoteReference w:id="2949"/>
      </w:r>
      <w:r>
        <w:t xml:space="preserve">.</w:t>
      </w:r>
    </w:p>
    <w:p>
      <w:pPr>
        <w:numPr>
          <w:ilvl w:val="0"/>
          <w:numId w:val="1370"/>
        </w:numPr>
        <w:pStyle w:val="Compact"/>
      </w:pPr>
      <w:r>
        <w:t xml:space="preserve">For Semax, Selank, Dihexa, DSIP, Pinealon, humanin, FOXO4-DRI, and MOTS-c, no reliably registered study administering the agent is listed. For Epitalon, there is only an uncontrolled study in which it is one of five components of a skin serum</w:t>
      </w:r>
      <w:r>
        <w:rPr>
          <w:rStyle w:val="FootnoteReference"/>
        </w:rPr>
        <w:footnoteReference w:id="2950"/>
      </w:r>
      <w:r>
        <w:t xml:space="preserve">.</w:t>
      </w:r>
    </w:p>
    <w:p>
      <w:pPr>
        <w:numPr>
          <w:ilvl w:val="0"/>
          <w:numId w:val="1370"/>
        </w:numPr>
        <w:pStyle w:val="Compact"/>
      </w:pPr>
      <w:r>
        <w:t xml:space="preserve">In the US, the classification of several of these peptides for pharmacy compounding is being reassessed (see the chapters Semax and Dihexa; Willis 2026, PMID 42752426).</w:t>
      </w:r>
    </w:p>
    <w:p>
      <w:pPr>
        <w:pStyle w:val="FirstParagraph"/>
      </w:pPr>
      <w:r>
        <w:rPr>
          <w:bCs/>
          <w:b/>
        </w:rPr>
        <w:t xml:space="preserve">Author’s assessment:</w:t>
      </w:r>
      <w:r>
        <w:t xml:space="preserve"> </w:t>
      </w:r>
      <w:r>
        <w:t xml:space="preserve">the longevity peptides are likely to remain by 2035 what they are today: substances with interesting animal data and great online demand, but without proof of benefit in humans. Reasoning: studies on</w:t>
      </w:r>
      <w:r>
        <w:t xml:space="preserve"> </w:t>
      </w:r>
      <w:r>
        <w:t xml:space="preserve">“</w:t>
      </w:r>
      <w:r>
        <w:t xml:space="preserve">healthy aging</w:t>
      </w:r>
      <w:r>
        <w:t xml:space="preserve">”</w:t>
      </w:r>
      <w:r>
        <w:t xml:space="preserve"> </w:t>
      </w:r>
      <w:r>
        <w:t xml:space="preserve">require many years and clear endpoints, which hardly exist yet; no manufacturer has a discernible program. Should US authorities approve individual peptides for compounding, this would increase their spread without improving the data. Elamipretide is the only agent in this group with a realistic path to broader approval, and even that only if ReNEW turns out positive.</w:t>
      </w:r>
    </w:p>
    <w:bookmarkEnd w:id="2951"/>
    <w:bookmarkStart w:id="2953" w:name="X2fa95bc23a99890689895bb43f98456aee39500"/>
    <w:p>
      <w:pPr>
        <w:pStyle w:val="Heading3"/>
      </w:pPr>
      <w:r>
        <w:t xml:space="preserve">Group E – Hormones, sexuality, and pigmentation</w:t>
      </w:r>
    </w:p>
    <w:p>
      <w:pPr>
        <w:pStyle w:val="FirstParagraph"/>
      </w:pPr>
      <w:r>
        <w:rPr>
          <w:bCs/>
          <w:b/>
        </w:rPr>
        <w:t xml:space="preserve">Established:</w:t>
      </w:r>
    </w:p>
    <w:p>
      <w:pPr>
        <w:numPr>
          <w:ilvl w:val="0"/>
          <w:numId w:val="1371"/>
        </w:numPr>
        <w:pStyle w:val="Compact"/>
      </w:pPr>
      <w:r>
        <w:t xml:space="preserve">The phase 3 trial of afamelanotide in vitiligo with 200 participants was completed in June 2026 according to the registry; peer-reviewed results were not available in October 2026</w:t>
      </w:r>
      <w:r>
        <w:rPr>
          <w:rStyle w:val="FootnoteReference"/>
        </w:rPr>
        <w:footnoteReference w:id="2952"/>
      </w:r>
      <w:r>
        <w:t xml:space="preserve">.</w:t>
      </w:r>
    </w:p>
    <w:p>
      <w:pPr>
        <w:numPr>
          <w:ilvl w:val="0"/>
          <w:numId w:val="1371"/>
        </w:numPr>
        <w:pStyle w:val="Compact"/>
      </w:pPr>
      <w:r>
        <w:t xml:space="preserve">Kisspeptin is being studied in small phase 2 trials in congenital hormone deficiency (NCT05896293, completion May 2028) and in hypothalamic amenorrhea (NCT07224438, completion May 2030).</w:t>
      </w:r>
    </w:p>
    <w:p>
      <w:pPr>
        <w:numPr>
          <w:ilvl w:val="0"/>
          <w:numId w:val="1371"/>
        </w:numPr>
        <w:pStyle w:val="Compact"/>
      </w:pPr>
      <w:r>
        <w:t xml:space="preserve">Oxytocin nasal spray is being tested as an adjunct to couples therapy for post-traumatic stress disorder with 240 participants (NCT06194851, completion September 2028).</w:t>
      </w:r>
    </w:p>
    <w:p>
      <w:pPr>
        <w:pStyle w:val="FirstParagraph"/>
      </w:pPr>
      <w:r>
        <w:rPr>
          <w:bCs/>
          <w:b/>
        </w:rPr>
        <w:t xml:space="preserve">Author’s assessment:</w:t>
      </w:r>
      <w:r>
        <w:t xml:space="preserve"> </w:t>
      </w:r>
      <w:r>
        <w:t xml:space="preserve">the most conceivable development by 2030 is an extension of the afamelanotide approval to vitiligo – if the phase 3 trial is positive. Kisspeptin is likely to remain a research and diagnostic tool; approval by 2035 would require larger comparative studies, which are lacking so far. For oxytocin nasal spray, I do not expect approval for autism or social anxiety, at most evidence for narrowly defined uses in combination with psychotherapy. Melanotan II will remain a gray-market product.</w:t>
      </w:r>
    </w:p>
    <w:bookmarkEnd w:id="2953"/>
    <w:bookmarkStart w:id="2954" w:name="group-f-collagen-nutrition-and-cosmetics"/>
    <w:p>
      <w:pPr>
        <w:pStyle w:val="Heading3"/>
      </w:pPr>
      <w:r>
        <w:t xml:space="preserve">Group F – Collagen, nutrition, and cosmetics</w:t>
      </w:r>
    </w:p>
    <w:p>
      <w:pPr>
        <w:pStyle w:val="FirstParagraph"/>
      </w:pPr>
      <w:r>
        <w:rPr>
          <w:bCs/>
          <w:b/>
        </w:rPr>
        <w:t xml:space="preserve">Established:</w:t>
      </w:r>
    </w:p>
    <w:p>
      <w:pPr>
        <w:numPr>
          <w:ilvl w:val="0"/>
          <w:numId w:val="1372"/>
        </w:numPr>
        <w:pStyle w:val="Compact"/>
      </w:pPr>
      <w:r>
        <w:t xml:space="preserve">A placebo-controlled study with 204 participants is testing collagen hydrolysate in knee osteoarthritis, with pain as the primary endpoint (NCT04998188, completion December 2027).</w:t>
      </w:r>
    </w:p>
    <w:p>
      <w:pPr>
        <w:numPr>
          <w:ilvl w:val="0"/>
          <w:numId w:val="1372"/>
        </w:numPr>
        <w:pStyle w:val="Compact"/>
      </w:pPr>
      <w:r>
        <w:t xml:space="preserve">A phase 1/2 study with 144 participants is examining carnosine in peripheral artery disease, with six-minute walking distance as the primary endpoint (NCT06480760, completion October 2028).</w:t>
      </w:r>
    </w:p>
    <w:p>
      <w:pPr>
        <w:numPr>
          <w:ilvl w:val="0"/>
          <w:numId w:val="1372"/>
        </w:numPr>
        <w:pStyle w:val="Compact"/>
      </w:pPr>
      <w:r>
        <w:t xml:space="preserve">For lactotripeptides, Matrixyl, and Argireline, no ongoing study is registered.</w:t>
      </w:r>
    </w:p>
    <w:p>
      <w:pPr>
        <w:pStyle w:val="FirstParagraph"/>
      </w:pPr>
      <w:r>
        <w:rPr>
          <w:bCs/>
          <w:b/>
        </w:rPr>
        <w:t xml:space="preserve">Author’s assessment:</w:t>
      </w:r>
      <w:r>
        <w:t xml:space="preserve"> </w:t>
      </w:r>
      <w:r>
        <w:t xml:space="preserve">this group will remain food and cosmetics; drug approvals are not to be expected, because the products are already freely available and nobody would want to bear the costs of an approval program. What could change is the quality of the evidence: independently funded, preregistered studies such as the one on knee osteoarthritis will show whether the small effects from manufacturer-funded studies hold up. I expect the effects in such studies to turn out smaller, if anything.</w:t>
      </w:r>
    </w:p>
    <w:bookmarkEnd w:id="2954"/>
    <w:bookmarkStart w:id="2973" w:name="cross-cutting-topics"/>
    <w:p>
      <w:pPr>
        <w:pStyle w:val="Heading3"/>
      </w:pPr>
      <w:r>
        <w:t xml:space="preserve">Cross-cutting topics</w:t>
      </w:r>
    </w:p>
    <w:bookmarkStart w:id="2956" w:name="long-term-data"/>
    <w:p>
      <w:pPr>
        <w:pStyle w:val="Heading4"/>
      </w:pPr>
      <w:r>
        <w:t xml:space="preserve">Long-term data</w:t>
      </w:r>
    </w:p>
    <w:p>
      <w:pPr>
        <w:pStyle w:val="FirstParagraph"/>
      </w:pPr>
      <w:r>
        <w:rPr>
          <w:bCs/>
          <w:b/>
        </w:rPr>
        <w:t xml:space="preserve">Established:</w:t>
      </w:r>
      <w:r>
        <w:t xml:space="preserve"> </w:t>
      </w:r>
      <w:r>
        <w:t xml:space="preserve">the WHO guideline on GLP-1 therapies for obesity issues only a conditional recommendation and cites limited long-term data as one of the reasons</w:t>
      </w:r>
      <w:r>
        <w:rPr>
          <w:rStyle w:val="FootnoteReference"/>
        </w:rPr>
        <w:footnoteReference w:id="2955"/>
      </w:r>
      <w:r>
        <w:t xml:space="preserve">. The ongoing outcome trials follow their participants for several years, but hardly any for more than ten years.</w:t>
      </w:r>
    </w:p>
    <w:p>
      <w:pPr>
        <w:pStyle w:val="BodyText"/>
      </w:pPr>
      <w:r>
        <w:rPr>
          <w:bCs/>
          <w:b/>
        </w:rPr>
        <w:t xml:space="preserve">Author’s assessment:</w:t>
      </w:r>
      <w:r>
        <w:t xml:space="preserve"> </w:t>
      </w:r>
      <w:r>
        <w:t xml:space="preserve">by 2035, ten-year data will come mainly from national registries and health insurance data, not from randomized trials. They will capture rare side effects better, but will be less able to separate cause and effect. For children and adolescents, for whom several studies run into the early 2030s, the question of long-term consequences is particularly urgent.</w:t>
      </w:r>
    </w:p>
    <w:bookmarkEnd w:id="2956"/>
    <w:bookmarkStart w:id="2961" w:name="maintenance-therapy"/>
    <w:p>
      <w:pPr>
        <w:pStyle w:val="Heading4"/>
      </w:pPr>
      <w:r>
        <w:t xml:space="preserve">Maintenance therapy</w:t>
      </w:r>
    </w:p>
    <w:p>
      <w:pPr>
        <w:pStyle w:val="FirstParagraph"/>
      </w:pPr>
      <w:r>
        <w:rPr>
          <w:bCs/>
          <w:b/>
        </w:rPr>
        <w:t xml:space="preserve">Established:</w:t>
      </w:r>
      <w:r>
        <w:t xml:space="preserve"> </w:t>
      </w:r>
      <w:r>
        <w:t xml:space="preserve">after stopping, a large part of the lost weight returns. In the STEP 1 extension, it was on average two-thirds one year after the end of semaglutide treatment</w:t>
      </w:r>
      <w:r>
        <w:rPr>
          <w:rStyle w:val="FootnoteReference"/>
        </w:rPr>
        <w:footnoteReference w:id="2957"/>
      </w:r>
      <w:r>
        <w:t xml:space="preserve">. In SURMOUNT-4, participants regained 14.0% in the following year after switching from tirzepatide to placebo</w:t>
      </w:r>
      <w:r>
        <w:rPr>
          <w:rStyle w:val="FootnoteReference"/>
        </w:rPr>
        <w:footnoteReference w:id="2958"/>
      </w:r>
      <w:r>
        <w:t xml:space="preserve">. Switching from the injection to orforglipron maintained a large part of the weight loss in ATTAIN-MAINTAIN</w:t>
      </w:r>
      <w:r>
        <w:rPr>
          <w:rStyle w:val="FootnoteReference"/>
        </w:rPr>
        <w:footnoteReference w:id="2959"/>
      </w:r>
      <w:r>
        <w:t xml:space="preserve">. Further studies on weight maintenance are ongoing (TRIUMPH-6, NCT06859268; switching to monthly agents, NCT07575399, NCT07845500). Modeling studies suggest that less frequent dosing could maintain part of the effect; this has not yet been tested in studies and is no basis for making changes to treatment on your own</w:t>
      </w:r>
      <w:r>
        <w:rPr>
          <w:rStyle w:val="FootnoteReference"/>
        </w:rPr>
        <w:footnoteReference w:id="2960"/>
      </w:r>
      <w:r>
        <w:t xml:space="preserve">.</w:t>
      </w:r>
    </w:p>
    <w:p>
      <w:pPr>
        <w:pStyle w:val="BodyText"/>
      </w:pPr>
      <w:r>
        <w:rPr>
          <w:bCs/>
          <w:b/>
        </w:rPr>
        <w:t xml:space="preserve">Author’s assessment:</w:t>
      </w:r>
      <w:r>
        <w:t xml:space="preserve"> </w:t>
      </w:r>
      <w:r>
        <w:t xml:space="preserve">by 2030, a stepped model will become established: first a phase with a highly effective agent, then maintenance with a tablet, a monthly product, or a lower intensity. Reasoning: several manufacturers are testing exactly this sequence, and it is attractive for payers. Whether maintenance is needed for life, or whether some people can stop without substantial weight regain, will remain one of the most important open questions.</w:t>
      </w:r>
    </w:p>
    <w:bookmarkEnd w:id="2961"/>
    <w:bookmarkStart w:id="2963" w:name="personalization"/>
    <w:p>
      <w:pPr>
        <w:pStyle w:val="Heading4"/>
      </w:pPr>
      <w:r>
        <w:t xml:space="preserve">Personalization</w:t>
      </w:r>
    </w:p>
    <w:p>
      <w:pPr>
        <w:pStyle w:val="FirstParagraph"/>
      </w:pPr>
      <w:r>
        <w:rPr>
          <w:bCs/>
          <w:b/>
        </w:rPr>
        <w:t xml:space="preserve">Established:</w:t>
      </w:r>
      <w:r>
        <w:t xml:space="preserve"> </w:t>
      </w:r>
      <w:r>
        <w:t xml:space="preserve">precision medicine in obesity already exists for rare genetic forms: setmelanotide is approved only for certain gene defects (see the chapter Setmelanotide). Orforglipron is being tested in a study with 2,001 participants with overweight to prevent progression to obesity or complications (ATTAIN-NOW, NCT07794579, completion September 2030). The WHO has announced that it will next develop criteria for who should be treated first when resources are limited</w:t>
      </w:r>
      <w:r>
        <w:rPr>
          <w:rStyle w:val="FootnoteReference"/>
        </w:rPr>
        <w:footnoteReference w:id="2962"/>
      </w:r>
      <w:r>
        <w:t xml:space="preserve">.</w:t>
      </w:r>
    </w:p>
    <w:p>
      <w:pPr>
        <w:pStyle w:val="BodyText"/>
      </w:pPr>
      <w:r>
        <w:rPr>
          <w:bCs/>
          <w:b/>
        </w:rPr>
        <w:t xml:space="preserve">Author’s assessment:</w:t>
      </w:r>
      <w:r>
        <w:t xml:space="preserve"> </w:t>
      </w:r>
      <w:r>
        <w:t xml:space="preserve">a reliable test that predicts in advance who will respond well to which agent is not in sight by 2030. Personalization will initially be pragmatic: according to coexisting conditions, tolerability, willingness to inject, and costs. The question of whether drugs should be used even before obesity develops will remain ethically and economically controversial.</w:t>
      </w:r>
    </w:p>
    <w:bookmarkEnd w:id="2963"/>
    <w:bookmarkStart w:id="2967" w:name="regulation-of-the-gray-market"/>
    <w:p>
      <w:pPr>
        <w:pStyle w:val="Heading4"/>
      </w:pPr>
      <w:r>
        <w:t xml:space="preserve">Regulation of the gray market</w:t>
      </w:r>
    </w:p>
    <w:p>
      <w:pPr>
        <w:pStyle w:val="FirstParagraph"/>
      </w:pPr>
      <w:r>
        <w:rPr>
          <w:bCs/>
          <w:b/>
        </w:rPr>
        <w:t xml:space="preserve">Established:</w:t>
      </w:r>
      <w:r>
        <w:t xml:space="preserve"> </w:t>
      </w:r>
      <w:r>
        <w:t xml:space="preserve">the laboratory analyses and case reports from Part I and Part IV show counterfeits, dosing errors, and impurities. Meanwhile, unapproved agents such as retatrutide and zenagamtide are also being sold online</w:t>
      </w:r>
      <w:r>
        <w:rPr>
          <w:rStyle w:val="FootnoteReference"/>
        </w:rPr>
        <w:footnoteReference w:id="2964"/>
      </w:r>
      <w:r>
        <w:t xml:space="preserve">. In the US, pharmacy copies of semaglutide and tirzepatide were largely ended after the shortages ended; modified preparations continue to exist</w:t>
      </w:r>
      <w:r>
        <w:rPr>
          <w:rStyle w:val="FootnoteReference"/>
        </w:rPr>
        <w:footnoteReference w:id="2965"/>
      </w:r>
      <w:r>
        <w:t xml:space="preserve">. The classification of peptides for compounding is being renegotiated in the US</w:t>
      </w:r>
      <w:r>
        <w:rPr>
          <w:rStyle w:val="FootnoteReference"/>
        </w:rPr>
        <w:footnoteReference w:id="2966"/>
      </w:r>
      <w:r>
        <w:t xml:space="preserve">.</w:t>
      </w:r>
    </w:p>
    <w:p>
      <w:pPr>
        <w:pStyle w:val="BodyText"/>
      </w:pPr>
      <w:r>
        <w:rPr>
          <w:bCs/>
          <w:b/>
        </w:rPr>
        <w:t xml:space="preserve">Author’s assessment:</w:t>
      </w:r>
      <w:r>
        <w:t xml:space="preserve"> </w:t>
      </w:r>
      <w:r>
        <w:t xml:space="preserve">the gray market will not disappear by 2035, but it will change. Falling prices for approved drugs are likely to reduce the incentive for counterfeiting semaglutide. At the same time, every new agent that causes a stir in studies will be offered as a</w:t>
      </w:r>
      <w:r>
        <w:t xml:space="preserve"> </w:t>
      </w:r>
      <w:r>
        <w:t xml:space="preserve">“</w:t>
      </w:r>
      <w:r>
        <w:t xml:space="preserve">research peptide</w:t>
      </w:r>
      <w:r>
        <w:t xml:space="preserve">”</w:t>
      </w:r>
      <w:r>
        <w:t xml:space="preserve"> </w:t>
      </w:r>
      <w:r>
        <w:t xml:space="preserve">even before its approval. I expect stricter controls on online sellers and payment channels in the EU, but no effective solution as long as orders from countries with weak oversight remain possible.</w:t>
      </w:r>
    </w:p>
    <w:bookmarkEnd w:id="2967"/>
    <w:bookmarkStart w:id="2972" w:name="X6b627fa936cec3af80923ef1b3ecb8d794e6a4f"/>
    <w:p>
      <w:pPr>
        <w:pStyle w:val="Heading4"/>
      </w:pPr>
      <w:r>
        <w:t xml:space="preserve">Artificial intelligence in peptide design</w:t>
      </w:r>
    </w:p>
    <w:p>
      <w:pPr>
        <w:pStyle w:val="FirstParagraph"/>
      </w:pPr>
      <w:r>
        <w:rPr>
          <w:bCs/>
          <w:b/>
        </w:rPr>
        <w:t xml:space="preserve">Established:</w:t>
      </w:r>
      <w:r>
        <w:t xml:space="preserve"> </w:t>
      </w:r>
      <w:r>
        <w:t xml:space="preserve">so far, all published evidence comes from laboratory and animal experiments. A research team used machine learning methods to design 10,000 new GLP-1 receptor agonists, selected 60 on the computer, and tested them in the laboratory; two candidates acted about three times as long as semaglutide in mice</w:t>
      </w:r>
      <w:r>
        <w:rPr>
          <w:rStyle w:val="FootnoteReference"/>
        </w:rPr>
        <w:footnoteReference w:id="2968"/>
      </w:r>
      <w:r>
        <w:t xml:space="preserve">. Another method designed ring-shaped peptides that bind specifically to predefined proteins; the structures determined in the laboratory closely matched the computer models</w:t>
      </w:r>
      <w:r>
        <w:rPr>
          <w:rStyle w:val="FootnoteReference"/>
        </w:rPr>
        <w:footnoteReference w:id="2969"/>
      </w:r>
      <w:r>
        <w:t xml:space="preserve">. Using a learning model, new antimicrobial peptides were derived from bacterial peptides, one of which reduced the bacterial load by more than 95% in mice with a thigh infection</w:t>
      </w:r>
      <w:r>
        <w:rPr>
          <w:rStyle w:val="FootnoteReference"/>
        </w:rPr>
        <w:footnoteReference w:id="2970"/>
      </w:r>
      <w:r>
        <w:t xml:space="preserve">. The oral PCSK9 peptide enlicitide was found using another high-throughput method and is already in phase 3</w:t>
      </w:r>
      <w:r>
        <w:rPr>
          <w:rStyle w:val="FootnoteReference"/>
        </w:rPr>
        <w:footnoteReference w:id="2971"/>
      </w:r>
      <w:r>
        <w:t xml:space="preserve">.</w:t>
      </w:r>
    </w:p>
    <w:p>
      <w:pPr>
        <w:pStyle w:val="BodyText"/>
      </w:pPr>
      <w:r>
        <w:rPr>
          <w:bCs/>
          <w:b/>
        </w:rPr>
        <w:t xml:space="preserve">Author’s assessment:</w:t>
      </w:r>
      <w:r>
        <w:t xml:space="preserve"> </w:t>
      </w:r>
      <w:r>
        <w:t xml:space="preserve">by 2030, the first peptides designed using AI methods will be in early human studies; approval by 2035 is possible but not likely, because even a quickly found molecule has to pass through all clinical phases. AI shortens the search for candidates, not testing in humans. For readers, this means: offers that promise</w:t>
      </w:r>
      <w:r>
        <w:t xml:space="preserve"> </w:t>
      </w:r>
      <w:r>
        <w:t xml:space="preserve">“</w:t>
      </w:r>
      <w:r>
        <w:t xml:space="preserve">AI-optimized peptides</w:t>
      </w:r>
      <w:r>
        <w:t xml:space="preserve">”</w:t>
      </w:r>
      <w:r>
        <w:t xml:space="preserve"> </w:t>
      </w:r>
      <w:r>
        <w:t xml:space="preserve">are advertising, not proof of efficacy.</w:t>
      </w:r>
    </w:p>
    <w:bookmarkEnd w:id="2972"/>
    <w:bookmarkEnd w:id="2973"/>
    <w:bookmarkStart w:id="2974" w:name="X2c5b863337c1721933859b9d4cf81bb0d8a1530"/>
    <w:p>
      <w:pPr>
        <w:pStyle w:val="Heading3"/>
      </w:pPr>
      <w:r>
        <w:t xml:space="preserve">Timeline: what is announced in the registry up to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w:t>
            </w:r>
          </w:p>
        </w:tc>
        <w:tc>
          <w:tcPr/>
          <w:p>
            <w:pPr>
              <w:pStyle w:val="Compact"/>
              <w:jc w:val="left"/>
            </w:pPr>
            <w:r>
              <w:t xml:space="preserve">Expected event according to registry</w:t>
            </w:r>
          </w:p>
        </w:tc>
        <w:tc>
          <w:tcPr/>
          <w:p>
            <w:pPr>
              <w:pStyle w:val="Compact"/>
              <w:jc w:val="left"/>
            </w:pPr>
            <w:r>
              <w:t xml:space="preserve">Agent</w:t>
            </w:r>
          </w:p>
        </w:tc>
        <w:tc>
          <w:tcPr/>
          <w:p>
            <w:pPr>
              <w:pStyle w:val="Compact"/>
              <w:jc w:val="left"/>
            </w:pPr>
            <w:r>
              <w:t xml:space="preserve">Study</w:t>
            </w:r>
          </w:p>
        </w:tc>
      </w:tr>
      <w:tr>
        <w:tc>
          <w:tcPr/>
          <w:p>
            <w:pPr>
              <w:pStyle w:val="Compact"/>
              <w:jc w:val="left"/>
            </w:pPr>
            <w:r>
              <w:t xml:space="preserve">2026/2027</w:t>
            </w:r>
          </w:p>
        </w:tc>
        <w:tc>
          <w:tcPr/>
          <w:p>
            <w:pPr>
              <w:pStyle w:val="Compact"/>
              <w:jc w:val="left"/>
            </w:pPr>
            <w:r>
              <w:t xml:space="preserve">Results of head-to-head comparison with tirzepatide</w:t>
            </w:r>
          </w:p>
        </w:tc>
        <w:tc>
          <w:tcPr/>
          <w:p>
            <w:pPr>
              <w:pStyle w:val="Compact"/>
              <w:jc w:val="left"/>
            </w:pPr>
            <w:r>
              <w:t xml:space="preserve">Retatrutide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Cardiovascular results without diabetes</w:t>
            </w:r>
          </w:p>
        </w:tc>
        <w:tc>
          <w:tcPr/>
          <w:p>
            <w:pPr>
              <w:pStyle w:val="Compact"/>
              <w:jc w:val="left"/>
            </w:pPr>
            <w:r>
              <w:t xml:space="preserve">Tirzepatide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Cardiovascular results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Colorectal cancer follow-up</w:t>
            </w:r>
          </w:p>
        </w:tc>
        <w:tc>
          <w:tcPr/>
          <w:p>
            <w:pPr>
              <w:pStyle w:val="Compact"/>
              <w:jc w:val="left"/>
            </w:pPr>
            <w:r>
              <w:t xml:space="preserve">Thymosin alpha-1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Macular degeneration</w:t>
            </w:r>
          </w:p>
        </w:tc>
        <w:tc>
          <w:tcPr/>
          <w:p>
            <w:pPr>
              <w:pStyle w:val="Compact"/>
              <w:jc w:val="left"/>
            </w:pPr>
            <w:r>
              <w:t xml:space="preserve">Elamipretide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Growth in children</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Cardiac and kidney events</w:t>
            </w:r>
          </w:p>
        </w:tc>
        <w:tc>
          <w:tcPr/>
          <w:p>
            <w:pPr>
              <w:pStyle w:val="Compact"/>
              <w:jc w:val="left"/>
            </w:pPr>
            <w:r>
              <w:t xml:space="preserve">Retatrutide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Cardiovascular results, heart failure</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Cardiovascular results</w:t>
            </w:r>
          </w:p>
        </w:tc>
        <w:tc>
          <w:tcPr/>
          <w:p>
            <w:pPr>
              <w:pStyle w:val="Compact"/>
              <w:jc w:val="left"/>
            </w:pPr>
            <w:r>
              <w:t xml:space="preserve">Zenagamtide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Cardiovascular results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Cardiovascular results</w:t>
            </w:r>
          </w:p>
        </w:tc>
        <w:tc>
          <w:tcPr/>
          <w:p>
            <w:pPr>
              <w:pStyle w:val="Compact"/>
              <w:jc w:val="left"/>
            </w:pPr>
            <w:r>
              <w:t xml:space="preserve">Enlicitide (oral peptide)</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Major liver events</w:t>
            </w:r>
          </w:p>
        </w:tc>
        <w:tc>
          <w:tcPr/>
          <w:p>
            <w:pPr>
              <w:pStyle w:val="Compact"/>
              <w:jc w:val="left"/>
            </w:pPr>
            <w:r>
              <w:t xml:space="preserve">Tirzepatide, retatrutide</w:t>
            </w:r>
          </w:p>
        </w:tc>
        <w:tc>
          <w:tcPr/>
          <w:p>
            <w:pPr>
              <w:pStyle w:val="Compact"/>
              <w:jc w:val="left"/>
            </w:pPr>
            <w:r>
              <w:t xml:space="preserve">NCT07165028</w:t>
            </w:r>
          </w:p>
        </w:tc>
      </w:tr>
    </w:tbl>
    <w:p>
      <w:pPr>
        <w:pStyle w:val="BodyText"/>
      </w:pPr>
      <w:r>
        <w:t xml:space="preserve">The years are the study completion dates given in the registry. Publications usually follow later, and delays are common.</w:t>
      </w:r>
    </w:p>
    <w:bookmarkEnd w:id="2974"/>
    <w:bookmarkStart w:id="2975" w:name="the-books-conclusion"/>
    <w:p>
      <w:pPr>
        <w:pStyle w:val="Heading3"/>
      </w:pPr>
      <w:r>
        <w:t xml:space="preserve">The book’s conclusion</w:t>
      </w:r>
    </w:p>
    <w:p>
      <w:pPr>
        <w:pStyle w:val="FirstParagraph"/>
      </w:pPr>
      <w:r>
        <w:t xml:space="preserve">Of the peptides in this book, only a few have proven in large human studies what they can do – above all the GLP-1-based drugs, whose benefit extends to fewer cardiovascular events. For most of the peptides advertised on the internet as miracle cures for healing, muscle, or a long life, by contrast, there are only animal experiments, small studies, or no data at all – and no ongoing large study that would change this soon. The future of peptide medicine will therefore be decided not in online shops but in the outcome trials ending between 2027 and 2032. If you are interested in a peptide, you are best served by three questions: Are there randomized studies in humans? Is the product a tested drug? And is a physician supervising its use?</w:t>
      </w:r>
    </w:p>
    <w:bookmarkEnd w:id="2975"/>
    <w:bookmarkEnd w:id="2976"/>
    <w:bookmarkEnd w:id="2977"/>
    <w:bookmarkStart w:id="2996" w:name="glossary"/>
    <w:p>
      <w:pPr>
        <w:pStyle w:val="Heading1"/>
      </w:pPr>
      <w:r>
        <w:t xml:space="preserve">Glossary</w:t>
      </w:r>
    </w:p>
    <w:p>
      <w:pPr>
        <w:pStyle w:val="FirstParagraph"/>
      </w:pPr>
      <w:r>
        <w:t xml:space="preserve">The following explanations are deliberately kept short. More detailed accounts can be found in the chapters of Part I, especially in</w:t>
      </w:r>
      <w:r>
        <w:t xml:space="preserve"> </w:t>
      </w:r>
      <w:r>
        <w:t xml:space="preserve">“</w:t>
      </w:r>
      <w:r>
        <w:t xml:space="preserve">What Peptides Are – and What They Are Not</w:t>
      </w:r>
      <w:r>
        <w:t xml:space="preserve">”</w:t>
      </w:r>
      <w:r>
        <w:t xml:space="preserve"> </w:t>
      </w:r>
      <w:r>
        <w:t xml:space="preserve">and</w:t>
      </w:r>
      <w:r>
        <w:t xml:space="preserve"> </w:t>
      </w:r>
      <w:r>
        <w:t xml:space="preserve">“</w:t>
      </w:r>
      <w:r>
        <w:t xml:space="preserve">Reading Studies Correctly.</w:t>
      </w:r>
      <w:r>
        <w:t xml:space="preserve">”</w:t>
      </w:r>
    </w:p>
    <w:bookmarkStart w:id="2978" w:name="a"/>
    <w:p>
      <w:pPr>
        <w:pStyle w:val="Heading3"/>
      </w:pPr>
      <w:r>
        <w:t xml:space="preserve">A</w:t>
      </w:r>
    </w:p>
    <w:p>
      <w:pPr>
        <w:pStyle w:val="FirstParagraph"/>
      </w:pPr>
      <w:r>
        <w:rPr>
          <w:bCs/>
          <w:b/>
        </w:rPr>
        <w:t xml:space="preserve">Absolute risk reduction</w:t>
      </w:r>
      <w:r>
        <w:t xml:space="preserve">: The difference in the frequency of an event between two groups, expressed in percentage points. If a risk falls from 8% to 6.5%, the absolute risk reduction is 1.5 percentage points.</w:t>
      </w:r>
    </w:p>
    <w:p>
      <w:pPr>
        <w:pStyle w:val="BodyText"/>
      </w:pPr>
      <w:r>
        <w:rPr>
          <w:bCs/>
          <w:b/>
        </w:rPr>
        <w:t xml:space="preserve">Acromegaly</w:t>
      </w:r>
      <w:r>
        <w:t xml:space="preserve">: A disease caused by persistent overproduction of growth hormone in adulthood, usually due to a benign tumor of the pituitary gland. Enlarged hands, feet, and facial features are typical.</w:t>
      </w:r>
    </w:p>
    <w:p>
      <w:pPr>
        <w:pStyle w:val="BodyText"/>
      </w:pPr>
      <w:r>
        <w:rPr>
          <w:bCs/>
          <w:b/>
        </w:rPr>
        <w:t xml:space="preserve">Adverse event</w:t>
      </w:r>
      <w:r>
        <w:t xml:space="preserve">: Any health problem that occurs during a study, regardless of whether it was caused by the treatment. Only the comparison with the control group shows whether a connection is likely.</w:t>
      </w:r>
    </w:p>
    <w:p>
      <w:pPr>
        <w:pStyle w:val="BodyText"/>
      </w:pPr>
      <w:r>
        <w:rPr>
          <w:bCs/>
          <w:b/>
        </w:rPr>
        <w:t xml:space="preserve">Agonist</w:t>
      </w:r>
      <w:r>
        <w:t xml:space="preserve">: A substance that binds to a receptor and activates it, that is, triggers a signal. Semaglutide, for example, is an agonist at the GLP-1 receptor.</w:t>
      </w:r>
    </w:p>
    <w:p>
      <w:pPr>
        <w:pStyle w:val="BodyText"/>
      </w:pPr>
      <w:r>
        <w:rPr>
          <w:bCs/>
          <w:b/>
        </w:rPr>
        <w:t xml:space="preserve">Albumin</w:t>
      </w:r>
      <w:r>
        <w:t xml:space="preserve">: The most abundant protein in blood plasma. Some peptide drugs are designed to bind to albumin and thereby remain in the body longer.</w:t>
      </w:r>
    </w:p>
    <w:p>
      <w:pPr>
        <w:pStyle w:val="BodyText"/>
      </w:pPr>
      <w:r>
        <w:rPr>
          <w:bCs/>
          <w:b/>
        </w:rPr>
        <w:t xml:space="preserve">Amino acid</w:t>
      </w:r>
      <w:r>
        <w:t xml:space="preserve">: The basic building block of peptides and proteins. Humans essentially use 20 standard amino acids, which are linked into chains via peptide bonds.</w:t>
      </w:r>
    </w:p>
    <w:p>
      <w:pPr>
        <w:pStyle w:val="BodyText"/>
      </w:pPr>
      <w:r>
        <w:rPr>
          <w:bCs/>
          <w:b/>
        </w:rPr>
        <w:t xml:space="preserve">Amylin</w:t>
      </w:r>
      <w:r>
        <w:t xml:space="preserve">: A peptide hormone that is released from the pancreas together with insulin and influences, among other things, satiety and gastric emptying. Modified versions such as pramlintide and cagrilintide are used or being researched as drugs.</w:t>
      </w:r>
    </w:p>
    <w:p>
      <w:pPr>
        <w:pStyle w:val="BodyText"/>
      </w:pPr>
      <w:r>
        <w:rPr>
          <w:bCs/>
          <w:b/>
        </w:rPr>
        <w:t xml:space="preserve">Analog</w:t>
      </w:r>
      <w:r>
        <w:t xml:space="preserve">: A molecule modeled on a natural template but deliberately modified – for example, to make it more stable or longer-acting.</w:t>
      </w:r>
    </w:p>
    <w:p>
      <w:pPr>
        <w:pStyle w:val="BodyText"/>
      </w:pPr>
      <w:r>
        <w:rPr>
          <w:bCs/>
          <w:b/>
        </w:rPr>
        <w:t xml:space="preserve">Angiogenesis</w:t>
      </w:r>
      <w:r>
        <w:t xml:space="preserve">: The formation of new blood vessels. It is important for wound healing but can also promote the growth of tumors.</w:t>
      </w:r>
    </w:p>
    <w:p>
      <w:pPr>
        <w:pStyle w:val="BodyText"/>
      </w:pPr>
      <w:r>
        <w:rPr>
          <w:bCs/>
          <w:b/>
        </w:rPr>
        <w:t xml:space="preserve">Antagonist</w:t>
      </w:r>
      <w:r>
        <w:t xml:space="preserve">: A substance that binds to a receptor without activating it, thereby blocking the action of the body’s own messenger substances.</w:t>
      </w:r>
    </w:p>
    <w:p>
      <w:pPr>
        <w:pStyle w:val="BodyText"/>
      </w:pPr>
      <w:r>
        <w:rPr>
          <w:bCs/>
          <w:b/>
        </w:rPr>
        <w:t xml:space="preserve">Antibodies</w:t>
      </w:r>
      <w:r>
        <w:t xml:space="preserve">: Protein molecules of the immune system that bind specifically to foreign structures. Antibodies formed against peptide drugs can weaken their effect or trigger reactions.</w:t>
      </w:r>
    </w:p>
    <w:p>
      <w:pPr>
        <w:pStyle w:val="BodyText"/>
      </w:pPr>
      <w:r>
        <w:rPr>
          <w:bCs/>
          <w:b/>
        </w:rPr>
        <w:t xml:space="preserve">Antimicrobial peptides</w:t>
      </w:r>
      <w:r>
        <w:t xml:space="preserve">: Endogenous peptides that are part of the innate immune defense and can damage bacteria, fungi, or viruses. One example is LL-37.</w:t>
      </w:r>
    </w:p>
    <w:p>
      <w:pPr>
        <w:pStyle w:val="BodyText"/>
      </w:pPr>
      <w:r>
        <w:rPr>
          <w:bCs/>
          <w:b/>
        </w:rPr>
        <w:t xml:space="preserve">Approval (marketing authorization)</w:t>
      </w:r>
      <w:r>
        <w:t xml:space="preserve">: The official permission to place a drug on the market, granted after review of its quality, efficacy, and safety.</w:t>
      </w:r>
    </w:p>
    <w:bookmarkEnd w:id="2978"/>
    <w:bookmarkStart w:id="2979" w:name="b"/>
    <w:p>
      <w:pPr>
        <w:pStyle w:val="Heading3"/>
      </w:pPr>
      <w:r>
        <w:t xml:space="preserve">B</w:t>
      </w:r>
    </w:p>
    <w:p>
      <w:pPr>
        <w:pStyle w:val="FirstParagraph"/>
      </w:pPr>
      <w:r>
        <w:rPr>
          <w:bCs/>
          <w:b/>
        </w:rPr>
        <w:t xml:space="preserve">Bioavailability</w:t>
      </w:r>
      <w:r>
        <w:t xml:space="preserve">: The proportion of an administered active ingredient that reaches the bloodstream unchanged. With an intravenous infusion it is 100%; with peptide tablets it is often only a few percent or less.</w:t>
      </w:r>
    </w:p>
    <w:p>
      <w:pPr>
        <w:pStyle w:val="BodyText"/>
      </w:pPr>
      <w:r>
        <w:rPr>
          <w:bCs/>
          <w:b/>
        </w:rPr>
        <w:t xml:space="preserve">Biologic</w:t>
      </w:r>
      <w:r>
        <w:t xml:space="preserve">: A drug whose active ingredient is produced with the help of living cells, for example by genetic engineering in bacteria or mammalian cells. Many larger peptides and all antibody drugs belong to this category.</w:t>
      </w:r>
    </w:p>
    <w:p>
      <w:pPr>
        <w:pStyle w:val="BodyText"/>
      </w:pPr>
      <w:r>
        <w:rPr>
          <w:bCs/>
          <w:b/>
        </w:rPr>
        <w:t xml:space="preserve">Biosimilar</w:t>
      </w:r>
      <w:r>
        <w:t xml:space="preserve">: A follow-on version of a biological drug after patent protection has expired. It must be demonstrably very similar to the original in quality, efficacy, and safety.</w:t>
      </w:r>
    </w:p>
    <w:p>
      <w:pPr>
        <w:pStyle w:val="BodyText"/>
      </w:pPr>
      <w:r>
        <w:rPr>
          <w:bCs/>
          <w:b/>
        </w:rPr>
        <w:t xml:space="preserve">Blinding</w:t>
      </w:r>
      <w:r>
        <w:t xml:space="preserve">: Concealing group assignment from participants and/or study staff in order to avoid expectation effects.</w:t>
      </w:r>
    </w:p>
    <w:p>
      <w:pPr>
        <w:pStyle w:val="BodyText"/>
      </w:pPr>
      <w:r>
        <w:rPr>
          <w:bCs/>
          <w:b/>
        </w:rPr>
        <w:t xml:space="preserve">BMI (body mass index)</w:t>
      </w:r>
      <w:r>
        <w:t xml:space="preserve">: Body weight in kilograms divided by the square of height in meters. A rough measure of underweight, normal weight, and overweight.</w:t>
      </w:r>
    </w:p>
    <w:bookmarkEnd w:id="2979"/>
    <w:bookmarkStart w:id="2980" w:name="c"/>
    <w:p>
      <w:pPr>
        <w:pStyle w:val="Heading3"/>
      </w:pPr>
      <w:r>
        <w:t xml:space="preserve">C</w:t>
      </w:r>
    </w:p>
    <w:p>
      <w:pPr>
        <w:pStyle w:val="FirstParagraph"/>
      </w:pPr>
      <w:r>
        <w:rPr>
          <w:bCs/>
          <w:b/>
        </w:rPr>
        <w:t xml:space="preserve">Case report</w:t>
      </w:r>
      <w:r>
        <w:t xml:space="preserve">: The description of a single case of illness in a scientific journal. Case reports are important for detecting rare side effects but say little about efficacy.</w:t>
      </w:r>
    </w:p>
    <w:p>
      <w:pPr>
        <w:pStyle w:val="BodyText"/>
      </w:pPr>
      <w:r>
        <w:rPr>
          <w:bCs/>
          <w:b/>
        </w:rPr>
        <w:t xml:space="preserve">Cohort study</w:t>
      </w:r>
      <w:r>
        <w:t xml:space="preserve">: An observational study that follows a group of people over a long period and compares how often certain events occur with different characteristics or treatments.</w:t>
      </w:r>
    </w:p>
    <w:p>
      <w:pPr>
        <w:pStyle w:val="BodyText"/>
      </w:pPr>
      <w:r>
        <w:rPr>
          <w:bCs/>
          <w:b/>
        </w:rPr>
        <w:t xml:space="preserve">Compounding</w:t>
      </w:r>
      <w:r>
        <w:t xml:space="preserve">: In the US, the preparation of drugs by pharmacies themselves, for example during supply shortages. Such preparations are not approved finished drugs.</w:t>
      </w:r>
    </w:p>
    <w:p>
      <w:pPr>
        <w:pStyle w:val="BodyText"/>
      </w:pPr>
      <w:r>
        <w:rPr>
          <w:bCs/>
          <w:b/>
        </w:rPr>
        <w:t xml:space="preserve">Confidence interval</w:t>
      </w:r>
      <w:r>
        <w:t xml:space="preserve">: A range around a study result within which the true value lies with a certain probability (usually 95%). Wide intervals indicate an uncertain estimate.</w:t>
      </w:r>
    </w:p>
    <w:p>
      <w:pPr>
        <w:pStyle w:val="BodyText"/>
      </w:pPr>
      <w:r>
        <w:rPr>
          <w:bCs/>
          <w:b/>
        </w:rPr>
        <w:t xml:space="preserve">Conflict of interest</w:t>
      </w:r>
      <w:r>
        <w:t xml:space="preserve">: A situation in which financial or other interests could influence the judgment of researchers or authors, for example through funding of a study by the manufacturer.</w:t>
      </w:r>
    </w:p>
    <w:p>
      <w:pPr>
        <w:pStyle w:val="BodyText"/>
      </w:pPr>
      <w:r>
        <w:rPr>
          <w:bCs/>
          <w:b/>
        </w:rPr>
        <w:t xml:space="preserve">Confounding (confounder)</w:t>
      </w:r>
      <w:r>
        <w:t xml:space="preserve">: A factor that is associated with both a treatment and an outcome and can thus create an apparent association. A typical problem of observational studies.</w:t>
      </w:r>
    </w:p>
    <w:p>
      <w:pPr>
        <w:pStyle w:val="BodyText"/>
      </w:pPr>
      <w:r>
        <w:rPr>
          <w:bCs/>
          <w:b/>
        </w:rPr>
        <w:t xml:space="preserve">Control group</w:t>
      </w:r>
      <w:r>
        <w:t xml:space="preserve">: The comparison group in a study, which receives no active ingredient, a placebo, or a standard treatment.</w:t>
      </w:r>
    </w:p>
    <w:p>
      <w:pPr>
        <w:pStyle w:val="BodyText"/>
      </w:pPr>
      <w:r>
        <w:rPr>
          <w:bCs/>
          <w:b/>
        </w:rPr>
        <w:t xml:space="preserve">Cosmetic product</w:t>
      </w:r>
      <w:r>
        <w:t xml:space="preserve">: A product for external use that cleans, cares for, protects, or changes the appearance. It may not claim any medicinal effect and does not require approval in the EU.</w:t>
      </w:r>
    </w:p>
    <w:p>
      <w:pPr>
        <w:pStyle w:val="BodyText"/>
      </w:pPr>
      <w:r>
        <w:rPr>
          <w:bCs/>
          <w:b/>
        </w:rPr>
        <w:t xml:space="preserve">C-terminus</w:t>
      </w:r>
      <w:r>
        <w:t xml:space="preserve">: The end of a peptide chain with the free acid group. Peptide sequences are written from the N-terminus to the C-terminus.</w:t>
      </w:r>
    </w:p>
    <w:p>
      <w:pPr>
        <w:pStyle w:val="BodyText"/>
      </w:pPr>
      <w:r>
        <w:rPr>
          <w:bCs/>
          <w:b/>
        </w:rPr>
        <w:t xml:space="preserve">Cyclic peptide</w:t>
      </w:r>
      <w:r>
        <w:t xml:space="preserve">: A peptide whose chain is closed into a ring. Ring structures often make peptides more stable against enzymes.</w:t>
      </w:r>
    </w:p>
    <w:bookmarkEnd w:id="2980"/>
    <w:bookmarkStart w:id="2981" w:name="d"/>
    <w:p>
      <w:pPr>
        <w:pStyle w:val="Heading3"/>
      </w:pPr>
      <w:r>
        <w:t xml:space="preserve">D</w:t>
      </w:r>
    </w:p>
    <w:p>
      <w:pPr>
        <w:pStyle w:val="FirstParagraph"/>
      </w:pPr>
      <w:r>
        <w:rPr>
          <w:bCs/>
          <w:b/>
        </w:rPr>
        <w:t xml:space="preserve">Dalton</w:t>
      </w:r>
      <w:r>
        <w:t xml:space="preserve">: A unit of measurement for the mass of molecules. An amino acid in a peptide chain weighs on average slightly more than 100 daltons.</w:t>
      </w:r>
    </w:p>
    <w:p>
      <w:pPr>
        <w:pStyle w:val="BodyText"/>
      </w:pPr>
      <w:r>
        <w:rPr>
          <w:bCs/>
          <w:b/>
        </w:rPr>
        <w:t xml:space="preserve">Dietary supplement</w:t>
      </w:r>
      <w:r>
        <w:t xml:space="preserve">: A food intended to supplement the normal diet with nutrients or other substances. It does not require approval but may not have a pharmacological effect.</w:t>
      </w:r>
    </w:p>
    <w:p>
      <w:pPr>
        <w:pStyle w:val="BodyText"/>
      </w:pPr>
      <w:r>
        <w:rPr>
          <w:bCs/>
          <w:b/>
        </w:rPr>
        <w:t xml:space="preserve">Dipeptidyl peptidase-4 (DPP-4)</w:t>
      </w:r>
      <w:r>
        <w:t xml:space="preserve">: An enzyme that, among other things, rapidly breaks down the gut hormone GLP-1. Inhibitors of this enzyme (gliptins) are used as diabetes tablets.</w:t>
      </w:r>
    </w:p>
    <w:p>
      <w:pPr>
        <w:pStyle w:val="BodyText"/>
      </w:pPr>
      <w:r>
        <w:rPr>
          <w:bCs/>
          <w:b/>
        </w:rPr>
        <w:t xml:space="preserve">Double-blind</w:t>
      </w:r>
      <w:r>
        <w:t xml:space="preserve">: A study in which neither the participants nor the study staff know who receives the active ingredient and who receives placebo. This reduces the influence of expectations on the results.</w:t>
      </w:r>
    </w:p>
    <w:p>
      <w:pPr>
        <w:pStyle w:val="BodyText"/>
      </w:pPr>
      <w:r>
        <w:rPr>
          <w:bCs/>
          <w:b/>
        </w:rPr>
        <w:t xml:space="preserve">Drug (medicinal product)</w:t>
      </w:r>
      <w:r>
        <w:t xml:space="preserve">: A substance or preparation intended to cure, alleviate, or prevent diseases, or that influences bodily functions pharmacologically, immunologically, or metabolically. In the EU, a drug requires approval before it can be sold.</w:t>
      </w:r>
    </w:p>
    <w:bookmarkEnd w:id="2981"/>
    <w:bookmarkStart w:id="2982" w:name="e"/>
    <w:p>
      <w:pPr>
        <w:pStyle w:val="Heading3"/>
      </w:pPr>
      <w:r>
        <w:t xml:space="preserve">E</w:t>
      </w:r>
    </w:p>
    <w:p>
      <w:pPr>
        <w:pStyle w:val="FirstParagraph"/>
      </w:pPr>
      <w:r>
        <w:rPr>
          <w:bCs/>
          <w:b/>
        </w:rPr>
        <w:t xml:space="preserve">Endotoxins</w:t>
      </w:r>
      <w:r>
        <w:t xml:space="preserve">: Heat-stable components of the cell wall of certain bacteria. If they enter the blood, they can trigger fever, inflammation, and circulatory reactions; they remain active even after the bacteria have been killed.</w:t>
      </w:r>
    </w:p>
    <w:p>
      <w:pPr>
        <w:pStyle w:val="BodyText"/>
      </w:pPr>
      <w:r>
        <w:rPr>
          <w:bCs/>
          <w:b/>
        </w:rPr>
        <w:t xml:space="preserve">Endpoint</w:t>
      </w:r>
      <w:r>
        <w:t xml:space="preserve">: The characteristic by which the success of a treatment is measured in a study, for example weight loss, blood sugar, or heart attacks. The most important one is defined before the start of the study as the primary endpoint.</w:t>
      </w:r>
    </w:p>
    <w:p>
      <w:pPr>
        <w:pStyle w:val="BodyText"/>
      </w:pPr>
      <w:r>
        <w:rPr>
          <w:bCs/>
          <w:b/>
        </w:rPr>
        <w:t xml:space="preserve">Estimand</w:t>
      </w:r>
      <w:r>
        <w:t xml:space="preserve">: A precise description of which treatment effect is estimated in a study – for example, regardless of whether participants discontinue treatment, or only for the period of actual use.</w:t>
      </w:r>
    </w:p>
    <w:p>
      <w:pPr>
        <w:pStyle w:val="BodyText"/>
      </w:pPr>
      <w:r>
        <w:rPr>
          <w:bCs/>
          <w:b/>
        </w:rPr>
        <w:t xml:space="preserve">EudraVigilance</w:t>
      </w:r>
      <w:r>
        <w:t xml:space="preserve">: The European Medicines Agency’s database for reports of suspected side effects.</w:t>
      </w:r>
    </w:p>
    <w:p>
      <w:pPr>
        <w:pStyle w:val="BodyText"/>
      </w:pPr>
      <w:r>
        <w:rPr>
          <w:bCs/>
          <w:b/>
        </w:rPr>
        <w:t xml:space="preserve">Evidence level</w:t>
      </w:r>
      <w:r>
        <w:t xml:space="preserve">: In this book, a rating from A to D of how well the effect of a peptide in humans is supported. A stands for several large randomized trials and approval, D for exclusively animal and laboratory studies.</w:t>
      </w:r>
    </w:p>
    <w:p>
      <w:pPr>
        <w:pStyle w:val="BodyText"/>
      </w:pPr>
      <w:r>
        <w:rPr>
          <w:bCs/>
          <w:b/>
        </w:rPr>
        <w:t xml:space="preserve">Evidence pyramid</w:t>
      </w:r>
      <w:r>
        <w:t xml:space="preserve">: A ranking of study types according to their strength of evidence, from laboratory and animal studies at the bottom to meta-analyses of randomized trials at the top.</w:t>
      </w:r>
    </w:p>
    <w:bookmarkEnd w:id="2982"/>
    <w:bookmarkStart w:id="2983" w:name="f"/>
    <w:p>
      <w:pPr>
        <w:pStyle w:val="Heading3"/>
      </w:pPr>
      <w:r>
        <w:t xml:space="preserve">F</w:t>
      </w:r>
    </w:p>
    <w:p>
      <w:pPr>
        <w:pStyle w:val="FirstParagraph"/>
      </w:pPr>
      <w:r>
        <w:rPr>
          <w:bCs/>
          <w:b/>
        </w:rPr>
        <w:t xml:space="preserve">FAERS</w:t>
      </w:r>
      <w:r>
        <w:t xml:space="preserve">: The US Food and Drug Administration’s (FDA) reporting system for suspected side effects.</w:t>
      </w:r>
    </w:p>
    <w:bookmarkEnd w:id="2983"/>
    <w:bookmarkStart w:id="2984" w:name="g"/>
    <w:p>
      <w:pPr>
        <w:pStyle w:val="Heading3"/>
      </w:pPr>
      <w:r>
        <w:t xml:space="preserve">G</w:t>
      </w:r>
    </w:p>
    <w:p>
      <w:pPr>
        <w:pStyle w:val="FirstParagraph"/>
      </w:pPr>
      <w:r>
        <w:rPr>
          <w:bCs/>
          <w:b/>
        </w:rPr>
        <w:t xml:space="preserve">Ghrelin</w:t>
      </w:r>
      <w:r>
        <w:t xml:space="preserve">: A peptide hormone produced mainly in the stomach that triggers hunger and stimulates the release of growth hormone.</w:t>
      </w:r>
    </w:p>
    <w:p>
      <w:pPr>
        <w:pStyle w:val="BodyText"/>
      </w:pPr>
      <w:r>
        <w:rPr>
          <w:bCs/>
          <w:b/>
        </w:rPr>
        <w:t xml:space="preserve">GHRH (growth hormone–releasing hormone)</w:t>
      </w:r>
      <w:r>
        <w:t xml:space="preserve">: A hormone from the hypothalamus that stimulates the pituitary gland to release growth hormone. Sermorelin, tesamorelin, and CJC-1295 are derived from it.</w:t>
      </w:r>
    </w:p>
    <w:p>
      <w:pPr>
        <w:pStyle w:val="BodyText"/>
      </w:pPr>
      <w:r>
        <w:rPr>
          <w:bCs/>
          <w:b/>
        </w:rPr>
        <w:t xml:space="preserve">GHRP (growth hormone–releasing peptides)</w:t>
      </w:r>
      <w:r>
        <w:t xml:space="preserve">: A group of synthetic peptides that increase the release of growth hormone via the ghrelin receptor, for example GHRP-2, GHRP-6, hexarelin, and ipamorelin.</w:t>
      </w:r>
    </w:p>
    <w:p>
      <w:pPr>
        <w:pStyle w:val="BodyText"/>
      </w:pPr>
      <w:r>
        <w:rPr>
          <w:bCs/>
          <w:b/>
        </w:rPr>
        <w:t xml:space="preserve">GIP (glucose-dependent insulinotropic polypeptide)</w:t>
      </w:r>
      <w:r>
        <w:t xml:space="preserve">: A gut hormone from the incretin group. Tirzepatide activates the GIP receptor in addition to the GLP-1 receptor.</w:t>
      </w:r>
    </w:p>
    <w:p>
      <w:pPr>
        <w:pStyle w:val="BodyText"/>
      </w:pPr>
      <w:r>
        <w:rPr>
          <w:bCs/>
          <w:b/>
        </w:rPr>
        <w:t xml:space="preserve">GLP-1 (glucagon-like peptide-1)</w:t>
      </w:r>
      <w:r>
        <w:t xml:space="preserve">: A gut hormone released after eating that enhances insulin release depending on blood sugar, slows gastric emptying, and influences the feeling of satiety.</w:t>
      </w:r>
    </w:p>
    <w:p>
      <w:pPr>
        <w:pStyle w:val="BodyText"/>
      </w:pPr>
      <w:r>
        <w:rPr>
          <w:bCs/>
          <w:b/>
        </w:rPr>
        <w:t xml:space="preserve">GLP-1 receptor agonist</w:t>
      </w:r>
      <w:r>
        <w:t xml:space="preserve">: An agent that activates the GLP-1 receptor, for example exenatide, liraglutide, dulaglutide, or semaglutide.</w:t>
      </w:r>
    </w:p>
    <w:p>
      <w:pPr>
        <w:pStyle w:val="BodyText"/>
      </w:pPr>
      <w:r>
        <w:rPr>
          <w:bCs/>
          <w:b/>
        </w:rPr>
        <w:t xml:space="preserve">Glucagon</w:t>
      </w:r>
      <w:r>
        <w:t xml:space="preserve">: A peptide hormone of the pancreas that raises blood sugar. Some new agents additionally activate the glucagon receptor.</w:t>
      </w:r>
    </w:p>
    <w:p>
      <w:pPr>
        <w:pStyle w:val="BodyText"/>
      </w:pPr>
      <w:r>
        <w:rPr>
          <w:bCs/>
          <w:b/>
        </w:rPr>
        <w:t xml:space="preserve">GnRH (gonadotropin-releasing hormone)</w:t>
      </w:r>
      <w:r>
        <w:t xml:space="preserve">: A hormone from the hypothalamus that regulates the release of LH and FSH, the hormones that control the sex hormones. Gonadorelin is a synthetic form.</w:t>
      </w:r>
    </w:p>
    <w:p>
      <w:pPr>
        <w:pStyle w:val="BodyText"/>
      </w:pPr>
      <w:r>
        <w:rPr>
          <w:bCs/>
          <w:b/>
        </w:rPr>
        <w:t xml:space="preserve">Growth hormone (somatotropin)</w:t>
      </w:r>
      <w:r>
        <w:t xml:space="preserve">: A protein from the pituitary gland that influences growth, metabolism, and body composition. Many peptides in this book are intended to increase its release.</w:t>
      </w:r>
    </w:p>
    <w:bookmarkEnd w:id="2984"/>
    <w:bookmarkStart w:id="2985" w:name="h"/>
    <w:p>
      <w:pPr>
        <w:pStyle w:val="Heading3"/>
      </w:pPr>
      <w:r>
        <w:t xml:space="preserve">H</w:t>
      </w:r>
    </w:p>
    <w:p>
      <w:pPr>
        <w:pStyle w:val="FirstParagraph"/>
      </w:pPr>
      <w:r>
        <w:rPr>
          <w:bCs/>
          <w:b/>
        </w:rPr>
        <w:t xml:space="preserve">Half-life</w:t>
      </w:r>
      <w:r>
        <w:t xml:space="preserve">: The time after which half of an active ingredient has been broken down or excreted by the body. It largely determines how often a drug has to be given.</w:t>
      </w:r>
    </w:p>
    <w:p>
      <w:pPr>
        <w:pStyle w:val="BodyText"/>
      </w:pPr>
      <w:r>
        <w:rPr>
          <w:bCs/>
          <w:b/>
        </w:rPr>
        <w:t xml:space="preserve">Hard endpoint</w:t>
      </w:r>
      <w:r>
        <w:t xml:space="preserve">: A study outcome that matters directly to patients, for example death, heart attack, stroke, or bone fracture.</w:t>
      </w:r>
    </w:p>
    <w:p>
      <w:pPr>
        <w:pStyle w:val="BodyText"/>
      </w:pPr>
      <w:r>
        <w:rPr>
          <w:bCs/>
          <w:b/>
        </w:rPr>
        <w:t xml:space="preserve">Hazard ratio</w:t>
      </w:r>
      <w:r>
        <w:t xml:space="preserve">: A measure of how the risk of an event over time differs between two groups. A value of 0.80 means a relative risk that is about 20% lower.</w:t>
      </w:r>
    </w:p>
    <w:p>
      <w:pPr>
        <w:pStyle w:val="BodyText"/>
      </w:pPr>
      <w:r>
        <w:rPr>
          <w:bCs/>
          <w:b/>
        </w:rPr>
        <w:t xml:space="preserve">HbA1c</w:t>
      </w:r>
      <w:r>
        <w:t xml:space="preserve">: The proportion of hemoglobin (the red blood pigment) to which sugar is bound. It reflects the average blood sugar over the past two to three months and is an important surrogate endpoint in diabetes studies.</w:t>
      </w:r>
    </w:p>
    <w:p>
      <w:pPr>
        <w:pStyle w:val="BodyText"/>
      </w:pPr>
      <w:r>
        <w:rPr>
          <w:bCs/>
          <w:b/>
        </w:rPr>
        <w:t xml:space="preserve">HPLC (high-performance liquid chromatography)</w:t>
      </w:r>
      <w:r>
        <w:t xml:space="preserve">: A laboratory method with which mixtures of substances can be separated and the purity of peptides determined.</w:t>
      </w:r>
    </w:p>
    <w:p>
      <w:pPr>
        <w:pStyle w:val="BodyText"/>
      </w:pPr>
      <w:r>
        <w:rPr>
          <w:bCs/>
          <w:b/>
        </w:rPr>
        <w:t xml:space="preserve">Hydrolysate</w:t>
      </w:r>
      <w:r>
        <w:t xml:space="preserve">: A mixture of fragments produced when proteins are split with enzymes or acid. Collagen peptides are obtained in this way.</w:t>
      </w:r>
    </w:p>
    <w:p>
      <w:pPr>
        <w:pStyle w:val="BodyText"/>
      </w:pPr>
      <w:r>
        <w:rPr>
          <w:bCs/>
          <w:b/>
        </w:rPr>
        <w:t xml:space="preserve">Hypoglycemia</w:t>
      </w:r>
      <w:r>
        <w:t xml:space="preserve">: Low blood sugar, that is, a blood sugar level that is too low. It can lead to trembling, sweating, confusion, and loss of consciousness and is an emergency.</w:t>
      </w:r>
    </w:p>
    <w:p>
      <w:pPr>
        <w:pStyle w:val="BodyText"/>
      </w:pPr>
      <w:r>
        <w:rPr>
          <w:bCs/>
          <w:b/>
        </w:rPr>
        <w:t xml:space="preserve">Hypothalamus</w:t>
      </w:r>
      <w:r>
        <w:t xml:space="preserve">: A region of the brain that controls the pituitary gland via releasing hormones and is involved in hunger, thirst, sleep, and body temperature.</w:t>
      </w:r>
    </w:p>
    <w:bookmarkEnd w:id="2985"/>
    <w:bookmarkStart w:id="2986" w:name="i"/>
    <w:p>
      <w:pPr>
        <w:pStyle w:val="Heading3"/>
      </w:pPr>
      <w:r>
        <w:t xml:space="preserve">I</w:t>
      </w:r>
    </w:p>
    <w:p>
      <w:pPr>
        <w:pStyle w:val="FirstParagraph"/>
      </w:pPr>
      <w:r>
        <w:rPr>
          <w:bCs/>
          <w:b/>
        </w:rPr>
        <w:t xml:space="preserve">IGF-1 (insulin-like growth factor 1)</w:t>
      </w:r>
      <w:r>
        <w:t xml:space="preserve">: A growth factor produced mainly in the liver under the influence of growth hormone. It mediates many effects of growth hormone and serves as a laboratory value for assessing it.</w:t>
      </w:r>
    </w:p>
    <w:p>
      <w:pPr>
        <w:pStyle w:val="BodyText"/>
      </w:pPr>
      <w:r>
        <w:rPr>
          <w:bCs/>
          <w:b/>
        </w:rPr>
        <w:t xml:space="preserve">Immunogenicity</w:t>
      </w:r>
      <w:r>
        <w:t xml:space="preserve">: The property of a substance to trigger a reaction of the immune system, for example the formation of antibodies.</w:t>
      </w:r>
    </w:p>
    <w:p>
      <w:pPr>
        <w:pStyle w:val="BodyText"/>
      </w:pPr>
      <w:r>
        <w:rPr>
          <w:bCs/>
          <w:b/>
        </w:rPr>
        <w:t xml:space="preserve">Impurity</w:t>
      </w:r>
      <w:r>
        <w:t xml:space="preserve">: Unwanted components of a product, for example defective peptide chains from synthesis, solvent residues, metals, or bacterial components.</w:t>
      </w:r>
    </w:p>
    <w:p>
      <w:pPr>
        <w:pStyle w:val="BodyText"/>
      </w:pPr>
      <w:r>
        <w:rPr>
          <w:bCs/>
          <w:b/>
        </w:rPr>
        <w:t xml:space="preserve">Incretins</w:t>
      </w:r>
      <w:r>
        <w:t xml:space="preserve">: Gut hormones that enhance insulin release after a meal. The most important are GLP-1 and GIP.</w:t>
      </w:r>
    </w:p>
    <w:p>
      <w:pPr>
        <w:pStyle w:val="BodyText"/>
      </w:pPr>
      <w:r>
        <w:rPr>
          <w:bCs/>
          <w:b/>
        </w:rPr>
        <w:t xml:space="preserve">Insulin</w:t>
      </w:r>
      <w:r>
        <w:t xml:space="preserve">: A peptide hormone of the pancreas consisting of 51 amino acids that lowers blood sugar. In 1922 it was the first peptide used as a drug.</w:t>
      </w:r>
    </w:p>
    <w:p>
      <w:pPr>
        <w:pStyle w:val="BodyText"/>
      </w:pPr>
      <w:r>
        <w:rPr>
          <w:bCs/>
          <w:b/>
        </w:rPr>
        <w:t xml:space="preserve">Intention-to-treat analysis</w:t>
      </w:r>
      <w:r>
        <w:t xml:space="preserve">: An analysis of a study in which all participants are counted in the group to which they were assigned – even if they discontinued treatment. It is considered a more realistic estimate of the effect in everyday life.</w:t>
      </w:r>
    </w:p>
    <w:p>
      <w:pPr>
        <w:pStyle w:val="BodyText"/>
      </w:pPr>
      <w:r>
        <w:rPr>
          <w:bCs/>
          <w:b/>
        </w:rPr>
        <w:t xml:space="preserve">In vitro</w:t>
      </w:r>
      <w:r>
        <w:t xml:space="preserve">:</w:t>
      </w:r>
      <w:r>
        <w:t xml:space="preserve"> </w:t>
      </w:r>
      <w:r>
        <w:t xml:space="preserve">“</w:t>
      </w:r>
      <w:r>
        <w:t xml:space="preserve">In glass</w:t>
      </w:r>
      <w:r>
        <w:t xml:space="preserve">”</w:t>
      </w:r>
      <w:r>
        <w:t xml:space="preserve"> </w:t>
      </w:r>
      <w:r>
        <w:t xml:space="preserve">– experiments in the laboratory on cells, tissues, or isolated molecules outside a living organism.</w:t>
      </w:r>
    </w:p>
    <w:bookmarkEnd w:id="2986"/>
    <w:bookmarkStart w:id="2987" w:name="l"/>
    <w:p>
      <w:pPr>
        <w:pStyle w:val="Heading3"/>
      </w:pPr>
      <w:r>
        <w:t xml:space="preserve">L</w:t>
      </w:r>
    </w:p>
    <w:p>
      <w:pPr>
        <w:pStyle w:val="FirstParagraph"/>
      </w:pPr>
      <w:r>
        <w:rPr>
          <w:bCs/>
          <w:b/>
        </w:rPr>
        <w:t xml:space="preserve">Lyophilisate</w:t>
      </w:r>
      <w:r>
        <w:t xml:space="preserve">: A freeze-dried powder. Many peptides are stored in this form and have to be dissolved in a liquid before use.</w:t>
      </w:r>
    </w:p>
    <w:bookmarkEnd w:id="2987"/>
    <w:bookmarkStart w:id="2988" w:name="m"/>
    <w:p>
      <w:pPr>
        <w:pStyle w:val="Heading3"/>
      </w:pPr>
      <w:r>
        <w:t xml:space="preserve">M</w:t>
      </w:r>
    </w:p>
    <w:p>
      <w:pPr>
        <w:pStyle w:val="FirstParagraph"/>
      </w:pPr>
      <w:r>
        <w:rPr>
          <w:bCs/>
          <w:b/>
        </w:rPr>
        <w:t xml:space="preserve">Mass spectrometry</w:t>
      </w:r>
      <w:r>
        <w:t xml:space="preserve">: A measurement method that determines molecules by their mass. It can be used to identify peptides unambiguously in products and body fluids, for example in doping controls.</w:t>
      </w:r>
    </w:p>
    <w:p>
      <w:pPr>
        <w:pStyle w:val="BodyText"/>
      </w:pPr>
      <w:r>
        <w:rPr>
          <w:bCs/>
          <w:b/>
        </w:rPr>
        <w:t xml:space="preserve">Medicinal product by function</w:t>
      </w:r>
      <w:r>
        <w:t xml:space="preserve">: A legal term for a product that counts as a drug because of its pharmacological, immunological, or metabolic action – regardless of how it is advertised.</w:t>
      </w:r>
    </w:p>
    <w:p>
      <w:pPr>
        <w:pStyle w:val="BodyText"/>
      </w:pPr>
      <w:r>
        <w:rPr>
          <w:bCs/>
          <w:b/>
        </w:rPr>
        <w:t xml:space="preserve">Medicinal product by presentation</w:t>
      </w:r>
      <w:r>
        <w:t xml:space="preserve">: A legal term for a product that counts as a drug because it is presented or advertised as a remedy for diseases.</w:t>
      </w:r>
    </w:p>
    <w:p>
      <w:pPr>
        <w:pStyle w:val="BodyText"/>
      </w:pPr>
      <w:r>
        <w:rPr>
          <w:bCs/>
          <w:b/>
        </w:rPr>
        <w:t xml:space="preserve">Melanocortin receptors</w:t>
      </w:r>
      <w:r>
        <w:t xml:space="preserve">: A family of receptors that influence, among other things, skin pigmentation, appetite, and sexual function. Afamelanotide, bremelanotide, Melanotan II, and setmelanotide act on these receptors.</w:t>
      </w:r>
    </w:p>
    <w:p>
      <w:pPr>
        <w:pStyle w:val="BodyText"/>
      </w:pPr>
      <w:r>
        <w:rPr>
          <w:bCs/>
          <w:b/>
        </w:rPr>
        <w:t xml:space="preserve">Meta-analysis</w:t>
      </w:r>
      <w:r>
        <w:t xml:space="preserve">: A statistical summary of the results of several studies on the same question. It is only as good as the studies included in it.</w:t>
      </w:r>
    </w:p>
    <w:p>
      <w:pPr>
        <w:pStyle w:val="BodyText"/>
      </w:pPr>
      <w:r>
        <w:rPr>
          <w:bCs/>
          <w:b/>
        </w:rPr>
        <w:t xml:space="preserve">Mimetic</w:t>
      </w:r>
      <w:r>
        <w:t xml:space="preserve">: A substance that imitates the action of another without having its structure – for example, a small molecule that activates a receptor like a peptide hormone.</w:t>
      </w:r>
    </w:p>
    <w:bookmarkEnd w:id="2988"/>
    <w:bookmarkStart w:id="2989" w:name="n"/>
    <w:p>
      <w:pPr>
        <w:pStyle w:val="Heading3"/>
      </w:pPr>
      <w:r>
        <w:t xml:space="preserve">N</w:t>
      </w:r>
    </w:p>
    <w:p>
      <w:pPr>
        <w:pStyle w:val="FirstParagraph"/>
      </w:pPr>
      <w:r>
        <w:rPr>
          <w:bCs/>
          <w:b/>
        </w:rPr>
        <w:t xml:space="preserve">NCT number</w:t>
      </w:r>
      <w:r>
        <w:t xml:space="preserve">: The identification number of a study in the ClinicalTrials.gov registry, consisting of</w:t>
      </w:r>
      <w:r>
        <w:t xml:space="preserve"> </w:t>
      </w:r>
      <w:r>
        <w:t xml:space="preserve">“</w:t>
      </w:r>
      <w:r>
        <w:t xml:space="preserve">NCT</w:t>
      </w:r>
      <w:r>
        <w:t xml:space="preserve">”</w:t>
      </w:r>
      <w:r>
        <w:t xml:space="preserve"> </w:t>
      </w:r>
      <w:r>
        <w:t xml:space="preserve">and eight digits.</w:t>
      </w:r>
    </w:p>
    <w:p>
      <w:pPr>
        <w:pStyle w:val="BodyText"/>
      </w:pPr>
      <w:r>
        <w:rPr>
          <w:bCs/>
          <w:b/>
        </w:rPr>
        <w:t xml:space="preserve">Novel food</w:t>
      </w:r>
      <w:r>
        <w:t xml:space="preserve">: In the EU, a food or ingredient that was not consumed to a significant degree before May 15, 1997. Such products require authorization before they can be sold.</w:t>
      </w:r>
    </w:p>
    <w:p>
      <w:pPr>
        <w:pStyle w:val="BodyText"/>
      </w:pPr>
      <w:r>
        <w:rPr>
          <w:bCs/>
          <w:b/>
        </w:rPr>
        <w:t xml:space="preserve">N-terminus</w:t>
      </w:r>
      <w:r>
        <w:t xml:space="preserve">: The beginning of a peptide chain with the free amino group.</w:t>
      </w:r>
    </w:p>
    <w:p>
      <w:pPr>
        <w:pStyle w:val="BodyText"/>
      </w:pPr>
      <w:r>
        <w:rPr>
          <w:bCs/>
          <w:b/>
        </w:rPr>
        <w:t xml:space="preserve">Number needed to treat (NNT)</w:t>
      </w:r>
      <w:r>
        <w:t xml:space="preserve">: The number of people who have to be treated for a certain period so that one person avoids an event. It is calculated from the absolute risk reduction.</w:t>
      </w:r>
    </w:p>
    <w:bookmarkEnd w:id="2989"/>
    <w:bookmarkStart w:id="2990" w:name="o"/>
    <w:p>
      <w:pPr>
        <w:pStyle w:val="Heading3"/>
      </w:pPr>
      <w:r>
        <w:t xml:space="preserve">O</w:t>
      </w:r>
    </w:p>
    <w:p>
      <w:pPr>
        <w:pStyle w:val="FirstParagraph"/>
      </w:pPr>
      <w:r>
        <w:rPr>
          <w:bCs/>
          <w:b/>
        </w:rPr>
        <w:t xml:space="preserve">Obesity</w:t>
      </w:r>
      <w:r>
        <w:t xml:space="preserve">: Pathological overweight, usually defined as a body mass index of 30 or more. It is considered a chronic disease with an increased risk of diabetes, cardiovascular disease, and joint disease.</w:t>
      </w:r>
    </w:p>
    <w:p>
      <w:pPr>
        <w:pStyle w:val="BodyText"/>
      </w:pPr>
      <w:r>
        <w:rPr>
          <w:bCs/>
          <w:b/>
        </w:rPr>
        <w:t xml:space="preserve">Off-label use</w:t>
      </w:r>
      <w:r>
        <w:t xml:space="preserve">: The use of an approved drug outside the approved indications, doses, or groups of people.</w:t>
      </w:r>
    </w:p>
    <w:p>
      <w:pPr>
        <w:pStyle w:val="BodyText"/>
      </w:pPr>
      <w:r>
        <w:rPr>
          <w:bCs/>
          <w:b/>
        </w:rPr>
        <w:t xml:space="preserve">Oligopeptide</w:t>
      </w:r>
      <w:r>
        <w:t xml:space="preserve">: A short peptide of about two to ten amino acids.</w:t>
      </w:r>
    </w:p>
    <w:p>
      <w:pPr>
        <w:pStyle w:val="BodyText"/>
      </w:pPr>
      <w:r>
        <w:rPr>
          <w:bCs/>
          <w:b/>
        </w:rPr>
        <w:t xml:space="preserve">Open-label study</w:t>
      </w:r>
      <w:r>
        <w:t xml:space="preserve">: A study without blinding, in which participants and study staff know which treatment is being given.</w:t>
      </w:r>
    </w:p>
    <w:bookmarkEnd w:id="2990"/>
    <w:bookmarkStart w:id="2991" w:name="p"/>
    <w:p>
      <w:pPr>
        <w:pStyle w:val="Heading3"/>
      </w:pPr>
      <w:r>
        <w:t xml:space="preserve">P</w:t>
      </w:r>
    </w:p>
    <w:p>
      <w:pPr>
        <w:pStyle w:val="FirstParagraph"/>
      </w:pPr>
      <w:r>
        <w:rPr>
          <w:bCs/>
          <w:b/>
        </w:rPr>
        <w:t xml:space="preserve">Pancreatitis</w:t>
      </w:r>
      <w:r>
        <w:t xml:space="preserve">: Inflammation of the pancreas. It is discussed as a possible, rare side effect of GLP-1 drugs.</w:t>
      </w:r>
    </w:p>
    <w:p>
      <w:pPr>
        <w:pStyle w:val="BodyText"/>
      </w:pPr>
      <w:r>
        <w:rPr>
          <w:bCs/>
          <w:b/>
        </w:rPr>
        <w:t xml:space="preserve">Peptide</w:t>
      </w:r>
      <w:r>
        <w:t xml:space="preserve">: A chain of amino acids linked by peptide bonds. From about 50 amino acids upward, it is usually called a protein.</w:t>
      </w:r>
    </w:p>
    <w:p>
      <w:pPr>
        <w:pStyle w:val="BodyText"/>
      </w:pPr>
      <w:r>
        <w:rPr>
          <w:bCs/>
          <w:b/>
        </w:rPr>
        <w:t xml:space="preserve">Peptide bond</w:t>
      </w:r>
      <w:r>
        <w:t xml:space="preserve">: The chemical bond between the acid group of one amino acid and the amino group of the next, during whose formation water is split off.</w:t>
      </w:r>
    </w:p>
    <w:p>
      <w:pPr>
        <w:pStyle w:val="BodyText"/>
      </w:pPr>
      <w:r>
        <w:rPr>
          <w:bCs/>
          <w:b/>
        </w:rPr>
        <w:t xml:space="preserve">Pharmacodynamics</w:t>
      </w:r>
      <w:r>
        <w:t xml:space="preserve">: The study of what an active ingredient does in the body – that is, its effects and mechanisms of action.</w:t>
      </w:r>
    </w:p>
    <w:p>
      <w:pPr>
        <w:pStyle w:val="BodyText"/>
      </w:pPr>
      <w:r>
        <w:rPr>
          <w:bCs/>
          <w:b/>
        </w:rPr>
        <w:t xml:space="preserve">Pharmacokinetics</w:t>
      </w:r>
      <w:r>
        <w:t xml:space="preserve">: The study of what the body does with an active ingredient – absorption, distribution, breakdown, and excretion.</w:t>
      </w:r>
    </w:p>
    <w:p>
      <w:pPr>
        <w:pStyle w:val="BodyText"/>
      </w:pPr>
      <w:r>
        <w:rPr>
          <w:bCs/>
          <w:b/>
        </w:rPr>
        <w:t xml:space="preserve">Pharmacovigilance</w:t>
      </w:r>
      <w:r>
        <w:t xml:space="preserve">: The systematic monitoring of drugs after approval in order to detect and assess side effects.</w:t>
      </w:r>
    </w:p>
    <w:p>
      <w:pPr>
        <w:pStyle w:val="BodyText"/>
      </w:pPr>
      <w:r>
        <w:rPr>
          <w:bCs/>
          <w:b/>
        </w:rPr>
        <w:t xml:space="preserve">Pituitary gland (hypophysis)</w:t>
      </w:r>
      <w:r>
        <w:t xml:space="preserve">: A small hormone gland at the base of the skull that releases, among other things, growth hormone and the control hormones for the thyroid, adrenal glands, and gonads.</w:t>
      </w:r>
    </w:p>
    <w:p>
      <w:pPr>
        <w:pStyle w:val="BodyText"/>
      </w:pPr>
      <w:r>
        <w:rPr>
          <w:bCs/>
          <w:b/>
        </w:rPr>
        <w:t xml:space="preserve">Placebo</w:t>
      </w:r>
      <w:r>
        <w:t xml:space="preserve">: A dummy preparation without active ingredient that is used for comparison in studies.</w:t>
      </w:r>
    </w:p>
    <w:p>
      <w:pPr>
        <w:pStyle w:val="BodyText"/>
      </w:pPr>
      <w:r>
        <w:rPr>
          <w:bCs/>
          <w:b/>
        </w:rPr>
        <w:t xml:space="preserve">Placebo effect</w:t>
      </w:r>
      <w:r>
        <w:t xml:space="preserve">: An improvement in symptoms that is due not to an active ingredient but to expectations, attention, or the natural course of the condition.</w:t>
      </w:r>
    </w:p>
    <w:p>
      <w:pPr>
        <w:pStyle w:val="BodyText"/>
      </w:pPr>
      <w:r>
        <w:rPr>
          <w:bCs/>
          <w:b/>
        </w:rPr>
        <w:t xml:space="preserve">PMID</w:t>
      </w:r>
      <w:r>
        <w:t xml:space="preserve">: The PubMed identification number, a unique number for each entry in the PubMed literature database.</w:t>
      </w:r>
    </w:p>
    <w:p>
      <w:pPr>
        <w:pStyle w:val="BodyText"/>
      </w:pPr>
      <w:r>
        <w:rPr>
          <w:bCs/>
          <w:b/>
        </w:rPr>
        <w:t xml:space="preserve">Polypeptide</w:t>
      </w:r>
      <w:r>
        <w:t xml:space="preserve">: A longer peptide chain, usually with more than ten amino acids.</w:t>
      </w:r>
    </w:p>
    <w:p>
      <w:pPr>
        <w:pStyle w:val="BodyText"/>
      </w:pPr>
      <w:r>
        <w:rPr>
          <w:bCs/>
          <w:b/>
        </w:rPr>
        <w:t xml:space="preserve">Preclinical studies</w:t>
      </w:r>
      <w:r>
        <w:t xml:space="preserve">: Investigations in the laboratory and in animals that are carried out before the first studies in humans.</w:t>
      </w:r>
    </w:p>
    <w:p>
      <w:pPr>
        <w:pStyle w:val="BodyText"/>
      </w:pPr>
      <w:r>
        <w:rPr>
          <w:bCs/>
          <w:b/>
        </w:rPr>
        <w:t xml:space="preserve">Preprint</w:t>
      </w:r>
      <w:r>
        <w:t xml:space="preserve">: A scientific paper that is made public before review by experts (peer review).</w:t>
      </w:r>
    </w:p>
    <w:p>
      <w:pPr>
        <w:pStyle w:val="BodyText"/>
      </w:pPr>
      <w:r>
        <w:rPr>
          <w:bCs/>
          <w:b/>
        </w:rPr>
        <w:t xml:space="preserve">Prescribing information</w:t>
      </w:r>
      <w:r>
        <w:t xml:space="preserve">: The officially approved information on an approved drug intended for physicians and pharmacies, with indications, dosage, contraindications, and side effects (in the EU, the summary of product characteristics).</w:t>
      </w:r>
    </w:p>
    <w:p>
      <w:pPr>
        <w:pStyle w:val="BodyText"/>
      </w:pPr>
      <w:r>
        <w:rPr>
          <w:bCs/>
          <w:b/>
        </w:rPr>
        <w:t xml:space="preserve">Protease</w:t>
      </w:r>
      <w:r>
        <w:t xml:space="preserve">: An enzyme that cleaves peptide bonds and thus breaks down proteins and peptides. Also called peptidase.</w:t>
      </w:r>
    </w:p>
    <w:p>
      <w:pPr>
        <w:pStyle w:val="BodyText"/>
      </w:pPr>
      <w:r>
        <w:rPr>
          <w:bCs/>
          <w:b/>
        </w:rPr>
        <w:t xml:space="preserve">Protein</w:t>
      </w:r>
      <w:r>
        <w:t xml:space="preserve">: A large protein molecule usually consisting of more than 50 amino acids with a specific three-dimensional folding.</w:t>
      </w:r>
    </w:p>
    <w:p>
      <w:pPr>
        <w:pStyle w:val="BodyText"/>
      </w:pPr>
      <w:r>
        <w:rPr>
          <w:bCs/>
          <w:b/>
        </w:rPr>
        <w:t xml:space="preserve">Publication bias</w:t>
      </w:r>
      <w:r>
        <w:t xml:space="preserve">: The distortion of the overall picture when studies with positive results are published more often than those with negative results.</w:t>
      </w:r>
    </w:p>
    <w:p>
      <w:pPr>
        <w:pStyle w:val="BodyText"/>
      </w:pPr>
      <w:r>
        <w:rPr>
          <w:bCs/>
          <w:b/>
        </w:rPr>
        <w:t xml:space="preserve">PubMed</w:t>
      </w:r>
      <w:r>
        <w:t xml:space="preserve">: A freely accessible literature database of the US National Library of Medicine with millions of entries from biomedical research.</w:t>
      </w:r>
    </w:p>
    <w:p>
      <w:pPr>
        <w:pStyle w:val="BodyText"/>
      </w:pPr>
      <w:r>
        <w:rPr>
          <w:bCs/>
          <w:b/>
        </w:rPr>
        <w:t xml:space="preserve">p-value</w:t>
      </w:r>
      <w:r>
        <w:t xml:space="preserve">: A statistical measure of how likely a difference at least as large would be if there were in reality no effect. Values below 0.05 are usually considered statistically significant.</w:t>
      </w:r>
    </w:p>
    <w:bookmarkEnd w:id="2991"/>
    <w:bookmarkStart w:id="2992" w:name="r"/>
    <w:p>
      <w:pPr>
        <w:pStyle w:val="Heading3"/>
      </w:pPr>
      <w:r>
        <w:t xml:space="preserve">R</w:t>
      </w:r>
    </w:p>
    <w:p>
      <w:pPr>
        <w:pStyle w:val="FirstParagraph"/>
      </w:pPr>
      <w:r>
        <w:rPr>
          <w:bCs/>
          <w:b/>
        </w:rPr>
        <w:t xml:space="preserve">Randomization</w:t>
      </w:r>
      <w:r>
        <w:t xml:space="preserve">: The random assignment of participants to the groups of a study. It ensures that the groups differ systematically only in the treatment.</w:t>
      </w:r>
    </w:p>
    <w:p>
      <w:pPr>
        <w:pStyle w:val="BodyText"/>
      </w:pPr>
      <w:r>
        <w:rPr>
          <w:bCs/>
          <w:b/>
        </w:rPr>
        <w:t xml:space="preserve">RCT (randomized controlled trial)</w:t>
      </w:r>
      <w:r>
        <w:t xml:space="preserve">: A study with random assignment to a treatment group and a control group. It is considered the most reliable way to demonstrate the effect of a treatment.</w:t>
      </w:r>
    </w:p>
    <w:p>
      <w:pPr>
        <w:pStyle w:val="BodyText"/>
      </w:pPr>
      <w:r>
        <w:rPr>
          <w:bCs/>
          <w:b/>
        </w:rPr>
        <w:t xml:space="preserve">Receptor</w:t>
      </w:r>
      <w:r>
        <w:t xml:space="preserve">: A protein molecule, usually on the cell surface, to which a messenger substance binds, thereby triggering a signal in the cell.</w:t>
      </w:r>
    </w:p>
    <w:p>
      <w:pPr>
        <w:pStyle w:val="BodyText"/>
      </w:pPr>
      <w:r>
        <w:rPr>
          <w:bCs/>
          <w:b/>
        </w:rPr>
        <w:t xml:space="preserve">Recombinant</w:t>
      </w:r>
      <w:r>
        <w:t xml:space="preserve">: Produced by genetic engineering, by introducing the blueprint for a peptide or protein into bacteria, yeasts, or other cells.</w:t>
      </w:r>
    </w:p>
    <w:p>
      <w:pPr>
        <w:pStyle w:val="BodyText"/>
      </w:pPr>
      <w:r>
        <w:rPr>
          <w:bCs/>
          <w:b/>
        </w:rPr>
        <w:t xml:space="preserve">Relative risk</w:t>
      </w:r>
      <w:r>
        <w:t xml:space="preserve">: The ratio of event frequency in two groups. A relative risk of 0.5 means a halving – regardless of how common the event is overall.</w:t>
      </w:r>
    </w:p>
    <w:p>
      <w:pPr>
        <w:pStyle w:val="BodyText"/>
      </w:pPr>
      <w:r>
        <w:rPr>
          <w:bCs/>
          <w:b/>
        </w:rPr>
        <w:t xml:space="preserve">Research peptides</w:t>
      </w:r>
      <w:r>
        <w:t xml:space="preserve">: Peptides sold with the notice</w:t>
      </w:r>
      <w:r>
        <w:t xml:space="preserve"> </w:t>
      </w:r>
      <w:r>
        <w:t xml:space="preserve">“</w:t>
      </w:r>
      <w:r>
        <w:t xml:space="preserve">for research purposes only</w:t>
      </w:r>
      <w:r>
        <w:t xml:space="preserve">”</w:t>
      </w:r>
      <w:r>
        <w:t xml:space="preserve"> </w:t>
      </w:r>
      <w:r>
        <w:t xml:space="preserve">or</w:t>
      </w:r>
      <w:r>
        <w:t xml:space="preserve"> </w:t>
      </w:r>
      <w:r>
        <w:t xml:space="preserve">“</w:t>
      </w:r>
      <w:r>
        <w:t xml:space="preserve">not for human use,</w:t>
      </w:r>
      <w:r>
        <w:t xml:space="preserve">”</w:t>
      </w:r>
      <w:r>
        <w:t xml:space="preserve"> </w:t>
      </w:r>
      <w:r>
        <w:t xml:space="preserve">but often to private individuals. They are not tested drugs.</w:t>
      </w:r>
    </w:p>
    <w:p>
      <w:pPr>
        <w:pStyle w:val="BodyText"/>
      </w:pPr>
      <w:r>
        <w:rPr>
          <w:bCs/>
          <w:b/>
        </w:rPr>
        <w:t xml:space="preserve">Rhabdomyolysis</w:t>
      </w:r>
      <w:r>
        <w:t xml:space="preserve">: A breakdown of muscle tissue in which muscle components enter the blood and can damage the kidneys.</w:t>
      </w:r>
    </w:p>
    <w:bookmarkEnd w:id="2992"/>
    <w:bookmarkStart w:id="2993" w:name="s"/>
    <w:p>
      <w:pPr>
        <w:pStyle w:val="Heading3"/>
      </w:pPr>
      <w:r>
        <w:t xml:space="preserve">S</w:t>
      </w:r>
    </w:p>
    <w:p>
      <w:pPr>
        <w:pStyle w:val="FirstParagraph"/>
      </w:pPr>
      <w:r>
        <w:rPr>
          <w:bCs/>
          <w:b/>
        </w:rPr>
        <w:t xml:space="preserve">Secretagogue</w:t>
      </w:r>
      <w:r>
        <w:t xml:space="preserve">: A substance that stimulates the release of another substance. Growth hormone secretagogues increase the release of growth hormone.</w:t>
      </w:r>
    </w:p>
    <w:p>
      <w:pPr>
        <w:pStyle w:val="BodyText"/>
      </w:pPr>
      <w:r>
        <w:rPr>
          <w:bCs/>
          <w:b/>
        </w:rPr>
        <w:t xml:space="preserve">Sequence</w:t>
      </w:r>
      <w:r>
        <w:t xml:space="preserve">: The order of amino acids in a peptide chain. It determines the properties of the peptide.</w:t>
      </w:r>
    </w:p>
    <w:p>
      <w:pPr>
        <w:pStyle w:val="BodyText"/>
      </w:pPr>
      <w:r>
        <w:rPr>
          <w:bCs/>
          <w:b/>
        </w:rPr>
        <w:t xml:space="preserve">SNAC</w:t>
      </w:r>
      <w:r>
        <w:t xml:space="preserve">: An excipient (sodium N-[8-(2-hydroxybenzoyl)amino]caprylate) that enables absorption of the peptide in the stomach in the semaglutide tablet.</w:t>
      </w:r>
    </w:p>
    <w:p>
      <w:pPr>
        <w:pStyle w:val="BodyText"/>
      </w:pPr>
      <w:r>
        <w:rPr>
          <w:bCs/>
          <w:b/>
        </w:rPr>
        <w:t xml:space="preserve">Solid-phase peptide synthesis</w:t>
      </w:r>
      <w:r>
        <w:t xml:space="preserve">: A chemical process in which a peptide chain is built up building block by building block on a solid support material. The basis for manufacturing most short peptides.</w:t>
      </w:r>
    </w:p>
    <w:p>
      <w:pPr>
        <w:pStyle w:val="BodyText"/>
      </w:pPr>
      <w:r>
        <w:rPr>
          <w:bCs/>
          <w:b/>
        </w:rPr>
        <w:t xml:space="preserve">Statistical significance</w:t>
      </w:r>
      <w:r>
        <w:t xml:space="preserve">: The statement that an observed difference is probably not due to chance alone. It says nothing about whether the difference is large or meaningful.</w:t>
      </w:r>
    </w:p>
    <w:p>
      <w:pPr>
        <w:pStyle w:val="BodyText"/>
      </w:pPr>
      <w:r>
        <w:rPr>
          <w:bCs/>
          <w:b/>
        </w:rPr>
        <w:t xml:space="preserve">Sterility</w:t>
      </w:r>
      <w:r>
        <w:t xml:space="preserve">: Freedom from living microorganisms. A sterile product can nevertheless contain endotoxins.</w:t>
      </w:r>
    </w:p>
    <w:p>
      <w:pPr>
        <w:pStyle w:val="BodyText"/>
      </w:pPr>
      <w:r>
        <w:rPr>
          <w:bCs/>
          <w:b/>
        </w:rPr>
        <w:t xml:space="preserve">Study phases</w:t>
      </w:r>
      <w:r>
        <w:t xml:space="preserve">: The stages of drug testing in humans, from phase 1 (tolerability in a few people) to phase 3 (large comparative studies) and phase 4 (observation after approval).</w:t>
      </w:r>
    </w:p>
    <w:p>
      <w:pPr>
        <w:pStyle w:val="BodyText"/>
      </w:pPr>
      <w:r>
        <w:rPr>
          <w:bCs/>
          <w:b/>
        </w:rPr>
        <w:t xml:space="preserve">Study registry</w:t>
      </w:r>
      <w:r>
        <w:t xml:space="preserve">: Public databases in which clinical studies are entered before they begin, for example ClinicalTrials.gov or the EU registry.</w:t>
      </w:r>
    </w:p>
    <w:p>
      <w:pPr>
        <w:pStyle w:val="BodyText"/>
      </w:pPr>
      <w:r>
        <w:rPr>
          <w:bCs/>
          <w:b/>
        </w:rPr>
        <w:t xml:space="preserve">Subcutaneous</w:t>
      </w:r>
      <w:r>
        <w:t xml:space="preserve">: Injected under the skin, into the subcutaneous fat tissue. The most common route of administration for peptide drugs.</w:t>
      </w:r>
    </w:p>
    <w:p>
      <w:pPr>
        <w:pStyle w:val="BodyText"/>
      </w:pPr>
      <w:r>
        <w:rPr>
          <w:bCs/>
          <w:b/>
        </w:rPr>
        <w:t xml:space="preserve">Surrogate endpoint</w:t>
      </w:r>
      <w:r>
        <w:t xml:space="preserve">: A measured value used as a substitute for a clinically meaningful event, for example blood sugar instead of heart attack. Improvements in a surrogate do not automatically mean a benefit for patients.</w:t>
      </w:r>
    </w:p>
    <w:p>
      <w:pPr>
        <w:pStyle w:val="BodyText"/>
      </w:pPr>
      <w:r>
        <w:rPr>
          <w:bCs/>
          <w:b/>
        </w:rPr>
        <w:t xml:space="preserve">Systematic review</w:t>
      </w:r>
      <w:r>
        <w:t xml:space="preserve">: A paper that, according to predefined rules, searches for, assesses, and summarizes all available studies on a question.</w:t>
      </w:r>
    </w:p>
    <w:bookmarkEnd w:id="2993"/>
    <w:bookmarkStart w:id="2994" w:name="t"/>
    <w:p>
      <w:pPr>
        <w:pStyle w:val="Heading3"/>
      </w:pPr>
      <w:r>
        <w:t xml:space="preserve">T</w:t>
      </w:r>
    </w:p>
    <w:p>
      <w:pPr>
        <w:pStyle w:val="FirstParagraph"/>
      </w:pPr>
      <w:r>
        <w:rPr>
          <w:bCs/>
          <w:b/>
        </w:rPr>
        <w:t xml:space="preserve">Therapeutic Use Exemption (TUE)</w:t>
      </w:r>
      <w:r>
        <w:t xml:space="preserve">: A medical exemption in sport that permits the use of a prohibited but medically necessary drug.</w:t>
      </w:r>
    </w:p>
    <w:p>
      <w:pPr>
        <w:pStyle w:val="BodyText"/>
      </w:pPr>
      <w:r>
        <w:rPr>
          <w:bCs/>
          <w:b/>
        </w:rPr>
        <w:t xml:space="preserve">Type 2 diabetes</w:t>
      </w:r>
      <w:r>
        <w:t xml:space="preserve">: The most common form of diabetes, in which the body uses insulin less effectively and the pancreas does not produce enough to compensate. Often associated with overweight.</w:t>
      </w:r>
    </w:p>
    <w:bookmarkEnd w:id="2994"/>
    <w:bookmarkStart w:id="2995" w:name="w"/>
    <w:p>
      <w:pPr>
        <w:pStyle w:val="Heading3"/>
      </w:pPr>
      <w:r>
        <w:t xml:space="preserve">W</w:t>
      </w:r>
    </w:p>
    <w:p>
      <w:pPr>
        <w:pStyle w:val="FirstParagraph"/>
      </w:pPr>
      <w:r>
        <w:rPr>
          <w:bCs/>
          <w:b/>
        </w:rPr>
        <w:t xml:space="preserve">WADA (World Anti-Doping Agency)</w:t>
      </w:r>
      <w:r>
        <w:t xml:space="preserve">: The international organization that publishes the annual list of substances and methods prohibited in sport.</w:t>
      </w:r>
    </w:p>
    <w:bookmarkEnd w:id="2995"/>
    <w:bookmarkEnd w:id="2996"/>
    <w:bookmarkStart w:id="3012" w:name="methodology"/>
    <w:p>
      <w:pPr>
        <w:pStyle w:val="Heading1"/>
      </w:pPr>
      <w:r>
        <w:t xml:space="preserve">Methodology</w:t>
      </w:r>
    </w:p>
    <w:p>
      <w:pPr>
        <w:pStyle w:val="FirstParagraph"/>
      </w:pPr>
      <w:r>
        <w:t xml:space="preserve">This appendix describes how the studies for this book were searched for, selected, and checked. It is intended to enable you to follow the research and, if necessary, to repeat or update it yourself.</w:t>
      </w:r>
    </w:p>
    <w:bookmarkStart w:id="2997" w:name="databases"/>
    <w:p>
      <w:pPr>
        <w:pStyle w:val="Heading3"/>
      </w:pPr>
      <w:r>
        <w:t xml:space="preserve">Databases</w:t>
      </w:r>
    </w:p>
    <w:p>
      <w:pPr>
        <w:pStyle w:val="FirstParagraph"/>
      </w:pPr>
      <w:r>
        <w:t xml:space="preserve">The research is based on two freely accessible databases:</w:t>
      </w:r>
    </w:p>
    <w:p>
      <w:pPr>
        <w:numPr>
          <w:ilvl w:val="0"/>
          <w:numId w:val="1373"/>
        </w:numPr>
        <w:pStyle w:val="Compact"/>
      </w:pPr>
      <w:r>
        <w:rPr>
          <w:bCs/>
          <w:b/>
        </w:rPr>
        <w:t xml:space="preserve">PubMed</w:t>
      </w:r>
      <w:r>
        <w:t xml:space="preserve"> </w:t>
      </w:r>
      <w:r>
        <w:t xml:space="preserve">(pubmed.ncbi.nlm.nih.gov), the literature database of the US National Library of Medicine. It lists publications from biomedical journals with title, authors, summary (abstract), and keywords. Each entry has a unique number, the PMID.</w:t>
      </w:r>
    </w:p>
    <w:p>
      <w:pPr>
        <w:numPr>
          <w:ilvl w:val="0"/>
          <w:numId w:val="1373"/>
        </w:numPr>
        <w:pStyle w:val="Compact"/>
      </w:pPr>
      <w:r>
        <w:rPr>
          <w:bCs/>
          <w:b/>
        </w:rPr>
        <w:t xml:space="preserve">ClinicalTrials.gov</w:t>
      </w:r>
      <w:r>
        <w:t xml:space="preserve"> </w:t>
      </w:r>
      <w:r>
        <w:t xml:space="preserve">(clinicaltrials.gov), the trial registry of the US National Institutes of Health. Here, clinical studies from all over the world are registered before they begin, with design, planned number of participants, endpoints, and status. Each study has an NCT number.</w:t>
      </w:r>
    </w:p>
    <w:p>
      <w:pPr>
        <w:pStyle w:val="FirstParagraph"/>
      </w:pPr>
      <w:r>
        <w:t xml:space="preserve">Both databases were queried via their official, publicly accessible application programming interfaces: PubMed via the E-utilities of the National Center for Biotechnology Information, ClinicalTrials.gov via version 2 of its application programming interface. Other databases such as Embase, the Cochrane Library, Web of Science, the EU trial registry, or national registries were not systematically searched.</w:t>
      </w:r>
    </w:p>
    <w:bookmarkEnd w:id="2997"/>
    <w:bookmarkStart w:id="2998" w:name="search-period"/>
    <w:p>
      <w:pPr>
        <w:pStyle w:val="Heading3"/>
      </w:pPr>
      <w:r>
        <w:t xml:space="preserve">Search period</w:t>
      </w:r>
    </w:p>
    <w:p>
      <w:pPr>
        <w:pStyle w:val="FirstParagraph"/>
      </w:pPr>
      <w:r>
        <w:t xml:space="preserve">The systematic queries were carried out in</w:t>
      </w:r>
      <w:r>
        <w:t xml:space="preserve"> </w:t>
      </w:r>
      <w:r>
        <w:rPr>
          <w:bCs/>
          <w:b/>
        </w:rPr>
        <w:t xml:space="preserve">October 2026</w:t>
      </w:r>
      <w:r>
        <w:t xml:space="preserve">; the hit counts for all peptides date from October 28, 2026. Supplementary targeted searches for individual studies, case reports, and reviews were carried out during the same period. Studies published later are not taken into account. The book is current as of November 2026.</w:t>
      </w:r>
    </w:p>
    <w:bookmarkEnd w:id="2998"/>
    <w:bookmarkStart w:id="2999" w:name="search-strategy"/>
    <w:p>
      <w:pPr>
        <w:pStyle w:val="Heading3"/>
      </w:pPr>
      <w:r>
        <w:t xml:space="preserve">Search strategy</w:t>
      </w:r>
    </w:p>
    <w:p>
      <w:pPr>
        <w:pStyle w:val="FirstParagraph"/>
      </w:pPr>
      <w:r>
        <w:t xml:space="preserve">For each of the 58 peptides and comparator substances, a separate PubMed search term was defined. It includes the international nonproprietary name as well as common abbreviations, code names, and trade names, and searches in title and abstract (tag</w:t>
      </w:r>
      <w:r>
        <w:t xml:space="preserve"> </w:t>
      </w:r>
      <w:r>
        <w:rPr>
          <w:rStyle w:val="VerbatimChar"/>
        </w:rPr>
        <w:t xml:space="preserve">[tiab]</w:t>
      </w:r>
      <w:r>
        <w:t xml:space="preserve">) or in the title only (</w:t>
      </w:r>
      <w:r>
        <w:rPr>
          <w:rStyle w:val="VerbatimChar"/>
        </w:rPr>
        <w:t xml:space="preserve">[ti]</w:t>
      </w:r>
      <w:r>
        <w:t xml:space="preserve">). For ambiguous terms, the search term was restricted, for example for collagen peptides to papers on oral intake or for kisspeptin to papers on administration of the peptide.</w:t>
      </w:r>
    </w:p>
    <w:p>
      <w:pPr>
        <w:pStyle w:val="BodyText"/>
      </w:pPr>
      <w:r>
        <w:t xml:space="preserve">Three filters were applied to this search term:</w:t>
      </w:r>
    </w:p>
    <w:p>
      <w:pPr>
        <w:pStyle w:val="BodyText"/>
      </w:pPr>
      <w:r>
        <w:rPr>
          <w:bCs/>
          <w:b/>
        </w:rPr>
        <w:t xml:space="preserve">Human studies.</w:t>
      </w:r>
      <w:r>
        <w:t xml:space="preserve"> </w:t>
      </w:r>
      <w:r>
        <w:t xml:space="preserve">To find clinical studies in humans, the search term was combined with the following filter:</w:t>
      </w:r>
    </w:p>
    <w:p>
      <w:pPr>
        <w:pStyle w:val="BodyText"/>
      </w:pPr>
      <w:r>
        <w:rPr>
          <w:rStyle w:val="VerbatimChar"/>
        </w:rPr>
        <w:t xml:space="preserve">(clinical trial[pt] OR randomized controlled trial[pt]) AND humans[mh]</w:t>
      </w:r>
    </w:p>
    <w:p>
      <w:pPr>
        <w:pStyle w:val="BodyText"/>
      </w:pPr>
      <w:r>
        <w:t xml:space="preserve">The</w:t>
      </w:r>
      <w:r>
        <w:t xml:space="preserve"> </w:t>
      </w:r>
      <w:r>
        <w:rPr>
          <w:rStyle w:val="VerbatimChar"/>
        </w:rPr>
        <w:t xml:space="preserve">[pt]</w:t>
      </w:r>
      <w:r>
        <w:t xml:space="preserve"> </w:t>
      </w:r>
      <w:r>
        <w:t xml:space="preserve">part searches for the publication type that PubMed assigns to each article;</w:t>
      </w:r>
      <w:r>
        <w:t xml:space="preserve"> </w:t>
      </w:r>
      <w:r>
        <w:rPr>
          <w:rStyle w:val="VerbatimChar"/>
        </w:rPr>
        <w:t xml:space="preserve">humans[mh]</w:t>
      </w:r>
      <w:r>
        <w:t xml:space="preserve"> </w:t>
      </w:r>
      <w:r>
        <w:t xml:space="preserve">stands for the subject heading</w:t>
      </w:r>
      <w:r>
        <w:t xml:space="preserve"> </w:t>
      </w:r>
      <w:r>
        <w:t xml:space="preserve">“</w:t>
      </w:r>
      <w:r>
        <w:t xml:space="preserve">humans</w:t>
      </w:r>
      <w:r>
        <w:t xml:space="preserve">”</w:t>
      </w:r>
      <w:r>
        <w:t xml:space="preserve"> </w:t>
      </w:r>
      <w:r>
        <w:t xml:space="preserve">in the MeSH keyword system. This finds articles that are labeled as a clinical trial or as a randomized controlled trial and concern humans.</w:t>
      </w:r>
    </w:p>
    <w:p>
      <w:pPr>
        <w:pStyle w:val="BodyText"/>
      </w:pPr>
      <w:r>
        <w:rPr>
          <w:bCs/>
          <w:b/>
        </w:rPr>
        <w:t xml:space="preserve">Meta-analyses and reviews.</w:t>
      </w:r>
      <w:r>
        <w:t xml:space="preserve"> </w:t>
      </w:r>
      <w:r>
        <w:t xml:space="preserve">For summarizing papers, the search term was combined with this filter:</w:t>
      </w:r>
    </w:p>
    <w:p>
      <w:pPr>
        <w:pStyle w:val="BodyText"/>
      </w:pPr>
      <w:r>
        <w:rPr>
          <w:rStyle w:val="VerbatimChar"/>
        </w:rPr>
        <w:t xml:space="preserve">(meta-analysis[pt] OR systematic review[pt])</w:t>
      </w:r>
    </w:p>
    <w:p>
      <w:pPr>
        <w:pStyle w:val="BodyText"/>
      </w:pPr>
      <w:r>
        <w:rPr>
          <w:bCs/>
          <w:b/>
        </w:rPr>
        <w:t xml:space="preserve">Preclinical research.</w:t>
      </w:r>
      <w:r>
        <w:t xml:space="preserve"> </w:t>
      </w:r>
      <w:r>
        <w:t xml:space="preserve">For peptides with fewer than 25 human studies found, the most relevant remaining papers without the human studies filter were additionally evaluated in order to capture animal and laboratory studies, case reports, and analyses of gray-market products.</w:t>
      </w:r>
    </w:p>
    <w:p>
      <w:pPr>
        <w:pStyle w:val="BodyText"/>
      </w:pPr>
      <w:r>
        <w:rPr>
          <w:bCs/>
          <w:b/>
        </w:rPr>
        <w:t xml:space="preserve">Registered studies.</w:t>
      </w:r>
      <w:r>
        <w:t xml:space="preserve"> </w:t>
      </w:r>
      <w:r>
        <w:t xml:space="preserve">In ClinicalTrials.gov, a separate, usually simple search term with the name of the agent was used for each peptide. All entries were captured regardless of status and study phase.</w:t>
      </w:r>
    </w:p>
    <w:p>
      <w:pPr>
        <w:pStyle w:val="BodyText"/>
      </w:pPr>
      <w:r>
        <w:t xml:space="preserve">Beyond these automated searches, targeted searches were carried out for each chapter for the most important approval and outcome trials, large meta-analyses, trial programs (for example STEP, SURMOUNT, or SELECT), safety data, case reports, and laboratory analyses of gray-market products. For Part I, papers on the history of peptide medicine, dosage forms, study methodology, and the gray market were also researched.</w:t>
      </w:r>
    </w:p>
    <w:bookmarkEnd w:id="2999"/>
    <w:bookmarkStart w:id="3006" w:name="search-terms-per-peptide"/>
    <w:p>
      <w:pPr>
        <w:pStyle w:val="Heading3"/>
      </w:pPr>
      <w:r>
        <w:t xml:space="preserve">Search terms per peptide</w:t>
      </w:r>
    </w:p>
    <w:p>
      <w:pPr>
        <w:pStyle w:val="FirstParagraph"/>
      </w:pPr>
      <w:r>
        <w:t xml:space="preserve">The following tables show the PubMed search terms used for the systematic query. The filters described above were appended to each term. An asterisk at the end of a word stands for any word ending,</w:t>
      </w:r>
      <w:r>
        <w:t xml:space="preserve"> </w:t>
      </w:r>
      <w:r>
        <w:rPr>
          <w:rStyle w:val="VerbatimChar"/>
        </w:rPr>
        <w:t xml:space="preserve">OR</w:t>
      </w:r>
      <w:r>
        <w:t xml:space="preserve"> </w:t>
      </w:r>
      <w:r>
        <w:t xml:space="preserve">links alternative names,</w:t>
      </w:r>
      <w:r>
        <w:t xml:space="preserve"> </w:t>
      </w:r>
      <w:r>
        <w:rPr>
          <w:rStyle w:val="VerbatimChar"/>
        </w:rPr>
        <w:t xml:space="preserve">AND</w:t>
      </w:r>
      <w:r>
        <w:t xml:space="preserve"> </w:t>
      </w:r>
      <w:r>
        <w:t xml:space="preserve">restricts the search.</w:t>
      </w:r>
    </w:p>
    <w:bookmarkStart w:id="3000" w:name="a.-metabolism-and-weight-1"/>
    <w:p>
      <w:pPr>
        <w:pStyle w:val="Heading4"/>
      </w:pPr>
      <w:r>
        <w:t xml:space="preserve">A. Metabolism and weight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Exenatide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Semaglutide</w:t>
            </w:r>
          </w:p>
        </w:tc>
        <w:tc>
          <w:tcPr/>
          <w:p>
            <w:pPr>
              <w:pStyle w:val="Compact"/>
              <w:jc w:val="left"/>
            </w:pPr>
            <w:r>
              <w:rPr>
                <w:rStyle w:val="VerbatimChar"/>
              </w:rPr>
              <w:t xml:space="preserve">semaglutide[tiab]</w:t>
            </w:r>
          </w:p>
        </w:tc>
      </w:tr>
      <w:tr>
        <w:tc>
          <w:tcPr/>
          <w:p>
            <w:pPr>
              <w:pStyle w:val="Compact"/>
              <w:jc w:val="left"/>
            </w:pPr>
            <w:r>
              <w:t xml:space="preserve">Tirzepatide</w:t>
            </w:r>
          </w:p>
        </w:tc>
        <w:tc>
          <w:tcPr/>
          <w:p>
            <w:pPr>
              <w:pStyle w:val="Compact"/>
              <w:jc w:val="left"/>
            </w:pPr>
            <w:r>
              <w:rPr>
                <w:rStyle w:val="VerbatimChar"/>
              </w:rPr>
              <w:t xml:space="preserve">tirzepatide[tiab]</w:t>
            </w:r>
          </w:p>
        </w:tc>
      </w:tr>
      <w:tr>
        <w:tc>
          <w:tcPr/>
          <w:p>
            <w:pPr>
              <w:pStyle w:val="Compact"/>
              <w:jc w:val="left"/>
            </w:pPr>
            <w:r>
              <w:t xml:space="preserve">Retatrutide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or CagriSema</w:t>
            </w:r>
          </w:p>
        </w:tc>
        <w:tc>
          <w:tcPr/>
          <w:p>
            <w:pPr>
              <w:pStyle w:val="Compact"/>
              <w:jc w:val="left"/>
            </w:pPr>
            <w:r>
              <w:rPr>
                <w:rStyle w:val="VerbatimChar"/>
              </w:rPr>
              <w:t xml:space="preserve">cagrilintide[tiab]</w:t>
            </w:r>
          </w:p>
        </w:tc>
      </w:tr>
      <w:tr>
        <w:tc>
          <w:tcPr/>
          <w:p>
            <w:pPr>
              <w:pStyle w:val="Compact"/>
              <w:jc w:val="left"/>
            </w:pPr>
            <w:r>
              <w:t xml:space="preserve">Amycretin</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Setmelanotide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(comparator)</w:t>
            </w:r>
          </w:p>
        </w:tc>
        <w:tc>
          <w:tcPr/>
          <w:p>
            <w:pPr>
              <w:pStyle w:val="Compact"/>
              <w:jc w:val="left"/>
            </w:pPr>
            <w:r>
              <w:rPr>
                <w:rStyle w:val="VerbatimChar"/>
              </w:rPr>
              <w:t xml:space="preserve">orforglipron[tiab]</w:t>
            </w:r>
          </w:p>
        </w:tc>
      </w:tr>
    </w:tbl>
    <w:bookmarkEnd w:id="3000"/>
    <w:bookmarkStart w:id="3001" w:name="X2091ad478552a18eb4966dfb8a6ff7fa8e7464f"/>
    <w:p>
      <w:pPr>
        <w:pStyle w:val="Heading4"/>
      </w:pPr>
      <w:r>
        <w:t xml:space="preserve">B. Healing, regeneration, and immune system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or thymosin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 alpha-1 (thymalfasin)</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 or thymogen</w:t>
            </w:r>
          </w:p>
        </w:tc>
        <w:tc>
          <w:tcPr/>
          <w:p>
            <w:pPr>
              <w:pStyle w:val="Compact"/>
              <w:jc w:val="left"/>
            </w:pPr>
            <w:r>
              <w:rPr>
                <w:rStyle w:val="VerbatimChar"/>
              </w:rPr>
              <w:t xml:space="preserve">thymalin[tiab] OR thymogen[tiab]</w:t>
            </w:r>
          </w:p>
        </w:tc>
      </w:tr>
    </w:tbl>
    <w:bookmarkEnd w:id="3001"/>
    <w:bookmarkStart w:id="3002" w:name="c.-growth-hormone-axis-1"/>
    <w:p>
      <w:pPr>
        <w:pStyle w:val="Heading4"/>
      </w:pPr>
      <w:r>
        <w:t xml:space="preserve">C. Growth hormone axis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Sermorelin</w:t>
            </w:r>
          </w:p>
        </w:tc>
        <w:tc>
          <w:tcPr/>
          <w:p>
            <w:pPr>
              <w:pStyle w:val="Compact"/>
              <w:jc w:val="left"/>
            </w:pPr>
            <w:r>
              <w:rPr>
                <w:rStyle w:val="VerbatimChar"/>
              </w:rPr>
              <w:t xml:space="preserve">sermorelin[tiab]</w:t>
            </w:r>
          </w:p>
        </w:tc>
      </w:tr>
      <w:tr>
        <w:tc>
          <w:tcPr/>
          <w:p>
            <w:pPr>
              <w:pStyle w:val="Compact"/>
              <w:jc w:val="left"/>
            </w:pPr>
            <w:r>
              <w:t xml:space="preserve">Tesamorelin</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w:t>
            </w:r>
          </w:p>
        </w:tc>
        <w:tc>
          <w:tcPr/>
          <w:p>
            <w:pPr>
              <w:pStyle w:val="Compact"/>
              <w:jc w:val="left"/>
            </w:pPr>
            <w:r>
              <w:rPr>
                <w:rStyle w:val="VerbatimChar"/>
              </w:rPr>
              <w:t xml:space="preserve">ipamorelin[tiab]</w:t>
            </w:r>
          </w:p>
        </w:tc>
      </w:tr>
      <w:tr>
        <w:tc>
          <w:tcPr/>
          <w:p>
            <w:pPr>
              <w:pStyle w:val="Compact"/>
              <w:jc w:val="left"/>
            </w:pPr>
            <w:r>
              <w:t xml:space="preserve">GHRP-2 (pralmorelin)</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w:t>
            </w:r>
          </w:p>
        </w:tc>
        <w:tc>
          <w:tcPr/>
          <w:p>
            <w:pPr>
              <w:pStyle w:val="Compact"/>
              <w:jc w:val="left"/>
            </w:pPr>
            <w:r>
              <w:rPr>
                <w:rStyle w:val="VerbatimChar"/>
              </w:rPr>
              <w:t xml:space="preserve">hexarelin[tiab]</w:t>
            </w:r>
          </w:p>
        </w:tc>
      </w:tr>
      <w:tr>
        <w:tc>
          <w:tcPr/>
          <w:p>
            <w:pPr>
              <w:pStyle w:val="Compact"/>
              <w:jc w:val="left"/>
            </w:pPr>
            <w:r>
              <w:t xml:space="preserve">Macimorelin</w:t>
            </w:r>
          </w:p>
        </w:tc>
        <w:tc>
          <w:tcPr/>
          <w:p>
            <w:pPr>
              <w:pStyle w:val="Compact"/>
              <w:jc w:val="left"/>
            </w:pPr>
            <w:r>
              <w:rPr>
                <w:rStyle w:val="VerbatimChar"/>
              </w:rPr>
              <w:t xml:space="preserve">macimorelin[tiab]</w:t>
            </w:r>
          </w:p>
        </w:tc>
      </w:tr>
      <w:tr>
        <w:tc>
          <w:tcPr/>
          <w:p>
            <w:pPr>
              <w:pStyle w:val="Compact"/>
              <w:jc w:val="left"/>
            </w:pPr>
            <w:r>
              <w:t xml:space="preserve">Mecasermin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(comparator)</w:t>
            </w:r>
          </w:p>
        </w:tc>
        <w:tc>
          <w:tcPr/>
          <w:p>
            <w:pPr>
              <w:pStyle w:val="Compact"/>
              <w:jc w:val="left"/>
            </w:pPr>
            <w:r>
              <w:rPr>
                <w:rStyle w:val="VerbatimChar"/>
              </w:rPr>
              <w:t xml:space="preserve">ibutamoren[tiab] OR MK-677[tiab] OR MK-0677[tiab]</w:t>
            </w:r>
          </w:p>
        </w:tc>
      </w:tr>
    </w:tbl>
    <w:bookmarkEnd w:id="3002"/>
    <w:bookmarkStart w:id="3003" w:name="d.-brain-sleep-and-longevity-1"/>
    <w:p>
      <w:pPr>
        <w:pStyle w:val="Heading4"/>
      </w:pPr>
      <w:r>
        <w:t xml:space="preserve">D. Brain, sleep, and longevity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w:t>
            </w:r>
          </w:p>
        </w:tc>
        <w:tc>
          <w:tcPr/>
          <w:p>
            <w:pPr>
              <w:pStyle w:val="Compact"/>
              <w:jc w:val="left"/>
            </w:pPr>
            <w:r>
              <w:rPr>
                <w:rStyle w:val="VerbatimChar"/>
              </w:rPr>
              <w:t xml:space="preserve">humanin[tiab]</w:t>
            </w:r>
          </w:p>
        </w:tc>
      </w:tr>
      <w:tr>
        <w:tc>
          <w:tcPr/>
          <w:p>
            <w:pPr>
              <w:pStyle w:val="Compact"/>
              <w:jc w:val="left"/>
            </w:pPr>
            <w:r>
              <w:t xml:space="preserve">SS-31 (elamipretide)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Glutathione</w:t>
            </w:r>
          </w:p>
        </w:tc>
        <w:tc>
          <w:tcPr/>
          <w:p>
            <w:pPr>
              <w:pStyle w:val="Compact"/>
              <w:jc w:val="left"/>
            </w:pPr>
            <w:r>
              <w:rPr>
                <w:rStyle w:val="VerbatimChar"/>
              </w:rPr>
              <w:t xml:space="preserve">glutathione[ti] AND (supplementation[tiab] OR oral[tiab] OR intravenous[tiab])</w:t>
            </w:r>
          </w:p>
        </w:tc>
      </w:tr>
    </w:tbl>
    <w:bookmarkEnd w:id="3003"/>
    <w:bookmarkStart w:id="3004" w:name="e.-hormones-sexuality-and-pigmentation-1"/>
    <w:p>
      <w:pPr>
        <w:pStyle w:val="Heading4"/>
      </w:pPr>
      <w:r>
        <w:t xml:space="preserve">E. Hormones, sexuality, and pigmentation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Bremelanotide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Afamelanotide</w:t>
            </w:r>
          </w:p>
        </w:tc>
        <w:tc>
          <w:tcPr/>
          <w:p>
            <w:pPr>
              <w:pStyle w:val="Compact"/>
              <w:jc w:val="left"/>
            </w:pPr>
            <w:r>
              <w:rPr>
                <w:rStyle w:val="VerbatimChar"/>
              </w:rPr>
              <w:t xml:space="preserve">afamelanotide[tiab]</w:t>
            </w:r>
          </w:p>
        </w:tc>
      </w:tr>
      <w:tr>
        <w:tc>
          <w:tcPr/>
          <w:p>
            <w:pPr>
              <w:pStyle w:val="Compact"/>
              <w:jc w:val="left"/>
            </w:pPr>
            <w:r>
              <w:t xml:space="preserve">Kisspeptin</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Oxytocin (intranasal)</w:t>
            </w:r>
          </w:p>
        </w:tc>
        <w:tc>
          <w:tcPr/>
          <w:p>
            <w:pPr>
              <w:pStyle w:val="Compact"/>
              <w:jc w:val="left"/>
            </w:pPr>
            <w:r>
              <w:rPr>
                <w:rStyle w:val="VerbatimChar"/>
              </w:rPr>
              <w:t xml:space="preserve">intranasal oxytocin[tiab]</w:t>
            </w:r>
          </w:p>
        </w:tc>
      </w:tr>
      <w:tr>
        <w:tc>
          <w:tcPr/>
          <w:p>
            <w:pPr>
              <w:pStyle w:val="Compact"/>
              <w:jc w:val="left"/>
            </w:pPr>
            <w:r>
              <w:t xml:space="preserve">Gonadorelin</w:t>
            </w:r>
          </w:p>
        </w:tc>
        <w:tc>
          <w:tcPr/>
          <w:p>
            <w:pPr>
              <w:pStyle w:val="Compact"/>
              <w:jc w:val="left"/>
            </w:pPr>
            <w:r>
              <w:rPr>
                <w:rStyle w:val="VerbatimChar"/>
              </w:rPr>
              <w:t xml:space="preserve">gonadorelin[tiab]</w:t>
            </w:r>
          </w:p>
        </w:tc>
      </w:tr>
    </w:tbl>
    <w:bookmarkEnd w:id="3004"/>
    <w:bookmarkStart w:id="3005" w:name="f.-collagen-nutrition-and-cosmetics-1"/>
    <w:p>
      <w:pPr>
        <w:pStyle w:val="Heading4"/>
      </w:pPr>
      <w:r>
        <w:t xml:space="preserve">F. Collagen, nutrition, and cosmetics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Collagen hydrolysate or collagen peptides</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Carnosine</w:t>
            </w:r>
          </w:p>
        </w:tc>
        <w:tc>
          <w:tcPr/>
          <w:p>
            <w:pPr>
              <w:pStyle w:val="Compact"/>
              <w:jc w:val="left"/>
            </w:pPr>
            <w:r>
              <w:rPr>
                <w:rStyle w:val="VerbatimChar"/>
              </w:rPr>
              <w:t xml:space="preserve">carnosine[ti] AND (supplementation[tiab] OR oral[tiab])</w:t>
            </w:r>
          </w:p>
        </w:tc>
      </w:tr>
      <w:tr>
        <w:tc>
          <w:tcPr/>
          <w:p>
            <w:pPr>
              <w:pStyle w:val="Compact"/>
              <w:jc w:val="left"/>
            </w:pPr>
            <w:r>
              <w:t xml:space="preserve">GHK-Cu (copper peptide)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 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Acetyl hexapeptide-8 (Argireline)</w:t>
            </w:r>
          </w:p>
        </w:tc>
        <w:tc>
          <w:tcPr/>
          <w:p>
            <w:pPr>
              <w:pStyle w:val="Compact"/>
              <w:jc w:val="left"/>
            </w:pPr>
            <w:r>
              <w:rPr>
                <w:rStyle w:val="VerbatimChar"/>
              </w:rPr>
              <w:t xml:space="preserve">acetyl hexapeptide[tiab] OR argireline[tiab]</w:t>
            </w:r>
          </w:p>
        </w:tc>
      </w:tr>
    </w:tbl>
    <w:bookmarkEnd w:id="3005"/>
    <w:bookmarkEnd w:id="3006"/>
    <w:bookmarkStart w:id="3007" w:name="number-of-hits"/>
    <w:p>
      <w:pPr>
        <w:pStyle w:val="Heading3"/>
      </w:pPr>
      <w:r>
        <w:t xml:space="preserve">Number of hits</w:t>
      </w:r>
    </w:p>
    <w:p>
      <w:pPr>
        <w:pStyle w:val="FirstParagraph"/>
      </w:pPr>
      <w:r>
        <w:t xml:space="preserve">In total, the 58 queries with the human studies filter yielded 3,216 hits, and with the filter for meta-analyses and reviews 1,739 hits. In ClinicalTrials.gov, 4,879 registry entries were found. These totals contain double counts, because some studies concern several peptides – for example, comparative studies between semaglutide and tirzepatide. The figures for each peptide are given at the beginning of the section</w:t>
      </w:r>
      <w:r>
        <w:t xml:space="preserve"> </w:t>
      </w:r>
      <w:r>
        <w:t xml:space="preserve">“</w:t>
      </w:r>
      <w:r>
        <w:t xml:space="preserve">Human studies</w:t>
      </w:r>
      <w:r>
        <w:t xml:space="preserve">”</w:t>
      </w:r>
      <w:r>
        <w:t xml:space="preserve"> </w:t>
      </w:r>
      <w:r>
        <w:t xml:space="preserve">in the respective chapter.</w:t>
      </w:r>
    </w:p>
    <w:p>
      <w:pPr>
        <w:pStyle w:val="BodyText"/>
      </w:pPr>
      <w:r>
        <w:t xml:space="preserve">The distribution is very uneven: the approved GLP-1 drugs account for hundreds of human studies, whereas for many gray-market peptides there are none or only a handful.</w:t>
      </w:r>
    </w:p>
    <w:bookmarkEnd w:id="3007"/>
    <w:bookmarkStart w:id="3008" w:name="selection-and-evaluation"/>
    <w:p>
      <w:pPr>
        <w:pStyle w:val="Heading3"/>
      </w:pPr>
      <w:r>
        <w:t xml:space="preserve">Selection and evaluation</w:t>
      </w:r>
    </w:p>
    <w:p>
      <w:pPr>
        <w:pStyle w:val="FirstParagraph"/>
      </w:pPr>
      <w:r>
        <w:t xml:space="preserve">For each peptide, all hits with the human studies filter were recorded as a short list (title, year, journal, first author); they form the basis of the study index in the appendix. The most important human studies and reviews according to PubMed relevance were read and evaluated with their abstracts, supplemented by the papers found through targeted searches.</w:t>
      </w:r>
    </w:p>
    <w:p>
      <w:pPr>
        <w:pStyle w:val="BodyText"/>
      </w:pPr>
      <w:r>
        <w:t xml:space="preserve">The following applies to the presentation in the text:</w:t>
      </w:r>
    </w:p>
    <w:p>
      <w:pPr>
        <w:numPr>
          <w:ilvl w:val="0"/>
          <w:numId w:val="1374"/>
        </w:numPr>
        <w:pStyle w:val="Compact"/>
      </w:pPr>
      <w:r>
        <w:t xml:space="preserve">Every study mentioned was read on the basis of its PubMed entry or registry entry.</w:t>
      </w:r>
    </w:p>
    <w:p>
      <w:pPr>
        <w:numPr>
          <w:ilvl w:val="0"/>
          <w:numId w:val="1374"/>
        </w:numPr>
        <w:pStyle w:val="Compact"/>
      </w:pPr>
      <w:r>
        <w:t xml:space="preserve">Figures – such as numbers of participants, percentages, weight changes, or p-values – come exclusively from the abstract of the publication or from the registry entry. Anything not documented there is not given as a figure.</w:t>
      </w:r>
    </w:p>
    <w:p>
      <w:pPr>
        <w:numPr>
          <w:ilvl w:val="0"/>
          <w:numId w:val="1374"/>
        </w:numPr>
        <w:pStyle w:val="Compact"/>
      </w:pPr>
      <w:r>
        <w:t xml:space="preserve">Full texts were not systematically evaluated. Details that appear only in the full text, such as individual side effect rates or subgroups, are therefore partly missing.</w:t>
      </w:r>
    </w:p>
    <w:p>
      <w:pPr>
        <w:numPr>
          <w:ilvl w:val="0"/>
          <w:numId w:val="1374"/>
        </w:numPr>
        <w:pStyle w:val="Compact"/>
      </w:pPr>
      <w:r>
        <w:t xml:space="preserve">Animal and laboratory results are explicitly labeled as such.</w:t>
      </w:r>
    </w:p>
    <w:p>
      <w:pPr>
        <w:numPr>
          <w:ilvl w:val="0"/>
          <w:numId w:val="1374"/>
        </w:numPr>
        <w:pStyle w:val="Compact"/>
      </w:pPr>
      <w:r>
        <w:t xml:space="preserve">For ongoing studies, only what is in the registry is reported. They are labeled as</w:t>
      </w:r>
      <w:r>
        <w:t xml:space="preserve"> </w:t>
      </w:r>
      <w:r>
        <w:rPr>
          <w:iCs/>
          <w:i/>
        </w:rPr>
        <w:t xml:space="preserve">established</w:t>
      </w:r>
      <w:r>
        <w:t xml:space="preserve"> </w:t>
      </w:r>
      <w:r>
        <w:t xml:space="preserve">(registered, ongoing), and the author’s own forecasts as</w:t>
      </w:r>
      <w:r>
        <w:t xml:space="preserve"> </w:t>
      </w:r>
      <w:r>
        <w:rPr>
          <w:iCs/>
          <w:i/>
        </w:rPr>
        <w:t xml:space="preserve">assessment</w:t>
      </w:r>
      <w:r>
        <w:t xml:space="preserve">.</w:t>
      </w:r>
    </w:p>
    <w:bookmarkEnd w:id="3008"/>
    <w:bookmarkStart w:id="3009" w:name="evidence-levels"/>
    <w:p>
      <w:pPr>
        <w:pStyle w:val="Heading3"/>
      </w:pPr>
      <w:r>
        <w:t xml:space="preserve">Evidence levels</w:t>
      </w:r>
    </w:p>
    <w:p>
      <w:pPr>
        <w:pStyle w:val="FirstParagraph"/>
      </w:pPr>
      <w:r>
        <w:t xml:space="preserve">Each peptide was assigned an evidence level according to the following criteria: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Criterion</w:t>
            </w:r>
          </w:p>
        </w:tc>
      </w:tr>
      <w:tr>
        <w:tc>
          <w:tcPr/>
          <w:p>
            <w:pPr>
              <w:pStyle w:val="Compact"/>
              <w:jc w:val="left"/>
            </w:pPr>
            <w:r>
              <w:t xml:space="preserve">A</w:t>
            </w:r>
          </w:p>
        </w:tc>
        <w:tc>
          <w:tcPr/>
          <w:p>
            <w:pPr>
              <w:pStyle w:val="Compact"/>
              <w:jc w:val="left"/>
            </w:pPr>
            <w:r>
              <w:t xml:space="preserve">several large randomized trials in humans, approval as a drug</w:t>
            </w:r>
          </w:p>
        </w:tc>
      </w:tr>
      <w:tr>
        <w:tc>
          <w:tcPr/>
          <w:p>
            <w:pPr>
              <w:pStyle w:val="Compact"/>
              <w:jc w:val="left"/>
            </w:pPr>
            <w:r>
              <w:t xml:space="preserve">B</w:t>
            </w:r>
          </w:p>
        </w:tc>
        <w:tc>
          <w:tcPr/>
          <w:p>
            <w:pPr>
              <w:pStyle w:val="Compact"/>
              <w:jc w:val="left"/>
            </w:pPr>
            <w:r>
              <w:t xml:space="preserve">individual randomized trials in humans</w:t>
            </w:r>
          </w:p>
        </w:tc>
      </w:tr>
      <w:tr>
        <w:tc>
          <w:tcPr/>
          <w:p>
            <w:pPr>
              <w:pStyle w:val="Compact"/>
              <w:jc w:val="left"/>
            </w:pPr>
            <w:r>
              <w:t xml:space="preserve">C</w:t>
            </w:r>
          </w:p>
        </w:tc>
        <w:tc>
          <w:tcPr/>
          <w:p>
            <w:pPr>
              <w:pStyle w:val="Compact"/>
              <w:jc w:val="left"/>
            </w:pPr>
            <w:r>
              <w:t xml:space="preserve">only small or uncontrolled studies in humans</w:t>
            </w:r>
          </w:p>
        </w:tc>
      </w:tr>
      <w:tr>
        <w:tc>
          <w:tcPr/>
          <w:p>
            <w:pPr>
              <w:pStyle w:val="Compact"/>
              <w:jc w:val="left"/>
            </w:pPr>
            <w:r>
              <w:t xml:space="preserve">D</w:t>
            </w:r>
          </w:p>
        </w:tc>
        <w:tc>
          <w:tcPr/>
          <w:p>
            <w:pPr>
              <w:pStyle w:val="Compact"/>
              <w:jc w:val="left"/>
            </w:pPr>
            <w:r>
              <w:t xml:space="preserve">only animal and laboratory studies</w:t>
            </w:r>
          </w:p>
        </w:tc>
      </w:tr>
    </w:tbl>
    <w:p>
      <w:pPr>
        <w:pStyle w:val="BodyText"/>
      </w:pPr>
      <w:r>
        <w:t xml:space="preserve">The rating refers to the overall data in humans and to the most important indication studied. It is the author’s assessment based on the studies evaluated and not an official classification.</w:t>
      </w:r>
    </w:p>
    <w:bookmarkEnd w:id="3009"/>
    <w:bookmarkStart w:id="3010" w:name="limitations-of-the-methodology"/>
    <w:p>
      <w:pPr>
        <w:pStyle w:val="Heading3"/>
      </w:pPr>
      <w:r>
        <w:t xml:space="preserve">Limitations of the methodology</w:t>
      </w:r>
    </w:p>
    <w:p>
      <w:pPr>
        <w:pStyle w:val="FirstParagraph"/>
      </w:pPr>
      <w:r>
        <w:t xml:space="preserve">Like any literature search, this one has limitations that you should keep in mind when reading:</w:t>
      </w:r>
    </w:p>
    <w:p>
      <w:pPr>
        <w:pStyle w:val="BodyText"/>
      </w:pPr>
      <w:r>
        <w:rPr>
          <w:bCs/>
          <w:b/>
        </w:rPr>
        <w:t xml:space="preserve">Hits are not the same as independent studies.</w:t>
      </w:r>
      <w:r>
        <w:t xml:space="preserve"> </w:t>
      </w:r>
      <w:r>
        <w:t xml:space="preserve">A large study is often published in several articles – main result, subgroups, follow-up, quality of life. Each of these articles is a separate hit. Conversely, studies can be combined in one article. The hit counts therefore reflect the order of magnitude of research, not the exact number of independent studies.</w:t>
      </w:r>
    </w:p>
    <w:p>
      <w:pPr>
        <w:pStyle w:val="BodyText"/>
      </w:pPr>
      <w:r>
        <w:rPr>
          <w:bCs/>
          <w:b/>
        </w:rPr>
        <w:t xml:space="preserve">Publication types are not always correct.</w:t>
      </w:r>
      <w:r>
        <w:t xml:space="preserve"> </w:t>
      </w:r>
      <w:r>
        <w:t xml:space="preserve">The human studies filter is based on PubMed’s indexing. Some studies are not labeled as clinical trials and are therefore missing; some papers labeled as clinical trials turn out on closer inspection to be observational studies or laboratory work with human material. Very recent articles are often not yet fully indexed.</w:t>
      </w:r>
    </w:p>
    <w:p>
      <w:pPr>
        <w:pStyle w:val="BodyText"/>
      </w:pPr>
      <w:r>
        <w:rPr>
          <w:bCs/>
          <w:b/>
        </w:rPr>
        <w:t xml:space="preserve">Search terms may have gaps.</w:t>
      </w:r>
      <w:r>
        <w:t xml:space="preserve"> </w:t>
      </w:r>
      <w:r>
        <w:t xml:space="preserve">A search term finds only what is described with the chosen words in the title or abstract. Studies that refer to a substance only by a code name or a different spelling may be missing. Conversely, ambiguous abbreviations such as</w:t>
      </w:r>
      <w:r>
        <w:t xml:space="preserve"> </w:t>
      </w:r>
      <w:r>
        <w:t xml:space="preserve">“</w:t>
      </w:r>
      <w:r>
        <w:t xml:space="preserve">KPV</w:t>
      </w:r>
      <w:r>
        <w:t xml:space="preserve">”</w:t>
      </w:r>
      <w:r>
        <w:t xml:space="preserve"> </w:t>
      </w:r>
      <w:r>
        <w:t xml:space="preserve">or</w:t>
      </w:r>
      <w:r>
        <w:t xml:space="preserve"> </w:t>
      </w:r>
      <w:r>
        <w:t xml:space="preserve">“</w:t>
      </w:r>
      <w:r>
        <w:t xml:space="preserve">SS-31</w:t>
      </w:r>
      <w:r>
        <w:t xml:space="preserve">”</w:t>
      </w:r>
      <w:r>
        <w:t xml:space="preserve"> </w:t>
      </w:r>
      <w:r>
        <w:t xml:space="preserve">may also capture papers on completely different topics. For the chapters, the hits were therefore screened and not adopted unchecked.</w:t>
      </w:r>
    </w:p>
    <w:p>
      <w:pPr>
        <w:pStyle w:val="BodyText"/>
      </w:pPr>
      <w:r>
        <w:rPr>
          <w:bCs/>
          <w:b/>
        </w:rPr>
        <w:t xml:space="preserve">Languages.</w:t>
      </w:r>
      <w:r>
        <w:t xml:space="preserve"> </w:t>
      </w:r>
      <w:r>
        <w:t xml:space="preserve">PubMed predominantly lists English-language journals. Papers published only in other languages and in journals that are not indexed are largely missing. This particularly affects some peptides that are researched and used mainly in Russia or other Eastern European countries, such as Semax, Selank, Epitalon, or thymalin. For these, the actual body of studies may be more extensive, but it is difficult for international readers to verify.</w:t>
      </w:r>
    </w:p>
    <w:p>
      <w:pPr>
        <w:pStyle w:val="BodyText"/>
      </w:pPr>
      <w:r>
        <w:rPr>
          <w:bCs/>
          <w:b/>
        </w:rPr>
        <w:t xml:space="preserve">Unpublished studies.</w:t>
      </w:r>
      <w:r>
        <w:t xml:space="preserve"> </w:t>
      </w:r>
      <w:r>
        <w:t xml:space="preserve">Studies that were never published are not included in PubMed. The ClinicalTrials.gov registry helps to identify such gaps but does not capture all studies worldwide.</w:t>
      </w:r>
    </w:p>
    <w:p>
      <w:pPr>
        <w:pStyle w:val="BodyText"/>
      </w:pPr>
      <w:r>
        <w:rPr>
          <w:bCs/>
          <w:b/>
        </w:rPr>
        <w:t xml:space="preserve">Abstracts only.</w:t>
      </w:r>
      <w:r>
        <w:t xml:space="preserve"> </w:t>
      </w:r>
      <w:r>
        <w:t xml:space="preserve">The evaluation is based on the abstracts. They reflect the main results but may present limitations, side effects, or methodological weaknesses in abbreviated form.</w:t>
      </w:r>
    </w:p>
    <w:p>
      <w:pPr>
        <w:pStyle w:val="BodyText"/>
      </w:pPr>
      <w:r>
        <w:rPr>
          <w:bCs/>
          <w:b/>
        </w:rPr>
        <w:t xml:space="preserve">Snapshot.</w:t>
      </w:r>
      <w:r>
        <w:t xml:space="preserve"> </w:t>
      </w:r>
      <w:r>
        <w:t xml:space="preserve">The research reflects the status as of October 2026. In rapidly growing fields such as GLP-1 drugs, new studies appear every week.</w:t>
      </w:r>
    </w:p>
    <w:bookmarkEnd w:id="3010"/>
    <w:bookmarkStart w:id="3011" w:name="quality-control"/>
    <w:p>
      <w:pPr>
        <w:pStyle w:val="Heading3"/>
      </w:pPr>
      <w:r>
        <w:t xml:space="preserve">Quality control</w:t>
      </w:r>
    </w:p>
    <w:p>
      <w:pPr>
        <w:pStyle w:val="FirstParagraph"/>
      </w:pPr>
      <w:r>
        <w:t xml:space="preserve">The database queries were carried out via the interfaces mentioned, using purpose-written helper programs. Binding rules applied to the evaluation: every study in the text is cited with its PMID or NCT number; every figure must come from an abstract or registry entry that was actually retrieved; studies may be mentioned only if their entry was previously retrieved and read.</w:t>
      </w:r>
    </w:p>
    <w:p>
      <w:pPr>
        <w:pStyle w:val="BodyText"/>
      </w:pPr>
      <w:r>
        <w:t xml:space="preserve">In addition, each chapter was checked with a verification program. For every PMID and NCT number mentioned in the text, it retrieves the entry in PubMed or ClinicalTrials.gov and reports an error if a number does not exist. It also compares the first author and year of publication given in the text before the PMID with the database entry and flags discrepancies. Finally, it searches for impermissible wording such as promises of cure, dosage recommendations, or references to sources of supply. A chapter was considered finished only when this check ran without errors. The program also checks whether a cited paper has since been retracted; such papers are explicitly marked in the text. Finally, around 1,450 passages containing figures were individually compared with the abstracts and corrected where necessary.</w:t>
      </w:r>
    </w:p>
    <w:p>
      <w:pPr>
        <w:pStyle w:val="BodyText"/>
      </w:pPr>
      <w:r>
        <w:t xml:space="preserve">This check ensures that every cited source exists and is correctly attributed. It cannot completely rule out that a result is presented in the text in abbreviated or misleading form. That is why all sources are given in such a way that you can look them up yourself – how to do this is explained in the section</w:t>
      </w:r>
      <w:r>
        <w:t xml:space="preserve"> </w:t>
      </w:r>
      <w:r>
        <w:t xml:space="preserve">“</w:t>
      </w:r>
      <w:r>
        <w:t xml:space="preserve">About This Book</w:t>
      </w:r>
      <w:r>
        <w:t xml:space="preserve">”</w:t>
      </w:r>
      <w:r>
        <w:t xml:space="preserve"> </w:t>
      </w:r>
      <w:r>
        <w:t xml:space="preserve">at the beginning.</w:t>
      </w:r>
    </w:p>
    <w:bookmarkEnd w:id="3011"/>
    <w:bookmarkEnd w:id="3012"/>
    <w:bookmarkStart w:id="3071" w:name="index-of-studies"/>
    <w:p>
      <w:pPr>
        <w:pStyle w:val="Heading1"/>
      </w:pPr>
      <w:r>
        <w:t xml:space="preserve">Index of Studies</w:t>
      </w:r>
    </w:p>
    <w:p>
      <w:pPr>
        <w:pStyle w:val="FirstParagraph"/>
      </w:pPr>
      <w:r>
        <w:t xml:space="preserve">This index lists every publication of a clinical study in humans that the research for each peptide found in PubMed (query October 2026; filters see Methodology). Titles and journals are given in the original language. Each study can be looked up by its PMID at pubmed.ncbi.nlm.nih.gov. Not every entry is a separate study: some studies were analysed and published more than once.</w:t>
      </w:r>
      <w:r>
        <w:t xml:space="preserve"> </w:t>
      </w:r>
      <w:r>
        <w:t xml:space="preserve">Total: 3,216 entries.</w:t>
      </w:r>
    </w:p>
    <w:bookmarkStart w:id="3013" w:name="exenatide-437"/>
    <w:p>
      <w:pPr>
        <w:pStyle w:val="Heading2"/>
      </w:pPr>
      <w:r>
        <w:t xml:space="preserve">Exenatide (437)</w:t>
      </w:r>
    </w:p>
    <w:p>
      <w:pPr>
        <w:numPr>
          <w:ilvl w:val="0"/>
          <w:numId w:val="1375"/>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5"/>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5"/>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5"/>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5"/>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5"/>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5"/>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5"/>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5"/>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5"/>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5"/>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5"/>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5"/>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5"/>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5"/>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5"/>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5"/>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5"/>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5"/>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5"/>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5"/>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5"/>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5"/>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5"/>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5"/>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5"/>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5"/>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5"/>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5"/>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5"/>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5"/>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5"/>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5"/>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5"/>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5"/>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5"/>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5"/>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5"/>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5"/>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5"/>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5"/>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5"/>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5"/>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5"/>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5"/>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5"/>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5"/>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5"/>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5"/>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5"/>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5"/>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5"/>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5"/>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5"/>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5"/>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5"/>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5"/>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5"/>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5"/>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5"/>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5"/>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5"/>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5"/>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5"/>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5"/>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5"/>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5"/>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5"/>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5"/>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5"/>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5"/>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5"/>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5"/>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5"/>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5"/>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5"/>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5"/>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5"/>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5"/>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5"/>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5"/>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5"/>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5"/>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5"/>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5"/>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5"/>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5"/>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5"/>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5"/>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5"/>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5"/>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5"/>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5"/>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5"/>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5"/>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5"/>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5"/>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5"/>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5"/>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5"/>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5"/>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5"/>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5"/>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5"/>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5"/>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5"/>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5"/>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5"/>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5"/>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5"/>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5"/>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5"/>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5"/>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5"/>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5"/>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5"/>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5"/>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5"/>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5"/>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5"/>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5"/>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5"/>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5"/>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5"/>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5"/>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5"/>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5"/>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5"/>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5"/>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5"/>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5"/>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5"/>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5"/>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5"/>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5"/>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5"/>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5"/>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5"/>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5"/>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5"/>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5"/>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5"/>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5"/>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5"/>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5"/>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5"/>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5"/>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5"/>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5"/>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5"/>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5"/>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5"/>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5"/>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5"/>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5"/>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5"/>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5"/>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5"/>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5"/>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5"/>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5"/>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5"/>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5"/>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5"/>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5"/>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5"/>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5"/>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5"/>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5"/>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5"/>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5"/>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5"/>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5"/>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5"/>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5"/>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5"/>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5"/>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5"/>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5"/>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5"/>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5"/>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5"/>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5"/>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5"/>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5"/>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5"/>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5"/>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5"/>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5"/>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5"/>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5"/>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5"/>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5"/>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5"/>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5"/>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5"/>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5"/>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5"/>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5"/>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5"/>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5"/>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5"/>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5"/>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5"/>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5"/>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5"/>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5"/>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5"/>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5"/>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5"/>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5"/>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5"/>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5"/>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5"/>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5"/>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5"/>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5"/>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5"/>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5"/>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5"/>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5"/>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5"/>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5"/>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5"/>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5"/>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5"/>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5"/>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5"/>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5"/>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5"/>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5"/>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5"/>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5"/>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5"/>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5"/>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5"/>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5"/>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5"/>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5"/>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5"/>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5"/>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5"/>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5"/>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5"/>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5"/>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5"/>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5"/>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5"/>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5"/>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5"/>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5"/>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5"/>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5"/>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5"/>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5"/>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5"/>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5"/>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5"/>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5"/>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5"/>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5"/>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5"/>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5"/>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5"/>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5"/>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5"/>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5"/>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5"/>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5"/>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5"/>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5"/>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5"/>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5"/>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5"/>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5"/>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5"/>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5"/>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5"/>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5"/>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5"/>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5"/>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5"/>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5"/>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5"/>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5"/>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5"/>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5"/>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5"/>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5"/>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5"/>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5"/>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5"/>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5"/>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5"/>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5"/>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5"/>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5"/>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5"/>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5"/>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5"/>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5"/>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5"/>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5"/>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5"/>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5"/>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5"/>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5"/>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5"/>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5"/>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5"/>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5"/>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5"/>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5"/>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5"/>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5"/>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5"/>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5"/>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5"/>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5"/>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5"/>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5"/>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5"/>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5"/>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5"/>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5"/>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5"/>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5"/>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5"/>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5"/>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5"/>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5"/>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5"/>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5"/>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5"/>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5"/>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5"/>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5"/>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5"/>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5"/>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5"/>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5"/>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5"/>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5"/>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5"/>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5"/>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5"/>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5"/>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5"/>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5"/>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5"/>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5"/>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5"/>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5"/>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5"/>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5"/>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5"/>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5"/>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5"/>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5"/>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5"/>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5"/>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5"/>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5"/>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5"/>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5"/>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5"/>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5"/>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5"/>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5"/>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5"/>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5"/>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5"/>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5"/>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5"/>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5"/>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5"/>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5"/>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5"/>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5"/>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5"/>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5"/>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5"/>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5"/>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5"/>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5"/>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5"/>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5"/>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5"/>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5"/>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5"/>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5"/>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5"/>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5"/>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5"/>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5"/>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5"/>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5"/>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5"/>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5"/>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5"/>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5"/>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5"/>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5"/>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5"/>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5"/>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5"/>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5"/>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5"/>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5"/>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5"/>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5"/>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5"/>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5"/>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5"/>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5"/>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5"/>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5"/>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5"/>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5"/>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5"/>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5"/>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5"/>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5"/>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5"/>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5"/>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5"/>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5"/>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5"/>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5"/>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5"/>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5"/>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5"/>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5"/>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3"/>
    <w:bookmarkStart w:id="3014" w:name="liraglutide-613"/>
    <w:p>
      <w:pPr>
        <w:pStyle w:val="Heading2"/>
      </w:pPr>
      <w:r>
        <w:t xml:space="preserve">Liraglutide (613)</w:t>
      </w:r>
    </w:p>
    <w:p>
      <w:pPr>
        <w:numPr>
          <w:ilvl w:val="0"/>
          <w:numId w:val="1376"/>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6"/>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6"/>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6"/>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6"/>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6"/>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6"/>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6"/>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6"/>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6"/>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6"/>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6"/>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6"/>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6"/>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6"/>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6"/>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6"/>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6"/>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6"/>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6"/>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6"/>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6"/>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6"/>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6"/>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6"/>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6"/>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6"/>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6"/>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6"/>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6"/>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6"/>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6"/>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6"/>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6"/>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6"/>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6"/>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6"/>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6"/>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6"/>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6"/>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6"/>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6"/>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6"/>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6"/>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6"/>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6"/>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6"/>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6"/>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6"/>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6"/>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6"/>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6"/>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6"/>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6"/>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6"/>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6"/>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6"/>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6"/>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6"/>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6"/>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6"/>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6"/>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6"/>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6"/>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6"/>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6"/>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6"/>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6"/>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6"/>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6"/>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6"/>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6"/>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6"/>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6"/>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6"/>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6"/>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6"/>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6"/>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6"/>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6"/>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6"/>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6"/>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6"/>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6"/>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6"/>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6"/>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6"/>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6"/>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6"/>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6"/>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6"/>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6"/>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6"/>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6"/>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6"/>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6"/>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6"/>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6"/>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6"/>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6"/>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6"/>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6"/>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6"/>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6"/>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6"/>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6"/>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6"/>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6"/>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6"/>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6"/>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6"/>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6"/>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6"/>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6"/>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6"/>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6"/>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6"/>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6"/>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6"/>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6"/>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6"/>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6"/>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6"/>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6"/>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6"/>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6"/>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6"/>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6"/>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6"/>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6"/>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6"/>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6"/>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6"/>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6"/>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6"/>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6"/>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6"/>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6"/>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6"/>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6"/>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6"/>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6"/>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6"/>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6"/>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6"/>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6"/>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6"/>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6"/>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6"/>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6"/>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6"/>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6"/>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6"/>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6"/>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6"/>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6"/>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6"/>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6"/>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6"/>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6"/>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6"/>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6"/>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6"/>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6"/>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6"/>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6"/>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6"/>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6"/>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6"/>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6"/>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6"/>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6"/>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6"/>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6"/>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6"/>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6"/>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6"/>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6"/>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6"/>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6"/>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6"/>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6"/>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6"/>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6"/>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6"/>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6"/>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6"/>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6"/>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6"/>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6"/>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6"/>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6"/>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6"/>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6"/>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6"/>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6"/>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6"/>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6"/>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6"/>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6"/>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6"/>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6"/>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6"/>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6"/>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6"/>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6"/>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6"/>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6"/>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6"/>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6"/>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6"/>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6"/>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6"/>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6"/>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6"/>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6"/>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6"/>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6"/>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6"/>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6"/>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6"/>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6"/>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6"/>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6"/>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6"/>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6"/>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6"/>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6"/>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6"/>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6"/>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6"/>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6"/>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6"/>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6"/>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6"/>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6"/>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6"/>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6"/>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6"/>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6"/>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6"/>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6"/>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6"/>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6"/>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6"/>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6"/>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6"/>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6"/>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6"/>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6"/>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6"/>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6"/>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6"/>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6"/>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6"/>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6"/>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6"/>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6"/>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6"/>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6"/>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6"/>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6"/>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6"/>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6"/>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6"/>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6"/>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6"/>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6"/>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6"/>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6"/>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6"/>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6"/>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6"/>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6"/>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6"/>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6"/>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6"/>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6"/>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6"/>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6"/>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6"/>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6"/>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6"/>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6"/>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6"/>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6"/>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6"/>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6"/>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6"/>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6"/>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6"/>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6"/>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6"/>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6"/>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6"/>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6"/>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6"/>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6"/>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6"/>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6"/>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6"/>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6"/>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6"/>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6"/>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6"/>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6"/>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6"/>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6"/>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6"/>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6"/>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6"/>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6"/>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6"/>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6"/>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6"/>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6"/>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6"/>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6"/>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6"/>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6"/>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6"/>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6"/>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6"/>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6"/>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6"/>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6"/>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6"/>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6"/>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6"/>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6"/>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6"/>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6"/>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6"/>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6"/>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6"/>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6"/>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6"/>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6"/>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6"/>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6"/>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6"/>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6"/>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6"/>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6"/>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6"/>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6"/>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6"/>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6"/>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6"/>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6"/>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6"/>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6"/>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6"/>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6"/>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6"/>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6"/>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6"/>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6"/>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6"/>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6"/>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6"/>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6"/>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6"/>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6"/>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6"/>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6"/>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6"/>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6"/>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6"/>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6"/>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6"/>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6"/>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6"/>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6"/>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6"/>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6"/>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6"/>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6"/>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6"/>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6"/>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6"/>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6"/>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6"/>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6"/>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6"/>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6"/>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6"/>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6"/>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6"/>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6"/>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6"/>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6"/>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6"/>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6"/>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6"/>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6"/>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6"/>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6"/>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6"/>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6"/>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6"/>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6"/>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6"/>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6"/>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6"/>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6"/>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6"/>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6"/>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6"/>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6"/>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6"/>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6"/>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6"/>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6"/>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6"/>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6"/>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6"/>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6"/>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6"/>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6"/>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6"/>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6"/>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6"/>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6"/>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6"/>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6"/>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6"/>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6"/>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6"/>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6"/>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6"/>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6"/>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6"/>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6"/>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6"/>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6"/>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6"/>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6"/>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6"/>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6"/>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6"/>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6"/>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6"/>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6"/>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6"/>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6"/>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6"/>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6"/>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6"/>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6"/>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6"/>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6"/>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6"/>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6"/>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6"/>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6"/>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6"/>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6"/>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6"/>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6"/>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6"/>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6"/>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6"/>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6"/>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6"/>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6"/>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6"/>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6"/>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6"/>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6"/>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6"/>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6"/>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6"/>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6"/>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6"/>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6"/>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6"/>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6"/>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6"/>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6"/>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6"/>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6"/>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6"/>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6"/>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6"/>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6"/>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6"/>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6"/>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6"/>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6"/>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6"/>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6"/>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6"/>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6"/>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6"/>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6"/>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6"/>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6"/>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6"/>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6"/>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6"/>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6"/>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6"/>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6"/>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6"/>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6"/>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6"/>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6"/>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6"/>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6"/>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6"/>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6"/>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6"/>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6"/>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6"/>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6"/>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6"/>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6"/>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6"/>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6"/>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6"/>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6"/>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6"/>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6"/>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6"/>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6"/>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6"/>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6"/>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6"/>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6"/>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6"/>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6"/>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6"/>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6"/>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6"/>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6"/>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6"/>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6"/>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6"/>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6"/>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6"/>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6"/>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6"/>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6"/>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6"/>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6"/>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6"/>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6"/>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6"/>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6"/>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6"/>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6"/>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6"/>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6"/>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6"/>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6"/>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6"/>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6"/>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6"/>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6"/>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4"/>
    <w:bookmarkStart w:id="3015" w:name="dulaglutide-158"/>
    <w:p>
      <w:pPr>
        <w:pStyle w:val="Heading2"/>
      </w:pPr>
      <w:r>
        <w:t xml:space="preserve">Dulaglutide (158)</w:t>
      </w:r>
    </w:p>
    <w:p>
      <w:pPr>
        <w:numPr>
          <w:ilvl w:val="0"/>
          <w:numId w:val="1377"/>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7"/>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7"/>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7"/>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7"/>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7"/>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7"/>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7"/>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7"/>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7"/>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7"/>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7"/>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7"/>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7"/>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7"/>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7"/>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7"/>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7"/>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7"/>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7"/>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7"/>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7"/>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7"/>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7"/>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7"/>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7"/>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7"/>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7"/>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7"/>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7"/>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7"/>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7"/>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7"/>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7"/>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7"/>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7"/>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7"/>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7"/>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7"/>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7"/>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7"/>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7"/>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7"/>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7"/>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7"/>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7"/>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7"/>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7"/>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7"/>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7"/>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7"/>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7"/>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7"/>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7"/>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7"/>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7"/>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7"/>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7"/>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7"/>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7"/>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7"/>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7"/>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7"/>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7"/>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7"/>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7"/>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7"/>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7"/>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7"/>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7"/>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7"/>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7"/>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7"/>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7"/>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7"/>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7"/>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7"/>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7"/>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7"/>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7"/>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7"/>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7"/>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7"/>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7"/>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7"/>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7"/>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7"/>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7"/>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7"/>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7"/>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7"/>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7"/>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7"/>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7"/>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7"/>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7"/>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7"/>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7"/>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7"/>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7"/>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7"/>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7"/>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7"/>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7"/>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7"/>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7"/>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7"/>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7"/>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7"/>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7"/>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7"/>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7"/>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7"/>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7"/>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7"/>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7"/>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7"/>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7"/>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7"/>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7"/>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7"/>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7"/>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7"/>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7"/>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7"/>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7"/>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7"/>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7"/>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7"/>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5"/>
    <w:bookmarkStart w:id="3016" w:name="semaglutide-342"/>
    <w:p>
      <w:pPr>
        <w:pStyle w:val="Heading2"/>
      </w:pPr>
      <w:r>
        <w:t xml:space="preserve">Semaglutide (342)</w:t>
      </w:r>
    </w:p>
    <w:p>
      <w:pPr>
        <w:numPr>
          <w:ilvl w:val="0"/>
          <w:numId w:val="1378"/>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8"/>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8"/>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8"/>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8"/>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8"/>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8"/>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8"/>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8"/>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8"/>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8"/>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8"/>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8"/>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8"/>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8"/>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8"/>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8"/>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8"/>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8"/>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8"/>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8"/>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8"/>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8"/>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8"/>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8"/>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8"/>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8"/>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8"/>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8"/>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8"/>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8"/>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8"/>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8"/>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8"/>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8"/>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8"/>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8"/>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8"/>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8"/>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8"/>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8"/>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8"/>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8"/>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8"/>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8"/>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8"/>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8"/>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8"/>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8"/>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8"/>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8"/>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8"/>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8"/>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8"/>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8"/>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8"/>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8"/>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8"/>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8"/>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8"/>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8"/>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8"/>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8"/>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8"/>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8"/>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8"/>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8"/>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8"/>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8"/>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8"/>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8"/>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8"/>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8"/>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8"/>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8"/>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8"/>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8"/>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8"/>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8"/>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8"/>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8"/>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8"/>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8"/>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8"/>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8"/>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8"/>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8"/>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8"/>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8"/>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8"/>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8"/>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8"/>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8"/>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8"/>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8"/>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8"/>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8"/>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8"/>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8"/>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8"/>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8"/>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8"/>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8"/>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8"/>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8"/>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8"/>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8"/>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8"/>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8"/>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8"/>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8"/>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8"/>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8"/>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8"/>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8"/>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8"/>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8"/>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8"/>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8"/>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8"/>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8"/>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8"/>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8"/>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8"/>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8"/>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8"/>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8"/>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8"/>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8"/>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8"/>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8"/>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8"/>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8"/>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8"/>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8"/>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8"/>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8"/>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8"/>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8"/>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8"/>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8"/>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8"/>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8"/>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8"/>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8"/>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8"/>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8"/>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8"/>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8"/>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8"/>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8"/>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8"/>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8"/>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8"/>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8"/>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8"/>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8"/>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8"/>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8"/>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8"/>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8"/>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8"/>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8"/>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8"/>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8"/>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8"/>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8"/>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8"/>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8"/>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8"/>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8"/>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8"/>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8"/>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8"/>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8"/>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8"/>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8"/>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8"/>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8"/>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8"/>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8"/>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8"/>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8"/>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8"/>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8"/>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8"/>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8"/>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8"/>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8"/>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8"/>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8"/>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8"/>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8"/>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8"/>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8"/>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8"/>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8"/>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8"/>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8"/>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8"/>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8"/>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8"/>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8"/>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8"/>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8"/>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8"/>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8"/>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8"/>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8"/>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8"/>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8"/>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8"/>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8"/>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8"/>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8"/>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8"/>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8"/>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8"/>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8"/>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8"/>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8"/>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8"/>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8"/>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8"/>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8"/>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8"/>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8"/>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8"/>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8"/>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8"/>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8"/>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8"/>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8"/>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8"/>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8"/>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8"/>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8"/>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8"/>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8"/>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8"/>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8"/>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8"/>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8"/>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8"/>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8"/>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8"/>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8"/>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8"/>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8"/>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8"/>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8"/>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8"/>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8"/>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8"/>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8"/>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8"/>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8"/>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8"/>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8"/>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8"/>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8"/>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8"/>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8"/>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8"/>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8"/>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8"/>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8"/>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8"/>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8"/>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8"/>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8"/>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8"/>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8"/>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8"/>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8"/>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8"/>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8"/>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8"/>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8"/>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8"/>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8"/>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8"/>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8"/>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8"/>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8"/>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8"/>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8"/>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8"/>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8"/>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8"/>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8"/>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8"/>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8"/>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8"/>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8"/>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8"/>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8"/>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8"/>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8"/>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8"/>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8"/>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8"/>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8"/>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8"/>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6"/>
    <w:bookmarkStart w:id="3017" w:name="tirzepatide-144"/>
    <w:p>
      <w:pPr>
        <w:pStyle w:val="Heading2"/>
      </w:pPr>
      <w:r>
        <w:t xml:space="preserve">Tirzepatide (144)</w:t>
      </w:r>
    </w:p>
    <w:p>
      <w:pPr>
        <w:numPr>
          <w:ilvl w:val="0"/>
          <w:numId w:val="1379"/>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79"/>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79"/>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79"/>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79"/>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79"/>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79"/>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79"/>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79"/>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79"/>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79"/>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79"/>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9"/>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79"/>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79"/>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9"/>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9"/>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9"/>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79"/>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79"/>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79"/>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79"/>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79"/>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79"/>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79"/>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9"/>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79"/>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79"/>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79"/>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79"/>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79"/>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79"/>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79"/>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79"/>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79"/>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79"/>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79"/>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79"/>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79"/>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79"/>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79"/>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79"/>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79"/>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79"/>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79"/>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9"/>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79"/>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79"/>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79"/>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79"/>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79"/>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9"/>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79"/>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79"/>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79"/>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9"/>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79"/>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79"/>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79"/>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79"/>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79"/>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79"/>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79"/>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79"/>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79"/>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79"/>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79"/>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9"/>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79"/>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79"/>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79"/>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79"/>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79"/>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79"/>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9"/>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79"/>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79"/>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79"/>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79"/>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79"/>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9"/>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79"/>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79"/>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79"/>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79"/>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79"/>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79"/>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79"/>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9"/>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9"/>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79"/>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79"/>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79"/>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9"/>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9"/>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9"/>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17"/>
    <w:bookmarkStart w:id="3018" w:name="retatrutide-10"/>
    <w:p>
      <w:pPr>
        <w:pStyle w:val="Heading2"/>
      </w:pPr>
      <w:r>
        <w:t xml:space="preserve">Retatrutide (10)</w:t>
      </w:r>
    </w:p>
    <w:p>
      <w:pPr>
        <w:numPr>
          <w:ilvl w:val="0"/>
          <w:numId w:val="1380"/>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0"/>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0"/>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0"/>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0"/>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0"/>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0"/>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0"/>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0"/>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0"/>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18"/>
    <w:bookmarkStart w:id="3019" w:name="survodutide-10"/>
    <w:p>
      <w:pPr>
        <w:pStyle w:val="Heading2"/>
      </w:pPr>
      <w:r>
        <w:t xml:space="preserve">Survodutide (10)</w:t>
      </w:r>
    </w:p>
    <w:p>
      <w:pPr>
        <w:numPr>
          <w:ilvl w:val="0"/>
          <w:numId w:val="1381"/>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1"/>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1"/>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1"/>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1"/>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1"/>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1"/>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1"/>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1"/>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1"/>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19"/>
    <w:bookmarkStart w:id="3020" w:name="mazdutide-9"/>
    <w:p>
      <w:pPr>
        <w:pStyle w:val="Heading2"/>
      </w:pPr>
      <w:r>
        <w:t xml:space="preserve">Mazdutide (9)</w:t>
      </w:r>
    </w:p>
    <w:p>
      <w:pPr>
        <w:numPr>
          <w:ilvl w:val="0"/>
          <w:numId w:val="1382"/>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2"/>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2"/>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2"/>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2"/>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2"/>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2"/>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2"/>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2"/>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20"/>
    <w:bookmarkStart w:id="3021" w:name="cagrilintide-and-cagrisema-15"/>
    <w:p>
      <w:pPr>
        <w:pStyle w:val="Heading2"/>
      </w:pPr>
      <w:r>
        <w:t xml:space="preserve">Cagrilintide and CagriSema (15)</w:t>
      </w:r>
    </w:p>
    <w:p>
      <w:pPr>
        <w:numPr>
          <w:ilvl w:val="0"/>
          <w:numId w:val="1383"/>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3"/>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3"/>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3"/>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3"/>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3"/>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3"/>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3"/>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3"/>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3"/>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3"/>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3"/>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3"/>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3"/>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3"/>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1"/>
    <w:bookmarkStart w:id="3022" w:name="amycretin-zenagamtide-4"/>
    <w:p>
      <w:pPr>
        <w:pStyle w:val="Heading2"/>
      </w:pPr>
      <w:r>
        <w:t xml:space="preserve">Amycretin (Zenagamtide) (4)</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4"/>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4"/>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2"/>
    <w:bookmarkStart w:id="3023" w:name="maridebart-cafraglutide-maritide-2"/>
    <w:p>
      <w:pPr>
        <w:pStyle w:val="Heading2"/>
      </w:pPr>
      <w:r>
        <w:t xml:space="preserve">Maridebart Cafraglutide (MariTide) (2)</w:t>
      </w:r>
    </w:p>
    <w:p>
      <w:pPr>
        <w:numPr>
          <w:ilvl w:val="0"/>
          <w:numId w:val="1385"/>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5"/>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3"/>
    <w:bookmarkStart w:id="3024" w:name="pramlintide-76"/>
    <w:p>
      <w:pPr>
        <w:pStyle w:val="Heading2"/>
      </w:pPr>
      <w:r>
        <w:t xml:space="preserve">Pramlintide (76)</w:t>
      </w:r>
    </w:p>
    <w:p>
      <w:pPr>
        <w:numPr>
          <w:ilvl w:val="0"/>
          <w:numId w:val="1386"/>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6"/>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6"/>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6"/>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6"/>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6"/>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6"/>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6"/>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6"/>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6"/>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6"/>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6"/>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6"/>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6"/>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6"/>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6"/>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6"/>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6"/>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6"/>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6"/>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6"/>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6"/>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6"/>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6"/>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6"/>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6"/>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6"/>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6"/>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6"/>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6"/>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6"/>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6"/>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6"/>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6"/>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6"/>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6"/>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6"/>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6"/>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6"/>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6"/>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6"/>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6"/>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6"/>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6"/>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6"/>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6"/>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6"/>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6"/>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6"/>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6"/>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6"/>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6"/>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6"/>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6"/>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6"/>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6"/>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6"/>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6"/>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6"/>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6"/>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6"/>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6"/>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6"/>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6"/>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6"/>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6"/>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6"/>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6"/>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6"/>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6"/>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6"/>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6"/>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6"/>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4"/>
    <w:bookmarkStart w:id="3025" w:name="setmelanotide-15"/>
    <w:p>
      <w:pPr>
        <w:pStyle w:val="Heading2"/>
      </w:pPr>
      <w:r>
        <w:t xml:space="preserve">Setmelanotide (15)</w:t>
      </w:r>
    </w:p>
    <w:p>
      <w:pPr>
        <w:numPr>
          <w:ilvl w:val="0"/>
          <w:numId w:val="1387"/>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7"/>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7"/>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7"/>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7"/>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7"/>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7"/>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7"/>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7"/>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7"/>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7"/>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7"/>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7"/>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7"/>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7"/>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5"/>
    <w:bookmarkStart w:id="3026" w:name="aod-9604-0"/>
    <w:p>
      <w:pPr>
        <w:pStyle w:val="Heading2"/>
      </w:pPr>
      <w:r>
        <w:t xml:space="preserve">AOD-9604 (0)</w:t>
      </w:r>
    </w:p>
    <w:p>
      <w:pPr>
        <w:pStyle w:val="FirstParagraph"/>
      </w:pPr>
      <w:r>
        <w:t xml:space="preserve">No publications of clinical studies in humans found.</w:t>
      </w:r>
    </w:p>
    <w:bookmarkEnd w:id="3026"/>
    <w:bookmarkStart w:id="3027" w:name="orforglipron-for-comparison-20"/>
    <w:p>
      <w:pPr>
        <w:pStyle w:val="Heading2"/>
      </w:pPr>
      <w:r>
        <w:t xml:space="preserve">Orforglipron (for comparison) (20)</w:t>
      </w:r>
    </w:p>
    <w:p>
      <w:pPr>
        <w:numPr>
          <w:ilvl w:val="0"/>
          <w:numId w:val="1388"/>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8"/>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8"/>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8"/>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8"/>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8"/>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8"/>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8"/>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8"/>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8"/>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8"/>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8"/>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27"/>
    <w:bookmarkStart w:id="3028" w:name="bpc-157-0"/>
    <w:p>
      <w:pPr>
        <w:pStyle w:val="Heading2"/>
      </w:pPr>
      <w:r>
        <w:t xml:space="preserve">BPC-157 (0)</w:t>
      </w:r>
    </w:p>
    <w:p>
      <w:pPr>
        <w:pStyle w:val="FirstParagraph"/>
      </w:pPr>
      <w:r>
        <w:t xml:space="preserve">No publications of clinical studies in humans found.</w:t>
      </w:r>
    </w:p>
    <w:bookmarkEnd w:id="3028"/>
    <w:bookmarkStart w:id="3029" w:name="tb-500-and-thymosin-beta-4-9"/>
    <w:p>
      <w:pPr>
        <w:pStyle w:val="Heading2"/>
      </w:pPr>
      <w:r>
        <w:t xml:space="preserve">TB-500 and Thymosin Beta-4 (9)</w:t>
      </w:r>
    </w:p>
    <w:p>
      <w:pPr>
        <w:numPr>
          <w:ilvl w:val="0"/>
          <w:numId w:val="1389"/>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89"/>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89"/>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89"/>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89"/>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89"/>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89"/>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89"/>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89"/>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29"/>
    <w:bookmarkStart w:id="3030" w:name="thymosin-alpha-1-thymalfasin-90"/>
    <w:p>
      <w:pPr>
        <w:pStyle w:val="Heading2"/>
      </w:pPr>
      <w:r>
        <w:t xml:space="preserve">Thymosin Alpha-1 (Thymalfasin) (90)</w:t>
      </w:r>
    </w:p>
    <w:p>
      <w:pPr>
        <w:numPr>
          <w:ilvl w:val="0"/>
          <w:numId w:val="1390"/>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0"/>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0"/>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0"/>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0"/>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0"/>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0"/>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0"/>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0"/>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0"/>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0"/>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0"/>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0"/>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0"/>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0"/>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0"/>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0"/>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0"/>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0"/>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0"/>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0"/>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0"/>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0"/>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0"/>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0"/>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0"/>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0"/>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0"/>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0"/>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0"/>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0"/>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0"/>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0"/>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0"/>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0"/>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0"/>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0"/>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0"/>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0"/>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0"/>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0"/>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0"/>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0"/>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0"/>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0"/>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0"/>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0"/>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0"/>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0"/>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0"/>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0"/>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0"/>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0"/>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0"/>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0"/>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0"/>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0"/>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0"/>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0"/>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0"/>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0"/>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0"/>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0"/>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0"/>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0"/>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0"/>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0"/>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0"/>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0"/>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0"/>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0"/>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0"/>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0"/>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0"/>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0"/>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0"/>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0"/>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0"/>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0"/>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0"/>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0"/>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0"/>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0"/>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0"/>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0"/>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0"/>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0"/>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0"/>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30"/>
    <w:bookmarkStart w:id="3031" w:name="kpv-0"/>
    <w:p>
      <w:pPr>
        <w:pStyle w:val="Heading2"/>
      </w:pPr>
      <w:r>
        <w:t xml:space="preserve">KPV (0)</w:t>
      </w:r>
    </w:p>
    <w:p>
      <w:pPr>
        <w:pStyle w:val="FirstParagraph"/>
      </w:pPr>
      <w:r>
        <w:t xml:space="preserve">No publications of clinical studies in humans found.</w:t>
      </w:r>
    </w:p>
    <w:bookmarkEnd w:id="3031"/>
    <w:bookmarkStart w:id="3032" w:name="ll-37-91"/>
    <w:p>
      <w:pPr>
        <w:pStyle w:val="Heading2"/>
      </w:pPr>
      <w:r>
        <w:t xml:space="preserve">LL-37 (91)</w:t>
      </w:r>
    </w:p>
    <w:p>
      <w:pPr>
        <w:numPr>
          <w:ilvl w:val="0"/>
          <w:numId w:val="1391"/>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1"/>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1"/>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1"/>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1"/>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1"/>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1"/>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1"/>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1"/>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1"/>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1"/>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1"/>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1"/>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1"/>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1"/>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1"/>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1"/>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1"/>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1"/>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1"/>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1"/>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1"/>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1"/>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1"/>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1"/>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1"/>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1"/>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1"/>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1"/>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1"/>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1"/>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1"/>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1"/>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1"/>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1"/>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1"/>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1"/>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1"/>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1"/>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1"/>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1"/>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1"/>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1"/>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1"/>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1"/>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1"/>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1"/>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1"/>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1"/>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1"/>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1"/>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1"/>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1"/>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1"/>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1"/>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1"/>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1"/>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1"/>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1"/>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1"/>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1"/>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1"/>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1"/>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1"/>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1"/>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1"/>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1"/>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1"/>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1"/>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1"/>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1"/>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1"/>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1"/>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1"/>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1"/>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1"/>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1"/>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1"/>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1"/>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1"/>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1"/>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1"/>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1"/>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1"/>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1"/>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1"/>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1"/>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1"/>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1"/>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1"/>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1"/>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2"/>
    <w:bookmarkStart w:id="3033" w:name="ara-290-cibinetide-5"/>
    <w:p>
      <w:pPr>
        <w:pStyle w:val="Heading2"/>
      </w:pPr>
      <w:r>
        <w:t xml:space="preserve">ARA-290 (Cibinetide) (5)</w:t>
      </w:r>
    </w:p>
    <w:p>
      <w:pPr>
        <w:numPr>
          <w:ilvl w:val="0"/>
          <w:numId w:val="1392"/>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2"/>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2"/>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2"/>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2"/>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3"/>
    <w:bookmarkStart w:id="3034" w:name="larazotide-4"/>
    <w:p>
      <w:pPr>
        <w:pStyle w:val="Heading2"/>
      </w:pPr>
      <w:r>
        <w:t xml:space="preserve">Larazotide (4)</w:t>
      </w:r>
    </w:p>
    <w:p>
      <w:pPr>
        <w:numPr>
          <w:ilvl w:val="0"/>
          <w:numId w:val="1393"/>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3"/>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3"/>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3"/>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4"/>
    <w:bookmarkStart w:id="3035" w:name="thymalin-and-thymogen-17"/>
    <w:p>
      <w:pPr>
        <w:pStyle w:val="Heading2"/>
      </w:pPr>
      <w:r>
        <w:t xml:space="preserve">Thymalin and Thymogen (17)</w:t>
      </w:r>
    </w:p>
    <w:p>
      <w:pPr>
        <w:numPr>
          <w:ilvl w:val="0"/>
          <w:numId w:val="1394"/>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4"/>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4"/>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4"/>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4"/>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4"/>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4"/>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4"/>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4"/>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4"/>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4"/>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4"/>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4"/>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4"/>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4"/>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4"/>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4"/>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5"/>
    <w:bookmarkStart w:id="3036" w:name="sermorelin-0"/>
    <w:p>
      <w:pPr>
        <w:pStyle w:val="Heading2"/>
      </w:pPr>
      <w:r>
        <w:t xml:space="preserve">Sermorelin (0)</w:t>
      </w:r>
    </w:p>
    <w:p>
      <w:pPr>
        <w:pStyle w:val="FirstParagraph"/>
      </w:pPr>
      <w:r>
        <w:t xml:space="preserve">No publications of clinical studies in humans found.</w:t>
      </w:r>
    </w:p>
    <w:bookmarkEnd w:id="3036"/>
    <w:bookmarkStart w:id="3037" w:name="tesamorelin-23"/>
    <w:p>
      <w:pPr>
        <w:pStyle w:val="Heading2"/>
      </w:pPr>
      <w:r>
        <w:t xml:space="preserve">Tesamorelin (23)</w:t>
      </w:r>
    </w:p>
    <w:p>
      <w:pPr>
        <w:numPr>
          <w:ilvl w:val="0"/>
          <w:numId w:val="1395"/>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5"/>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5"/>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5"/>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5"/>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5"/>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5"/>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5"/>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5"/>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5"/>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5"/>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5"/>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5"/>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5"/>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5"/>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5"/>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5"/>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5"/>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5"/>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5"/>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5"/>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5"/>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5"/>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37"/>
    <w:bookmarkStart w:id="3038" w:name="cjc-1295-2"/>
    <w:p>
      <w:pPr>
        <w:pStyle w:val="Heading2"/>
      </w:pPr>
      <w:r>
        <w:t xml:space="preserve">CJC-1295 (2)</w:t>
      </w:r>
    </w:p>
    <w:p>
      <w:pPr>
        <w:numPr>
          <w:ilvl w:val="0"/>
          <w:numId w:val="1396"/>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6"/>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38"/>
    <w:bookmarkStart w:id="3039" w:name="ipamorelin-2"/>
    <w:p>
      <w:pPr>
        <w:pStyle w:val="Heading2"/>
      </w:pPr>
      <w:r>
        <w:t xml:space="preserve">Ipamorelin (2)</w:t>
      </w:r>
    </w:p>
    <w:p>
      <w:pPr>
        <w:numPr>
          <w:ilvl w:val="0"/>
          <w:numId w:val="1397"/>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7"/>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39"/>
    <w:bookmarkStart w:id="3040" w:name="ghrp-2-pralmorelin-55"/>
    <w:p>
      <w:pPr>
        <w:pStyle w:val="Heading2"/>
      </w:pPr>
      <w:r>
        <w:t xml:space="preserve">GHRP-2 (Pralmorelin) (55)</w:t>
      </w:r>
    </w:p>
    <w:p>
      <w:pPr>
        <w:numPr>
          <w:ilvl w:val="0"/>
          <w:numId w:val="1398"/>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8"/>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8"/>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8"/>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8"/>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8"/>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8"/>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8"/>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8"/>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8"/>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8"/>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8"/>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8"/>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8"/>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8"/>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8"/>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8"/>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8"/>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8"/>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8"/>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8"/>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8"/>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8"/>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8"/>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8"/>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8"/>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8"/>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8"/>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8"/>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8"/>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8"/>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8"/>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8"/>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8"/>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8"/>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8"/>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8"/>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8"/>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8"/>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8"/>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8"/>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8"/>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8"/>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8"/>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40"/>
    <w:bookmarkStart w:id="3041" w:name="ghrp-6-40"/>
    <w:p>
      <w:pPr>
        <w:pStyle w:val="Heading2"/>
      </w:pPr>
      <w:r>
        <w:t xml:space="preserve">GHRP-6 (40)</w:t>
      </w:r>
    </w:p>
    <w:p>
      <w:pPr>
        <w:numPr>
          <w:ilvl w:val="0"/>
          <w:numId w:val="1399"/>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399"/>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399"/>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399"/>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399"/>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399"/>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399"/>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399"/>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399"/>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399"/>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399"/>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399"/>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399"/>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399"/>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399"/>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399"/>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399"/>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399"/>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399"/>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399"/>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399"/>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399"/>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399"/>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399"/>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399"/>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399"/>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399"/>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399"/>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399"/>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399"/>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399"/>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399"/>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399"/>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399"/>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399"/>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399"/>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399"/>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399"/>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1"/>
    <w:bookmarkStart w:id="3042" w:name="hexarelin-58"/>
    <w:p>
      <w:pPr>
        <w:pStyle w:val="Heading2"/>
      </w:pPr>
      <w:r>
        <w:t xml:space="preserve">Hexarelin (58)</w:t>
      </w:r>
    </w:p>
    <w:p>
      <w:pPr>
        <w:numPr>
          <w:ilvl w:val="0"/>
          <w:numId w:val="1400"/>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0"/>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0"/>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0"/>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0"/>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0"/>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0"/>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0"/>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0"/>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0"/>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0"/>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0"/>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0"/>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0"/>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0"/>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0"/>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0"/>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0"/>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0"/>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0"/>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0"/>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0"/>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0"/>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0"/>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0"/>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0"/>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0"/>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0"/>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0"/>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0"/>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0"/>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0"/>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0"/>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0"/>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0"/>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0"/>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0"/>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0"/>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0"/>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0"/>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0"/>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0"/>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0"/>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0"/>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0"/>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0"/>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0"/>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0"/>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2"/>
    <w:bookmarkStart w:id="3043" w:name="macimorelin-4"/>
    <w:p>
      <w:pPr>
        <w:pStyle w:val="Heading2"/>
      </w:pPr>
      <w:r>
        <w:t xml:space="preserve">Macimorelin (4)</w:t>
      </w:r>
    </w:p>
    <w:p>
      <w:pPr>
        <w:numPr>
          <w:ilvl w:val="0"/>
          <w:numId w:val="1401"/>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1"/>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1"/>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1"/>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3"/>
    <w:bookmarkStart w:id="3044" w:name="mecasermin-igf-1-21"/>
    <w:p>
      <w:pPr>
        <w:pStyle w:val="Heading2"/>
      </w:pPr>
      <w:r>
        <w:t xml:space="preserve">Mecasermin (IGF-1) (21)</w:t>
      </w:r>
    </w:p>
    <w:p>
      <w:pPr>
        <w:numPr>
          <w:ilvl w:val="0"/>
          <w:numId w:val="1402"/>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2"/>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2"/>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2"/>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2"/>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2"/>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2"/>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2"/>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2"/>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2"/>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2"/>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2"/>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2"/>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2"/>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2"/>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2"/>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2"/>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2"/>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2"/>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2"/>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2"/>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4"/>
    <w:bookmarkStart w:id="3045" w:name="igf-1-lr3-0"/>
    <w:p>
      <w:pPr>
        <w:pStyle w:val="Heading2"/>
      </w:pPr>
      <w:r>
        <w:t xml:space="preserve">IGF-1 LR3 (0)</w:t>
      </w:r>
    </w:p>
    <w:p>
      <w:pPr>
        <w:pStyle w:val="FirstParagraph"/>
      </w:pPr>
      <w:r>
        <w:t xml:space="preserve">No publications of clinical studies in humans found.</w:t>
      </w:r>
    </w:p>
    <w:bookmarkEnd w:id="3045"/>
    <w:bookmarkStart w:id="3046" w:name="ibutamoren-mk-677-19"/>
    <w:p>
      <w:pPr>
        <w:pStyle w:val="Heading2"/>
      </w:pPr>
      <w:r>
        <w:t xml:space="preserve">Ibutamoren (MK-677) (19)</w:t>
      </w:r>
    </w:p>
    <w:p>
      <w:pPr>
        <w:numPr>
          <w:ilvl w:val="0"/>
          <w:numId w:val="1403"/>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3"/>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3"/>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3"/>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3"/>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3"/>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3"/>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3"/>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3"/>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3"/>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3"/>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3"/>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3"/>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3"/>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3"/>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3"/>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3"/>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3"/>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3"/>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6"/>
    <w:bookmarkStart w:id="3047" w:name="semax-4"/>
    <w:p>
      <w:pPr>
        <w:pStyle w:val="Heading2"/>
      </w:pPr>
      <w:r>
        <w:t xml:space="preserve">Semax (4)</w:t>
      </w:r>
    </w:p>
    <w:p>
      <w:pPr>
        <w:numPr>
          <w:ilvl w:val="0"/>
          <w:numId w:val="1404"/>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4"/>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4"/>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4"/>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47"/>
    <w:bookmarkStart w:id="3048" w:name="selank-3"/>
    <w:p>
      <w:pPr>
        <w:pStyle w:val="Heading2"/>
      </w:pPr>
      <w:r>
        <w:t xml:space="preserve">Selank (3)</w:t>
      </w:r>
    </w:p>
    <w:p>
      <w:pPr>
        <w:numPr>
          <w:ilvl w:val="0"/>
          <w:numId w:val="1405"/>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5"/>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5"/>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48"/>
    <w:bookmarkStart w:id="3049" w:name="cerebrolysin-88"/>
    <w:p>
      <w:pPr>
        <w:pStyle w:val="Heading2"/>
      </w:pPr>
      <w:r>
        <w:t xml:space="preserve">Cerebrolysin (88)</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6"/>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6"/>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6"/>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6"/>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6"/>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6"/>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6"/>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6"/>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6"/>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6"/>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6"/>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6"/>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6"/>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6"/>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6"/>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6"/>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6"/>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6"/>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6"/>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6"/>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6"/>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6"/>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6"/>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6"/>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6"/>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6"/>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6"/>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6"/>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6"/>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6"/>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6"/>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6"/>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6"/>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6"/>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6"/>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6"/>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6"/>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6"/>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6"/>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6"/>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6"/>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6"/>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6"/>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6"/>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6"/>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6"/>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6"/>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6"/>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6"/>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6"/>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6"/>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6"/>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6"/>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6"/>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6"/>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6"/>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6"/>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6"/>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6"/>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6"/>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6"/>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6"/>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6"/>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6"/>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6"/>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6"/>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6"/>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6"/>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6"/>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6"/>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6"/>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6"/>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6"/>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6"/>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6"/>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6"/>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6"/>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6"/>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6"/>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6"/>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6"/>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6"/>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6"/>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6"/>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49"/>
    <w:bookmarkStart w:id="3050" w:name="dihexa-0"/>
    <w:p>
      <w:pPr>
        <w:pStyle w:val="Heading2"/>
      </w:pPr>
      <w:r>
        <w:t xml:space="preserve">Dihexa (0)</w:t>
      </w:r>
    </w:p>
    <w:p>
      <w:pPr>
        <w:pStyle w:val="FirstParagraph"/>
      </w:pPr>
      <w:r>
        <w:t xml:space="preserve">No publications of clinical studies in humans found.</w:t>
      </w:r>
    </w:p>
    <w:bookmarkEnd w:id="3050"/>
    <w:bookmarkStart w:id="3051" w:name="dsip-delta-sleepinducing-peptide-18"/>
    <w:p>
      <w:pPr>
        <w:pStyle w:val="Heading2"/>
      </w:pPr>
      <w:r>
        <w:t xml:space="preserve">DSIP (Delta Sleep–Inducing Peptide) (18)</w:t>
      </w:r>
    </w:p>
    <w:p>
      <w:pPr>
        <w:numPr>
          <w:ilvl w:val="0"/>
          <w:numId w:val="1407"/>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7"/>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7"/>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7"/>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7"/>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7"/>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7"/>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7"/>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7"/>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7"/>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7"/>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7"/>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7"/>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7"/>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7"/>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7"/>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7"/>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7"/>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1"/>
    <w:bookmarkStart w:id="3052" w:name="epitalon-epithalon-1"/>
    <w:p>
      <w:pPr>
        <w:pStyle w:val="Heading2"/>
      </w:pPr>
      <w:r>
        <w:t xml:space="preserve">Epitalon (Epithalon) (1)</w:t>
      </w:r>
    </w:p>
    <w:p>
      <w:pPr>
        <w:numPr>
          <w:ilvl w:val="0"/>
          <w:numId w:val="1408"/>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2"/>
    <w:bookmarkStart w:id="3053" w:name="pinealon-1"/>
    <w:p>
      <w:pPr>
        <w:pStyle w:val="Heading2"/>
      </w:pPr>
      <w:r>
        <w:t xml:space="preserve">Pinealon (1)</w:t>
      </w:r>
    </w:p>
    <w:p>
      <w:pPr>
        <w:numPr>
          <w:ilvl w:val="0"/>
          <w:numId w:val="1409"/>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3"/>
    <w:bookmarkStart w:id="3054" w:name="mots-c-5"/>
    <w:p>
      <w:pPr>
        <w:pStyle w:val="Heading2"/>
      </w:pPr>
      <w:r>
        <w:t xml:space="preserve">MOTS-c (5)</w:t>
      </w:r>
    </w:p>
    <w:p>
      <w:pPr>
        <w:numPr>
          <w:ilvl w:val="0"/>
          <w:numId w:val="1410"/>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0"/>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0"/>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0"/>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0"/>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4"/>
    <w:bookmarkStart w:id="3055" w:name="humanin-8"/>
    <w:p>
      <w:pPr>
        <w:pStyle w:val="Heading2"/>
      </w:pPr>
      <w:r>
        <w:t xml:space="preserve">Humanin (8)</w:t>
      </w:r>
    </w:p>
    <w:p>
      <w:pPr>
        <w:numPr>
          <w:ilvl w:val="0"/>
          <w:numId w:val="1411"/>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1"/>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1"/>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1"/>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1"/>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1"/>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5"/>
    <w:bookmarkStart w:id="3056" w:name="ss-31-elamipretide-19"/>
    <w:p>
      <w:pPr>
        <w:pStyle w:val="Heading2"/>
      </w:pPr>
      <w:r>
        <w:t xml:space="preserve">SS-31 (Elamipretide) (19)</w:t>
      </w:r>
    </w:p>
    <w:p>
      <w:pPr>
        <w:numPr>
          <w:ilvl w:val="0"/>
          <w:numId w:val="1412"/>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2"/>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2"/>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2"/>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2"/>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2"/>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2"/>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2"/>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2"/>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2"/>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2"/>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2"/>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2"/>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2"/>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2"/>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2"/>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2"/>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2"/>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2"/>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6"/>
    <w:bookmarkStart w:id="3057" w:name="foxo4-dri-0"/>
    <w:p>
      <w:pPr>
        <w:pStyle w:val="Heading2"/>
      </w:pPr>
      <w:r>
        <w:t xml:space="preserve">FOXO4-DRI (0)</w:t>
      </w:r>
    </w:p>
    <w:p>
      <w:pPr>
        <w:pStyle w:val="FirstParagraph"/>
      </w:pPr>
      <w:r>
        <w:t xml:space="preserve">No publications of clinical studies in humans found.</w:t>
      </w:r>
    </w:p>
    <w:bookmarkEnd w:id="3057"/>
    <w:bookmarkStart w:id="3058" w:name="glutathione-161"/>
    <w:p>
      <w:pPr>
        <w:pStyle w:val="Heading2"/>
      </w:pPr>
      <w:r>
        <w:t xml:space="preserve">Glutathione (161)</w:t>
      </w:r>
    </w:p>
    <w:p>
      <w:pPr>
        <w:numPr>
          <w:ilvl w:val="0"/>
          <w:numId w:val="1413"/>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3"/>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3"/>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3"/>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3"/>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3"/>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3"/>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3"/>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3"/>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3"/>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3"/>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3"/>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3"/>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3"/>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3"/>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3"/>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3"/>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3"/>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3"/>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3"/>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3"/>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3"/>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3"/>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3"/>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3"/>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3"/>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3"/>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3"/>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3"/>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3"/>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3"/>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3"/>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3"/>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3"/>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3"/>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3"/>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3"/>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3"/>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3"/>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3"/>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3"/>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3"/>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3"/>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3"/>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3"/>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3"/>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3"/>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3"/>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3"/>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3"/>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3"/>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3"/>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3"/>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3"/>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3"/>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3"/>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3"/>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3"/>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3"/>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3"/>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3"/>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3"/>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3"/>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3"/>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3"/>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3"/>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3"/>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3"/>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3"/>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3"/>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3"/>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3"/>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3"/>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3"/>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3"/>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3"/>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3"/>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3"/>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3"/>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3"/>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3"/>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3"/>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3"/>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3"/>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3"/>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3"/>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3"/>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3"/>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3"/>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3"/>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3"/>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3"/>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3"/>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3"/>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3"/>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3"/>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3"/>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3"/>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3"/>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3"/>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3"/>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3"/>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3"/>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3"/>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3"/>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3"/>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3"/>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3"/>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3"/>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3"/>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3"/>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3"/>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3"/>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3"/>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3"/>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3"/>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3"/>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3"/>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3"/>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3"/>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3"/>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3"/>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3"/>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3"/>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3"/>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3"/>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3"/>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3"/>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3"/>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3"/>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3"/>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3"/>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3"/>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3"/>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3"/>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3"/>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3"/>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3"/>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3"/>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3"/>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3"/>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3"/>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3"/>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3"/>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3"/>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3"/>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3"/>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3"/>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3"/>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3"/>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3"/>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3"/>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3"/>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3"/>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3"/>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3"/>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3"/>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3"/>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3"/>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3"/>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3"/>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58"/>
    <w:bookmarkStart w:id="3059" w:name="bremelanotide-pt-141-16"/>
    <w:p>
      <w:pPr>
        <w:pStyle w:val="Heading2"/>
      </w:pPr>
      <w:r>
        <w:t xml:space="preserve">Bremelanotide (PT-141) (16)</w:t>
      </w:r>
    </w:p>
    <w:p>
      <w:pPr>
        <w:numPr>
          <w:ilvl w:val="0"/>
          <w:numId w:val="1414"/>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4"/>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4"/>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4"/>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4"/>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4"/>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4"/>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4"/>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4"/>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4"/>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4"/>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4"/>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4"/>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4"/>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4"/>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4"/>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59"/>
    <w:bookmarkStart w:id="3060" w:name="melanotan-ii-8"/>
    <w:p>
      <w:pPr>
        <w:pStyle w:val="Heading2"/>
      </w:pPr>
      <w:r>
        <w:t xml:space="preserve">Melanotan II (8)</w:t>
      </w:r>
    </w:p>
    <w:p>
      <w:pPr>
        <w:numPr>
          <w:ilvl w:val="0"/>
          <w:numId w:val="1415"/>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5"/>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5"/>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5"/>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5"/>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5"/>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5"/>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5"/>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60"/>
    <w:bookmarkStart w:id="3061" w:name="afamelanotide-10"/>
    <w:p>
      <w:pPr>
        <w:pStyle w:val="Heading2"/>
      </w:pPr>
      <w:r>
        <w:t xml:space="preserve">Afamelanotide (10)</w:t>
      </w:r>
    </w:p>
    <w:p>
      <w:pPr>
        <w:numPr>
          <w:ilvl w:val="0"/>
          <w:numId w:val="1416"/>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6"/>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6"/>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6"/>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6"/>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6"/>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6"/>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6"/>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6"/>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6"/>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1"/>
    <w:bookmarkStart w:id="3062" w:name="kisspeptin-37"/>
    <w:p>
      <w:pPr>
        <w:pStyle w:val="Heading2"/>
      </w:pPr>
      <w:r>
        <w:t xml:space="preserve">Kisspeptin (37)</w:t>
      </w:r>
    </w:p>
    <w:p>
      <w:pPr>
        <w:numPr>
          <w:ilvl w:val="0"/>
          <w:numId w:val="1417"/>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7"/>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7"/>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7"/>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7"/>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7"/>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7"/>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7"/>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7"/>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7"/>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7"/>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7"/>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7"/>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7"/>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7"/>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7"/>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7"/>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7"/>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7"/>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7"/>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7"/>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7"/>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7"/>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7"/>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7"/>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7"/>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7"/>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7"/>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7"/>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7"/>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7"/>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7"/>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7"/>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7"/>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7"/>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7"/>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7"/>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2"/>
    <w:bookmarkStart w:id="3063" w:name="oxytocin-nasal-spray-349"/>
    <w:p>
      <w:pPr>
        <w:pStyle w:val="Heading2"/>
      </w:pPr>
      <w:r>
        <w:t xml:space="preserve">Oxytocin (Nasal Spray) (349)</w:t>
      </w:r>
    </w:p>
    <w:p>
      <w:pPr>
        <w:numPr>
          <w:ilvl w:val="0"/>
          <w:numId w:val="1418"/>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8"/>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8"/>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8"/>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8"/>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8"/>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8"/>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8"/>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8"/>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8"/>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8"/>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8"/>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8"/>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8"/>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8"/>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8"/>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8"/>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8"/>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8"/>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8"/>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8"/>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8"/>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8"/>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8"/>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8"/>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8"/>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8"/>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8"/>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8"/>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8"/>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8"/>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8"/>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8"/>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8"/>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8"/>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8"/>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8"/>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8"/>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8"/>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8"/>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8"/>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8"/>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8"/>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8"/>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8"/>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8"/>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8"/>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8"/>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8"/>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8"/>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8"/>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8"/>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8"/>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8"/>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8"/>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8"/>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8"/>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8"/>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8"/>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8"/>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8"/>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8"/>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8"/>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8"/>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8"/>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8"/>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8"/>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8"/>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8"/>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8"/>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8"/>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8"/>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8"/>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8"/>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8"/>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8"/>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8"/>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8"/>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8"/>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8"/>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8"/>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8"/>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8"/>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8"/>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8"/>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8"/>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8"/>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8"/>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8"/>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8"/>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8"/>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8"/>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8"/>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8"/>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8"/>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8"/>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8"/>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8"/>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8"/>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8"/>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8"/>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8"/>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8"/>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8"/>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8"/>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8"/>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8"/>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8"/>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8"/>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8"/>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8"/>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8"/>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8"/>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8"/>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8"/>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8"/>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8"/>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8"/>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8"/>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8"/>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8"/>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8"/>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8"/>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8"/>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8"/>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8"/>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8"/>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8"/>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8"/>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8"/>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8"/>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8"/>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8"/>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8"/>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8"/>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8"/>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8"/>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8"/>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8"/>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8"/>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8"/>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8"/>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8"/>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8"/>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8"/>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8"/>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8"/>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8"/>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8"/>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8"/>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8"/>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8"/>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8"/>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8"/>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8"/>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8"/>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8"/>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8"/>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8"/>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8"/>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8"/>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8"/>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8"/>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8"/>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8"/>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8"/>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8"/>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8"/>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8"/>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8"/>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8"/>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8"/>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8"/>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8"/>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8"/>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8"/>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8"/>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8"/>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8"/>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8"/>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8"/>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8"/>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8"/>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8"/>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8"/>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8"/>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8"/>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8"/>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8"/>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8"/>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8"/>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8"/>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8"/>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8"/>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8"/>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8"/>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8"/>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8"/>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8"/>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8"/>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8"/>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8"/>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8"/>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8"/>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8"/>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8"/>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8"/>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8"/>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8"/>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8"/>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8"/>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8"/>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8"/>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8"/>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8"/>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8"/>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8"/>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8"/>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8"/>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8"/>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8"/>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8"/>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8"/>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8"/>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8"/>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8"/>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8"/>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8"/>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8"/>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8"/>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8"/>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8"/>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8"/>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8"/>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8"/>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8"/>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8"/>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8"/>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8"/>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8"/>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8"/>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8"/>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8"/>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8"/>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8"/>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8"/>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8"/>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8"/>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8"/>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8"/>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8"/>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8"/>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8"/>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8"/>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8"/>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8"/>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8"/>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8"/>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8"/>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8"/>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8"/>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8"/>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8"/>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8"/>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8"/>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8"/>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8"/>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8"/>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8"/>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8"/>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8"/>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8"/>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8"/>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8"/>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8"/>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8"/>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8"/>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8"/>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8"/>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8"/>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8"/>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8"/>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8"/>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8"/>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8"/>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8"/>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8"/>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8"/>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8"/>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8"/>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8"/>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8"/>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8"/>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8"/>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8"/>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8"/>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8"/>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8"/>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8"/>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8"/>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8"/>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8"/>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8"/>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8"/>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8"/>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8"/>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8"/>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8"/>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8"/>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8"/>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8"/>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8"/>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8"/>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8"/>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8"/>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8"/>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8"/>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8"/>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8"/>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8"/>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8"/>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8"/>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8"/>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8"/>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8"/>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8"/>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8"/>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8"/>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8"/>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8"/>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8"/>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8"/>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8"/>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8"/>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8"/>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8"/>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8"/>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8"/>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8"/>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8"/>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8"/>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8"/>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8"/>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8"/>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8"/>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8"/>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8"/>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3"/>
    <w:bookmarkStart w:id="3064" w:name="gonadorelin-9"/>
    <w:p>
      <w:pPr>
        <w:pStyle w:val="Heading2"/>
      </w:pPr>
      <w:r>
        <w:t xml:space="preserve">Gonadorelin (9)</w:t>
      </w:r>
    </w:p>
    <w:p>
      <w:pPr>
        <w:numPr>
          <w:ilvl w:val="0"/>
          <w:numId w:val="1419"/>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19"/>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19"/>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19"/>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19"/>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19"/>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19"/>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19"/>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19"/>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4"/>
    <w:bookmarkStart w:id="3065" w:name="Xb2546c462cd0544a801452a0c21a7ffb5e473d2"/>
    <w:p>
      <w:pPr>
        <w:pStyle w:val="Heading2"/>
      </w:pPr>
      <w:r>
        <w:t xml:space="preserve">Collagen Peptides (Collagen Hydrolysate) (101)</w:t>
      </w:r>
    </w:p>
    <w:p>
      <w:pPr>
        <w:numPr>
          <w:ilvl w:val="0"/>
          <w:numId w:val="1420"/>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0"/>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0"/>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0"/>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0"/>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0"/>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0"/>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0"/>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0"/>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0"/>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0"/>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0"/>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0"/>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0"/>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0"/>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0"/>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0"/>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0"/>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0"/>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0"/>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0"/>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0"/>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0"/>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0"/>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0"/>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0"/>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0"/>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0"/>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0"/>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0"/>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0"/>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0"/>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0"/>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0"/>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0"/>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0"/>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0"/>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0"/>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0"/>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0"/>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0"/>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0"/>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0"/>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0"/>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0"/>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0"/>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0"/>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0"/>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0"/>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0"/>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0"/>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0"/>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0"/>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0"/>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0"/>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0"/>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0"/>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0"/>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0"/>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0"/>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0"/>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0"/>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0"/>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0"/>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0"/>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0"/>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0"/>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0"/>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0"/>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0"/>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0"/>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0"/>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0"/>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0"/>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0"/>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0"/>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0"/>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0"/>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0"/>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0"/>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0"/>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0"/>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0"/>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0"/>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0"/>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0"/>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0"/>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0"/>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0"/>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0"/>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0"/>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0"/>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0"/>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0"/>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0"/>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0"/>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0"/>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0"/>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0"/>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5"/>
    <w:bookmarkStart w:id="3066" w:name="lactotripeptides-vpp-and-ipp-21"/>
    <w:p>
      <w:pPr>
        <w:pStyle w:val="Heading2"/>
      </w:pPr>
      <w:r>
        <w:t xml:space="preserve">Lactotripeptides (VPP and IPP) (21)</w:t>
      </w:r>
    </w:p>
    <w:p>
      <w:pPr>
        <w:numPr>
          <w:ilvl w:val="0"/>
          <w:numId w:val="1421"/>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1"/>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1"/>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1"/>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1"/>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1"/>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1"/>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1"/>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1"/>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1"/>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1"/>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1"/>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1"/>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1"/>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1"/>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1"/>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1"/>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1"/>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1"/>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1"/>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1"/>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6"/>
    <w:bookmarkStart w:id="3067" w:name="carnosine-57"/>
    <w:p>
      <w:pPr>
        <w:pStyle w:val="Heading2"/>
      </w:pPr>
      <w:r>
        <w:t xml:space="preserve">Carnosine (57)</w:t>
      </w:r>
    </w:p>
    <w:p>
      <w:pPr>
        <w:numPr>
          <w:ilvl w:val="0"/>
          <w:numId w:val="1422"/>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2"/>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2"/>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2"/>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2"/>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2"/>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2"/>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2"/>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2"/>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2"/>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2"/>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2"/>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2"/>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2"/>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2"/>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2"/>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2"/>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2"/>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2"/>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2"/>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2"/>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2"/>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2"/>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2"/>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2"/>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2"/>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2"/>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2"/>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2"/>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2"/>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2"/>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2"/>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2"/>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2"/>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2"/>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2"/>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2"/>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2"/>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2"/>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2"/>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2"/>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2"/>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2"/>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2"/>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2"/>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2"/>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2"/>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2"/>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2"/>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2"/>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2"/>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2"/>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2"/>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2"/>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2"/>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2"/>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2"/>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67"/>
    <w:bookmarkStart w:id="3068" w:name="ghk-cu-copper-peptide-1"/>
    <w:p>
      <w:pPr>
        <w:pStyle w:val="Heading2"/>
      </w:pPr>
      <w:r>
        <w:t xml:space="preserve">GHK-Cu (Copper Peptide) (1)</w:t>
      </w:r>
    </w:p>
    <w:p>
      <w:pPr>
        <w:numPr>
          <w:ilvl w:val="0"/>
          <w:numId w:val="1423"/>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68"/>
    <w:bookmarkStart w:id="3069" w:name="palmitoyl-pentapeptide-4-matrixyl-1"/>
    <w:p>
      <w:pPr>
        <w:pStyle w:val="Heading2"/>
      </w:pPr>
      <w:r>
        <w:t xml:space="preserve">Palmitoyl Pentapeptide-4 (Matrixyl) (1)</w:t>
      </w:r>
    </w:p>
    <w:p>
      <w:pPr>
        <w:numPr>
          <w:ilvl w:val="0"/>
          <w:numId w:val="1424"/>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69"/>
    <w:bookmarkStart w:id="3070" w:name="acetyl-hexapeptide-8-argireline-3"/>
    <w:p>
      <w:pPr>
        <w:pStyle w:val="Heading2"/>
      </w:pPr>
      <w:r>
        <w:t xml:space="preserve">Acetyl Hexapeptide-8 (Argireline) (3)</w:t>
      </w:r>
    </w:p>
    <w:p>
      <w:pPr>
        <w:numPr>
          <w:ilvl w:val="0"/>
          <w:numId w:val="1425"/>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5"/>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5"/>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70"/>
    <w:bookmarkEnd w:id="3071"/>
    <w:bookmarkStart w:id="3072" w:name="about-the-author"/>
    <w:p>
      <w:pPr>
        <w:pStyle w:val="Heading1"/>
      </w:pPr>
      <w:r>
        <w:t xml:space="preserve">About the Author</w:t>
      </w:r>
    </w:p>
    <w:p>
      <w:pPr>
        <w:pStyle w:val="FirstParagraph"/>
      </w:pPr>
      <w:r>
        <w:t xml:space="preserve">Josef Gallab has been deeply involved with peptides, sport and biohacking for more than five years. He is interested in what really advances health and performance – and what remains nothing more than a promise.</w:t>
      </w:r>
    </w:p>
    <w:p>
      <w:pPr>
        <w:pStyle w:val="BodyText"/>
      </w:pPr>
      <w:r>
        <w:t xml:space="preserve">He knows the scene, the promises and the personal reports surrounding many of the peptides described in this book at first hand. That is precisely why it matters to him to keep enthusiasm and evidence clearly apart: to take the potential of peptides seriously without keeping quiet about the open questions.</w:t>
      </w:r>
    </w:p>
    <w:p>
      <w:pPr>
        <w:pStyle w:val="BodyText"/>
      </w:pPr>
      <w:r>
        <w:t xml:space="preserve">With The Peptide Handbook, he wants to give readers the tool he himself lacked at the beginning – an honest overview of what the studies really show.</w:t>
      </w:r>
    </w:p>
    <w:bookmarkEnd w:id="30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Krug 2018, PMID 29864719.</w:t>
      </w:r>
    </w:p>
  </w:footnote>
  <w:footnote w:id="41">
    <w:p>
      <w:pPr>
        <w:pStyle w:val="FootnoteText"/>
      </w:pPr>
      <w:r>
        <w:rPr>
          <w:rStyle w:val="FootnoteReference"/>
        </w:rPr>
        <w:footnoteRef/>
      </w:r>
      <w:r>
        <w:t xml:space="preserve"> </w:t>
      </w:r>
      <w:r>
        <w:t xml:space="preserve">Eng 1992, PMID 1313797.</w:t>
      </w:r>
    </w:p>
  </w:footnote>
  <w:footnote w:id="43">
    <w:p>
      <w:pPr>
        <w:pStyle w:val="FootnoteText"/>
      </w:pPr>
      <w:r>
        <w:rPr>
          <w:rStyle w:val="FootnoteReference"/>
        </w:rPr>
        <w:footnoteRef/>
      </w:r>
      <w:r>
        <w:t xml:space="preserve"> </w:t>
      </w:r>
      <w:r>
        <w:t xml:space="preserve">Knudsen 2019, PMID 31031702.</w:t>
      </w:r>
    </w:p>
  </w:footnote>
  <w:footnote w:id="45">
    <w:p>
      <w:pPr>
        <w:pStyle w:val="FootnoteText"/>
      </w:pPr>
      <w:r>
        <w:rPr>
          <w:rStyle w:val="FootnoteReference"/>
        </w:rPr>
        <w:footnoteRef/>
      </w:r>
      <w:r>
        <w:t xml:space="preserve"> </w:t>
      </w:r>
      <w:r>
        <w:t xml:space="preserve">Deacon 1995, PMID 7883856.</w:t>
      </w:r>
    </w:p>
  </w:footnote>
  <w:footnote w:id="46">
    <w:p>
      <w:pPr>
        <w:pStyle w:val="FootnoteText"/>
      </w:pPr>
      <w:r>
        <w:rPr>
          <w:rStyle w:val="FootnoteReference"/>
        </w:rPr>
        <w:footnoteRef/>
      </w:r>
      <w:r>
        <w:t xml:space="preserve"> </w:t>
      </w:r>
      <w:r>
        <w:t xml:space="preserve">Lau 2015, PMID 26308095.</w:t>
      </w:r>
    </w:p>
  </w:footnote>
  <w:footnote w:id="47">
    <w:p>
      <w:pPr>
        <w:pStyle w:val="FootnoteText"/>
      </w:pPr>
      <w:r>
        <w:rPr>
          <w:rStyle w:val="FootnoteReference"/>
        </w:rPr>
        <w:footnoteRef/>
      </w:r>
      <w:r>
        <w:t xml:space="preserve"> </w:t>
      </w:r>
      <w:r>
        <w:t xml:space="preserve">Marso 2016, PMID 27633186.</w:t>
      </w:r>
    </w:p>
  </w:footnote>
  <w:footnote w:id="49">
    <w:p>
      <w:pPr>
        <w:pStyle w:val="FootnoteText"/>
      </w:pPr>
      <w:r>
        <w:rPr>
          <w:rStyle w:val="FootnoteReference"/>
        </w:rPr>
        <w:footnoteRef/>
      </w:r>
      <w:r>
        <w:t xml:space="preserve"> </w:t>
      </w:r>
      <w:r>
        <w:t xml:space="preserve">Merrifield 1969, PMID 4307033.</w:t>
      </w:r>
    </w:p>
  </w:footnote>
  <w:footnote w:id="50">
    <w:p>
      <w:pPr>
        <w:pStyle w:val="FootnoteText"/>
      </w:pPr>
      <w:r>
        <w:rPr>
          <w:rStyle w:val="FootnoteReference"/>
        </w:rPr>
        <w:footnoteRef/>
      </w:r>
      <w:r>
        <w:t xml:space="preserve"> </w:t>
      </w:r>
      <w:r>
        <w:t xml:space="preserve">The 1989, PMID 2690608.</w:t>
      </w:r>
    </w:p>
  </w:footnote>
  <w:footnote w:id="51">
    <w:p>
      <w:pPr>
        <w:pStyle w:val="FootnoteText"/>
      </w:pPr>
      <w:r>
        <w:rPr>
          <w:rStyle w:val="FootnoteReference"/>
        </w:rPr>
        <w:footnoteRef/>
      </w:r>
      <w:r>
        <w:t xml:space="preserve"> </w:t>
      </w:r>
      <w:r>
        <w:t xml:space="preserve">Hach 2024, PMID 39379664.</w:t>
      </w:r>
    </w:p>
  </w:footnote>
  <w:footnote w:id="53">
    <w:p>
      <w:pPr>
        <w:pStyle w:val="FootnoteText"/>
      </w:pPr>
      <w:r>
        <w:rPr>
          <w:rStyle w:val="FootnoteReference"/>
        </w:rPr>
        <w:footnoteRef/>
      </w:r>
      <w:r>
        <w:t xml:space="preserve"> </w:t>
      </w:r>
      <w:r>
        <w:t xml:space="preserve">Muttenthaler 2021, PMID 33536635.</w:t>
      </w:r>
    </w:p>
  </w:footnote>
  <w:footnote w:id="54">
    <w:p>
      <w:pPr>
        <w:pStyle w:val="FootnoteText"/>
      </w:pPr>
      <w:r>
        <w:rPr>
          <w:rStyle w:val="FootnoteReference"/>
        </w:rPr>
        <w:footnoteRef/>
      </w:r>
      <w:r>
        <w:t xml:space="preserve"> </w:t>
      </w:r>
      <w:r>
        <w:t xml:space="preserve">Lau 2018, PMID 28720325.</w:t>
      </w:r>
    </w:p>
  </w:footnote>
  <w:footnote w:id="56">
    <w:p>
      <w:pPr>
        <w:pStyle w:val="FootnoteText"/>
      </w:pPr>
      <w:r>
        <w:rPr>
          <w:rStyle w:val="FootnoteReference"/>
        </w:rPr>
        <w:footnoteRef/>
      </w:r>
      <w:r>
        <w:t xml:space="preserve"> </w:t>
      </w:r>
      <w:r>
        <w:t xml:space="preserve">Cox 2017, PMID 28035768.</w:t>
      </w:r>
    </w:p>
  </w:footnote>
  <w:footnote w:id="59">
    <w:p>
      <w:pPr>
        <w:pStyle w:val="FootnoteText"/>
      </w:pPr>
      <w:r>
        <w:rPr>
          <w:rStyle w:val="FootnoteReference"/>
        </w:rPr>
        <w:footnoteRef/>
      </w:r>
      <w:r>
        <w:t xml:space="preserve"> </w:t>
      </w:r>
      <w:r>
        <w:t xml:space="preserve">Wilding 2021, PMID 33567185.</w:t>
      </w:r>
    </w:p>
  </w:footnote>
  <w:footnote w:id="60">
    <w:p>
      <w:pPr>
        <w:pStyle w:val="FootnoteText"/>
      </w:pPr>
      <w:r>
        <w:rPr>
          <w:rStyle w:val="FootnoteReference"/>
        </w:rPr>
        <w:footnoteRef/>
      </w:r>
      <w:r>
        <w:t xml:space="preserve"> </w:t>
      </w:r>
      <w:r>
        <w:t xml:space="preserve">Hailu 2026, PMID 42437212.</w:t>
      </w:r>
    </w:p>
  </w:footnote>
  <w:footnote w:id="65">
    <w:p>
      <w:pPr>
        <w:pStyle w:val="FootnoteText"/>
      </w:pPr>
      <w:r>
        <w:rPr>
          <w:rStyle w:val="FootnoteReference"/>
        </w:rPr>
        <w:footnoteRef/>
      </w:r>
      <w:r>
        <w:t xml:space="preserve"> </w:t>
      </w:r>
      <w:r>
        <w:t xml:space="preserve">Banting 1922, PMID 20314060.</w:t>
      </w:r>
    </w:p>
  </w:footnote>
  <w:footnote w:id="66">
    <w:p>
      <w:pPr>
        <w:pStyle w:val="FootnoteText"/>
      </w:pPr>
      <w:r>
        <w:rPr>
          <w:rStyle w:val="FootnoteReference"/>
        </w:rPr>
        <w:footnoteRef/>
      </w:r>
      <w:r>
        <w:t xml:space="preserve"> </w:t>
      </w:r>
      <w:r>
        <w:t xml:space="preserve">Sims 2021, PMID 34267380.</w:t>
      </w:r>
    </w:p>
  </w:footnote>
  <w:footnote w:id="67">
    <w:p>
      <w:pPr>
        <w:pStyle w:val="FootnoteText"/>
      </w:pPr>
      <w:r>
        <w:rPr>
          <w:rStyle w:val="FootnoteReference"/>
        </w:rPr>
        <w:footnoteRef/>
      </w:r>
      <w:r>
        <w:t xml:space="preserve"> </w:t>
      </w:r>
      <w:r>
        <w:t xml:space="preserve">Owens 2022, PMID 34708913.</w:t>
      </w:r>
    </w:p>
  </w:footnote>
  <w:footnote w:id="69">
    <w:p>
      <w:pPr>
        <w:pStyle w:val="FootnoteText"/>
      </w:pPr>
      <w:r>
        <w:rPr>
          <w:rStyle w:val="FootnoteReference"/>
        </w:rPr>
        <w:footnoteRef/>
      </w:r>
      <w:r>
        <w:t xml:space="preserve"> </w:t>
      </w:r>
      <w:r>
        <w:t xml:space="preserve">Sanger 1952, PMID 13018185.</w:t>
      </w:r>
    </w:p>
  </w:footnote>
  <w:footnote w:id="70">
    <w:p>
      <w:pPr>
        <w:pStyle w:val="FootnoteText"/>
      </w:pPr>
      <w:r>
        <w:rPr>
          <w:rStyle w:val="FootnoteReference"/>
        </w:rPr>
        <w:footnoteRef/>
      </w:r>
      <w:r>
        <w:t xml:space="preserve"> </w:t>
      </w:r>
      <w:r>
        <w:t xml:space="preserve">Merrifield 1969, PMID 4307033.</w:t>
      </w:r>
    </w:p>
  </w:footnote>
  <w:footnote w:id="72">
    <w:p>
      <w:pPr>
        <w:pStyle w:val="FootnoteText"/>
      </w:pPr>
      <w:r>
        <w:rPr>
          <w:rStyle w:val="FootnoteReference"/>
        </w:rPr>
        <w:footnoteRef/>
      </w:r>
      <w:r>
        <w:t xml:space="preserve"> </w:t>
      </w:r>
      <w:r>
        <w:t xml:space="preserve">Yalow 1960, PMID 13846364.</w:t>
      </w:r>
    </w:p>
  </w:footnote>
  <w:footnote w:id="74">
    <w:p>
      <w:pPr>
        <w:pStyle w:val="FootnoteText"/>
      </w:pPr>
      <w:r>
        <w:rPr>
          <w:rStyle w:val="FootnoteReference"/>
        </w:rPr>
        <w:footnoteRef/>
      </w:r>
      <w:r>
        <w:t xml:space="preserve"> </w:t>
      </w:r>
      <w:r>
        <w:t xml:space="preserve">Ranke 2018, PMID 29546874.</w:t>
      </w:r>
    </w:p>
  </w:footnote>
  <w:footnote w:id="75">
    <w:p>
      <w:pPr>
        <w:pStyle w:val="FootnoteText"/>
      </w:pPr>
      <w:r>
        <w:rPr>
          <w:rStyle w:val="FootnoteReference"/>
        </w:rPr>
        <w:footnoteRef/>
      </w:r>
      <w:r>
        <w:t xml:space="preserve"> </w:t>
      </w:r>
      <w:r>
        <w:t xml:space="preserve">The 1989, PMID 2690608.</w:t>
      </w:r>
    </w:p>
  </w:footnote>
  <w:footnote w:id="76">
    <w:p>
      <w:pPr>
        <w:pStyle w:val="FootnoteText"/>
      </w:pPr>
      <w:r>
        <w:rPr>
          <w:rStyle w:val="FootnoteReference"/>
        </w:rPr>
        <w:footnoteRef/>
      </w:r>
      <w:r>
        <w:t xml:space="preserve"> </w:t>
      </w:r>
      <w:r>
        <w:t xml:space="preserve">Neer 2001, PMID 11346808.</w:t>
      </w:r>
    </w:p>
  </w:footnote>
  <w:footnote w:id="78">
    <w:p>
      <w:pPr>
        <w:pStyle w:val="FootnoteText"/>
      </w:pPr>
      <w:r>
        <w:rPr>
          <w:rStyle w:val="FootnoteReference"/>
        </w:rPr>
        <w:footnoteRef/>
      </w:r>
      <w:r>
        <w:t xml:space="preserve"> </w:t>
      </w:r>
      <w:r>
        <w:t xml:space="preserve">Kreymann 1987, PMID 2890903.</w:t>
      </w:r>
    </w:p>
  </w:footnote>
  <w:footnote w:id="79">
    <w:p>
      <w:pPr>
        <w:pStyle w:val="FootnoteText"/>
      </w:pPr>
      <w:r>
        <w:rPr>
          <w:rStyle w:val="FootnoteReference"/>
        </w:rPr>
        <w:footnoteRef/>
      </w:r>
      <w:r>
        <w:t xml:space="preserve"> </w:t>
      </w:r>
      <w:r>
        <w:t xml:space="preserve">Deacon 1995, PMID 7883856.</w:t>
      </w:r>
    </w:p>
  </w:footnote>
  <w:footnote w:id="81">
    <w:p>
      <w:pPr>
        <w:pStyle w:val="FootnoteText"/>
      </w:pPr>
      <w:r>
        <w:rPr>
          <w:rStyle w:val="FootnoteReference"/>
        </w:rPr>
        <w:footnoteRef/>
      </w:r>
      <w:r>
        <w:t xml:space="preserve"> </w:t>
      </w:r>
      <w:r>
        <w:t xml:space="preserve">Eng 1992, PMID 1313797.</w:t>
      </w:r>
    </w:p>
  </w:footnote>
  <w:footnote w:id="82">
    <w:p>
      <w:pPr>
        <w:pStyle w:val="FootnoteText"/>
      </w:pPr>
      <w:r>
        <w:rPr>
          <w:rStyle w:val="FootnoteReference"/>
        </w:rPr>
        <w:footnoteRef/>
      </w:r>
      <w:r>
        <w:t xml:space="preserve"> </w:t>
      </w:r>
      <w:r>
        <w:t xml:space="preserve">DeFronzo 2005, PMID 15855572.</w:t>
      </w:r>
    </w:p>
  </w:footnote>
  <w:footnote w:id="84">
    <w:p>
      <w:pPr>
        <w:pStyle w:val="FootnoteText"/>
      </w:pPr>
      <w:r>
        <w:rPr>
          <w:rStyle w:val="FootnoteReference"/>
        </w:rPr>
        <w:footnoteRef/>
      </w:r>
      <w:r>
        <w:t xml:space="preserve"> </w:t>
      </w:r>
      <w:r>
        <w:t xml:space="preserve">Knudsen 2019, PMID 31031702.</w:t>
      </w:r>
    </w:p>
  </w:footnote>
  <w:footnote w:id="85">
    <w:p>
      <w:pPr>
        <w:pStyle w:val="FootnoteText"/>
      </w:pPr>
      <w:r>
        <w:rPr>
          <w:rStyle w:val="FootnoteReference"/>
        </w:rPr>
        <w:footnoteRef/>
      </w:r>
      <w:r>
        <w:t xml:space="preserve"> </w:t>
      </w:r>
      <w:r>
        <w:t xml:space="preserve">Pi-Sunyer 2015, PMID 26132939.</w:t>
      </w:r>
    </w:p>
  </w:footnote>
  <w:footnote w:id="86">
    <w:p>
      <w:pPr>
        <w:pStyle w:val="FootnoteText"/>
      </w:pPr>
      <w:r>
        <w:rPr>
          <w:rStyle w:val="FootnoteReference"/>
        </w:rPr>
        <w:footnoteRef/>
      </w:r>
      <w:r>
        <w:t xml:space="preserve"> </w:t>
      </w:r>
      <w:r>
        <w:t xml:space="preserve">Lau 2015, PMID 26308095.</w:t>
      </w:r>
    </w:p>
  </w:footnote>
  <w:footnote w:id="87">
    <w:p>
      <w:pPr>
        <w:pStyle w:val="FootnoteText"/>
      </w:pPr>
      <w:r>
        <w:rPr>
          <w:rStyle w:val="FootnoteReference"/>
        </w:rPr>
        <w:footnoteRef/>
      </w:r>
      <w:r>
        <w:t xml:space="preserve"> </w:t>
      </w:r>
      <w:r>
        <w:t xml:space="preserve">Wilding 2021, PMID 33567185.</w:t>
      </w:r>
    </w:p>
  </w:footnote>
  <w:footnote w:id="89">
    <w:p>
      <w:pPr>
        <w:pStyle w:val="FootnoteText"/>
      </w:pPr>
      <w:r>
        <w:rPr>
          <w:rStyle w:val="FootnoteReference"/>
        </w:rPr>
        <w:footnoteRef/>
      </w:r>
      <w:r>
        <w:t xml:space="preserve"> </w:t>
      </w:r>
      <w:r>
        <w:t xml:space="preserve">Marso 2016, PMID 27295427.</w:t>
      </w:r>
    </w:p>
  </w:footnote>
  <w:footnote w:id="90">
    <w:p>
      <w:pPr>
        <w:pStyle w:val="FootnoteText"/>
      </w:pPr>
      <w:r>
        <w:rPr>
          <w:rStyle w:val="FootnoteReference"/>
        </w:rPr>
        <w:footnoteRef/>
      </w:r>
      <w:r>
        <w:t xml:space="preserve"> </w:t>
      </w:r>
      <w:r>
        <w:t xml:space="preserve">Marso 2016, PMID 27633186.</w:t>
      </w:r>
    </w:p>
  </w:footnote>
  <w:footnote w:id="91">
    <w:p>
      <w:pPr>
        <w:pStyle w:val="FootnoteText"/>
      </w:pPr>
      <w:r>
        <w:rPr>
          <w:rStyle w:val="FootnoteReference"/>
        </w:rPr>
        <w:footnoteRef/>
      </w:r>
      <w:r>
        <w:t xml:space="preserve"> </w:t>
      </w:r>
      <w:r>
        <w:t xml:space="preserve">Lincoff 2023, PMID 37952131.</w:t>
      </w:r>
    </w:p>
  </w:footnote>
  <w:footnote w:id="93">
    <w:p>
      <w:pPr>
        <w:pStyle w:val="FootnoteText"/>
      </w:pPr>
      <w:r>
        <w:rPr>
          <w:rStyle w:val="FootnoteReference"/>
        </w:rPr>
        <w:footnoteRef/>
      </w:r>
      <w:r>
        <w:t xml:space="preserve"> </w:t>
      </w:r>
      <w:r>
        <w:t xml:space="preserve">Aroda 2019, PMID 31186300.</w:t>
      </w:r>
    </w:p>
  </w:footnote>
  <w:footnote w:id="94">
    <w:p>
      <w:pPr>
        <w:pStyle w:val="FootnoteText"/>
      </w:pPr>
      <w:r>
        <w:rPr>
          <w:rStyle w:val="FootnoteReference"/>
        </w:rPr>
        <w:footnoteRef/>
      </w:r>
      <w:r>
        <w:t xml:space="preserve"> </w:t>
      </w:r>
      <w:r>
        <w:t xml:space="preserve">Jastreboff 2022, PMID 35658024.</w:t>
      </w:r>
    </w:p>
  </w:footnote>
  <w:footnote w:id="95">
    <w:p>
      <w:pPr>
        <w:pStyle w:val="FootnoteText"/>
      </w:pPr>
      <w:r>
        <w:rPr>
          <w:rStyle w:val="FootnoteReference"/>
        </w:rPr>
        <w:footnoteRef/>
      </w:r>
      <w:r>
        <w:t xml:space="preserve"> </w:t>
      </w:r>
      <w:r>
        <w:t xml:space="preserve">Kreymann 1987, PMID 2890903.</w:t>
      </w:r>
    </w:p>
  </w:footnote>
  <w:footnote w:id="101">
    <w:p>
      <w:pPr>
        <w:pStyle w:val="FootnoteText"/>
      </w:pPr>
      <w:r>
        <w:rPr>
          <w:rStyle w:val="FootnoteReference"/>
        </w:rPr>
        <w:footnoteRef/>
      </w:r>
      <w:r>
        <w:t xml:space="preserve"> </w:t>
      </w:r>
      <w:r>
        <w:t xml:space="preserve">Drucker 2020, PMID 31848464.</w:t>
      </w:r>
    </w:p>
  </w:footnote>
  <w:footnote w:id="103">
    <w:p>
      <w:pPr>
        <w:pStyle w:val="FootnoteText"/>
      </w:pPr>
      <w:r>
        <w:rPr>
          <w:rStyle w:val="FootnoteReference"/>
        </w:rPr>
        <w:footnoteRef/>
      </w:r>
      <w:r>
        <w:t xml:space="preserve"> </w:t>
      </w:r>
      <w:r>
        <w:t xml:space="preserve">Knudsen 2019, PMID 31031702.</w:t>
      </w:r>
    </w:p>
  </w:footnote>
  <w:footnote w:id="104">
    <w:p>
      <w:pPr>
        <w:pStyle w:val="FootnoteText"/>
      </w:pPr>
      <w:r>
        <w:rPr>
          <w:rStyle w:val="FootnoteReference"/>
        </w:rPr>
        <w:footnoteRef/>
      </w:r>
      <w:r>
        <w:t xml:space="preserve"> </w:t>
      </w:r>
      <w:r>
        <w:t xml:space="preserve">Marso 2016, PMID 27633186.</w:t>
      </w:r>
    </w:p>
  </w:footnote>
  <w:footnote w:id="105">
    <w:p>
      <w:pPr>
        <w:pStyle w:val="FootnoteText"/>
      </w:pPr>
      <w:r>
        <w:rPr>
          <w:rStyle w:val="FootnoteReference"/>
        </w:rPr>
        <w:footnoteRef/>
      </w:r>
      <w:r>
        <w:t xml:space="preserve"> </w:t>
      </w:r>
      <w:r>
        <w:t xml:space="preserve">Lambson 2023, PMID 37392810.</w:t>
      </w:r>
    </w:p>
  </w:footnote>
  <w:footnote w:id="107">
    <w:p>
      <w:pPr>
        <w:pStyle w:val="FootnoteText"/>
      </w:pPr>
      <w:r>
        <w:rPr>
          <w:rStyle w:val="FootnoteReference"/>
        </w:rPr>
        <w:footnoteRef/>
      </w:r>
      <w:r>
        <w:t xml:space="preserve"> </w:t>
      </w:r>
      <w:r>
        <w:t xml:space="preserve">Drucker 2020, PMID 31848464.</w:t>
      </w:r>
    </w:p>
  </w:footnote>
  <w:footnote w:id="109">
    <w:p>
      <w:pPr>
        <w:pStyle w:val="FootnoteText"/>
      </w:pPr>
      <w:r>
        <w:rPr>
          <w:rStyle w:val="FootnoteReference"/>
        </w:rPr>
        <w:footnoteRef/>
      </w:r>
      <w:r>
        <w:t xml:space="preserve"> </w:t>
      </w:r>
      <w:r>
        <w:t xml:space="preserve">Buckley 2018, PMID 30429357.</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Vahora 2026, PMID 42687069.</w:t>
      </w:r>
    </w:p>
  </w:footnote>
  <w:footnote w:id="112">
    <w:p>
      <w:pPr>
        <w:pStyle w:val="FootnoteText"/>
      </w:pPr>
      <w:r>
        <w:rPr>
          <w:rStyle w:val="FootnoteReference"/>
        </w:rPr>
        <w:footnoteRef/>
      </w:r>
      <w:r>
        <w:t xml:space="preserve"> </w:t>
      </w:r>
      <w:r>
        <w:t xml:space="preserve">Marso 2016, PMID 27633186.</w:t>
      </w:r>
    </w:p>
  </w:footnote>
  <w:footnote w:id="113">
    <w:p>
      <w:pPr>
        <w:pStyle w:val="FootnoteText"/>
      </w:pPr>
      <w:r>
        <w:rPr>
          <w:rStyle w:val="FootnoteReference"/>
        </w:rPr>
        <w:footnoteRef/>
      </w:r>
      <w:r>
        <w:t xml:space="preserve"> </w:t>
      </w:r>
      <w:r>
        <w:t xml:space="preserve">Aroda 2019, PMID 31186300.</w:t>
      </w:r>
    </w:p>
  </w:footnote>
  <w:footnote w:id="114">
    <w:p>
      <w:pPr>
        <w:pStyle w:val="FootnoteText"/>
      </w:pPr>
      <w:r>
        <w:rPr>
          <w:rStyle w:val="FootnoteReference"/>
        </w:rPr>
        <w:footnoteRef/>
      </w:r>
      <w:r>
        <w:t xml:space="preserve"> </w:t>
      </w:r>
      <w:r>
        <w:t xml:space="preserve">Vahora 2026, PMID 42687069.</w:t>
      </w:r>
    </w:p>
  </w:footnote>
  <w:footnote w:id="115">
    <w:p>
      <w:pPr>
        <w:pStyle w:val="FootnoteText"/>
      </w:pPr>
      <w:r>
        <w:rPr>
          <w:rStyle w:val="FootnoteReference"/>
        </w:rPr>
        <w:footnoteRef/>
      </w:r>
      <w:r>
        <w:t xml:space="preserve"> </w:t>
      </w:r>
      <w:r>
        <w:t xml:space="preserve">Aroda 2019, PMID 31186300.</w:t>
      </w:r>
    </w:p>
  </w:footnote>
  <w:footnote w:id="116">
    <w:p>
      <w:pPr>
        <w:pStyle w:val="FootnoteText"/>
      </w:pPr>
      <w:r>
        <w:rPr>
          <w:rStyle w:val="FootnoteReference"/>
        </w:rPr>
        <w:footnoteRef/>
      </w:r>
      <w:r>
        <w:t xml:space="preserve"> </w:t>
      </w:r>
      <w:r>
        <w:t xml:space="preserve">Knop 2023, PMID 37385278.</w:t>
      </w:r>
    </w:p>
  </w:footnote>
  <w:footnote w:id="117">
    <w:p>
      <w:pPr>
        <w:pStyle w:val="FootnoteText"/>
      </w:pPr>
      <w:r>
        <w:rPr>
          <w:rStyle w:val="FootnoteReference"/>
        </w:rPr>
        <w:footnoteRef/>
      </w:r>
      <w:r>
        <w:t xml:space="preserve"> </w:t>
      </w:r>
      <w:r>
        <w:t xml:space="preserve">Hach 2024, PMID 39379664.</w:t>
      </w:r>
    </w:p>
  </w:footnote>
  <w:footnote w:id="119">
    <w:p>
      <w:pPr>
        <w:pStyle w:val="FootnoteText"/>
      </w:pPr>
      <w:r>
        <w:rPr>
          <w:rStyle w:val="FootnoteReference"/>
        </w:rPr>
        <w:footnoteRef/>
      </w:r>
      <w:r>
        <w:t xml:space="preserve"> </w:t>
      </w:r>
      <w:r>
        <w:t xml:space="preserve">Sugihara 2012, PMID 22040651.</w:t>
      </w:r>
    </w:p>
  </w:footnote>
  <w:footnote w:id="121">
    <w:p>
      <w:pPr>
        <w:pStyle w:val="FootnoteText"/>
      </w:pPr>
      <w:r>
        <w:rPr>
          <w:rStyle w:val="FootnoteReference"/>
        </w:rPr>
        <w:footnoteRef/>
      </w:r>
      <w:r>
        <w:t xml:space="preserve"> </w:t>
      </w:r>
      <w:r>
        <w:t xml:space="preserve">Belcourt 2026, PMID 41689811.</w:t>
      </w:r>
    </w:p>
  </w:footnote>
  <w:footnote w:id="123">
    <w:p>
      <w:pPr>
        <w:pStyle w:val="FootnoteText"/>
      </w:pPr>
      <w:r>
        <w:rPr>
          <w:rStyle w:val="FootnoteReference"/>
        </w:rPr>
        <w:footnoteRef/>
      </w:r>
      <w:r>
        <w:t xml:space="preserve"> </w:t>
      </w:r>
      <w:r>
        <w:t xml:space="preserve">Leng 2016, PMID 26049207.</w:t>
      </w:r>
    </w:p>
  </w:footnote>
  <w:footnote w:id="125">
    <w:p>
      <w:pPr>
        <w:pStyle w:val="FootnoteText"/>
      </w:pPr>
      <w:r>
        <w:rPr>
          <w:rStyle w:val="FootnoteReference"/>
        </w:rPr>
        <w:footnoteRef/>
      </w:r>
      <w:r>
        <w:t xml:space="preserve"> </w:t>
      </w:r>
      <w:r>
        <w:t xml:space="preserve">Heinemann 2008, PMID 19885220.</w:t>
      </w:r>
    </w:p>
  </w:footnote>
  <w:footnote w:id="127">
    <w:p>
      <w:pPr>
        <w:pStyle w:val="FootnoteText"/>
      </w:pPr>
      <w:r>
        <w:rPr>
          <w:rStyle w:val="FootnoteReference"/>
        </w:rPr>
        <w:footnoteRef/>
      </w:r>
      <w:r>
        <w:t xml:space="preserve"> </w:t>
      </w:r>
      <w:r>
        <w:t xml:space="preserve">Bos 2000, PMID 10839713.</w:t>
      </w:r>
    </w:p>
  </w:footnote>
  <w:footnote w:id="129">
    <w:p>
      <w:pPr>
        <w:pStyle w:val="FootnoteText"/>
      </w:pPr>
      <w:r>
        <w:rPr>
          <w:rStyle w:val="FootnoteReference"/>
        </w:rPr>
        <w:footnoteRef/>
      </w:r>
      <w:r>
        <w:t xml:space="preserve"> </w:t>
      </w:r>
      <w:r>
        <w:t xml:space="preserve">Hach 2024, PMID 39379664.</w:t>
      </w:r>
    </w:p>
  </w:footnote>
  <w:footnote w:id="131">
    <w:p>
      <w:pPr>
        <w:pStyle w:val="FootnoteText"/>
      </w:pPr>
      <w:r>
        <w:rPr>
          <w:rStyle w:val="FootnoteReference"/>
        </w:rPr>
        <w:footnoteRef/>
      </w:r>
      <w:r>
        <w:t xml:space="preserve"> </w:t>
      </w:r>
      <w:r>
        <w:t xml:space="preserve">Hach 2024, PMID 39379664.</w:t>
      </w:r>
    </w:p>
  </w:footnote>
  <w:footnote w:id="138">
    <w:p>
      <w:pPr>
        <w:pStyle w:val="FootnoteText"/>
      </w:pPr>
      <w:r>
        <w:rPr>
          <w:rStyle w:val="FootnoteReference"/>
        </w:rPr>
        <w:footnoteRef/>
      </w:r>
      <w:r>
        <w:t xml:space="preserve"> </w:t>
      </w:r>
      <w:r>
        <w:t xml:space="preserve">Perel 2007, PMID 17175568.</w:t>
      </w:r>
    </w:p>
  </w:footnote>
  <w:footnote w:id="142">
    <w:p>
      <w:pPr>
        <w:pStyle w:val="FootnoteText"/>
      </w:pPr>
      <w:r>
        <w:rPr>
          <w:rStyle w:val="FootnoteReference"/>
        </w:rPr>
        <w:footnoteRef/>
      </w:r>
      <w:r>
        <w:t xml:space="preserve"> </w:t>
      </w:r>
      <w:r>
        <w:t xml:space="preserve">Wilding 2021, PMID 33567185.</w:t>
      </w:r>
    </w:p>
  </w:footnote>
  <w:footnote w:id="143">
    <w:p>
      <w:pPr>
        <w:pStyle w:val="FootnoteText"/>
      </w:pPr>
      <w:r>
        <w:rPr>
          <w:rStyle w:val="FootnoteReference"/>
        </w:rPr>
        <w:footnoteRef/>
      </w:r>
      <w:r>
        <w:t xml:space="preserve"> </w:t>
      </w:r>
      <w:r>
        <w:t xml:space="preserve">Mendias 2026, PMID 41966639.</w:t>
      </w:r>
    </w:p>
  </w:footnote>
  <w:footnote w:id="146">
    <w:p>
      <w:pPr>
        <w:pStyle w:val="FootnoteText"/>
      </w:pPr>
      <w:r>
        <w:rPr>
          <w:rStyle w:val="FootnoteReference"/>
        </w:rPr>
        <w:footnoteRef/>
      </w:r>
      <w:r>
        <w:t xml:space="preserve"> </w:t>
      </w:r>
      <w:r>
        <w:t xml:space="preserve">Echt 1991, PMID 1900101.</w:t>
      </w:r>
    </w:p>
  </w:footnote>
  <w:footnote w:id="148">
    <w:p>
      <w:pPr>
        <w:pStyle w:val="FootnoteText"/>
      </w:pPr>
      <w:r>
        <w:rPr>
          <w:rStyle w:val="FootnoteReference"/>
        </w:rPr>
        <w:footnoteRef/>
      </w:r>
      <w:r>
        <w:t xml:space="preserve"> </w:t>
      </w:r>
      <w:r>
        <w:t xml:space="preserve">Lincoff 2023, PMID 37952131.</w:t>
      </w:r>
    </w:p>
  </w:footnote>
  <w:footnote w:id="149">
    <w:p>
      <w:pPr>
        <w:pStyle w:val="FootnoteText"/>
      </w:pPr>
      <w:r>
        <w:rPr>
          <w:rStyle w:val="FootnoteReference"/>
        </w:rPr>
        <w:footnoteRef/>
      </w:r>
      <w:r>
        <w:t xml:space="preserve"> </w:t>
      </w:r>
      <w:r>
        <w:t xml:space="preserve">Lincoff 2023, PMID 37952131.</w:t>
      </w:r>
    </w:p>
  </w:footnote>
  <w:footnote w:id="151">
    <w:p>
      <w:pPr>
        <w:pStyle w:val="FootnoteText"/>
      </w:pPr>
      <w:r>
        <w:rPr>
          <w:rStyle w:val="FootnoteReference"/>
        </w:rPr>
        <w:footnoteRef/>
      </w:r>
      <w:r>
        <w:t xml:space="preserve"> </w:t>
      </w:r>
      <w:r>
        <w:t xml:space="preserve">Wilding 2021, PMID 33567185.</w:t>
      </w:r>
    </w:p>
  </w:footnote>
  <w:footnote w:id="153">
    <w:p>
      <w:pPr>
        <w:pStyle w:val="FootnoteText"/>
      </w:pPr>
      <w:r>
        <w:rPr>
          <w:rStyle w:val="FootnoteReference"/>
        </w:rPr>
        <w:footnoteRef/>
      </w:r>
      <w:r>
        <w:t xml:space="preserve"> </w:t>
      </w:r>
      <w:r>
        <w:t xml:space="preserve">Aroda 2019, PMID 31186300.</w:t>
      </w:r>
    </w:p>
  </w:footnote>
  <w:footnote w:id="155">
    <w:p>
      <w:pPr>
        <w:pStyle w:val="FootnoteText"/>
      </w:pPr>
      <w:r>
        <w:rPr>
          <w:rStyle w:val="FootnoteReference"/>
        </w:rPr>
        <w:footnoteRef/>
      </w:r>
      <w:r>
        <w:t xml:space="preserve"> </w:t>
      </w:r>
      <w:r>
        <w:t xml:space="preserve">Ioannidis 2005, PMID 16060722.</w:t>
      </w:r>
    </w:p>
  </w:footnote>
  <w:footnote w:id="157">
    <w:p>
      <w:pPr>
        <w:pStyle w:val="FootnoteText"/>
      </w:pPr>
      <w:r>
        <w:rPr>
          <w:rStyle w:val="FootnoteReference"/>
        </w:rPr>
        <w:footnoteRef/>
      </w:r>
      <w:r>
        <w:t xml:space="preserve"> </w:t>
      </w:r>
      <w:r>
        <w:t xml:space="preserve">Lundh 2017, PMID 28207928.</w:t>
      </w:r>
    </w:p>
  </w:footnote>
  <w:footnote w:id="159">
    <w:p>
      <w:pPr>
        <w:pStyle w:val="FootnoteText"/>
      </w:pPr>
      <w:r>
        <w:rPr>
          <w:rStyle w:val="FootnoteReference"/>
        </w:rPr>
        <w:footnoteRef/>
      </w:r>
      <w:r>
        <w:t xml:space="preserve"> </w:t>
      </w:r>
      <w:r>
        <w:t xml:space="preserve">Turner 2008, PMID 18199864.</w:t>
      </w:r>
    </w:p>
  </w:footnote>
  <w:footnote w:id="161">
    <w:p>
      <w:pPr>
        <w:pStyle w:val="FootnoteText"/>
      </w:pPr>
      <w:r>
        <w:rPr>
          <w:rStyle w:val="FootnoteReference"/>
        </w:rPr>
        <w:footnoteRef/>
      </w:r>
      <w:r>
        <w:t xml:space="preserve"> </w:t>
      </w:r>
      <w:r>
        <w:t xml:space="preserve">DeAngelis 2004, PMID 15355936.</w:t>
      </w:r>
    </w:p>
  </w:footnote>
  <w:footnote w:id="168">
    <w:p>
      <w:pPr>
        <w:pStyle w:val="FootnoteText"/>
      </w:pPr>
      <w:r>
        <w:rPr>
          <w:rStyle w:val="FootnoteReference"/>
        </w:rPr>
        <w:footnoteRef/>
      </w:r>
      <w:r>
        <w:t xml:space="preserve"> </w:t>
      </w:r>
      <w:r>
        <w:t xml:space="preserve">Belcourt 2025, PMID 39285774.</w:t>
      </w:r>
    </w:p>
  </w:footnote>
  <w:footnote w:id="169">
    <w:p>
      <w:pPr>
        <w:pStyle w:val="FootnoteText"/>
      </w:pPr>
      <w:r>
        <w:rPr>
          <w:rStyle w:val="FootnoteReference"/>
        </w:rPr>
        <w:footnoteRef/>
      </w:r>
      <w:r>
        <w:t xml:space="preserve"> </w:t>
      </w:r>
      <w:r>
        <w:t xml:space="preserve">Sedensky 2026, PMID 42541373.</w:t>
      </w:r>
    </w:p>
  </w:footnote>
  <w:footnote w:id="171">
    <w:p>
      <w:pPr>
        <w:pStyle w:val="FootnoteText"/>
      </w:pPr>
      <w:r>
        <w:rPr>
          <w:rStyle w:val="FootnoteReference"/>
        </w:rPr>
        <w:footnoteRef/>
      </w:r>
      <w:r>
        <w:t xml:space="preserve"> </w:t>
      </w:r>
      <w:r>
        <w:t xml:space="preserve">Ashraf 2024, PMID 39509151.</w:t>
      </w:r>
    </w:p>
  </w:footnote>
  <w:footnote w:id="173">
    <w:p>
      <w:pPr>
        <w:pStyle w:val="FootnoteText"/>
      </w:pPr>
      <w:r>
        <w:rPr>
          <w:rStyle w:val="FootnoteReference"/>
        </w:rPr>
        <w:footnoteRef/>
      </w:r>
      <w:r>
        <w:t xml:space="preserve"> </w:t>
      </w:r>
      <w:r>
        <w:t xml:space="preserve">Hach 2024, PMID 39379664.</w:t>
      </w:r>
    </w:p>
  </w:footnote>
  <w:footnote w:id="175">
    <w:p>
      <w:pPr>
        <w:pStyle w:val="FootnoteText"/>
      </w:pPr>
      <w:r>
        <w:rPr>
          <w:rStyle w:val="FootnoteReference"/>
        </w:rPr>
        <w:footnoteRef/>
      </w:r>
      <w:r>
        <w:t xml:space="preserve"> </w:t>
      </w:r>
      <w:r>
        <w:t xml:space="preserve">Breindahl 2015, PMID 24771717.</w:t>
      </w:r>
    </w:p>
  </w:footnote>
  <w:footnote w:id="177">
    <w:p>
      <w:pPr>
        <w:pStyle w:val="FootnoteText"/>
      </w:pPr>
      <w:r>
        <w:rPr>
          <w:rStyle w:val="FootnoteReference"/>
        </w:rPr>
        <w:footnoteRef/>
      </w:r>
      <w:r>
        <w:t xml:space="preserve"> </w:t>
      </w:r>
      <w:r>
        <w:t xml:space="preserve">Kohler 2010, PMID 21204286.</w:t>
      </w:r>
    </w:p>
  </w:footnote>
  <w:footnote w:id="178">
    <w:p>
      <w:pPr>
        <w:pStyle w:val="FootnoteText"/>
      </w:pPr>
      <w:r>
        <w:rPr>
          <w:rStyle w:val="FootnoteReference"/>
        </w:rPr>
        <w:footnoteRef/>
      </w:r>
      <w:r>
        <w:t xml:space="preserve"> </w:t>
      </w:r>
      <w:r>
        <w:t xml:space="preserve">Thomas 2010, PMID 20878896.</w:t>
      </w:r>
    </w:p>
  </w:footnote>
  <w:footnote w:id="179">
    <w:p>
      <w:pPr>
        <w:pStyle w:val="FootnoteText"/>
      </w:pPr>
      <w:r>
        <w:rPr>
          <w:rStyle w:val="FootnoteReference"/>
        </w:rPr>
        <w:footnoteRef/>
      </w:r>
      <w:r>
        <w:t xml:space="preserve"> </w:t>
      </w:r>
      <w:r>
        <w:t xml:space="preserve">Krug 2014, PMID 25168622.</w:t>
      </w:r>
    </w:p>
  </w:footnote>
  <w:footnote w:id="180">
    <w:p>
      <w:pPr>
        <w:pStyle w:val="FootnoteText"/>
      </w:pPr>
      <w:r>
        <w:rPr>
          <w:rStyle w:val="FootnoteReference"/>
        </w:rPr>
        <w:footnoteRef/>
      </w:r>
      <w:r>
        <w:t xml:space="preserve"> </w:t>
      </w:r>
      <w:r>
        <w:t xml:space="preserve">Hullstein 2015, PMID 26607218.</w:t>
      </w:r>
    </w:p>
  </w:footnote>
  <w:footnote w:id="181">
    <w:p>
      <w:pPr>
        <w:pStyle w:val="FootnoteText"/>
      </w:pPr>
      <w:r>
        <w:rPr>
          <w:rStyle w:val="FootnoteReference"/>
        </w:rPr>
        <w:footnoteRef/>
      </w:r>
      <w:r>
        <w:t xml:space="preserve"> </w:t>
      </w:r>
      <w:r>
        <w:t xml:space="preserve">Krug 2018, PMID 29864719.</w:t>
      </w:r>
    </w:p>
  </w:footnote>
  <w:footnote w:id="182">
    <w:p>
      <w:pPr>
        <w:pStyle w:val="FootnoteText"/>
      </w:pPr>
      <w:r>
        <w:rPr>
          <w:rStyle w:val="FootnoteReference"/>
        </w:rPr>
        <w:footnoteRef/>
      </w:r>
      <w:r>
        <w:t xml:space="preserve"> </w:t>
      </w:r>
      <w:r>
        <w:t xml:space="preserve">Cox 2017, PMID 28035768.</w:t>
      </w:r>
    </w:p>
  </w:footnote>
  <w:footnote w:id="183">
    <w:p>
      <w:pPr>
        <w:pStyle w:val="FootnoteText"/>
      </w:pPr>
      <w:r>
        <w:rPr>
          <w:rStyle w:val="FootnoteReference"/>
        </w:rPr>
        <w:footnoteRef/>
      </w:r>
      <w:r>
        <w:t xml:space="preserve"> </w:t>
      </w:r>
      <w:r>
        <w:t xml:space="preserve">Janvier 2018, PMID 30165334.</w:t>
      </w:r>
    </w:p>
  </w:footnote>
  <w:footnote w:id="187">
    <w:p>
      <w:pPr>
        <w:pStyle w:val="FootnoteText"/>
      </w:pPr>
      <w:r>
        <w:rPr>
          <w:rStyle w:val="FootnoteReference"/>
        </w:rPr>
        <w:footnoteRef/>
      </w:r>
      <w:r>
        <w:t xml:space="preserve"> </w:t>
      </w:r>
      <w:r>
        <w:t xml:space="preserve">Ashraf 2024, PMID 39509151.</w:t>
      </w:r>
    </w:p>
  </w:footnote>
  <w:footnote w:id="189">
    <w:p>
      <w:pPr>
        <w:pStyle w:val="FootnoteText"/>
      </w:pPr>
      <w:r>
        <w:rPr>
          <w:rStyle w:val="FootnoteReference"/>
        </w:rPr>
        <w:footnoteRef/>
      </w:r>
      <w:r>
        <w:t xml:space="preserve"> </w:t>
      </w:r>
      <w:r>
        <w:t xml:space="preserve">Ashraf 2024, PMID 39509151.</w:t>
      </w:r>
    </w:p>
  </w:footnote>
  <w:footnote w:id="191">
    <w:p>
      <w:pPr>
        <w:pStyle w:val="FootnoteText"/>
      </w:pPr>
      <w:r>
        <w:rPr>
          <w:rStyle w:val="FootnoteReference"/>
        </w:rPr>
        <w:footnoteRef/>
      </w:r>
      <w:r>
        <w:t xml:space="preserve"> </w:t>
      </w:r>
      <w:r>
        <w:t xml:space="preserve">Lambson 2023, PMID 37392810.</w:t>
      </w:r>
    </w:p>
  </w:footnote>
  <w:footnote w:id="193">
    <w:p>
      <w:pPr>
        <w:pStyle w:val="FootnoteText"/>
      </w:pPr>
      <w:r>
        <w:rPr>
          <w:rStyle w:val="FootnoteReference"/>
        </w:rPr>
        <w:footnoteRef/>
      </w:r>
      <w:r>
        <w:t xml:space="preserve"> </w:t>
      </w:r>
      <w:r>
        <w:t xml:space="preserve">Ruder 2024, PMID 39028647.</w:t>
      </w:r>
    </w:p>
  </w:footnote>
  <w:footnote w:id="194">
    <w:p>
      <w:pPr>
        <w:pStyle w:val="FootnoteText"/>
      </w:pPr>
      <w:r>
        <w:rPr>
          <w:rStyle w:val="FootnoteReference"/>
        </w:rPr>
        <w:footnoteRef/>
      </w:r>
      <w:r>
        <w:t xml:space="preserve"> </w:t>
      </w:r>
      <w:r>
        <w:t xml:space="preserve">Antonacci 2026, PMID 41125326.</w:t>
      </w:r>
    </w:p>
  </w:footnote>
  <w:footnote w:id="195">
    <w:p>
      <w:pPr>
        <w:pStyle w:val="FootnoteText"/>
      </w:pPr>
      <w:r>
        <w:rPr>
          <w:rStyle w:val="FootnoteReference"/>
        </w:rPr>
        <w:footnoteRef/>
      </w:r>
      <w:r>
        <w:t xml:space="preserve"> </w:t>
      </w:r>
      <w:r>
        <w:t xml:space="preserve">Stammers 2026, PMID 42390457.</w:t>
      </w:r>
    </w:p>
  </w:footnote>
  <w:footnote w:id="196">
    <w:p>
      <w:pPr>
        <w:pStyle w:val="FootnoteText"/>
      </w:pPr>
      <w:r>
        <w:rPr>
          <w:rStyle w:val="FootnoteReference"/>
        </w:rPr>
        <w:footnoteRef/>
      </w:r>
      <w:r>
        <w:t xml:space="preserve"> </w:t>
      </w:r>
      <w:r>
        <w:t xml:space="preserve">Zinzi 2026, PMID 42137313.</w:t>
      </w:r>
    </w:p>
  </w:footnote>
  <w:footnote w:id="198">
    <w:p>
      <w:pPr>
        <w:pStyle w:val="FootnoteText"/>
      </w:pPr>
      <w:r>
        <w:rPr>
          <w:rStyle w:val="FootnoteReference"/>
        </w:rPr>
        <w:footnoteRef/>
      </w:r>
      <w:r>
        <w:t xml:space="preserve"> </w:t>
      </w:r>
      <w:r>
        <w:t xml:space="preserve">Rubin 2026, PMID 42853576.</w:t>
      </w:r>
    </w:p>
  </w:footnote>
  <w:footnote w:id="199">
    <w:p>
      <w:pPr>
        <w:pStyle w:val="FootnoteText"/>
      </w:pPr>
      <w:r>
        <w:rPr>
          <w:rStyle w:val="FootnoteReference"/>
        </w:rPr>
        <w:footnoteRef/>
      </w:r>
      <w:r>
        <w:t xml:space="preserve"> </w:t>
      </w:r>
      <w:r>
        <w:t xml:space="preserve">Buzzi 2026, PMID 42843917.</w:t>
      </w:r>
    </w:p>
  </w:footnote>
  <w:footnote w:id="201">
    <w:p>
      <w:pPr>
        <w:pStyle w:val="FootnoteText"/>
      </w:pPr>
      <w:r>
        <w:rPr>
          <w:rStyle w:val="FootnoteReference"/>
        </w:rPr>
        <w:footnoteRef/>
      </w:r>
      <w:r>
        <w:t xml:space="preserve"> </w:t>
      </w:r>
      <w:r>
        <w:t xml:space="preserve">Nelson 2012, PMID 23121206.</w:t>
      </w:r>
    </w:p>
  </w:footnote>
  <w:footnote w:id="202">
    <w:p>
      <w:pPr>
        <w:pStyle w:val="FootnoteText"/>
      </w:pPr>
      <w:r>
        <w:rPr>
          <w:rStyle w:val="FootnoteReference"/>
        </w:rPr>
        <w:footnoteRef/>
      </w:r>
      <w:r>
        <w:t xml:space="preserve"> </w:t>
      </w:r>
      <w:r>
        <w:t xml:space="preserve">Moiz 2026, PMID 42757290.</w:t>
      </w:r>
    </w:p>
  </w:footnote>
  <w:footnote w:id="203">
    <w:p>
      <w:pPr>
        <w:pStyle w:val="FootnoteText"/>
      </w:pPr>
      <w:r>
        <w:rPr>
          <w:rStyle w:val="FootnoteReference"/>
        </w:rPr>
        <w:footnoteRef/>
      </w:r>
      <w:r>
        <w:t xml:space="preserve"> </w:t>
      </w:r>
      <w:r>
        <w:t xml:space="preserve">Mendias 2026, PMID 41966639.</w:t>
      </w:r>
    </w:p>
  </w:footnote>
  <w:footnote w:id="205">
    <w:p>
      <w:pPr>
        <w:pStyle w:val="FootnoteText"/>
      </w:pPr>
      <w:r>
        <w:rPr>
          <w:rStyle w:val="FootnoteReference"/>
        </w:rPr>
        <w:footnoteRef/>
      </w:r>
      <w:r>
        <w:t xml:space="preserve"> </w:t>
      </w:r>
      <w:r>
        <w:t xml:space="preserve">McCall 2026, PMID 40285721.</w:t>
      </w:r>
    </w:p>
  </w:footnote>
  <w:footnote w:id="206">
    <w:p>
      <w:pPr>
        <w:pStyle w:val="FootnoteText"/>
      </w:pPr>
      <w:r>
        <w:rPr>
          <w:rStyle w:val="FootnoteReference"/>
        </w:rPr>
        <w:footnoteRef/>
      </w:r>
      <w:r>
        <w:t xml:space="preserve"> </w:t>
      </w:r>
      <w:r>
        <w:t xml:space="preserve">Belcourt 2026, PMID 41689811.</w:t>
      </w:r>
    </w:p>
  </w:footnote>
  <w:footnote w:id="208">
    <w:p>
      <w:pPr>
        <w:pStyle w:val="FootnoteText"/>
      </w:pPr>
      <w:r>
        <w:rPr>
          <w:rStyle w:val="FootnoteReference"/>
        </w:rPr>
        <w:footnoteRef/>
      </w:r>
      <w:r>
        <w:t xml:space="preserve"> </w:t>
      </w:r>
      <w:r>
        <w:t xml:space="preserve">Hailu 2026, PMID 42437212.</w:t>
      </w:r>
    </w:p>
  </w:footnote>
  <w:footnote w:id="216">
    <w:p>
      <w:pPr>
        <w:pStyle w:val="FootnoteText"/>
      </w:pPr>
      <w:r>
        <w:rPr>
          <w:rStyle w:val="FootnoteReference"/>
        </w:rPr>
        <w:footnoteRef/>
      </w:r>
      <w:r>
        <w:t xml:space="preserve"> </w:t>
      </w:r>
      <w:r>
        <w:t xml:space="preserve">Thomas 2010, PMID 20878896.</w:t>
      </w:r>
    </w:p>
  </w:footnote>
  <w:footnote w:id="222">
    <w:p>
      <w:pPr>
        <w:pStyle w:val="FootnoteText"/>
      </w:pPr>
      <w:r>
        <w:rPr>
          <w:rStyle w:val="FootnoteReference"/>
        </w:rPr>
        <w:footnoteRef/>
      </w:r>
      <w:r>
        <w:t xml:space="preserve"> </w:t>
      </w:r>
      <w:r>
        <w:t xml:space="preserve">Belcourt 2026, PMID 41689811.</w:t>
      </w:r>
    </w:p>
  </w:footnote>
  <w:footnote w:id="223">
    <w:p>
      <w:pPr>
        <w:pStyle w:val="FootnoteText"/>
      </w:pPr>
      <w:r>
        <w:rPr>
          <w:rStyle w:val="FootnoteReference"/>
        </w:rPr>
        <w:footnoteRef/>
      </w:r>
      <w:r>
        <w:t xml:space="preserve"> </w:t>
      </w:r>
      <w:r>
        <w:t xml:space="preserve">Belcourt 2025, PMID 39285774.</w:t>
      </w:r>
    </w:p>
  </w:footnote>
  <w:footnote w:id="225">
    <w:p>
      <w:pPr>
        <w:pStyle w:val="FootnoteText"/>
      </w:pPr>
      <w:r>
        <w:rPr>
          <w:rStyle w:val="FootnoteReference"/>
        </w:rPr>
        <w:footnoteRef/>
      </w:r>
      <w:r>
        <w:t xml:space="preserve"> </w:t>
      </w:r>
      <w:r>
        <w:t xml:space="preserve">Cox 2017, PMID 28035768.</w:t>
      </w:r>
    </w:p>
  </w:footnote>
  <w:footnote w:id="235">
    <w:p>
      <w:pPr>
        <w:pStyle w:val="FootnoteText"/>
      </w:pPr>
      <w:r>
        <w:rPr>
          <w:rStyle w:val="FootnoteReference"/>
        </w:rPr>
        <w:footnoteRef/>
      </w:r>
      <w:r>
        <w:t xml:space="preserve"> </w:t>
      </w:r>
      <w:r>
        <w:t xml:space="preserve">Eng 1992, PMID 1313797.</w:t>
      </w:r>
    </w:p>
  </w:footnote>
  <w:footnote w:id="238">
    <w:p>
      <w:pPr>
        <w:pStyle w:val="FootnoteText"/>
      </w:pPr>
      <w:r>
        <w:rPr>
          <w:rStyle w:val="FootnoteReference"/>
        </w:rPr>
        <w:footnoteRef/>
      </w:r>
      <w:r>
        <w:t xml:space="preserve"> </w:t>
      </w:r>
      <w:r>
        <w:t xml:space="preserve">Heine 2005, PMID 16230722.</w:t>
      </w:r>
    </w:p>
  </w:footnote>
  <w:footnote w:id="240">
    <w:p>
      <w:pPr>
        <w:pStyle w:val="FootnoteText"/>
      </w:pPr>
      <w:r>
        <w:rPr>
          <w:rStyle w:val="FootnoteReference"/>
        </w:rPr>
        <w:footnoteRef/>
      </w:r>
      <w:r>
        <w:t xml:space="preserve"> </w:t>
      </w:r>
      <w:r>
        <w:t xml:space="preserve">Wysham 2015, PMID 25744115.</w:t>
      </w:r>
    </w:p>
  </w:footnote>
  <w:footnote w:id="241">
    <w:p>
      <w:pPr>
        <w:pStyle w:val="FootnoteText"/>
      </w:pPr>
      <w:r>
        <w:rPr>
          <w:rStyle w:val="FootnoteReference"/>
        </w:rPr>
        <w:footnoteRef/>
      </w:r>
      <w:r>
        <w:t xml:space="preserve"> </w:t>
      </w:r>
      <w:r>
        <w:t xml:space="preserve">Bergenstal 2010, PMID 20580422.</w:t>
      </w:r>
    </w:p>
  </w:footnote>
  <w:footnote w:id="242">
    <w:p>
      <w:pPr>
        <w:pStyle w:val="FootnoteText"/>
      </w:pPr>
      <w:r>
        <w:rPr>
          <w:rStyle w:val="FootnoteReference"/>
        </w:rPr>
        <w:footnoteRef/>
      </w:r>
      <w:r>
        <w:t xml:space="preserve"> </w:t>
      </w:r>
      <w:r>
        <w:t xml:space="preserve">Diamant 2010, PMID 20609969.</w:t>
      </w:r>
    </w:p>
  </w:footnote>
  <w:footnote w:id="244">
    <w:p>
      <w:pPr>
        <w:pStyle w:val="FootnoteText"/>
      </w:pPr>
      <w:r>
        <w:rPr>
          <w:rStyle w:val="FootnoteReference"/>
        </w:rPr>
        <w:footnoteRef/>
      </w:r>
      <w:r>
        <w:t xml:space="preserve"> </w:t>
      </w:r>
      <w:r>
        <w:t xml:space="preserve">Buse 2013, PMID 23141817.</w:t>
      </w:r>
    </w:p>
  </w:footnote>
  <w:footnote w:id="245">
    <w:p>
      <w:pPr>
        <w:pStyle w:val="FootnoteText"/>
      </w:pPr>
      <w:r>
        <w:rPr>
          <w:rStyle w:val="FootnoteReference"/>
        </w:rPr>
        <w:footnoteRef/>
      </w:r>
      <w:r>
        <w:t xml:space="preserve"> </w:t>
      </w:r>
      <w:r>
        <w:t xml:space="preserve">Ahmann 2018, PMID 29246950.</w:t>
      </w:r>
    </w:p>
  </w:footnote>
  <w:footnote w:id="247">
    <w:p>
      <w:pPr>
        <w:pStyle w:val="FootnoteText"/>
      </w:pPr>
      <w:r>
        <w:rPr>
          <w:rStyle w:val="FootnoteReference"/>
        </w:rPr>
        <w:footnoteRef/>
      </w:r>
      <w:r>
        <w:t xml:space="preserve"> </w:t>
      </w:r>
      <w:r>
        <w:t xml:space="preserve">Holman 2017, PMID 28910237.</w:t>
      </w:r>
    </w:p>
  </w:footnote>
  <w:footnote w:id="248">
    <w:p>
      <w:pPr>
        <w:pStyle w:val="FootnoteText"/>
      </w:pPr>
      <w:r>
        <w:rPr>
          <w:rStyle w:val="FootnoteReference"/>
        </w:rPr>
        <w:footnoteRef/>
      </w:r>
      <w:r>
        <w:t xml:space="preserve"> </w:t>
      </w:r>
      <w:r>
        <w:t xml:space="preserve">Kristensen 2019, PMID 31422062.</w:t>
      </w:r>
    </w:p>
  </w:footnote>
  <w:footnote w:id="249">
    <w:p>
      <w:pPr>
        <w:pStyle w:val="FootnoteText"/>
      </w:pPr>
      <w:r>
        <w:rPr>
          <w:rStyle w:val="FootnoteReference"/>
        </w:rPr>
        <w:footnoteRef/>
      </w:r>
      <w:r>
        <w:t xml:space="preserve"> </w:t>
      </w:r>
      <w:r>
        <w:t xml:space="preserve">Ruff 2022, PMID 34873344.</w:t>
      </w:r>
    </w:p>
  </w:footnote>
  <w:footnote w:id="251">
    <w:p>
      <w:pPr>
        <w:pStyle w:val="FootnoteText"/>
      </w:pPr>
      <w:r>
        <w:rPr>
          <w:rStyle w:val="FootnoteReference"/>
        </w:rPr>
        <w:footnoteRef/>
      </w:r>
      <w:r>
        <w:t xml:space="preserve"> </w:t>
      </w:r>
      <w:r>
        <w:t xml:space="preserve">Rosenstock 2010, PMID 20332357.</w:t>
      </w:r>
    </w:p>
  </w:footnote>
  <w:footnote w:id="252">
    <w:p>
      <w:pPr>
        <w:pStyle w:val="FootnoteText"/>
      </w:pPr>
      <w:r>
        <w:rPr>
          <w:rStyle w:val="FootnoteReference"/>
        </w:rPr>
        <w:footnoteRef/>
      </w:r>
      <w:r>
        <w:t xml:space="preserve"> </w:t>
      </w:r>
      <w:r>
        <w:t xml:space="preserve">Su 2016, PMID 27343423.</w:t>
      </w:r>
    </w:p>
  </w:footnote>
  <w:footnote w:id="253">
    <w:p>
      <w:pPr>
        <w:pStyle w:val="FootnoteText"/>
      </w:pPr>
      <w:r>
        <w:rPr>
          <w:rStyle w:val="FootnoteReference"/>
        </w:rPr>
        <w:footnoteRef/>
      </w:r>
      <w:r>
        <w:t xml:space="preserve"> </w:t>
      </w:r>
      <w:r>
        <w:t xml:space="preserve">Tamborlane 2022, PMID 35679098.</w:t>
      </w:r>
    </w:p>
  </w:footnote>
  <w:footnote w:id="255">
    <w:p>
      <w:pPr>
        <w:pStyle w:val="FootnoteText"/>
      </w:pPr>
      <w:r>
        <w:rPr>
          <w:rStyle w:val="FootnoteReference"/>
        </w:rPr>
        <w:footnoteRef/>
      </w:r>
      <w:r>
        <w:t xml:space="preserve"> </w:t>
      </w:r>
      <w:r>
        <w:t xml:space="preserve">PMID 28781108.</w:t>
      </w:r>
    </w:p>
  </w:footnote>
  <w:footnote w:id="256">
    <w:p>
      <w:pPr>
        <w:pStyle w:val="FootnoteText"/>
      </w:pPr>
      <w:r>
        <w:rPr>
          <w:rStyle w:val="FootnoteReference"/>
        </w:rPr>
        <w:footnoteRef/>
      </w:r>
      <w:r>
        <w:t xml:space="preserve"> </w:t>
      </w:r>
      <w:r>
        <w:t xml:space="preserve">Vijiaratnam 2025, PMID 39919773.</w:t>
      </w:r>
    </w:p>
  </w:footnote>
  <w:footnote w:id="257">
    <w:p>
      <w:pPr>
        <w:pStyle w:val="FootnoteText"/>
      </w:pPr>
      <w:r>
        <w:rPr>
          <w:rStyle w:val="FootnoteReference"/>
        </w:rPr>
        <w:footnoteRef/>
      </w:r>
      <w:r>
        <w:t xml:space="preserve"> </w:t>
      </w:r>
      <w:r>
        <w:t xml:space="preserve">McGarry 2024, PMID 38101901.</w:t>
      </w:r>
    </w:p>
  </w:footnote>
  <w:footnote w:id="258">
    <w:p>
      <w:pPr>
        <w:pStyle w:val="FootnoteText"/>
      </w:pPr>
      <w:r>
        <w:rPr>
          <w:rStyle w:val="FootnoteReference"/>
        </w:rPr>
        <w:footnoteRef/>
      </w:r>
      <w:r>
        <w:t xml:space="preserve"> </w:t>
      </w:r>
      <w:r>
        <w:t xml:space="preserve">Vijiaratnam 2025, PMID 40727970.</w:t>
      </w:r>
    </w:p>
  </w:footnote>
  <w:footnote w:id="260">
    <w:p>
      <w:pPr>
        <w:pStyle w:val="FootnoteText"/>
      </w:pPr>
      <w:r>
        <w:rPr>
          <w:rStyle w:val="FootnoteReference"/>
        </w:rPr>
        <w:footnoteRef/>
      </w:r>
      <w:r>
        <w:t xml:space="preserve"> </w:t>
      </w:r>
      <w:r>
        <w:t xml:space="preserve">Mullins 2019, PMID 31518224.</w:t>
      </w:r>
    </w:p>
  </w:footnote>
  <w:footnote w:id="261">
    <w:p>
      <w:pPr>
        <w:pStyle w:val="FootnoteText"/>
      </w:pPr>
      <w:r>
        <w:rPr>
          <w:rStyle w:val="FootnoteReference"/>
        </w:rPr>
        <w:footnoteRef/>
      </w:r>
      <w:r>
        <w:t xml:space="preserve"> </w:t>
      </w:r>
      <w:r>
        <w:t xml:space="preserve">Dei Cas 2024, PMID 38565814.</w:t>
      </w:r>
    </w:p>
  </w:footnote>
  <w:footnote w:id="262">
    <w:p>
      <w:pPr>
        <w:pStyle w:val="FootnoteText"/>
      </w:pPr>
      <w:r>
        <w:rPr>
          <w:rStyle w:val="FootnoteReference"/>
        </w:rPr>
        <w:footnoteRef/>
      </w:r>
      <w:r>
        <w:t xml:space="preserve"> </w:t>
      </w:r>
      <w:r>
        <w:t xml:space="preserve">Klausen 2022, PMID 36066977.</w:t>
      </w:r>
    </w:p>
  </w:footnote>
  <w:footnote w:id="263">
    <w:p>
      <w:pPr>
        <w:pStyle w:val="FootnoteText"/>
      </w:pPr>
      <w:r>
        <w:rPr>
          <w:rStyle w:val="FootnoteReference"/>
        </w:rPr>
        <w:footnoteRef/>
      </w:r>
      <w:r>
        <w:t xml:space="preserve"> </w:t>
      </w:r>
      <w:r>
        <w:t xml:space="preserve">Mitchell 2023, PMID 36907221.</w:t>
      </w:r>
    </w:p>
  </w:footnote>
  <w:footnote w:id="266">
    <w:p>
      <w:pPr>
        <w:pStyle w:val="FootnoteText"/>
      </w:pPr>
      <w:r>
        <w:rPr>
          <w:rStyle w:val="FootnoteReference"/>
        </w:rPr>
        <w:footnoteRef/>
      </w:r>
      <w:r>
        <w:t xml:space="preserve"> </w:t>
      </w:r>
      <w:r>
        <w:t xml:space="preserve">Eng 1992, PMID 1313797.</w:t>
      </w:r>
    </w:p>
  </w:footnote>
  <w:footnote w:id="267">
    <w:p>
      <w:pPr>
        <w:pStyle w:val="FootnoteText"/>
      </w:pPr>
      <w:r>
        <w:rPr>
          <w:rStyle w:val="FootnoteReference"/>
        </w:rPr>
        <w:footnoteRef/>
      </w:r>
      <w:r>
        <w:t xml:space="preserve"> </w:t>
      </w:r>
      <w:r>
        <w:t xml:space="preserve">Xu 1999, PMID 10580413.</w:t>
      </w:r>
    </w:p>
  </w:footnote>
  <w:footnote w:id="268">
    <w:p>
      <w:pPr>
        <w:pStyle w:val="FootnoteText"/>
      </w:pPr>
      <w:r>
        <w:rPr>
          <w:rStyle w:val="FootnoteReference"/>
        </w:rPr>
        <w:footnoteRef/>
      </w:r>
      <w:r>
        <w:t xml:space="preserve"> </w:t>
      </w:r>
      <w:r>
        <w:t xml:space="preserve">Bjerre Knudsen 2010, PMID 20203154.</w:t>
      </w:r>
    </w:p>
  </w:footnote>
  <w:footnote w:id="270">
    <w:p>
      <w:pPr>
        <w:pStyle w:val="FootnoteText"/>
      </w:pPr>
      <w:r>
        <w:rPr>
          <w:rStyle w:val="FootnoteReference"/>
        </w:rPr>
        <w:footnoteRef/>
      </w:r>
      <w:r>
        <w:t xml:space="preserve"> </w:t>
      </w:r>
      <w:r>
        <w:t xml:space="preserve">Heine 2005, PMID 16230722.</w:t>
      </w:r>
    </w:p>
  </w:footnote>
  <w:footnote w:id="271">
    <w:p>
      <w:pPr>
        <w:pStyle w:val="FootnoteText"/>
      </w:pPr>
      <w:r>
        <w:rPr>
          <w:rStyle w:val="FootnoteReference"/>
        </w:rPr>
        <w:footnoteRef/>
      </w:r>
      <w:r>
        <w:t xml:space="preserve"> </w:t>
      </w:r>
      <w:r>
        <w:t xml:space="preserve">Buse 2013, PMID 23141817.</w:t>
      </w:r>
    </w:p>
  </w:footnote>
  <w:footnote w:id="272">
    <w:p>
      <w:pPr>
        <w:pStyle w:val="FootnoteText"/>
      </w:pPr>
      <w:r>
        <w:rPr>
          <w:rStyle w:val="FootnoteReference"/>
        </w:rPr>
        <w:footnoteRef/>
      </w:r>
      <w:r>
        <w:t xml:space="preserve"> </w:t>
      </w:r>
      <w:r>
        <w:t xml:space="preserve">Kendall 2005, PMID 15855571.</w:t>
      </w:r>
    </w:p>
  </w:footnote>
  <w:footnote w:id="273">
    <w:p>
      <w:pPr>
        <w:pStyle w:val="FootnoteText"/>
      </w:pPr>
      <w:r>
        <w:rPr>
          <w:rStyle w:val="FootnoteReference"/>
        </w:rPr>
        <w:footnoteRef/>
      </w:r>
      <w:r>
        <w:t xml:space="preserve"> </w:t>
      </w:r>
      <w:r>
        <w:t xml:space="preserve">Wysham 2015, PMID 25744115.</w:t>
      </w:r>
    </w:p>
  </w:footnote>
  <w:footnote w:id="274">
    <w:p>
      <w:pPr>
        <w:pStyle w:val="FootnoteText"/>
      </w:pPr>
      <w:r>
        <w:rPr>
          <w:rStyle w:val="FootnoteReference"/>
        </w:rPr>
        <w:footnoteRef/>
      </w:r>
      <w:r>
        <w:t xml:space="preserve"> </w:t>
      </w:r>
      <w:r>
        <w:t xml:space="preserve">Dore 2013, PMID 23981106.</w:t>
      </w:r>
    </w:p>
  </w:footnote>
  <w:footnote w:id="275">
    <w:p>
      <w:pPr>
        <w:pStyle w:val="FootnoteText"/>
      </w:pPr>
      <w:r>
        <w:rPr>
          <w:rStyle w:val="FootnoteReference"/>
        </w:rPr>
        <w:footnoteRef/>
      </w:r>
      <w:r>
        <w:t xml:space="preserve"> </w:t>
      </w:r>
      <w:r>
        <w:t xml:space="preserve">Holman 2017, PMID 28910237.</w:t>
      </w:r>
    </w:p>
  </w:footnote>
  <w:footnote w:id="276">
    <w:p>
      <w:pPr>
        <w:pStyle w:val="FootnoteText"/>
      </w:pPr>
      <w:r>
        <w:rPr>
          <w:rStyle w:val="FootnoteReference"/>
        </w:rPr>
        <w:footnoteRef/>
      </w:r>
      <w:r>
        <w:t xml:space="preserve"> </w:t>
      </w:r>
      <w:r>
        <w:t xml:space="preserve">Liang 2019, PMID 30474347.</w:t>
      </w:r>
    </w:p>
  </w:footnote>
  <w:footnote w:id="277">
    <w:p>
      <w:pPr>
        <w:pStyle w:val="FootnoteText"/>
      </w:pPr>
      <w:r>
        <w:rPr>
          <w:rStyle w:val="FootnoteReference"/>
        </w:rPr>
        <w:footnoteRef/>
      </w:r>
      <w:r>
        <w:t xml:space="preserve"> </w:t>
      </w:r>
      <w:r>
        <w:t xml:space="preserve">Silverii 2025, PMID 40437949.</w:t>
      </w:r>
    </w:p>
  </w:footnote>
  <w:footnote w:id="278">
    <w:p>
      <w:pPr>
        <w:pStyle w:val="FootnoteText"/>
      </w:pPr>
      <w:r>
        <w:rPr>
          <w:rStyle w:val="FootnoteReference"/>
        </w:rPr>
        <w:footnoteRef/>
      </w:r>
      <w:r>
        <w:t xml:space="preserve"> </w:t>
      </w:r>
      <w:r>
        <w:t xml:space="preserve">NCT05663515.</w:t>
      </w:r>
    </w:p>
  </w:footnote>
  <w:footnote w:id="281">
    <w:p>
      <w:pPr>
        <w:pStyle w:val="FootnoteText"/>
      </w:pPr>
      <w:r>
        <w:rPr>
          <w:rStyle w:val="FootnoteReference"/>
        </w:rPr>
        <w:footnoteRef/>
      </w:r>
      <w:r>
        <w:t xml:space="preserve"> </w:t>
      </w:r>
      <w:r>
        <w:t xml:space="preserve">Ji 2021, PMID 33687487.</w:t>
      </w:r>
    </w:p>
  </w:footnote>
  <w:footnote w:id="282">
    <w:p>
      <w:pPr>
        <w:pStyle w:val="FootnoteText"/>
      </w:pPr>
      <w:r>
        <w:rPr>
          <w:rStyle w:val="FootnoteReference"/>
        </w:rPr>
        <w:footnoteRef/>
      </w:r>
      <w:r>
        <w:t xml:space="preserve"> </w:t>
      </w:r>
      <w:r>
        <w:t xml:space="preserve">NCT06254014, NCT06257966.</w:t>
      </w:r>
    </w:p>
  </w:footnote>
  <w:footnote w:id="283">
    <w:p>
      <w:pPr>
        <w:pStyle w:val="FootnoteText"/>
      </w:pPr>
      <w:r>
        <w:rPr>
          <w:rStyle w:val="FootnoteReference"/>
        </w:rPr>
        <w:footnoteRef/>
      </w:r>
      <w:r>
        <w:t xml:space="preserve"> </w:t>
      </w:r>
      <w:r>
        <w:t xml:space="preserve">NCT07497399.</w:t>
      </w:r>
    </w:p>
  </w:footnote>
  <w:footnote w:id="284">
    <w:p>
      <w:pPr>
        <w:pStyle w:val="FootnoteText"/>
      </w:pPr>
      <w:r>
        <w:rPr>
          <w:rStyle w:val="FootnoteReference"/>
        </w:rPr>
        <w:footnoteRef/>
      </w:r>
      <w:r>
        <w:t xml:space="preserve"> </w:t>
      </w:r>
      <w:r>
        <w:t xml:space="preserve">NCT05663515.</w:t>
      </w:r>
    </w:p>
  </w:footnote>
  <w:footnote w:id="285">
    <w:p>
      <w:pPr>
        <w:pStyle w:val="FootnoteText"/>
      </w:pPr>
      <w:r>
        <w:rPr>
          <w:rStyle w:val="FootnoteReference"/>
        </w:rPr>
        <w:footnoteRef/>
      </w:r>
      <w:r>
        <w:t xml:space="preserve"> </w:t>
      </w:r>
      <w:r>
        <w:t xml:space="preserve">NCT01511393.</w:t>
      </w:r>
    </w:p>
  </w:footnote>
  <w:footnote w:id="286">
    <w:p>
      <w:pPr>
        <w:pStyle w:val="FootnoteText"/>
      </w:pPr>
      <w:r>
        <w:rPr>
          <w:rStyle w:val="FootnoteReference"/>
        </w:rPr>
        <w:footnoteRef/>
      </w:r>
      <w:r>
        <w:t xml:space="preserve"> </w:t>
      </w:r>
      <w:r>
        <w:t xml:space="preserve">NCT07808879.</w:t>
      </w:r>
    </w:p>
  </w:footnote>
  <w:footnote w:id="290">
    <w:p>
      <w:pPr>
        <w:pStyle w:val="FootnoteText"/>
      </w:pPr>
      <w:r>
        <w:rPr>
          <w:rStyle w:val="FootnoteReference"/>
        </w:rPr>
        <w:footnoteRef/>
      </w:r>
      <w:r>
        <w:t xml:space="preserve"> </w:t>
      </w:r>
      <w:r>
        <w:t xml:space="preserve">Knudsen 2019, PMID 31031702.</w:t>
      </w:r>
    </w:p>
  </w:footnote>
  <w:footnote w:id="292">
    <w:p>
      <w:pPr>
        <w:pStyle w:val="FootnoteText"/>
      </w:pPr>
      <w:r>
        <w:rPr>
          <w:rStyle w:val="FootnoteReference"/>
        </w:rPr>
        <w:footnoteRef/>
      </w:r>
      <w:r>
        <w:t xml:space="preserve"> </w:t>
      </w:r>
      <w:r>
        <w:t xml:space="preserve">Secher 2014, PMID 25202980.</w:t>
      </w:r>
    </w:p>
  </w:footnote>
  <w:footnote w:id="293">
    <w:p>
      <w:pPr>
        <w:pStyle w:val="FootnoteText"/>
      </w:pPr>
      <w:r>
        <w:rPr>
          <w:rStyle w:val="FootnoteReference"/>
        </w:rPr>
        <w:footnoteRef/>
      </w:r>
      <w:r>
        <w:t xml:space="preserve"> </w:t>
      </w:r>
      <w:r>
        <w:t xml:space="preserve">Knudsen 2019, PMID 31031702.</w:t>
      </w:r>
    </w:p>
  </w:footnote>
  <w:footnote w:id="295">
    <w:p>
      <w:pPr>
        <w:pStyle w:val="FootnoteText"/>
      </w:pPr>
      <w:r>
        <w:rPr>
          <w:rStyle w:val="FootnoteReference"/>
        </w:rPr>
        <w:footnoteRef/>
      </w:r>
      <w:r>
        <w:t xml:space="preserve"> </w:t>
      </w:r>
      <w:r>
        <w:t xml:space="preserve">Garber 2009, PMID 18819705.</w:t>
      </w:r>
    </w:p>
  </w:footnote>
  <w:footnote w:id="296">
    <w:p>
      <w:pPr>
        <w:pStyle w:val="FootnoteText"/>
      </w:pPr>
      <w:r>
        <w:rPr>
          <w:rStyle w:val="FootnoteReference"/>
        </w:rPr>
        <w:footnoteRef/>
      </w:r>
      <w:r>
        <w:t xml:space="preserve"> </w:t>
      </w:r>
      <w:r>
        <w:t xml:space="preserve">Pratley 2010, PMID 20417856.</w:t>
      </w:r>
    </w:p>
  </w:footnote>
  <w:footnote w:id="298">
    <w:p>
      <w:pPr>
        <w:pStyle w:val="FootnoteText"/>
      </w:pPr>
      <w:r>
        <w:rPr>
          <w:rStyle w:val="FootnoteReference"/>
        </w:rPr>
        <w:footnoteRef/>
      </w:r>
      <w:r>
        <w:t xml:space="preserve"> </w:t>
      </w:r>
      <w:r>
        <w:t xml:space="preserve">Buse 2009, PMID 19515413.</w:t>
      </w:r>
    </w:p>
  </w:footnote>
  <w:footnote w:id="299">
    <w:p>
      <w:pPr>
        <w:pStyle w:val="FootnoteText"/>
      </w:pPr>
      <w:r>
        <w:rPr>
          <w:rStyle w:val="FootnoteReference"/>
        </w:rPr>
        <w:footnoteRef/>
      </w:r>
      <w:r>
        <w:t xml:space="preserve"> </w:t>
      </w:r>
      <w:r>
        <w:t xml:space="preserve">Dungan 2014, PMID 25018121.</w:t>
      </w:r>
    </w:p>
  </w:footnote>
  <w:footnote w:id="300">
    <w:p>
      <w:pPr>
        <w:pStyle w:val="FootnoteText"/>
      </w:pPr>
      <w:r>
        <w:rPr>
          <w:rStyle w:val="FootnoteReference"/>
        </w:rPr>
        <w:footnoteRef/>
      </w:r>
      <w:r>
        <w:t xml:space="preserve"> </w:t>
      </w:r>
      <w:r>
        <w:t xml:space="preserve">Rubino 2022, PMID 35015037.</w:t>
      </w:r>
    </w:p>
  </w:footnote>
  <w:footnote w:id="301">
    <w:p>
      <w:pPr>
        <w:pStyle w:val="FootnoteText"/>
      </w:pPr>
      <w:r>
        <w:rPr>
          <w:rStyle w:val="FootnoteReference"/>
        </w:rPr>
        <w:footnoteRef/>
      </w:r>
      <w:r>
        <w:t xml:space="preserve"> </w:t>
      </w:r>
      <w:r>
        <w:t xml:space="preserve">Pratley 2019, PMID 31186120.</w:t>
      </w:r>
    </w:p>
  </w:footnote>
  <w:footnote w:id="303">
    <w:p>
      <w:pPr>
        <w:pStyle w:val="FootnoteText"/>
      </w:pPr>
      <w:r>
        <w:rPr>
          <w:rStyle w:val="FootnoteReference"/>
        </w:rPr>
        <w:footnoteRef/>
      </w:r>
      <w:r>
        <w:t xml:space="preserve"> </w:t>
      </w:r>
      <w:r>
        <w:t xml:space="preserve">Marso 2016, PMID 27295427.</w:t>
      </w:r>
    </w:p>
  </w:footnote>
  <w:footnote w:id="304">
    <w:p>
      <w:pPr>
        <w:pStyle w:val="FootnoteText"/>
      </w:pPr>
      <w:r>
        <w:rPr>
          <w:rStyle w:val="FootnoteReference"/>
        </w:rPr>
        <w:footnoteRef/>
      </w:r>
      <w:r>
        <w:t xml:space="preserve"> </w:t>
      </w:r>
      <w:r>
        <w:t xml:space="preserve">Mann 2017, PMID 28854085.</w:t>
      </w:r>
    </w:p>
  </w:footnote>
  <w:footnote w:id="305">
    <w:p>
      <w:pPr>
        <w:pStyle w:val="FootnoteText"/>
      </w:pPr>
      <w:r>
        <w:rPr>
          <w:rStyle w:val="FootnoteReference"/>
        </w:rPr>
        <w:footnoteRef/>
      </w:r>
      <w:r>
        <w:t xml:space="preserve"> </w:t>
      </w:r>
      <w:r>
        <w:t xml:space="preserve">Margulies 2016, PMID 27483064.</w:t>
      </w:r>
    </w:p>
  </w:footnote>
  <w:footnote w:id="307">
    <w:p>
      <w:pPr>
        <w:pStyle w:val="FootnoteText"/>
      </w:pPr>
      <w:r>
        <w:rPr>
          <w:rStyle w:val="FootnoteReference"/>
        </w:rPr>
        <w:footnoteRef/>
      </w:r>
      <w:r>
        <w:t xml:space="preserve"> </w:t>
      </w:r>
      <w:r>
        <w:t xml:space="preserve">Pi-Sunyer 2015, PMID 26132939.</w:t>
      </w:r>
    </w:p>
  </w:footnote>
  <w:footnote w:id="308">
    <w:p>
      <w:pPr>
        <w:pStyle w:val="FootnoteText"/>
      </w:pPr>
      <w:r>
        <w:rPr>
          <w:rStyle w:val="FootnoteReference"/>
        </w:rPr>
        <w:footnoteRef/>
      </w:r>
      <w:r>
        <w:t xml:space="preserve"> </w:t>
      </w:r>
      <w:r>
        <w:t xml:space="preserve">le Roux 2017, PMID 28237263.</w:t>
      </w:r>
    </w:p>
  </w:footnote>
  <w:footnote w:id="309">
    <w:p>
      <w:pPr>
        <w:pStyle w:val="FootnoteText"/>
      </w:pPr>
      <w:r>
        <w:rPr>
          <w:rStyle w:val="FootnoteReference"/>
        </w:rPr>
        <w:footnoteRef/>
      </w:r>
      <w:r>
        <w:t xml:space="preserve"> </w:t>
      </w:r>
      <w:r>
        <w:t xml:space="preserve">Davies 2015, PMID 26284720.</w:t>
      </w:r>
    </w:p>
  </w:footnote>
  <w:footnote w:id="310">
    <w:p>
      <w:pPr>
        <w:pStyle w:val="FootnoteText"/>
      </w:pPr>
      <w:r>
        <w:rPr>
          <w:rStyle w:val="FootnoteReference"/>
        </w:rPr>
        <w:footnoteRef/>
      </w:r>
      <w:r>
        <w:t xml:space="preserve"> </w:t>
      </w:r>
      <w:r>
        <w:t xml:space="preserve">Wadden 2013, PMID 23812094.</w:t>
      </w:r>
    </w:p>
  </w:footnote>
  <w:footnote w:id="312">
    <w:p>
      <w:pPr>
        <w:pStyle w:val="FootnoteText"/>
      </w:pPr>
      <w:r>
        <w:rPr>
          <w:rStyle w:val="FootnoteReference"/>
        </w:rPr>
        <w:footnoteRef/>
      </w:r>
      <w:r>
        <w:t xml:space="preserve"> </w:t>
      </w:r>
      <w:r>
        <w:t xml:space="preserve">Kelly 2020, PMID 32233338.</w:t>
      </w:r>
    </w:p>
  </w:footnote>
  <w:footnote w:id="313">
    <w:p>
      <w:pPr>
        <w:pStyle w:val="FootnoteText"/>
      </w:pPr>
      <w:r>
        <w:rPr>
          <w:rStyle w:val="FootnoteReference"/>
        </w:rPr>
        <w:footnoteRef/>
      </w:r>
      <w:r>
        <w:t xml:space="preserve"> </w:t>
      </w:r>
      <w:r>
        <w:t xml:space="preserve">Fox 2025, PMID 39258838.</w:t>
      </w:r>
    </w:p>
  </w:footnote>
  <w:footnote w:id="314">
    <w:p>
      <w:pPr>
        <w:pStyle w:val="FootnoteText"/>
      </w:pPr>
      <w:r>
        <w:rPr>
          <w:rStyle w:val="FootnoteReference"/>
        </w:rPr>
        <w:footnoteRef/>
      </w:r>
      <w:r>
        <w:t xml:space="preserve"> </w:t>
      </w:r>
      <w:r>
        <w:t xml:space="preserve">NCT06903923.</w:t>
      </w:r>
    </w:p>
  </w:footnote>
  <w:footnote w:id="316">
    <w:p>
      <w:pPr>
        <w:pStyle w:val="FootnoteText"/>
      </w:pPr>
      <w:r>
        <w:rPr>
          <w:rStyle w:val="FootnoteReference"/>
        </w:rPr>
        <w:footnoteRef/>
      </w:r>
      <w:r>
        <w:t xml:space="preserve"> </w:t>
      </w:r>
      <w:r>
        <w:t xml:space="preserve">Armstrong 2016, PMID 26608256.</w:t>
      </w:r>
    </w:p>
  </w:footnote>
  <w:footnote w:id="317">
    <w:p>
      <w:pPr>
        <w:pStyle w:val="FootnoteText"/>
      </w:pPr>
      <w:r>
        <w:rPr>
          <w:rStyle w:val="FootnoteReference"/>
        </w:rPr>
        <w:footnoteRef/>
      </w:r>
      <w:r>
        <w:t xml:space="preserve"> </w:t>
      </w:r>
      <w:r>
        <w:t xml:space="preserve">Edison 2026, PMID 41326666.</w:t>
      </w:r>
    </w:p>
  </w:footnote>
  <w:footnote w:id="318">
    <w:p>
      <w:pPr>
        <w:pStyle w:val="FootnoteText"/>
      </w:pPr>
      <w:r>
        <w:rPr>
          <w:rStyle w:val="FootnoteReference"/>
        </w:rPr>
        <w:footnoteRef/>
      </w:r>
      <w:r>
        <w:t xml:space="preserve"> </w:t>
      </w:r>
      <w:r>
        <w:t xml:space="preserve">Lähteenvuo 2025, PMID 39535805.</w:t>
      </w:r>
    </w:p>
  </w:footnote>
  <w:footnote w:id="321">
    <w:p>
      <w:pPr>
        <w:pStyle w:val="FootnoteText"/>
      </w:pPr>
      <w:r>
        <w:rPr>
          <w:rStyle w:val="FootnoteReference"/>
        </w:rPr>
        <w:footnoteRef/>
      </w:r>
      <w:r>
        <w:t xml:space="preserve"> </w:t>
      </w:r>
      <w:r>
        <w:t xml:space="preserve">Secher 2014, PMID 25202980.</w:t>
      </w:r>
    </w:p>
  </w:footnote>
  <w:footnote w:id="322">
    <w:p>
      <w:pPr>
        <w:pStyle w:val="FootnoteText"/>
      </w:pPr>
      <w:r>
        <w:rPr>
          <w:rStyle w:val="FootnoteReference"/>
        </w:rPr>
        <w:footnoteRef/>
      </w:r>
      <w:r>
        <w:t xml:space="preserve"> </w:t>
      </w:r>
      <w:r>
        <w:t xml:space="preserve">Bjerre Knudsen 2010, PMID 20203154.</w:t>
      </w:r>
    </w:p>
  </w:footnote>
  <w:footnote w:id="324">
    <w:p>
      <w:pPr>
        <w:pStyle w:val="FootnoteText"/>
      </w:pPr>
      <w:r>
        <w:rPr>
          <w:rStyle w:val="FootnoteReference"/>
        </w:rPr>
        <w:footnoteRef/>
      </w:r>
      <w:r>
        <w:t xml:space="preserve"> </w:t>
      </w:r>
      <w:r>
        <w:t xml:space="preserve">Marso 2016, PMID 27295427.</w:t>
      </w:r>
    </w:p>
  </w:footnote>
  <w:footnote w:id="325">
    <w:p>
      <w:pPr>
        <w:pStyle w:val="FootnoteText"/>
      </w:pPr>
      <w:r>
        <w:rPr>
          <w:rStyle w:val="FootnoteReference"/>
        </w:rPr>
        <w:footnoteRef/>
      </w:r>
      <w:r>
        <w:t xml:space="preserve"> </w:t>
      </w:r>
      <w:r>
        <w:t xml:space="preserve">Davies 2015, PMID 26284720.</w:t>
      </w:r>
    </w:p>
  </w:footnote>
  <w:footnote w:id="326">
    <w:p>
      <w:pPr>
        <w:pStyle w:val="FootnoteText"/>
      </w:pPr>
      <w:r>
        <w:rPr>
          <w:rStyle w:val="FootnoteReference"/>
        </w:rPr>
        <w:footnoteRef/>
      </w:r>
      <w:r>
        <w:t xml:space="preserve"> </w:t>
      </w:r>
      <w:r>
        <w:t xml:space="preserve">He 2022, PMID 35344001.</w:t>
      </w:r>
    </w:p>
  </w:footnote>
  <w:footnote w:id="327">
    <w:p>
      <w:pPr>
        <w:pStyle w:val="FootnoteText"/>
      </w:pPr>
      <w:r>
        <w:rPr>
          <w:rStyle w:val="FootnoteReference"/>
        </w:rPr>
        <w:footnoteRef/>
      </w:r>
      <w:r>
        <w:t xml:space="preserve"> </w:t>
      </w:r>
      <w:r>
        <w:t xml:space="preserve">Marso 2016, PMID 27295427.</w:t>
      </w:r>
    </w:p>
  </w:footnote>
  <w:footnote w:id="328">
    <w:p>
      <w:pPr>
        <w:pStyle w:val="FootnoteText"/>
      </w:pPr>
      <w:r>
        <w:rPr>
          <w:rStyle w:val="FootnoteReference"/>
        </w:rPr>
        <w:footnoteRef/>
      </w:r>
      <w:r>
        <w:t xml:space="preserve"> </w:t>
      </w:r>
      <w:r>
        <w:t xml:space="preserve">Alves 2012, PMID 23010561.</w:t>
      </w:r>
    </w:p>
  </w:footnote>
  <w:footnote w:id="329">
    <w:p>
      <w:pPr>
        <w:pStyle w:val="FootnoteText"/>
      </w:pPr>
      <w:r>
        <w:rPr>
          <w:rStyle w:val="FootnoteReference"/>
        </w:rPr>
        <w:footnoteRef/>
      </w:r>
      <w:r>
        <w:t xml:space="preserve"> </w:t>
      </w:r>
      <w:r>
        <w:t xml:space="preserve">Bezin 2023, PMID 36356111.</w:t>
      </w:r>
    </w:p>
  </w:footnote>
  <w:footnote w:id="330">
    <w:p>
      <w:pPr>
        <w:pStyle w:val="FootnoteText"/>
      </w:pPr>
      <w:r>
        <w:rPr>
          <w:rStyle w:val="FootnoteReference"/>
        </w:rPr>
        <w:footnoteRef/>
      </w:r>
      <w:r>
        <w:t xml:space="preserve"> </w:t>
      </w:r>
      <w:r>
        <w:t xml:space="preserve">Silverii 2025, PMID 40437949.</w:t>
      </w:r>
    </w:p>
  </w:footnote>
  <w:footnote w:id="331">
    <w:p>
      <w:pPr>
        <w:pStyle w:val="FootnoteText"/>
      </w:pPr>
      <w:r>
        <w:rPr>
          <w:rStyle w:val="FootnoteReference"/>
        </w:rPr>
        <w:footnoteRef/>
      </w:r>
      <w:r>
        <w:t xml:space="preserve"> </w:t>
      </w:r>
      <w:r>
        <w:t xml:space="preserve">Ueda 2024, PMID 39226030.</w:t>
      </w:r>
    </w:p>
  </w:footnote>
  <w:footnote w:id="332">
    <w:p>
      <w:pPr>
        <w:pStyle w:val="FootnoteText"/>
      </w:pPr>
      <w:r>
        <w:rPr>
          <w:rStyle w:val="FootnoteReference"/>
        </w:rPr>
        <w:footnoteRef/>
      </w:r>
      <w:r>
        <w:t xml:space="preserve"> </w:t>
      </w:r>
      <w:r>
        <w:t xml:space="preserve">Choudhury 2026, PMID 41862354.</w:t>
      </w:r>
    </w:p>
  </w:footnote>
  <w:footnote w:id="335">
    <w:p>
      <w:pPr>
        <w:pStyle w:val="FootnoteText"/>
      </w:pPr>
      <w:r>
        <w:rPr>
          <w:rStyle w:val="FootnoteReference"/>
        </w:rPr>
        <w:footnoteRef/>
      </w:r>
      <w:r>
        <w:t xml:space="preserve"> </w:t>
      </w:r>
      <w:r>
        <w:t xml:space="preserve">NCT06742710.</w:t>
      </w:r>
    </w:p>
  </w:footnote>
  <w:footnote w:id="336">
    <w:p>
      <w:pPr>
        <w:pStyle w:val="FootnoteText"/>
      </w:pPr>
      <w:r>
        <w:rPr>
          <w:rStyle w:val="FootnoteReference"/>
        </w:rPr>
        <w:footnoteRef/>
      </w:r>
      <w:r>
        <w:t xml:space="preserve"> </w:t>
      </w:r>
      <w:r>
        <w:t xml:space="preserve">NCT06361238.</w:t>
      </w:r>
    </w:p>
  </w:footnote>
  <w:footnote w:id="337">
    <w:p>
      <w:pPr>
        <w:pStyle w:val="FootnoteText"/>
      </w:pPr>
      <w:r>
        <w:rPr>
          <w:rStyle w:val="FootnoteReference"/>
        </w:rPr>
        <w:footnoteRef/>
      </w:r>
      <w:r>
        <w:t xml:space="preserve"> </w:t>
      </w:r>
      <w:r>
        <w:t xml:space="preserve">NCT07029009.</w:t>
      </w:r>
    </w:p>
  </w:footnote>
  <w:footnote w:id="338">
    <w:p>
      <w:pPr>
        <w:pStyle w:val="FootnoteText"/>
      </w:pPr>
      <w:r>
        <w:rPr>
          <w:rStyle w:val="FootnoteReference"/>
        </w:rPr>
        <w:footnoteRef/>
      </w:r>
      <w:r>
        <w:t xml:space="preserve"> </w:t>
      </w:r>
      <w:r>
        <w:t xml:space="preserve">NCT05390892.</w:t>
      </w:r>
    </w:p>
  </w:footnote>
  <w:footnote w:id="339">
    <w:p>
      <w:pPr>
        <w:pStyle w:val="FootnoteText"/>
      </w:pPr>
      <w:r>
        <w:rPr>
          <w:rStyle w:val="FootnoteReference"/>
        </w:rPr>
        <w:footnoteRef/>
      </w:r>
      <w:r>
        <w:t xml:space="preserve"> </w:t>
      </w:r>
      <w:r>
        <w:t xml:space="preserve">NCT04775082.</w:t>
      </w:r>
    </w:p>
  </w:footnote>
  <w:footnote w:id="343">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Glaesner 2010, PMID 20503261.</w:t>
      </w:r>
    </w:p>
  </w:footnote>
  <w:footnote w:id="346">
    <w:p>
      <w:pPr>
        <w:pStyle w:val="FootnoteText"/>
      </w:pPr>
      <w:r>
        <w:rPr>
          <w:rStyle w:val="FootnoteReference"/>
        </w:rPr>
        <w:footnoteRef/>
      </w:r>
      <w:r>
        <w:t xml:space="preserve"> </w:t>
      </w:r>
      <w:r>
        <w:t xml:space="preserve">Milicevic 2016, PMID 26847401.</w:t>
      </w:r>
    </w:p>
  </w:footnote>
  <w:footnote w:id="348">
    <w:p>
      <w:pPr>
        <w:pStyle w:val="FootnoteText"/>
      </w:pPr>
      <w:r>
        <w:rPr>
          <w:rStyle w:val="FootnoteReference"/>
        </w:rPr>
        <w:footnoteRef/>
      </w:r>
      <w:r>
        <w:t xml:space="preserve"> </w:t>
      </w:r>
      <w:r>
        <w:t xml:space="preserve">Giorgino 2015, PMID 26089386; Blonde 2015, PMID 26009229.</w:t>
      </w:r>
    </w:p>
  </w:footnote>
  <w:footnote w:id="349">
    <w:p>
      <w:pPr>
        <w:pStyle w:val="FootnoteText"/>
      </w:pPr>
      <w:r>
        <w:rPr>
          <w:rStyle w:val="FootnoteReference"/>
        </w:rPr>
        <w:footnoteRef/>
      </w:r>
      <w:r>
        <w:t xml:space="preserve"> </w:t>
      </w:r>
      <w:r>
        <w:t xml:space="preserve">Tuttle 2018, PMID 29910024.</w:t>
      </w:r>
    </w:p>
  </w:footnote>
  <w:footnote w:id="350">
    <w:p>
      <w:pPr>
        <w:pStyle w:val="FootnoteText"/>
      </w:pPr>
      <w:r>
        <w:rPr>
          <w:rStyle w:val="FootnoteReference"/>
        </w:rPr>
        <w:footnoteRef/>
      </w:r>
      <w:r>
        <w:t xml:space="preserve"> </w:t>
      </w:r>
      <w:r>
        <w:t xml:space="preserve">Dungan 2016, PMID 26799540.</w:t>
      </w:r>
    </w:p>
  </w:footnote>
  <w:footnote w:id="351">
    <w:p>
      <w:pPr>
        <w:pStyle w:val="FootnoteText"/>
      </w:pPr>
      <w:r>
        <w:rPr>
          <w:rStyle w:val="FootnoteReference"/>
        </w:rPr>
        <w:footnoteRef/>
      </w:r>
      <w:r>
        <w:t xml:space="preserve"> </w:t>
      </w:r>
      <w:r>
        <w:t xml:space="preserve">Frias 2021, PMID 33397768.</w:t>
      </w:r>
    </w:p>
  </w:footnote>
  <w:footnote w:id="353">
    <w:p>
      <w:pPr>
        <w:pStyle w:val="FootnoteText"/>
      </w:pPr>
      <w:r>
        <w:rPr>
          <w:rStyle w:val="FootnoteReference"/>
        </w:rPr>
        <w:footnoteRef/>
      </w:r>
      <w:r>
        <w:t xml:space="preserve"> </w:t>
      </w:r>
      <w:r>
        <w:t xml:space="preserve">Wysham 2014, PMID 24879836.</w:t>
      </w:r>
    </w:p>
  </w:footnote>
  <w:footnote w:id="354">
    <w:p>
      <w:pPr>
        <w:pStyle w:val="FootnoteText"/>
      </w:pPr>
      <w:r>
        <w:rPr>
          <w:rStyle w:val="FootnoteReference"/>
        </w:rPr>
        <w:footnoteRef/>
      </w:r>
      <w:r>
        <w:t xml:space="preserve"> </w:t>
      </w:r>
      <w:r>
        <w:t xml:space="preserve">Dungan 2014, PMID 25018121.</w:t>
      </w:r>
    </w:p>
  </w:footnote>
  <w:footnote w:id="355">
    <w:p>
      <w:pPr>
        <w:pStyle w:val="FootnoteText"/>
      </w:pPr>
      <w:r>
        <w:rPr>
          <w:rStyle w:val="FootnoteReference"/>
        </w:rPr>
        <w:footnoteRef/>
      </w:r>
      <w:r>
        <w:t xml:space="preserve"> </w:t>
      </w:r>
      <w:r>
        <w:t xml:space="preserve">Pratley 2018, PMID 29397376.</w:t>
      </w:r>
    </w:p>
  </w:footnote>
  <w:footnote w:id="357">
    <w:p>
      <w:pPr>
        <w:pStyle w:val="FootnoteText"/>
      </w:pPr>
      <w:r>
        <w:rPr>
          <w:rStyle w:val="FootnoteReference"/>
        </w:rPr>
        <w:footnoteRef/>
      </w:r>
      <w:r>
        <w:t xml:space="preserve"> </w:t>
      </w:r>
      <w:r>
        <w:t xml:space="preserve">Gerstein 2019, PMID 31189511.</w:t>
      </w:r>
    </w:p>
  </w:footnote>
  <w:footnote w:id="358">
    <w:p>
      <w:pPr>
        <w:pStyle w:val="FootnoteText"/>
      </w:pPr>
      <w:r>
        <w:rPr>
          <w:rStyle w:val="FootnoteReference"/>
        </w:rPr>
        <w:footnoteRef/>
      </w:r>
      <w:r>
        <w:t xml:space="preserve"> </w:t>
      </w:r>
      <w:r>
        <w:t xml:space="preserve">Gerstein 2019, PMID 31189509.</w:t>
      </w:r>
    </w:p>
  </w:footnote>
  <w:footnote w:id="359">
    <w:p>
      <w:pPr>
        <w:pStyle w:val="FootnoteText"/>
      </w:pPr>
      <w:r>
        <w:rPr>
          <w:rStyle w:val="FootnoteReference"/>
        </w:rPr>
        <w:footnoteRef/>
      </w:r>
      <w:r>
        <w:t xml:space="preserve"> </w:t>
      </w:r>
      <w:r>
        <w:t xml:space="preserve">Cukierman-Yaffe 2020, PMID 32562683.</w:t>
      </w:r>
    </w:p>
  </w:footnote>
  <w:footnote w:id="360">
    <w:p>
      <w:pPr>
        <w:pStyle w:val="FootnoteText"/>
      </w:pPr>
      <w:r>
        <w:rPr>
          <w:rStyle w:val="FootnoteReference"/>
        </w:rPr>
        <w:footnoteRef/>
      </w:r>
      <w:r>
        <w:t xml:space="preserve"> </w:t>
      </w:r>
      <w:r>
        <w:t xml:space="preserve">Kristensen 2019, PMID 31422062.</w:t>
      </w:r>
    </w:p>
  </w:footnote>
  <w:footnote w:id="362">
    <w:p>
      <w:pPr>
        <w:pStyle w:val="FootnoteText"/>
      </w:pPr>
      <w:r>
        <w:rPr>
          <w:rStyle w:val="FootnoteReference"/>
        </w:rPr>
        <w:footnoteRef/>
      </w:r>
      <w:r>
        <w:t xml:space="preserve"> </w:t>
      </w:r>
      <w:r>
        <w:t xml:space="preserve">Raubenheimer 2022, PMID 34984808.</w:t>
      </w:r>
    </w:p>
  </w:footnote>
  <w:footnote w:id="363">
    <w:p>
      <w:pPr>
        <w:pStyle w:val="FootnoteText"/>
      </w:pPr>
      <w:r>
        <w:rPr>
          <w:rStyle w:val="FootnoteReference"/>
        </w:rPr>
        <w:footnoteRef/>
      </w:r>
      <w:r>
        <w:t xml:space="preserve"> </w:t>
      </w:r>
      <w:r>
        <w:t xml:space="preserve">PMID 34563178.</w:t>
      </w:r>
    </w:p>
  </w:footnote>
  <w:footnote w:id="364">
    <w:p>
      <w:pPr>
        <w:pStyle w:val="FootnoteText"/>
      </w:pPr>
      <w:r>
        <w:rPr>
          <w:rStyle w:val="FootnoteReference"/>
        </w:rPr>
        <w:footnoteRef/>
      </w:r>
      <w:r>
        <w:t xml:space="preserve"> </w:t>
      </w:r>
      <w:r>
        <w:t xml:space="preserve">Branch 2022, PMID 36073143.</w:t>
      </w:r>
    </w:p>
  </w:footnote>
  <w:footnote w:id="365">
    <w:p>
      <w:pPr>
        <w:pStyle w:val="FootnoteText"/>
      </w:pPr>
      <w:r>
        <w:rPr>
          <w:rStyle w:val="FootnoteReference"/>
        </w:rPr>
        <w:footnoteRef/>
      </w:r>
      <w:r>
        <w:t xml:space="preserve"> </w:t>
      </w:r>
      <w:r>
        <w:t xml:space="preserve">Raubenheimer 2022, PMID 34984808.</w:t>
      </w:r>
    </w:p>
  </w:footnote>
  <w:footnote w:id="367">
    <w:p>
      <w:pPr>
        <w:pStyle w:val="FootnoteText"/>
      </w:pPr>
      <w:r>
        <w:rPr>
          <w:rStyle w:val="FootnoteReference"/>
        </w:rPr>
        <w:footnoteRef/>
      </w:r>
      <w:r>
        <w:t xml:space="preserve"> </w:t>
      </w:r>
      <w:r>
        <w:t xml:space="preserve">Nicholls 2025, PMID 41406444.</w:t>
      </w:r>
    </w:p>
  </w:footnote>
  <w:footnote w:id="368">
    <w:p>
      <w:pPr>
        <w:pStyle w:val="FootnoteText"/>
      </w:pPr>
      <w:r>
        <w:rPr>
          <w:rStyle w:val="FootnoteReference"/>
        </w:rPr>
        <w:footnoteRef/>
      </w:r>
      <w:r>
        <w:t xml:space="preserve"> </w:t>
      </w:r>
      <w:r>
        <w:t xml:space="preserve">Nissen 2026, PMID 41903177.</w:t>
      </w:r>
    </w:p>
  </w:footnote>
  <w:footnote w:id="370">
    <w:p>
      <w:pPr>
        <w:pStyle w:val="FootnoteText"/>
      </w:pPr>
      <w:r>
        <w:rPr>
          <w:rStyle w:val="FootnoteReference"/>
        </w:rPr>
        <w:footnoteRef/>
      </w:r>
      <w:r>
        <w:t xml:space="preserve"> </w:t>
      </w:r>
      <w:r>
        <w:t xml:space="preserve">Matfin 2015, PMID 25901022.</w:t>
      </w:r>
    </w:p>
  </w:footnote>
  <w:footnote w:id="371">
    <w:p>
      <w:pPr>
        <w:pStyle w:val="FootnoteText"/>
      </w:pPr>
      <w:r>
        <w:rPr>
          <w:rStyle w:val="FootnoteReference"/>
        </w:rPr>
        <w:footnoteRef/>
      </w:r>
      <w:r>
        <w:t xml:space="preserve"> </w:t>
      </w:r>
      <w:r>
        <w:t xml:space="preserve">Matza 2020, PMID 31646727.</w:t>
      </w:r>
    </w:p>
  </w:footnote>
  <w:footnote w:id="373">
    <w:p>
      <w:pPr>
        <w:pStyle w:val="FootnoteText"/>
      </w:pPr>
      <w:r>
        <w:rPr>
          <w:rStyle w:val="FootnoteReference"/>
        </w:rPr>
        <w:footnoteRef/>
      </w:r>
      <w:r>
        <w:t xml:space="preserve"> </w:t>
      </w:r>
      <w:r>
        <w:t xml:space="preserve">Arslanian 2022, PMID 35658022.</w:t>
      </w:r>
    </w:p>
  </w:footnote>
  <w:footnote w:id="375">
    <w:p>
      <w:pPr>
        <w:pStyle w:val="FootnoteText"/>
      </w:pPr>
      <w:r>
        <w:rPr>
          <w:rStyle w:val="FootnoteReference"/>
        </w:rPr>
        <w:footnoteRef/>
      </w:r>
      <w:r>
        <w:t xml:space="preserve"> </w:t>
      </w:r>
      <w:r>
        <w:t xml:space="preserve">Lüthi 2024, PMID 38371479.</w:t>
      </w:r>
    </w:p>
  </w:footnote>
  <w:footnote w:id="376">
    <w:p>
      <w:pPr>
        <w:pStyle w:val="FootnoteText"/>
      </w:pPr>
      <w:r>
        <w:rPr>
          <w:rStyle w:val="FootnoteReference"/>
        </w:rPr>
        <w:footnoteRef/>
      </w:r>
      <w:r>
        <w:t xml:space="preserve"> </w:t>
      </w:r>
      <w:r>
        <w:t xml:space="preserve">Probst 2023, PMID 37991022.</w:t>
      </w:r>
    </w:p>
  </w:footnote>
  <w:footnote w:id="377">
    <w:p>
      <w:pPr>
        <w:pStyle w:val="FootnoteText"/>
      </w:pPr>
      <w:r>
        <w:rPr>
          <w:rStyle w:val="FootnoteReference"/>
        </w:rPr>
        <w:footnoteRef/>
      </w:r>
      <w:r>
        <w:t xml:space="preserve"> </w:t>
      </w:r>
      <w:r>
        <w:t xml:space="preserve">Winzeler 2021, PMID 34473645.</w:t>
      </w:r>
    </w:p>
  </w:footnote>
  <w:footnote w:id="380">
    <w:p>
      <w:pPr>
        <w:pStyle w:val="FootnoteText"/>
      </w:pPr>
      <w:r>
        <w:rPr>
          <w:rStyle w:val="FootnoteReference"/>
        </w:rPr>
        <w:footnoteRef/>
      </w:r>
      <w:r>
        <w:t xml:space="preserve"> </w:t>
      </w:r>
      <w:r>
        <w:t xml:space="preserve">Glaesner 2010, PMID 20503261.</w:t>
      </w:r>
    </w:p>
  </w:footnote>
  <w:footnote w:id="381">
    <w:p>
      <w:pPr>
        <w:pStyle w:val="FootnoteText"/>
      </w:pPr>
      <w:r>
        <w:rPr>
          <w:rStyle w:val="FootnoteReference"/>
        </w:rPr>
        <w:footnoteRef/>
      </w:r>
      <w:r>
        <w:t xml:space="preserve"> </w:t>
      </w:r>
      <w:r>
        <w:t xml:space="preserve">Bjerre Knudsen 2010, PMID 20203154.</w:t>
      </w:r>
    </w:p>
  </w:footnote>
  <w:footnote w:id="383">
    <w:p>
      <w:pPr>
        <w:pStyle w:val="FootnoteText"/>
      </w:pPr>
      <w:r>
        <w:rPr>
          <w:rStyle w:val="FootnoteReference"/>
        </w:rPr>
        <w:footnoteRef/>
      </w:r>
      <w:r>
        <w:t xml:space="preserve"> </w:t>
      </w:r>
      <w:r>
        <w:t xml:space="preserve">Gerstein 2019, PMID 31189511.</w:t>
      </w:r>
    </w:p>
  </w:footnote>
  <w:footnote w:id="384">
    <w:p>
      <w:pPr>
        <w:pStyle w:val="FootnoteText"/>
      </w:pPr>
      <w:r>
        <w:rPr>
          <w:rStyle w:val="FootnoteReference"/>
        </w:rPr>
        <w:footnoteRef/>
      </w:r>
      <w:r>
        <w:t xml:space="preserve"> </w:t>
      </w:r>
      <w:r>
        <w:t xml:space="preserve">Frias 2021, PMID 33397768.</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Giorgino 2015, PMID 26089386.</w:t>
      </w:r>
    </w:p>
  </w:footnote>
  <w:footnote w:id="387">
    <w:p>
      <w:pPr>
        <w:pStyle w:val="FootnoteText"/>
      </w:pPr>
      <w:r>
        <w:rPr>
          <w:rStyle w:val="FootnoteReference"/>
        </w:rPr>
        <w:footnoteRef/>
      </w:r>
      <w:r>
        <w:t xml:space="preserve"> </w:t>
      </w:r>
      <w:r>
        <w:t xml:space="preserve">Milicevic 2016, PMID 26847401.</w:t>
      </w:r>
    </w:p>
  </w:footnote>
  <w:footnote w:id="388">
    <w:p>
      <w:pPr>
        <w:pStyle w:val="FootnoteText"/>
      </w:pPr>
      <w:r>
        <w:rPr>
          <w:rStyle w:val="FootnoteReference"/>
        </w:rPr>
        <w:footnoteRef/>
      </w:r>
      <w:r>
        <w:t xml:space="preserve"> </w:t>
      </w:r>
      <w:r>
        <w:t xml:space="preserve">He 2022, PMID 35344001.</w:t>
      </w:r>
    </w:p>
  </w:footnote>
  <w:footnote w:id="389">
    <w:p>
      <w:pPr>
        <w:pStyle w:val="FootnoteText"/>
      </w:pPr>
      <w:r>
        <w:rPr>
          <w:rStyle w:val="FootnoteReference"/>
        </w:rPr>
        <w:footnoteRef/>
      </w:r>
      <w:r>
        <w:t xml:space="preserve"> </w:t>
      </w:r>
      <w:r>
        <w:t xml:space="preserve">Kristensen 2019, PMID 31422062.</w:t>
      </w:r>
    </w:p>
  </w:footnote>
  <w:footnote w:id="390">
    <w:p>
      <w:pPr>
        <w:pStyle w:val="FootnoteText"/>
      </w:pPr>
      <w:r>
        <w:rPr>
          <w:rStyle w:val="FootnoteReference"/>
        </w:rPr>
        <w:footnoteRef/>
      </w:r>
      <w:r>
        <w:t xml:space="preserve"> </w:t>
      </w:r>
      <w:r>
        <w:t xml:space="preserve">Silverii 2025, PMID 40437949.</w:t>
      </w:r>
    </w:p>
  </w:footnote>
  <w:footnote w:id="391">
    <w:p>
      <w:pPr>
        <w:pStyle w:val="FootnoteText"/>
      </w:pPr>
      <w:r>
        <w:rPr>
          <w:rStyle w:val="FootnoteReference"/>
        </w:rPr>
        <w:footnoteRef/>
      </w:r>
      <w:r>
        <w:t xml:space="preserve"> </w:t>
      </w:r>
      <w:r>
        <w:t xml:space="preserve">NCT07276763.</w:t>
      </w:r>
    </w:p>
  </w:footnote>
  <w:footnote w:id="394">
    <w:p>
      <w:pPr>
        <w:pStyle w:val="FootnoteText"/>
      </w:pPr>
      <w:r>
        <w:rPr>
          <w:rStyle w:val="FootnoteReference"/>
        </w:rPr>
        <w:footnoteRef/>
      </w:r>
      <w:r>
        <w:t xml:space="preserve"> </w:t>
      </w:r>
      <w:r>
        <w:t xml:space="preserve">NCT06739122.</w:t>
      </w:r>
    </w:p>
  </w:footnote>
  <w:footnote w:id="395">
    <w:p>
      <w:pPr>
        <w:pStyle w:val="FootnoteText"/>
      </w:pPr>
      <w:r>
        <w:rPr>
          <w:rStyle w:val="FootnoteReference"/>
        </w:rPr>
        <w:footnoteRef/>
      </w:r>
      <w:r>
        <w:t xml:space="preserve"> </w:t>
      </w:r>
      <w:r>
        <w:t xml:space="preserve">NCT07668336.</w:t>
      </w:r>
    </w:p>
  </w:footnote>
  <w:footnote w:id="396">
    <w:p>
      <w:pPr>
        <w:pStyle w:val="FootnoteText"/>
      </w:pPr>
      <w:r>
        <w:rPr>
          <w:rStyle w:val="FootnoteReference"/>
        </w:rPr>
        <w:footnoteRef/>
      </w:r>
      <w:r>
        <w:t xml:space="preserve"> </w:t>
      </w:r>
      <w:r>
        <w:t xml:space="preserve">NCT07282041.</w:t>
      </w:r>
    </w:p>
  </w:footnote>
  <w:footnote w:id="397">
    <w:p>
      <w:pPr>
        <w:pStyle w:val="FootnoteText"/>
      </w:pPr>
      <w:r>
        <w:rPr>
          <w:rStyle w:val="FootnoteReference"/>
        </w:rPr>
        <w:footnoteRef/>
      </w:r>
      <w:r>
        <w:t xml:space="preserve"> </w:t>
      </w:r>
      <w:r>
        <w:t xml:space="preserve">NCT06324461.</w:t>
      </w:r>
    </w:p>
  </w:footnote>
  <w:footnote w:id="398">
    <w:p>
      <w:pPr>
        <w:pStyle w:val="FootnoteText"/>
      </w:pPr>
      <w:r>
        <w:rPr>
          <w:rStyle w:val="FootnoteReference"/>
        </w:rPr>
        <w:footnoteRef/>
      </w:r>
      <w:r>
        <w:t xml:space="preserve"> </w:t>
      </w:r>
      <w:r>
        <w:t xml:space="preserve">NCT04731272.</w:t>
      </w:r>
    </w:p>
  </w:footnote>
  <w:footnote w:id="399">
    <w:p>
      <w:pPr>
        <w:pStyle w:val="FootnoteText"/>
      </w:pPr>
      <w:r>
        <w:rPr>
          <w:rStyle w:val="FootnoteReference"/>
        </w:rPr>
        <w:footnoteRef/>
      </w:r>
      <w:r>
        <w:t xml:space="preserve"> </w:t>
      </w:r>
      <w:r>
        <w:t xml:space="preserve">NCT06257966.</w:t>
      </w:r>
    </w:p>
  </w:footnote>
  <w:footnote w:id="403">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Lau 2015, PMID 26308095.</w:t>
      </w:r>
    </w:p>
  </w:footnote>
  <w:footnote w:id="406">
    <w:p>
      <w:pPr>
        <w:pStyle w:val="FootnoteText"/>
      </w:pPr>
      <w:r>
        <w:rPr>
          <w:rStyle w:val="FootnoteReference"/>
        </w:rPr>
        <w:footnoteRef/>
      </w:r>
      <w:r>
        <w:t xml:space="preserve"> </w:t>
      </w:r>
      <w:r>
        <w:t xml:space="preserve">Buckley 2018, PMID 30429357.</w:t>
      </w:r>
    </w:p>
  </w:footnote>
  <w:footnote w:id="408">
    <w:p>
      <w:pPr>
        <w:pStyle w:val="FootnoteText"/>
      </w:pPr>
      <w:r>
        <w:rPr>
          <w:rStyle w:val="FootnoteReference"/>
        </w:rPr>
        <w:footnoteRef/>
      </w:r>
      <w:r>
        <w:t xml:space="preserve"> </w:t>
      </w:r>
      <w:r>
        <w:t xml:space="preserve">Sorli 2017, PMID 28110911.</w:t>
      </w:r>
    </w:p>
  </w:footnote>
  <w:footnote w:id="409">
    <w:p>
      <w:pPr>
        <w:pStyle w:val="FootnoteText"/>
      </w:pPr>
      <w:r>
        <w:rPr>
          <w:rStyle w:val="FootnoteReference"/>
        </w:rPr>
        <w:footnoteRef/>
      </w:r>
      <w:r>
        <w:t xml:space="preserve"> </w:t>
      </w:r>
      <w:r>
        <w:t xml:space="preserve">Frías 2021, PMID 34293304.</w:t>
      </w:r>
    </w:p>
  </w:footnote>
  <w:footnote w:id="410">
    <w:p>
      <w:pPr>
        <w:pStyle w:val="FootnoteText"/>
      </w:pPr>
      <w:r>
        <w:rPr>
          <w:rStyle w:val="FootnoteReference"/>
        </w:rPr>
        <w:footnoteRef/>
      </w:r>
      <w:r>
        <w:t xml:space="preserve"> </w:t>
      </w:r>
      <w:r>
        <w:t xml:space="preserve">Marso 2016, PMID 27633186.</w:t>
      </w:r>
    </w:p>
  </w:footnote>
  <w:footnote w:id="412">
    <w:p>
      <w:pPr>
        <w:pStyle w:val="FootnoteText"/>
      </w:pPr>
      <w:r>
        <w:rPr>
          <w:rStyle w:val="FootnoteReference"/>
        </w:rPr>
        <w:footnoteRef/>
      </w:r>
      <w:r>
        <w:t xml:space="preserve"> </w:t>
      </w:r>
      <w:r>
        <w:t xml:space="preserve">Rubino 2022, PMID 35015037.</w:t>
      </w:r>
    </w:p>
  </w:footnote>
  <w:footnote w:id="413">
    <w:p>
      <w:pPr>
        <w:pStyle w:val="FootnoteText"/>
      </w:pPr>
      <w:r>
        <w:rPr>
          <w:rStyle w:val="FootnoteReference"/>
        </w:rPr>
        <w:footnoteRef/>
      </w:r>
      <w:r>
        <w:t xml:space="preserve"> </w:t>
      </w:r>
      <w:r>
        <w:t xml:space="preserve">Capehorn 2020, PMID 31539622.</w:t>
      </w:r>
    </w:p>
  </w:footnote>
  <w:footnote w:id="414">
    <w:p>
      <w:pPr>
        <w:pStyle w:val="FootnoteText"/>
      </w:pPr>
      <w:r>
        <w:rPr>
          <w:rStyle w:val="FootnoteReference"/>
        </w:rPr>
        <w:footnoteRef/>
      </w:r>
      <w:r>
        <w:t xml:space="preserve"> </w:t>
      </w:r>
      <w:r>
        <w:t xml:space="preserve">Ahmann 2018, PMID 29246950.</w:t>
      </w:r>
    </w:p>
  </w:footnote>
  <w:footnote w:id="415">
    <w:p>
      <w:pPr>
        <w:pStyle w:val="FootnoteText"/>
      </w:pPr>
      <w:r>
        <w:rPr>
          <w:rStyle w:val="FootnoteReference"/>
        </w:rPr>
        <w:footnoteRef/>
      </w:r>
      <w:r>
        <w:t xml:space="preserve"> </w:t>
      </w:r>
      <w:r>
        <w:t xml:space="preserve">Pratley 2019, PMID 31186120.</w:t>
      </w:r>
    </w:p>
  </w:footnote>
  <w:footnote w:id="416">
    <w:p>
      <w:pPr>
        <w:pStyle w:val="FootnoteText"/>
      </w:pPr>
      <w:r>
        <w:rPr>
          <w:rStyle w:val="FootnoteReference"/>
        </w:rPr>
        <w:footnoteRef/>
      </w:r>
      <w:r>
        <w:t xml:space="preserve"> </w:t>
      </w:r>
      <w:r>
        <w:t xml:space="preserve">Aronne 2025, PMID 40353578.</w:t>
      </w:r>
    </w:p>
  </w:footnote>
  <w:footnote w:id="418">
    <w:p>
      <w:pPr>
        <w:pStyle w:val="FootnoteText"/>
      </w:pPr>
      <w:r>
        <w:rPr>
          <w:rStyle w:val="FootnoteReference"/>
        </w:rPr>
        <w:footnoteRef/>
      </w:r>
      <w:r>
        <w:t xml:space="preserve"> </w:t>
      </w:r>
      <w:r>
        <w:t xml:space="preserve">Aroda 2023, PMID 37385279.</w:t>
      </w:r>
    </w:p>
  </w:footnote>
  <w:footnote w:id="419">
    <w:p>
      <w:pPr>
        <w:pStyle w:val="FootnoteText"/>
      </w:pPr>
      <w:r>
        <w:rPr>
          <w:rStyle w:val="FootnoteReference"/>
        </w:rPr>
        <w:footnoteRef/>
      </w:r>
      <w:r>
        <w:t xml:space="preserve"> </w:t>
      </w:r>
      <w:r>
        <w:t xml:space="preserve">Husain 2019, PMID 31185157.</w:t>
      </w:r>
    </w:p>
  </w:footnote>
  <w:footnote w:id="420">
    <w:p>
      <w:pPr>
        <w:pStyle w:val="FootnoteText"/>
      </w:pPr>
      <w:r>
        <w:rPr>
          <w:rStyle w:val="FootnoteReference"/>
        </w:rPr>
        <w:footnoteRef/>
      </w:r>
      <w:r>
        <w:t xml:space="preserve"> </w:t>
      </w:r>
      <w:r>
        <w:t xml:space="preserve">McGuire 2025, PMID 40162642.</w:t>
      </w:r>
    </w:p>
  </w:footnote>
  <w:footnote w:id="422">
    <w:p>
      <w:pPr>
        <w:pStyle w:val="FootnoteText"/>
      </w:pPr>
      <w:r>
        <w:rPr>
          <w:rStyle w:val="FootnoteReference"/>
        </w:rPr>
        <w:footnoteRef/>
      </w:r>
      <w:r>
        <w:t xml:space="preserve"> </w:t>
      </w:r>
      <w:r>
        <w:t xml:space="preserve">Wilding 2021, PMID 33567185.</w:t>
      </w:r>
    </w:p>
  </w:footnote>
  <w:footnote w:id="423">
    <w:p>
      <w:pPr>
        <w:pStyle w:val="FootnoteText"/>
      </w:pPr>
      <w:r>
        <w:rPr>
          <w:rStyle w:val="FootnoteReference"/>
        </w:rPr>
        <w:footnoteRef/>
      </w:r>
      <w:r>
        <w:t xml:space="preserve"> </w:t>
      </w:r>
      <w:r>
        <w:t xml:space="preserve">Garvey 2022, PMID 36216945.</w:t>
      </w:r>
    </w:p>
  </w:footnote>
  <w:footnote w:id="424">
    <w:p>
      <w:pPr>
        <w:pStyle w:val="FootnoteText"/>
      </w:pPr>
      <w:r>
        <w:rPr>
          <w:rStyle w:val="FootnoteReference"/>
        </w:rPr>
        <w:footnoteRef/>
      </w:r>
      <w:r>
        <w:t xml:space="preserve"> </w:t>
      </w:r>
      <w:r>
        <w:t xml:space="preserve">Rubino 2021, PMID 33755728.</w:t>
      </w:r>
    </w:p>
  </w:footnote>
  <w:footnote w:id="425">
    <w:p>
      <w:pPr>
        <w:pStyle w:val="FootnoteText"/>
      </w:pPr>
      <w:r>
        <w:rPr>
          <w:rStyle w:val="FootnoteReference"/>
        </w:rPr>
        <w:footnoteRef/>
      </w:r>
      <w:r>
        <w:t xml:space="preserve"> </w:t>
      </w:r>
      <w:r>
        <w:t xml:space="preserve">Wilding 2022, PMID 35441470.</w:t>
      </w:r>
    </w:p>
  </w:footnote>
  <w:footnote w:id="426">
    <w:p>
      <w:pPr>
        <w:pStyle w:val="FootnoteText"/>
      </w:pPr>
      <w:r>
        <w:rPr>
          <w:rStyle w:val="FootnoteReference"/>
        </w:rPr>
        <w:footnoteRef/>
      </w:r>
      <w:r>
        <w:t xml:space="preserve"> </w:t>
      </w:r>
      <w:r>
        <w:t xml:space="preserve">Wharton 2025, PMID 40961952.</w:t>
      </w:r>
    </w:p>
  </w:footnote>
  <w:footnote w:id="428">
    <w:p>
      <w:pPr>
        <w:pStyle w:val="FootnoteText"/>
      </w:pPr>
      <w:r>
        <w:rPr>
          <w:rStyle w:val="FootnoteReference"/>
        </w:rPr>
        <w:footnoteRef/>
      </w:r>
      <w:r>
        <w:t xml:space="preserve"> </w:t>
      </w:r>
      <w:r>
        <w:t xml:space="preserve">Knop 2023, PMID 37385278; Wharton 2025, PMID 40934115.</w:t>
      </w:r>
    </w:p>
  </w:footnote>
  <w:footnote w:id="430">
    <w:p>
      <w:pPr>
        <w:pStyle w:val="FootnoteText"/>
      </w:pPr>
      <w:r>
        <w:rPr>
          <w:rStyle w:val="FootnoteReference"/>
        </w:rPr>
        <w:footnoteRef/>
      </w:r>
      <w:r>
        <w:t xml:space="preserve"> </w:t>
      </w:r>
      <w:r>
        <w:t xml:space="preserve">Weghuber 2022, PMID 36322838.</w:t>
      </w:r>
    </w:p>
  </w:footnote>
  <w:footnote w:id="431">
    <w:p>
      <w:pPr>
        <w:pStyle w:val="FootnoteText"/>
      </w:pPr>
      <w:r>
        <w:rPr>
          <w:rStyle w:val="FootnoteReference"/>
        </w:rPr>
        <w:footnoteRef/>
      </w:r>
      <w:r>
        <w:t xml:space="preserve"> </w:t>
      </w:r>
      <w:r>
        <w:t xml:space="preserve">NCT05726227.</w:t>
      </w:r>
    </w:p>
  </w:footnote>
  <w:footnote w:id="433">
    <w:p>
      <w:pPr>
        <w:pStyle w:val="FootnoteText"/>
      </w:pPr>
      <w:r>
        <w:rPr>
          <w:rStyle w:val="FootnoteReference"/>
        </w:rPr>
        <w:footnoteRef/>
      </w:r>
      <w:r>
        <w:t xml:space="preserve"> </w:t>
      </w:r>
      <w:r>
        <w:t xml:space="preserve">Lincoff 2023, PMID 37952131.</w:t>
      </w:r>
    </w:p>
  </w:footnote>
  <w:footnote w:id="435">
    <w:p>
      <w:pPr>
        <w:pStyle w:val="FootnoteText"/>
      </w:pPr>
      <w:r>
        <w:rPr>
          <w:rStyle w:val="FootnoteReference"/>
        </w:rPr>
        <w:footnoteRef/>
      </w:r>
      <w:r>
        <w:t xml:space="preserve"> </w:t>
      </w:r>
      <w:r>
        <w:t xml:space="preserve">Perkovic 2024, PMID 38785209.</w:t>
      </w:r>
    </w:p>
  </w:footnote>
  <w:footnote w:id="437">
    <w:p>
      <w:pPr>
        <w:pStyle w:val="FootnoteText"/>
      </w:pPr>
      <w:r>
        <w:rPr>
          <w:rStyle w:val="FootnoteReference"/>
        </w:rPr>
        <w:footnoteRef/>
      </w:r>
      <w:r>
        <w:t xml:space="preserve"> </w:t>
      </w:r>
      <w:r>
        <w:t xml:space="preserve">Sanyal 2025, PMID 40305708.</w:t>
      </w:r>
    </w:p>
  </w:footnote>
  <w:footnote w:id="438">
    <w:p>
      <w:pPr>
        <w:pStyle w:val="FootnoteText"/>
      </w:pPr>
      <w:r>
        <w:rPr>
          <w:rStyle w:val="FootnoteReference"/>
        </w:rPr>
        <w:footnoteRef/>
      </w:r>
      <w:r>
        <w:t xml:space="preserve"> </w:t>
      </w:r>
      <w:r>
        <w:t xml:space="preserve">NCT04822181.</w:t>
      </w:r>
    </w:p>
  </w:footnote>
  <w:footnote w:id="439">
    <w:p>
      <w:pPr>
        <w:pStyle w:val="FootnoteText"/>
      </w:pPr>
      <w:r>
        <w:rPr>
          <w:rStyle w:val="FootnoteReference"/>
        </w:rPr>
        <w:footnoteRef/>
      </w:r>
      <w:r>
        <w:t xml:space="preserve"> </w:t>
      </w:r>
      <w:r>
        <w:t xml:space="preserve">Kosiborod 2023, PMID 37622681.</w:t>
      </w:r>
    </w:p>
  </w:footnote>
  <w:footnote w:id="440">
    <w:p>
      <w:pPr>
        <w:pStyle w:val="FootnoteText"/>
      </w:pPr>
      <w:r>
        <w:rPr>
          <w:rStyle w:val="FootnoteReference"/>
        </w:rPr>
        <w:footnoteRef/>
      </w:r>
      <w:r>
        <w:t xml:space="preserve"> </w:t>
      </w:r>
      <w:r>
        <w:t xml:space="preserve">Bonaca 2025, PMID 40169145.</w:t>
      </w:r>
    </w:p>
  </w:footnote>
  <w:footnote w:id="441">
    <w:p>
      <w:pPr>
        <w:pStyle w:val="FootnoteText"/>
      </w:pPr>
      <w:r>
        <w:rPr>
          <w:rStyle w:val="FootnoteReference"/>
        </w:rPr>
        <w:footnoteRef/>
      </w:r>
      <w:r>
        <w:t xml:space="preserve"> </w:t>
      </w:r>
      <w:r>
        <w:t xml:space="preserve">Bliddal 2024, PMID 39476339.</w:t>
      </w:r>
    </w:p>
  </w:footnote>
  <w:footnote w:id="443">
    <w:p>
      <w:pPr>
        <w:pStyle w:val="FootnoteText"/>
      </w:pPr>
      <w:r>
        <w:rPr>
          <w:rStyle w:val="FootnoteReference"/>
        </w:rPr>
        <w:footnoteRef/>
      </w:r>
      <w:r>
        <w:t xml:space="preserve"> </w:t>
      </w:r>
      <w:r>
        <w:t xml:space="preserve">Cummings 2026, PMID 41865758.</w:t>
      </w:r>
    </w:p>
  </w:footnote>
  <w:footnote w:id="444">
    <w:p>
      <w:pPr>
        <w:pStyle w:val="FootnoteText"/>
      </w:pPr>
      <w:r>
        <w:rPr>
          <w:rStyle w:val="FootnoteReference"/>
        </w:rPr>
        <w:footnoteRef/>
      </w:r>
      <w:r>
        <w:t xml:space="preserve"> </w:t>
      </w:r>
      <w:r>
        <w:t xml:space="preserve">Schneider 2026, PMID 41865757.</w:t>
      </w:r>
    </w:p>
  </w:footnote>
  <w:footnote w:id="445">
    <w:p>
      <w:pPr>
        <w:pStyle w:val="FootnoteText"/>
      </w:pPr>
      <w:r>
        <w:rPr>
          <w:rStyle w:val="FootnoteReference"/>
        </w:rPr>
        <w:footnoteRef/>
      </w:r>
      <w:r>
        <w:t xml:space="preserve"> </w:t>
      </w:r>
      <w:r>
        <w:t xml:space="preserve">Hendershot 2025, PMID 39937469.</w:t>
      </w:r>
    </w:p>
  </w:footnote>
  <w:footnote w:id="446">
    <w:p>
      <w:pPr>
        <w:pStyle w:val="FootnoteText"/>
      </w:pPr>
      <w:r>
        <w:rPr>
          <w:rStyle w:val="FootnoteReference"/>
        </w:rPr>
        <w:footnoteRef/>
      </w:r>
      <w:r>
        <w:t xml:space="preserve"> </w:t>
      </w:r>
      <w:r>
        <w:t xml:space="preserve">Lähteenvuo 2025, PMID 39535805.</w:t>
      </w:r>
    </w:p>
  </w:footnote>
  <w:footnote w:id="449">
    <w:p>
      <w:pPr>
        <w:pStyle w:val="FootnoteText"/>
      </w:pPr>
      <w:r>
        <w:rPr>
          <w:rStyle w:val="FootnoteReference"/>
        </w:rPr>
        <w:footnoteRef/>
      </w:r>
      <w:r>
        <w:t xml:space="preserve"> </w:t>
      </w:r>
      <w:r>
        <w:t xml:space="preserve">Lau 2015, PMID 26308095.</w:t>
      </w:r>
    </w:p>
  </w:footnote>
  <w:footnote w:id="450">
    <w:p>
      <w:pPr>
        <w:pStyle w:val="FootnoteText"/>
      </w:pPr>
      <w:r>
        <w:rPr>
          <w:rStyle w:val="FootnoteReference"/>
        </w:rPr>
        <w:footnoteRef/>
      </w:r>
      <w:r>
        <w:t xml:space="preserve"> </w:t>
      </w:r>
      <w:r>
        <w:t xml:space="preserve">Buckley 2018, PMID 30429357.</w:t>
      </w:r>
    </w:p>
  </w:footnote>
  <w:footnote w:id="451">
    <w:p>
      <w:pPr>
        <w:pStyle w:val="FootnoteText"/>
      </w:pPr>
      <w:r>
        <w:rPr>
          <w:rStyle w:val="FootnoteReference"/>
        </w:rPr>
        <w:footnoteRef/>
      </w:r>
      <w:r>
        <w:t xml:space="preserve"> </w:t>
      </w:r>
      <w:r>
        <w:t xml:space="preserve">Bjerre Knudsen 2010, PMID 20203154.</w:t>
      </w:r>
    </w:p>
  </w:footnote>
  <w:footnote w:id="453">
    <w:p>
      <w:pPr>
        <w:pStyle w:val="FootnoteText"/>
      </w:pPr>
      <w:r>
        <w:rPr>
          <w:rStyle w:val="FootnoteReference"/>
        </w:rPr>
        <w:footnoteRef/>
      </w:r>
      <w:r>
        <w:t xml:space="preserve"> </w:t>
      </w:r>
      <w:r>
        <w:t xml:space="preserve">Wilding 2021, PMID 33567185.</w:t>
      </w:r>
    </w:p>
  </w:footnote>
  <w:footnote w:id="454">
    <w:p>
      <w:pPr>
        <w:pStyle w:val="FootnoteText"/>
      </w:pPr>
      <w:r>
        <w:rPr>
          <w:rStyle w:val="FootnoteReference"/>
        </w:rPr>
        <w:footnoteRef/>
      </w:r>
      <w:r>
        <w:t xml:space="preserve"> </w:t>
      </w:r>
      <w:r>
        <w:t xml:space="preserve">He 2022, PMID 35344001.</w:t>
      </w:r>
    </w:p>
  </w:footnote>
  <w:footnote w:id="455">
    <w:p>
      <w:pPr>
        <w:pStyle w:val="FootnoteText"/>
      </w:pPr>
      <w:r>
        <w:rPr>
          <w:rStyle w:val="FootnoteReference"/>
        </w:rPr>
        <w:footnoteRef/>
      </w:r>
      <w:r>
        <w:t xml:space="preserve"> </w:t>
      </w:r>
      <w:r>
        <w:t xml:space="preserve">Weghuber 2022, PMID 36322838.</w:t>
      </w:r>
    </w:p>
  </w:footnote>
  <w:footnote w:id="456">
    <w:p>
      <w:pPr>
        <w:pStyle w:val="FootnoteText"/>
      </w:pPr>
      <w:r>
        <w:rPr>
          <w:rStyle w:val="FootnoteReference"/>
        </w:rPr>
        <w:footnoteRef/>
      </w:r>
      <w:r>
        <w:t xml:space="preserve"> </w:t>
      </w:r>
      <w:r>
        <w:t xml:space="preserve">Marso 2016, PMID 27633186.</w:t>
      </w:r>
    </w:p>
  </w:footnote>
  <w:footnote w:id="457">
    <w:p>
      <w:pPr>
        <w:pStyle w:val="FootnoteText"/>
      </w:pPr>
      <w:r>
        <w:rPr>
          <w:rStyle w:val="FootnoteReference"/>
        </w:rPr>
        <w:footnoteRef/>
      </w:r>
      <w:r>
        <w:t xml:space="preserve"> </w:t>
      </w:r>
      <w:r>
        <w:t xml:space="preserve">NCT03811561.</w:t>
      </w:r>
    </w:p>
  </w:footnote>
  <w:footnote w:id="458">
    <w:p>
      <w:pPr>
        <w:pStyle w:val="FootnoteText"/>
      </w:pPr>
      <w:r>
        <w:rPr>
          <w:rStyle w:val="FootnoteReference"/>
        </w:rPr>
        <w:footnoteRef/>
      </w:r>
      <w:r>
        <w:t xml:space="preserve"> </w:t>
      </w:r>
      <w:r>
        <w:t xml:space="preserve">Hathaway 2024, PMID 38958939.</w:t>
      </w:r>
    </w:p>
  </w:footnote>
  <w:footnote w:id="459">
    <w:p>
      <w:pPr>
        <w:pStyle w:val="FootnoteText"/>
      </w:pPr>
      <w:r>
        <w:rPr>
          <w:rStyle w:val="FootnoteReference"/>
        </w:rPr>
        <w:footnoteRef/>
      </w:r>
      <w:r>
        <w:t xml:space="preserve"> </w:t>
      </w:r>
      <w:r>
        <w:t xml:space="preserve">Simonsen 2025, PMID 40098249.</w:t>
      </w:r>
    </w:p>
  </w:footnote>
  <w:footnote w:id="460">
    <w:p>
      <w:pPr>
        <w:pStyle w:val="FootnoteText"/>
      </w:pPr>
      <w:r>
        <w:rPr>
          <w:rStyle w:val="FootnoteReference"/>
        </w:rPr>
        <w:footnoteRef/>
      </w:r>
      <w:r>
        <w:t xml:space="preserve"> </w:t>
      </w:r>
      <w:r>
        <w:t xml:space="preserve">Liu 2026, PMID 41475544.</w:t>
      </w:r>
    </w:p>
  </w:footnote>
  <w:footnote w:id="461">
    <w:p>
      <w:pPr>
        <w:pStyle w:val="FootnoteText"/>
      </w:pPr>
      <w:r>
        <w:rPr>
          <w:rStyle w:val="FootnoteReference"/>
        </w:rPr>
        <w:footnoteRef/>
      </w:r>
      <w:r>
        <w:t xml:space="preserve"> </w:t>
      </w:r>
      <w:r>
        <w:t xml:space="preserve">Sodhi 2023, PMID 37796527.</w:t>
      </w:r>
    </w:p>
  </w:footnote>
  <w:footnote w:id="462">
    <w:p>
      <w:pPr>
        <w:pStyle w:val="FootnoteText"/>
      </w:pPr>
      <w:r>
        <w:rPr>
          <w:rStyle w:val="FootnoteReference"/>
        </w:rPr>
        <w:footnoteRef/>
      </w:r>
      <w:r>
        <w:t xml:space="preserve"> </w:t>
      </w:r>
      <w:r>
        <w:t xml:space="preserve">Bezin 2023, PMID 36356111; Silverii 2025, PMID 40437949.</w:t>
      </w:r>
    </w:p>
  </w:footnote>
  <w:footnote w:id="463">
    <w:p>
      <w:pPr>
        <w:pStyle w:val="FootnoteText"/>
      </w:pPr>
      <w:r>
        <w:rPr>
          <w:rStyle w:val="FootnoteReference"/>
        </w:rPr>
        <w:footnoteRef/>
      </w:r>
      <w:r>
        <w:t xml:space="preserve"> </w:t>
      </w:r>
      <w:r>
        <w:t xml:space="preserve">Wang 2024, PMID 38182782.</w:t>
      </w:r>
    </w:p>
  </w:footnote>
  <w:footnote w:id="465">
    <w:p>
      <w:pPr>
        <w:pStyle w:val="FootnoteText"/>
      </w:pPr>
      <w:r>
        <w:rPr>
          <w:rStyle w:val="FootnoteReference"/>
        </w:rPr>
        <w:footnoteRef/>
      </w:r>
      <w:r>
        <w:t xml:space="preserve"> </w:t>
      </w:r>
      <w:r>
        <w:t xml:space="preserve">Lambson 2023, PMID 37392810.</w:t>
      </w:r>
    </w:p>
  </w:footnote>
  <w:footnote w:id="466">
    <w:p>
      <w:pPr>
        <w:pStyle w:val="FootnoteText"/>
      </w:pPr>
      <w:r>
        <w:rPr>
          <w:rStyle w:val="FootnoteReference"/>
        </w:rPr>
        <w:footnoteRef/>
      </w:r>
      <w:r>
        <w:t xml:space="preserve"> </w:t>
      </w:r>
      <w:r>
        <w:t xml:space="preserve">McCall 2026, PMID 40285721.</w:t>
      </w:r>
    </w:p>
  </w:footnote>
  <w:footnote w:id="467">
    <w:p>
      <w:pPr>
        <w:pStyle w:val="FootnoteText"/>
      </w:pPr>
      <w:r>
        <w:rPr>
          <w:rStyle w:val="FootnoteReference"/>
        </w:rPr>
        <w:footnoteRef/>
      </w:r>
      <w:r>
        <w:t xml:space="preserve"> </w:t>
      </w:r>
      <w:r>
        <w:t xml:space="preserve">Ashraf 2024, PMID 39509151.</w:t>
      </w:r>
    </w:p>
  </w:footnote>
  <w:footnote w:id="470">
    <w:p>
      <w:pPr>
        <w:pStyle w:val="FootnoteText"/>
      </w:pPr>
      <w:r>
        <w:rPr>
          <w:rStyle w:val="FootnoteReference"/>
        </w:rPr>
        <w:footnoteRef/>
      </w:r>
      <w:r>
        <w:t xml:space="preserve"> </w:t>
      </w:r>
      <w:r>
        <w:t xml:space="preserve">NCT03811561.</w:t>
      </w:r>
    </w:p>
  </w:footnote>
  <w:footnote w:id="471">
    <w:p>
      <w:pPr>
        <w:pStyle w:val="FootnoteText"/>
      </w:pPr>
      <w:r>
        <w:rPr>
          <w:rStyle w:val="FootnoteReference"/>
        </w:rPr>
        <w:footnoteRef/>
      </w:r>
      <w:r>
        <w:t xml:space="preserve"> </w:t>
      </w:r>
      <w:r>
        <w:t xml:space="preserve">NCT04822181.</w:t>
      </w:r>
    </w:p>
  </w:footnote>
  <w:footnote w:id="472">
    <w:p>
      <w:pPr>
        <w:pStyle w:val="FootnoteText"/>
      </w:pPr>
      <w:r>
        <w:rPr>
          <w:rStyle w:val="FootnoteReference"/>
        </w:rPr>
        <w:footnoteRef/>
      </w:r>
      <w:r>
        <w:t xml:space="preserve"> </w:t>
      </w:r>
      <w:r>
        <w:t xml:space="preserve">NCT05726227.</w:t>
      </w:r>
    </w:p>
  </w:footnote>
  <w:footnote w:id="473">
    <w:p>
      <w:pPr>
        <w:pStyle w:val="FootnoteText"/>
      </w:pPr>
      <w:r>
        <w:rPr>
          <w:rStyle w:val="FootnoteReference"/>
        </w:rPr>
        <w:footnoteRef/>
      </w:r>
      <w:r>
        <w:t xml:space="preserve"> </w:t>
      </w:r>
      <w:r>
        <w:t xml:space="preserve">NCT07770841.</w:t>
      </w:r>
    </w:p>
  </w:footnote>
  <w:footnote w:id="474">
    <w:p>
      <w:pPr>
        <w:pStyle w:val="FootnoteText"/>
      </w:pPr>
      <w:r>
        <w:rPr>
          <w:rStyle w:val="FootnoteReference"/>
        </w:rPr>
        <w:footnoteRef/>
      </w:r>
      <w:r>
        <w:t xml:space="preserve"> </w:t>
      </w:r>
      <w:r>
        <w:t xml:space="preserve">NCT05669755.</w:t>
      </w:r>
    </w:p>
  </w:footnote>
  <w:footnote w:id="479">
    <w:p>
      <w:pPr>
        <w:pStyle w:val="FootnoteText"/>
      </w:pPr>
      <w:r>
        <w:rPr>
          <w:rStyle w:val="FootnoteReference"/>
        </w:rPr>
        <w:footnoteRef/>
      </w:r>
      <w:r>
        <w:t xml:space="preserve"> </w:t>
      </w:r>
      <w:r>
        <w:t xml:space="preserve">Willard 2020, PMID 32730231.</w:t>
      </w:r>
    </w:p>
  </w:footnote>
  <w:footnote w:id="480">
    <w:p>
      <w:pPr>
        <w:pStyle w:val="FootnoteText"/>
      </w:pPr>
      <w:r>
        <w:rPr>
          <w:rStyle w:val="FootnoteReference"/>
        </w:rPr>
        <w:footnoteRef/>
      </w:r>
      <w:r>
        <w:t xml:space="preserve"> </w:t>
      </w:r>
      <w:r>
        <w:t xml:space="preserve">Samms 2021, PMID 34003802.</w:t>
      </w:r>
    </w:p>
  </w:footnote>
  <w:footnote w:id="481">
    <w:p>
      <w:pPr>
        <w:pStyle w:val="FootnoteText"/>
      </w:pPr>
      <w:r>
        <w:rPr>
          <w:rStyle w:val="FootnoteReference"/>
        </w:rPr>
        <w:footnoteRef/>
      </w:r>
      <w:r>
        <w:t xml:space="preserve"> </w:t>
      </w:r>
      <w:r>
        <w:t xml:space="preserve">Heise 2023, PMID 36857477.</w:t>
      </w:r>
    </w:p>
  </w:footnote>
  <w:footnote w:id="483">
    <w:p>
      <w:pPr>
        <w:pStyle w:val="FootnoteText"/>
      </w:pPr>
      <w:r>
        <w:rPr>
          <w:rStyle w:val="FootnoteReference"/>
        </w:rPr>
        <w:footnoteRef/>
      </w:r>
      <w:r>
        <w:t xml:space="preserve"> </w:t>
      </w:r>
      <w:r>
        <w:t xml:space="preserve">Coskun 2018, PMID 30473097.</w:t>
      </w:r>
    </w:p>
  </w:footnote>
  <w:footnote w:id="484">
    <w:p>
      <w:pPr>
        <w:pStyle w:val="FootnoteText"/>
      </w:pPr>
      <w:r>
        <w:rPr>
          <w:rStyle w:val="FootnoteReference"/>
        </w:rPr>
        <w:footnoteRef/>
      </w:r>
      <w:r>
        <w:t xml:space="preserve"> </w:t>
      </w:r>
      <w:r>
        <w:t xml:space="preserve">Frias 2018, PMID 30293770.</w:t>
      </w:r>
    </w:p>
  </w:footnote>
  <w:footnote w:id="486">
    <w:p>
      <w:pPr>
        <w:pStyle w:val="FootnoteText"/>
      </w:pPr>
      <w:r>
        <w:rPr>
          <w:rStyle w:val="FootnoteReference"/>
        </w:rPr>
        <w:footnoteRef/>
      </w:r>
      <w:r>
        <w:t xml:space="preserve"> </w:t>
      </w:r>
      <w:r>
        <w:t xml:space="preserve">Frías 2021, PMID 34170647.</w:t>
      </w:r>
    </w:p>
  </w:footnote>
  <w:footnote w:id="487">
    <w:p>
      <w:pPr>
        <w:pStyle w:val="FootnoteText"/>
      </w:pPr>
      <w:r>
        <w:rPr>
          <w:rStyle w:val="FootnoteReference"/>
        </w:rPr>
        <w:footnoteRef/>
      </w:r>
      <w:r>
        <w:t xml:space="preserve"> </w:t>
      </w:r>
      <w:r>
        <w:t xml:space="preserve">Ludvik 2021, PMID 34370970.</w:t>
      </w:r>
    </w:p>
  </w:footnote>
  <w:footnote w:id="488">
    <w:p>
      <w:pPr>
        <w:pStyle w:val="FootnoteText"/>
      </w:pPr>
      <w:r>
        <w:rPr>
          <w:rStyle w:val="FootnoteReference"/>
        </w:rPr>
        <w:footnoteRef/>
      </w:r>
      <w:r>
        <w:t xml:space="preserve"> </w:t>
      </w:r>
      <w:r>
        <w:t xml:space="preserve">Hannon 2025, PMID 40975112.</w:t>
      </w:r>
    </w:p>
  </w:footnote>
  <w:footnote w:id="489">
    <w:p>
      <w:pPr>
        <w:pStyle w:val="FootnoteText"/>
      </w:pPr>
      <w:r>
        <w:rPr>
          <w:rStyle w:val="FootnoteReference"/>
        </w:rPr>
        <w:footnoteRef/>
      </w:r>
      <w:r>
        <w:t xml:space="preserve"> </w:t>
      </w:r>
      <w:r>
        <w:t xml:space="preserve">Snaith 2026, PMID 41264593.</w:t>
      </w:r>
    </w:p>
  </w:footnote>
  <w:footnote w:id="490">
    <w:p>
      <w:pPr>
        <w:pStyle w:val="FootnoteText"/>
      </w:pPr>
      <w:r>
        <w:rPr>
          <w:rStyle w:val="FootnoteReference"/>
        </w:rPr>
        <w:footnoteRef/>
      </w:r>
      <w:r>
        <w:t xml:space="preserve"> </w:t>
      </w:r>
      <w:r>
        <w:t xml:space="preserve">Sattar 2022, PMID 35210595.</w:t>
      </w:r>
    </w:p>
  </w:footnote>
  <w:footnote w:id="492">
    <w:p>
      <w:pPr>
        <w:pStyle w:val="FootnoteText"/>
      </w:pPr>
      <w:r>
        <w:rPr>
          <w:rStyle w:val="FootnoteReference"/>
        </w:rPr>
        <w:footnoteRef/>
      </w:r>
      <w:r>
        <w:t xml:space="preserve"> </w:t>
      </w:r>
      <w:r>
        <w:t xml:space="preserve">Nicholls 2025, PMID 41406444.</w:t>
      </w:r>
    </w:p>
  </w:footnote>
  <w:footnote w:id="493">
    <w:p>
      <w:pPr>
        <w:pStyle w:val="FootnoteText"/>
      </w:pPr>
      <w:r>
        <w:rPr>
          <w:rStyle w:val="FootnoteReference"/>
        </w:rPr>
        <w:footnoteRef/>
      </w:r>
      <w:r>
        <w:t xml:space="preserve"> </w:t>
      </w:r>
      <w:r>
        <w:t xml:space="preserve">Nissen 2026, PMID 41903177.</w:t>
      </w:r>
    </w:p>
  </w:footnote>
  <w:footnote w:id="494">
    <w:p>
      <w:pPr>
        <w:pStyle w:val="FootnoteText"/>
      </w:pPr>
      <w:r>
        <w:rPr>
          <w:rStyle w:val="FootnoteReference"/>
        </w:rPr>
        <w:footnoteRef/>
      </w:r>
      <w:r>
        <w:t xml:space="preserve"> </w:t>
      </w:r>
      <w:r>
        <w:t xml:space="preserve">Sattar 2026, PMID 41940793.</w:t>
      </w:r>
    </w:p>
  </w:footnote>
  <w:footnote w:id="496">
    <w:p>
      <w:pPr>
        <w:pStyle w:val="FootnoteText"/>
      </w:pPr>
      <w:r>
        <w:rPr>
          <w:rStyle w:val="FootnoteReference"/>
        </w:rPr>
        <w:footnoteRef/>
      </w:r>
      <w:r>
        <w:t xml:space="preserve"> </w:t>
      </w:r>
      <w:r>
        <w:t xml:space="preserve">Jastreboff 2022, PMID 35658024.</w:t>
      </w:r>
    </w:p>
  </w:footnote>
  <w:footnote w:id="497">
    <w:p>
      <w:pPr>
        <w:pStyle w:val="FootnoteText"/>
      </w:pPr>
      <w:r>
        <w:rPr>
          <w:rStyle w:val="FootnoteReference"/>
        </w:rPr>
        <w:footnoteRef/>
      </w:r>
      <w:r>
        <w:t xml:space="preserve"> </w:t>
      </w:r>
      <w:r>
        <w:t xml:space="preserve">Garvey 2023, PMID 37385275.</w:t>
      </w:r>
    </w:p>
  </w:footnote>
  <w:footnote w:id="498">
    <w:p>
      <w:pPr>
        <w:pStyle w:val="FootnoteText"/>
      </w:pPr>
      <w:r>
        <w:rPr>
          <w:rStyle w:val="FootnoteReference"/>
        </w:rPr>
        <w:footnoteRef/>
      </w:r>
      <w:r>
        <w:t xml:space="preserve"> </w:t>
      </w:r>
      <w:r>
        <w:t xml:space="preserve">Aronne 2024, PMID 38078870.</w:t>
      </w:r>
    </w:p>
  </w:footnote>
  <w:footnote w:id="499">
    <w:p>
      <w:pPr>
        <w:pStyle w:val="FootnoteText"/>
      </w:pPr>
      <w:r>
        <w:rPr>
          <w:rStyle w:val="FootnoteReference"/>
        </w:rPr>
        <w:footnoteRef/>
      </w:r>
      <w:r>
        <w:t xml:space="preserve"> </w:t>
      </w:r>
      <w:r>
        <w:t xml:space="preserve">Horn 2026, PMID 42119587.</w:t>
      </w:r>
    </w:p>
  </w:footnote>
  <w:footnote w:id="500">
    <w:p>
      <w:pPr>
        <w:pStyle w:val="FootnoteText"/>
      </w:pPr>
      <w:r>
        <w:rPr>
          <w:rStyle w:val="FootnoteReference"/>
        </w:rPr>
        <w:footnoteRef/>
      </w:r>
      <w:r>
        <w:t xml:space="preserve"> </w:t>
      </w:r>
      <w:r>
        <w:t xml:space="preserve">Jastreboff 2025, PMID 39536238.</w:t>
      </w:r>
    </w:p>
  </w:footnote>
  <w:footnote w:id="502">
    <w:p>
      <w:pPr>
        <w:pStyle w:val="FootnoteText"/>
      </w:pPr>
      <w:r>
        <w:rPr>
          <w:rStyle w:val="FootnoteReference"/>
        </w:rPr>
        <w:footnoteRef/>
      </w:r>
      <w:r>
        <w:t xml:space="preserve"> </w:t>
      </w:r>
      <w:r>
        <w:t xml:space="preserve">Aronne 2025, PMID 40353578.</w:t>
      </w:r>
    </w:p>
  </w:footnote>
  <w:footnote w:id="503">
    <w:p>
      <w:pPr>
        <w:pStyle w:val="FootnoteText"/>
      </w:pPr>
      <w:r>
        <w:rPr>
          <w:rStyle w:val="FootnoteReference"/>
        </w:rPr>
        <w:footnoteRef/>
      </w:r>
      <w:r>
        <w:t xml:space="preserve"> </w:t>
      </w:r>
      <w:r>
        <w:t xml:space="preserve">Aronne 2026, PMID 41865857.</w:t>
      </w:r>
    </w:p>
  </w:footnote>
  <w:footnote w:id="505">
    <w:p>
      <w:pPr>
        <w:pStyle w:val="FootnoteText"/>
      </w:pPr>
      <w:r>
        <w:rPr>
          <w:rStyle w:val="FootnoteReference"/>
        </w:rPr>
        <w:footnoteRef/>
      </w:r>
      <w:r>
        <w:t xml:space="preserve"> </w:t>
      </w:r>
      <w:r>
        <w:t xml:space="preserve">Packer 2025, PMID 39555826.</w:t>
      </w:r>
    </w:p>
  </w:footnote>
  <w:footnote w:id="506">
    <w:p>
      <w:pPr>
        <w:pStyle w:val="FootnoteText"/>
      </w:pPr>
      <w:r>
        <w:rPr>
          <w:rStyle w:val="FootnoteReference"/>
        </w:rPr>
        <w:footnoteRef/>
      </w:r>
      <w:r>
        <w:t xml:space="preserve"> </w:t>
      </w:r>
      <w:r>
        <w:t xml:space="preserve">Kramer 2025, PMID 39566869.</w:t>
      </w:r>
    </w:p>
  </w:footnote>
  <w:footnote w:id="508">
    <w:p>
      <w:pPr>
        <w:pStyle w:val="FootnoteText"/>
      </w:pPr>
      <w:r>
        <w:rPr>
          <w:rStyle w:val="FootnoteReference"/>
        </w:rPr>
        <w:footnoteRef/>
      </w:r>
      <w:r>
        <w:t xml:space="preserve"> </w:t>
      </w:r>
      <w:r>
        <w:t xml:space="preserve">Malhotra 2024, PMID 38912654.</w:t>
      </w:r>
    </w:p>
  </w:footnote>
  <w:footnote w:id="510">
    <w:p>
      <w:pPr>
        <w:pStyle w:val="FootnoteText"/>
      </w:pPr>
      <w:r>
        <w:rPr>
          <w:rStyle w:val="FootnoteReference"/>
        </w:rPr>
        <w:footnoteRef/>
      </w:r>
      <w:r>
        <w:t xml:space="preserve"> </w:t>
      </w:r>
      <w:r>
        <w:t xml:space="preserve">Loomba 2024, PMID 38856224.</w:t>
      </w:r>
    </w:p>
  </w:footnote>
  <w:footnote w:id="512">
    <w:p>
      <w:pPr>
        <w:pStyle w:val="FootnoteText"/>
      </w:pPr>
      <w:r>
        <w:rPr>
          <w:rStyle w:val="FootnoteReference"/>
        </w:rPr>
        <w:footnoteRef/>
      </w:r>
      <w:r>
        <w:t xml:space="preserve"> </w:t>
      </w:r>
      <w:r>
        <w:t xml:space="preserve">Lebwohl 2026, PMID 42139049.</w:t>
      </w:r>
    </w:p>
  </w:footnote>
  <w:footnote w:id="513">
    <w:p>
      <w:pPr>
        <w:pStyle w:val="FootnoteText"/>
      </w:pPr>
      <w:r>
        <w:rPr>
          <w:rStyle w:val="FootnoteReference"/>
        </w:rPr>
        <w:footnoteRef/>
      </w:r>
      <w:r>
        <w:t xml:space="preserve"> </w:t>
      </w:r>
      <w:r>
        <w:t xml:space="preserve">Look 2025, PMID 39996356.</w:t>
      </w:r>
    </w:p>
  </w:footnote>
  <w:footnote w:id="516">
    <w:p>
      <w:pPr>
        <w:pStyle w:val="FootnoteText"/>
      </w:pPr>
      <w:r>
        <w:rPr>
          <w:rStyle w:val="FootnoteReference"/>
        </w:rPr>
        <w:footnoteRef/>
      </w:r>
      <w:r>
        <w:t xml:space="preserve"> </w:t>
      </w:r>
      <w:r>
        <w:t xml:space="preserve">Coskun 2018, PMID 30473097.</w:t>
      </w:r>
    </w:p>
  </w:footnote>
  <w:footnote w:id="517">
    <w:p>
      <w:pPr>
        <w:pStyle w:val="FootnoteText"/>
      </w:pPr>
      <w:r>
        <w:rPr>
          <w:rStyle w:val="FootnoteReference"/>
        </w:rPr>
        <w:footnoteRef/>
      </w:r>
      <w:r>
        <w:t xml:space="preserve"> </w:t>
      </w:r>
      <w:r>
        <w:t xml:space="preserve">Samms 2021, PMID 34003802.</w:t>
      </w:r>
    </w:p>
  </w:footnote>
  <w:footnote w:id="518">
    <w:p>
      <w:pPr>
        <w:pStyle w:val="FootnoteText"/>
      </w:pPr>
      <w:r>
        <w:rPr>
          <w:rStyle w:val="FootnoteReference"/>
        </w:rPr>
        <w:footnoteRef/>
      </w:r>
      <w:r>
        <w:t xml:space="preserve"> </w:t>
      </w:r>
      <w:r>
        <w:t xml:space="preserve">Martin 2024, PMID 39243911.</w:t>
      </w:r>
    </w:p>
  </w:footnote>
  <w:footnote w:id="520">
    <w:p>
      <w:pPr>
        <w:pStyle w:val="FootnoteText"/>
      </w:pPr>
      <w:r>
        <w:rPr>
          <w:rStyle w:val="FootnoteReference"/>
        </w:rPr>
        <w:footnoteRef/>
      </w:r>
      <w:r>
        <w:t xml:space="preserve"> </w:t>
      </w:r>
      <w:r>
        <w:t xml:space="preserve">Ludvik 2021, PMID 34370970.</w:t>
      </w:r>
    </w:p>
  </w:footnote>
  <w:footnote w:id="521">
    <w:p>
      <w:pPr>
        <w:pStyle w:val="FootnoteText"/>
      </w:pPr>
      <w:r>
        <w:rPr>
          <w:rStyle w:val="FootnoteReference"/>
        </w:rPr>
        <w:footnoteRef/>
      </w:r>
      <w:r>
        <w:t xml:space="preserve"> </w:t>
      </w:r>
      <w:r>
        <w:t xml:space="preserve">Zeng 2023, PMID 37908750.</w:t>
      </w:r>
    </w:p>
  </w:footnote>
  <w:footnote w:id="522">
    <w:p>
      <w:pPr>
        <w:pStyle w:val="FootnoteText"/>
      </w:pPr>
      <w:r>
        <w:rPr>
          <w:rStyle w:val="FootnoteReference"/>
        </w:rPr>
        <w:footnoteRef/>
      </w:r>
      <w:r>
        <w:t xml:space="preserve"> </w:t>
      </w:r>
      <w:r>
        <w:t xml:space="preserve">Del Prato 2021, PMID 34672967.</w:t>
      </w:r>
    </w:p>
  </w:footnote>
  <w:footnote w:id="523">
    <w:p>
      <w:pPr>
        <w:pStyle w:val="FootnoteText"/>
      </w:pPr>
      <w:r>
        <w:rPr>
          <w:rStyle w:val="FootnoteReference"/>
        </w:rPr>
        <w:footnoteRef/>
      </w:r>
      <w:r>
        <w:t xml:space="preserve"> </w:t>
      </w:r>
      <w:r>
        <w:t xml:space="preserve">Wadden 2026, PMID 41537305.</w:t>
      </w:r>
    </w:p>
  </w:footnote>
  <w:footnote w:id="524">
    <w:p>
      <w:pPr>
        <w:pStyle w:val="FootnoteText"/>
      </w:pPr>
      <w:r>
        <w:rPr>
          <w:rStyle w:val="FootnoteReference"/>
        </w:rPr>
        <w:footnoteRef/>
      </w:r>
      <w:r>
        <w:t xml:space="preserve"> </w:t>
      </w:r>
      <w:r>
        <w:t xml:space="preserve">Look 2025, PMID 39996356.</w:t>
      </w:r>
    </w:p>
  </w:footnote>
  <w:footnote w:id="525">
    <w:p>
      <w:pPr>
        <w:pStyle w:val="FootnoteText"/>
      </w:pPr>
      <w:r>
        <w:rPr>
          <w:rStyle w:val="FootnoteReference"/>
        </w:rPr>
        <w:footnoteRef/>
      </w:r>
      <w:r>
        <w:t xml:space="preserve"> </w:t>
      </w:r>
      <w:r>
        <w:t xml:space="preserve">Caruso 2024, PMID 39141075.</w:t>
      </w:r>
    </w:p>
  </w:footnote>
  <w:footnote w:id="526">
    <w:p>
      <w:pPr>
        <w:pStyle w:val="FootnoteText"/>
      </w:pPr>
      <w:r>
        <w:rPr>
          <w:rStyle w:val="FootnoteReference"/>
        </w:rPr>
        <w:footnoteRef/>
      </w:r>
      <w:r>
        <w:t xml:space="preserve"> </w:t>
      </w:r>
      <w:r>
        <w:t xml:space="preserve">Crisafulli 2026, PMID 41183330.</w:t>
      </w:r>
    </w:p>
  </w:footnote>
  <w:footnote w:id="527">
    <w:p>
      <w:pPr>
        <w:pStyle w:val="FootnoteText"/>
      </w:pPr>
      <w:r>
        <w:rPr>
          <w:rStyle w:val="FootnoteReference"/>
        </w:rPr>
        <w:footnoteRef/>
      </w:r>
      <w:r>
        <w:t xml:space="preserve"> </w:t>
      </w:r>
      <w:r>
        <w:t xml:space="preserve">Belcourt 2026, PMID 41689811.</w:t>
      </w:r>
    </w:p>
  </w:footnote>
  <w:footnote w:id="530">
    <w:p>
      <w:pPr>
        <w:pStyle w:val="FootnoteText"/>
      </w:pPr>
      <w:r>
        <w:rPr>
          <w:rStyle w:val="FootnoteReference"/>
        </w:rPr>
        <w:footnoteRef/>
      </w:r>
      <w:r>
        <w:t xml:space="preserve"> </w:t>
      </w:r>
      <w:r>
        <w:t xml:space="preserve">NCT05556512.</w:t>
      </w:r>
    </w:p>
  </w:footnote>
  <w:footnote w:id="531">
    <w:p>
      <w:pPr>
        <w:pStyle w:val="FootnoteText"/>
      </w:pPr>
      <w:r>
        <w:rPr>
          <w:rStyle w:val="FootnoteReference"/>
        </w:rPr>
        <w:footnoteRef/>
      </w:r>
      <w:r>
        <w:t xml:space="preserve"> </w:t>
      </w:r>
      <w:r>
        <w:t xml:space="preserve">Lam 2025, PMID 40545827.</w:t>
      </w:r>
    </w:p>
  </w:footnote>
  <w:footnote w:id="532">
    <w:p>
      <w:pPr>
        <w:pStyle w:val="FootnoteText"/>
      </w:pPr>
      <w:r>
        <w:rPr>
          <w:rStyle w:val="FootnoteReference"/>
        </w:rPr>
        <w:footnoteRef/>
      </w:r>
      <w:r>
        <w:t xml:space="preserve"> </w:t>
      </w:r>
      <w:r>
        <w:t xml:space="preserve">NCT07165028.</w:t>
      </w:r>
    </w:p>
  </w:footnote>
  <w:footnote w:id="533">
    <w:p>
      <w:pPr>
        <w:pStyle w:val="FootnoteText"/>
      </w:pPr>
      <w:r>
        <w:rPr>
          <w:rStyle w:val="FootnoteReference"/>
        </w:rPr>
        <w:footnoteRef/>
      </w:r>
      <w:r>
        <w:t xml:space="preserve"> </w:t>
      </w:r>
      <w:r>
        <w:t xml:space="preserve">NCT06914895, NCT06962280.</w:t>
      </w:r>
    </w:p>
  </w:footnote>
  <w:footnote w:id="534">
    <w:p>
      <w:pPr>
        <w:pStyle w:val="FootnoteText"/>
      </w:pPr>
      <w:r>
        <w:rPr>
          <w:rStyle w:val="FootnoteReference"/>
        </w:rPr>
        <w:footnoteRef/>
      </w:r>
      <w:r>
        <w:t xml:space="preserve"> </w:t>
      </w:r>
      <w:r>
        <w:t xml:space="preserve">NCT07817875.</w:t>
      </w:r>
    </w:p>
  </w:footnote>
  <w:footnote w:id="539">
    <w:p>
      <w:pPr>
        <w:pStyle w:val="FootnoteText"/>
      </w:pPr>
      <w:r>
        <w:rPr>
          <w:rStyle w:val="FootnoteReference"/>
        </w:rPr>
        <w:footnoteRef/>
      </w:r>
      <w:r>
        <w:t xml:space="preserve"> </w:t>
      </w:r>
      <w:r>
        <w:t xml:space="preserve">Coskun 2022, PMID 35985340.</w:t>
      </w:r>
    </w:p>
  </w:footnote>
  <w:footnote w:id="540">
    <w:p>
      <w:pPr>
        <w:pStyle w:val="FootnoteText"/>
      </w:pPr>
      <w:r>
        <w:rPr>
          <w:rStyle w:val="FootnoteReference"/>
        </w:rPr>
        <w:footnoteRef/>
      </w:r>
      <w:r>
        <w:t xml:space="preserve"> </w:t>
      </w:r>
      <w:r>
        <w:t xml:space="preserve">NCT06313528.</w:t>
      </w:r>
    </w:p>
  </w:footnote>
  <w:footnote w:id="541">
    <w:p>
      <w:pPr>
        <w:pStyle w:val="FootnoteText"/>
      </w:pPr>
      <w:r>
        <w:rPr>
          <w:rStyle w:val="FootnoteReference"/>
        </w:rPr>
        <w:footnoteRef/>
      </w:r>
      <w:r>
        <w:t xml:space="preserve"> </w:t>
      </w:r>
      <w:r>
        <w:t xml:space="preserve">Kanu 2025, PMID 40916752.</w:t>
      </w:r>
    </w:p>
  </w:footnote>
  <w:footnote w:id="543">
    <w:p>
      <w:pPr>
        <w:pStyle w:val="FootnoteText"/>
      </w:pPr>
      <w:r>
        <w:rPr>
          <w:rStyle w:val="FootnoteReference"/>
        </w:rPr>
        <w:footnoteRef/>
      </w:r>
      <w:r>
        <w:t xml:space="preserve"> </w:t>
      </w:r>
      <w:r>
        <w:t xml:space="preserve">Coskun 2022, PMID 35985340.</w:t>
      </w:r>
    </w:p>
  </w:footnote>
  <w:footnote w:id="544">
    <w:p>
      <w:pPr>
        <w:pStyle w:val="FootnoteText"/>
      </w:pPr>
      <w:r>
        <w:rPr>
          <w:rStyle w:val="FootnoteReference"/>
        </w:rPr>
        <w:footnoteRef/>
      </w:r>
      <w:r>
        <w:t xml:space="preserve"> </w:t>
      </w:r>
      <w:r>
        <w:t xml:space="preserve">Urva 2022, PMID 36354040.</w:t>
      </w:r>
    </w:p>
  </w:footnote>
  <w:footnote w:id="546">
    <w:p>
      <w:pPr>
        <w:pStyle w:val="FootnoteText"/>
      </w:pPr>
      <w:r>
        <w:rPr>
          <w:rStyle w:val="FootnoteReference"/>
        </w:rPr>
        <w:footnoteRef/>
      </w:r>
      <w:r>
        <w:t xml:space="preserve"> </w:t>
      </w:r>
      <w:r>
        <w:t xml:space="preserve">Jastreboff 2023, PMID 37366315.</w:t>
      </w:r>
    </w:p>
  </w:footnote>
  <w:footnote w:id="547">
    <w:p>
      <w:pPr>
        <w:pStyle w:val="FootnoteText"/>
      </w:pPr>
      <w:r>
        <w:rPr>
          <w:rStyle w:val="FootnoteReference"/>
        </w:rPr>
        <w:footnoteRef/>
      </w:r>
      <w:r>
        <w:t xml:space="preserve"> </w:t>
      </w:r>
      <w:r>
        <w:t xml:space="preserve">Rosenstock 2023, PMID 37385280.</w:t>
      </w:r>
    </w:p>
  </w:footnote>
  <w:footnote w:id="548">
    <w:p>
      <w:pPr>
        <w:pStyle w:val="FootnoteText"/>
      </w:pPr>
      <w:r>
        <w:rPr>
          <w:rStyle w:val="FootnoteReference"/>
        </w:rPr>
        <w:footnoteRef/>
      </w:r>
      <w:r>
        <w:t xml:space="preserve"> </w:t>
      </w:r>
      <w:r>
        <w:t xml:space="preserve">Coskun 2025, PMID 40609566.</w:t>
      </w:r>
    </w:p>
  </w:footnote>
  <w:footnote w:id="549">
    <w:p>
      <w:pPr>
        <w:pStyle w:val="FootnoteText"/>
      </w:pPr>
      <w:r>
        <w:rPr>
          <w:rStyle w:val="FootnoteReference"/>
        </w:rPr>
        <w:footnoteRef/>
      </w:r>
      <w:r>
        <w:t xml:space="preserve"> </w:t>
      </w:r>
      <w:r>
        <w:t xml:space="preserve">Sanyal 2024, PMID 38858523.</w:t>
      </w:r>
    </w:p>
  </w:footnote>
  <w:footnote w:id="550">
    <w:p>
      <w:pPr>
        <w:pStyle w:val="FootnoteText"/>
      </w:pPr>
      <w:r>
        <w:rPr>
          <w:rStyle w:val="FootnoteReference"/>
        </w:rPr>
        <w:footnoteRef/>
      </w:r>
      <w:r>
        <w:t xml:space="preserve"> </w:t>
      </w:r>
      <w:r>
        <w:t xml:space="preserve">Ruotolo 2026, PMID 42608321.</w:t>
      </w:r>
    </w:p>
  </w:footnote>
  <w:footnote w:id="552">
    <w:p>
      <w:pPr>
        <w:pStyle w:val="FootnoteText"/>
      </w:pPr>
      <w:r>
        <w:rPr>
          <w:rStyle w:val="FootnoteReference"/>
        </w:rPr>
        <w:footnoteRef/>
      </w:r>
      <w:r>
        <w:t xml:space="preserve"> </w:t>
      </w:r>
      <w:r>
        <w:t xml:space="preserve">Giblin 2026, PMID 41090431.</w:t>
      </w:r>
    </w:p>
  </w:footnote>
  <w:footnote w:id="553">
    <w:p>
      <w:pPr>
        <w:pStyle w:val="FootnoteText"/>
      </w:pPr>
      <w:r>
        <w:rPr>
          <w:rStyle w:val="FootnoteReference"/>
        </w:rPr>
        <w:footnoteRef/>
      </w:r>
      <w:r>
        <w:t xml:space="preserve"> </w:t>
      </w:r>
      <w:r>
        <w:t xml:space="preserve">Jastreboff 2026, PMID 42814954.</w:t>
      </w:r>
    </w:p>
  </w:footnote>
  <w:footnote w:id="554">
    <w:p>
      <w:pPr>
        <w:pStyle w:val="FootnoteText"/>
      </w:pPr>
      <w:r>
        <w:rPr>
          <w:rStyle w:val="FootnoteReference"/>
        </w:rPr>
        <w:footnoteRef/>
      </w:r>
      <w:r>
        <w:t xml:space="preserve"> </w:t>
      </w:r>
      <w:r>
        <w:t xml:space="preserve">Bellido 2026, PMID 42810372.</w:t>
      </w:r>
    </w:p>
  </w:footnote>
  <w:footnote w:id="555">
    <w:p>
      <w:pPr>
        <w:pStyle w:val="FootnoteText"/>
      </w:pPr>
      <w:r>
        <w:rPr>
          <w:rStyle w:val="FootnoteReference"/>
        </w:rPr>
        <w:footnoteRef/>
      </w:r>
      <w:r>
        <w:t xml:space="preserve"> </w:t>
      </w:r>
      <w:r>
        <w:t xml:space="preserve">Bajaj 2026, PMID 42250575.</w:t>
      </w:r>
    </w:p>
  </w:footnote>
  <w:footnote w:id="558">
    <w:p>
      <w:pPr>
        <w:pStyle w:val="FootnoteText"/>
      </w:pPr>
      <w:r>
        <w:rPr>
          <w:rStyle w:val="FootnoteReference"/>
        </w:rPr>
        <w:footnoteRef/>
      </w:r>
      <w:r>
        <w:t xml:space="preserve"> </w:t>
      </w:r>
      <w:r>
        <w:t xml:space="preserve">Coskun 2022, PMID 35985340.</w:t>
      </w:r>
    </w:p>
  </w:footnote>
  <w:footnote w:id="559">
    <w:p>
      <w:pPr>
        <w:pStyle w:val="FootnoteText"/>
      </w:pPr>
      <w:r>
        <w:rPr>
          <w:rStyle w:val="FootnoteReference"/>
        </w:rPr>
        <w:footnoteRef/>
      </w:r>
      <w:r>
        <w:t xml:space="preserve"> </w:t>
      </w:r>
      <w:r>
        <w:t xml:space="preserve">Marathe 2025, PMID 40094000.</w:t>
      </w:r>
    </w:p>
  </w:footnote>
  <w:footnote w:id="560">
    <w:p>
      <w:pPr>
        <w:pStyle w:val="FootnoteText"/>
      </w:pPr>
      <w:r>
        <w:rPr>
          <w:rStyle w:val="FootnoteReference"/>
        </w:rPr>
        <w:footnoteRef/>
      </w:r>
      <w:r>
        <w:t xml:space="preserve"> </w:t>
      </w:r>
      <w:r>
        <w:t xml:space="preserve">Carneiro 2026, PMID 42745421.</w:t>
      </w:r>
    </w:p>
  </w:footnote>
  <w:footnote w:id="562">
    <w:p>
      <w:pPr>
        <w:pStyle w:val="FootnoteText"/>
      </w:pPr>
      <w:r>
        <w:rPr>
          <w:rStyle w:val="FootnoteReference"/>
        </w:rPr>
        <w:footnoteRef/>
      </w:r>
      <w:r>
        <w:t xml:space="preserve"> </w:t>
      </w:r>
      <w:r>
        <w:t xml:space="preserve">Bellido 2026, PMID 42810372.</w:t>
      </w:r>
    </w:p>
  </w:footnote>
  <w:footnote w:id="563">
    <w:p>
      <w:pPr>
        <w:pStyle w:val="FootnoteText"/>
      </w:pPr>
      <w:r>
        <w:rPr>
          <w:rStyle w:val="FootnoteReference"/>
        </w:rPr>
        <w:footnoteRef/>
      </w:r>
      <w:r>
        <w:t xml:space="preserve"> </w:t>
      </w:r>
      <w:r>
        <w:t xml:space="preserve">Jastreboff 2023, PMID 37366315.</w:t>
      </w:r>
    </w:p>
  </w:footnote>
  <w:footnote w:id="564">
    <w:p>
      <w:pPr>
        <w:pStyle w:val="FootnoteText"/>
      </w:pPr>
      <w:r>
        <w:rPr>
          <w:rStyle w:val="FootnoteReference"/>
        </w:rPr>
        <w:footnoteRef/>
      </w:r>
      <w:r>
        <w:t xml:space="preserve"> </w:t>
      </w:r>
      <w:r>
        <w:t xml:space="preserve">Rubin 2026, PMID 42853576.</w:t>
      </w:r>
    </w:p>
  </w:footnote>
  <w:footnote w:id="566">
    <w:p>
      <w:pPr>
        <w:pStyle w:val="FootnoteText"/>
      </w:pPr>
      <w:r>
        <w:rPr>
          <w:rStyle w:val="FootnoteReference"/>
        </w:rPr>
        <w:footnoteRef/>
      </w:r>
      <w:r>
        <w:t xml:space="preserve"> </w:t>
      </w:r>
      <w:r>
        <w:t xml:space="preserve">NCT07629401.</w:t>
      </w:r>
    </w:p>
  </w:footnote>
  <w:footnote w:id="568">
    <w:p>
      <w:pPr>
        <w:pStyle w:val="FootnoteText"/>
      </w:pPr>
      <w:r>
        <w:rPr>
          <w:rStyle w:val="FootnoteReference"/>
        </w:rPr>
        <w:footnoteRef/>
      </w:r>
      <w:r>
        <w:t xml:space="preserve"> </w:t>
      </w:r>
      <w:r>
        <w:t xml:space="preserve">NCT06383390.</w:t>
      </w:r>
    </w:p>
  </w:footnote>
  <w:footnote w:id="569">
    <w:p>
      <w:pPr>
        <w:pStyle w:val="FootnoteText"/>
      </w:pPr>
      <w:r>
        <w:rPr>
          <w:rStyle w:val="FootnoteReference"/>
        </w:rPr>
        <w:footnoteRef/>
      </w:r>
      <w:r>
        <w:t xml:space="preserve"> </w:t>
      </w:r>
      <w:r>
        <w:t xml:space="preserve">NCT06662383.</w:t>
      </w:r>
    </w:p>
  </w:footnote>
  <w:footnote w:id="570">
    <w:p>
      <w:pPr>
        <w:pStyle w:val="FootnoteText"/>
      </w:pPr>
      <w:r>
        <w:rPr>
          <w:rStyle w:val="FootnoteReference"/>
        </w:rPr>
        <w:footnoteRef/>
      </w:r>
      <w:r>
        <w:t xml:space="preserve"> </w:t>
      </w:r>
      <w:r>
        <w:t xml:space="preserve">NCT06260722.</w:t>
      </w:r>
    </w:p>
  </w:footnote>
  <w:footnote w:id="571">
    <w:p>
      <w:pPr>
        <w:pStyle w:val="FootnoteText"/>
      </w:pPr>
      <w:r>
        <w:rPr>
          <w:rStyle w:val="FootnoteReference"/>
        </w:rPr>
        <w:footnoteRef/>
      </w:r>
      <w:r>
        <w:t xml:space="preserve"> </w:t>
      </w:r>
      <w:r>
        <w:t xml:space="preserve">NCT06859268.</w:t>
      </w:r>
    </w:p>
  </w:footnote>
  <w:footnote w:id="572">
    <w:p>
      <w:pPr>
        <w:pStyle w:val="FootnoteText"/>
      </w:pPr>
      <w:r>
        <w:rPr>
          <w:rStyle w:val="FootnoteReference"/>
        </w:rPr>
        <w:footnoteRef/>
      </w:r>
      <w:r>
        <w:t xml:space="preserve"> </w:t>
      </w:r>
      <w:r>
        <w:t xml:space="preserve">NCT06297603.</w:t>
      </w:r>
    </w:p>
  </w:footnote>
  <w:footnote w:id="573">
    <w:p>
      <w:pPr>
        <w:pStyle w:val="FootnoteText"/>
      </w:pPr>
      <w:r>
        <w:rPr>
          <w:rStyle w:val="FootnoteReference"/>
        </w:rPr>
        <w:footnoteRef/>
      </w:r>
      <w:r>
        <w:t xml:space="preserve"> </w:t>
      </w:r>
      <w:r>
        <w:t xml:space="preserve">NCT07035093.</w:t>
      </w:r>
    </w:p>
  </w:footnote>
  <w:footnote w:id="574">
    <w:p>
      <w:pPr>
        <w:pStyle w:val="FootnoteText"/>
      </w:pPr>
      <w:r>
        <w:rPr>
          <w:rStyle w:val="FootnoteReference"/>
        </w:rPr>
        <w:footnoteRef/>
      </w:r>
      <w:r>
        <w:t xml:space="preserve"> </w:t>
      </w:r>
      <w:r>
        <w:t xml:space="preserve">NCT07165028.</w:t>
      </w:r>
    </w:p>
  </w:footnote>
  <w:footnote w:id="579">
    <w:p>
      <w:pPr>
        <w:pStyle w:val="FootnoteText"/>
      </w:pPr>
      <w:r>
        <w:rPr>
          <w:rStyle w:val="FootnoteReference"/>
        </w:rPr>
        <w:footnoteRef/>
      </w:r>
      <w:r>
        <w:t xml:space="preserve"> </w:t>
      </w:r>
      <w:r>
        <w:t xml:space="preserve">Thomas 2024, PMID 38560764.</w:t>
      </w:r>
    </w:p>
  </w:footnote>
  <w:footnote w:id="580">
    <w:p>
      <w:pPr>
        <w:pStyle w:val="FootnoteText"/>
      </w:pPr>
      <w:r>
        <w:rPr>
          <w:rStyle w:val="FootnoteReference"/>
        </w:rPr>
        <w:footnoteRef/>
      </w:r>
      <w:r>
        <w:t xml:space="preserve"> </w:t>
      </w:r>
      <w:r>
        <w:t xml:space="preserve">Zimmermann 2026, PMID 41638399.</w:t>
      </w:r>
    </w:p>
  </w:footnote>
  <w:footnote w:id="581">
    <w:p>
      <w:pPr>
        <w:pStyle w:val="FootnoteText"/>
      </w:pPr>
      <w:r>
        <w:rPr>
          <w:rStyle w:val="FootnoteReference"/>
        </w:rPr>
        <w:footnoteRef/>
      </w:r>
      <w:r>
        <w:t xml:space="preserve"> </w:t>
      </w:r>
      <w:r>
        <w:t xml:space="preserve">NCT06745284.</w:t>
      </w:r>
    </w:p>
  </w:footnote>
  <w:footnote w:id="583">
    <w:p>
      <w:pPr>
        <w:pStyle w:val="FootnoteText"/>
      </w:pPr>
      <w:r>
        <w:rPr>
          <w:rStyle w:val="FootnoteReference"/>
        </w:rPr>
        <w:footnoteRef/>
      </w:r>
      <w:r>
        <w:t xml:space="preserve"> </w:t>
      </w:r>
      <w:r>
        <w:t xml:space="preserve">le Roux 2024, PMID 38330987.</w:t>
      </w:r>
    </w:p>
  </w:footnote>
  <w:footnote w:id="584">
    <w:p>
      <w:pPr>
        <w:pStyle w:val="FootnoteText"/>
      </w:pPr>
      <w:r>
        <w:rPr>
          <w:rStyle w:val="FootnoteReference"/>
        </w:rPr>
        <w:footnoteRef/>
      </w:r>
      <w:r>
        <w:t xml:space="preserve"> </w:t>
      </w:r>
      <w:r>
        <w:t xml:space="preserve">le Roux 2026, PMID 42253238.</w:t>
      </w:r>
    </w:p>
  </w:footnote>
  <w:footnote w:id="585">
    <w:p>
      <w:pPr>
        <w:pStyle w:val="FootnoteText"/>
      </w:pPr>
      <w:r>
        <w:rPr>
          <w:rStyle w:val="FootnoteReference"/>
        </w:rPr>
        <w:footnoteRef/>
      </w:r>
      <w:r>
        <w:t xml:space="preserve"> </w:t>
      </w:r>
      <w:r>
        <w:t xml:space="preserve">Wharton 2026, PMID 42820639.</w:t>
      </w:r>
    </w:p>
  </w:footnote>
  <w:footnote w:id="586">
    <w:p>
      <w:pPr>
        <w:pStyle w:val="FootnoteText"/>
      </w:pPr>
      <w:r>
        <w:rPr>
          <w:rStyle w:val="FootnoteReference"/>
        </w:rPr>
        <w:footnoteRef/>
      </w:r>
      <w:r>
        <w:t xml:space="preserve"> </w:t>
      </w:r>
      <w:r>
        <w:t xml:space="preserve">Blüher 2024, PMID 38095657.</w:t>
      </w:r>
    </w:p>
  </w:footnote>
  <w:footnote w:id="588">
    <w:p>
      <w:pPr>
        <w:pStyle w:val="FootnoteText"/>
      </w:pPr>
      <w:r>
        <w:rPr>
          <w:rStyle w:val="FootnoteReference"/>
        </w:rPr>
        <w:footnoteRef/>
      </w:r>
      <w:r>
        <w:t xml:space="preserve"> </w:t>
      </w:r>
      <w:r>
        <w:t xml:space="preserve">Sanyal 2024, PMID 38847460.</w:t>
      </w:r>
    </w:p>
  </w:footnote>
  <w:footnote w:id="589">
    <w:p>
      <w:pPr>
        <w:pStyle w:val="FootnoteText"/>
      </w:pPr>
      <w:r>
        <w:rPr>
          <w:rStyle w:val="FootnoteReference"/>
        </w:rPr>
        <w:footnoteRef/>
      </w:r>
      <w:r>
        <w:t xml:space="preserve"> </w:t>
      </w:r>
      <w:r>
        <w:t xml:space="preserve">Kaplan 2026, PMID 42252333.</w:t>
      </w:r>
    </w:p>
  </w:footnote>
  <w:footnote w:id="590">
    <w:p>
      <w:pPr>
        <w:pStyle w:val="FootnoteText"/>
      </w:pPr>
      <w:r>
        <w:rPr>
          <w:rStyle w:val="FootnoteReference"/>
        </w:rPr>
        <w:footnoteRef/>
      </w:r>
      <w:r>
        <w:t xml:space="preserve"> </w:t>
      </w:r>
      <w:r>
        <w:t xml:space="preserve">Lawitz 2024, PMID 38857788.</w:t>
      </w:r>
    </w:p>
  </w:footnote>
  <w:footnote w:id="593">
    <w:p>
      <w:pPr>
        <w:pStyle w:val="FootnoteText"/>
      </w:pPr>
      <w:r>
        <w:rPr>
          <w:rStyle w:val="FootnoteReference"/>
        </w:rPr>
        <w:footnoteRef/>
      </w:r>
      <w:r>
        <w:t xml:space="preserve"> </w:t>
      </w:r>
      <w:r>
        <w:t xml:space="preserve">Thomas 2024, PMID 38560764.</w:t>
      </w:r>
    </w:p>
  </w:footnote>
  <w:footnote w:id="594">
    <w:p>
      <w:pPr>
        <w:pStyle w:val="FootnoteText"/>
      </w:pPr>
      <w:r>
        <w:rPr>
          <w:rStyle w:val="FootnoteReference"/>
        </w:rPr>
        <w:footnoteRef/>
      </w:r>
      <w:r>
        <w:t xml:space="preserve"> </w:t>
      </w:r>
      <w:r>
        <w:t xml:space="preserve">Zimmermann 2026, PMID 41638399.</w:t>
      </w:r>
    </w:p>
  </w:footnote>
  <w:footnote w:id="596">
    <w:p>
      <w:pPr>
        <w:pStyle w:val="FootnoteText"/>
      </w:pPr>
      <w:r>
        <w:rPr>
          <w:rStyle w:val="FootnoteReference"/>
        </w:rPr>
        <w:footnoteRef/>
      </w:r>
      <w:r>
        <w:t xml:space="preserve"> </w:t>
      </w:r>
      <w:r>
        <w:t xml:space="preserve">Sanyal 2024, PMID 38847460.</w:t>
      </w:r>
    </w:p>
  </w:footnote>
  <w:footnote w:id="597">
    <w:p>
      <w:pPr>
        <w:pStyle w:val="FootnoteText"/>
      </w:pPr>
      <w:r>
        <w:rPr>
          <w:rStyle w:val="FootnoteReference"/>
        </w:rPr>
        <w:footnoteRef/>
      </w:r>
      <w:r>
        <w:t xml:space="preserve"> </w:t>
      </w:r>
      <w:r>
        <w:t xml:space="preserve">le Roux 2026, PMID 42253238.</w:t>
      </w:r>
    </w:p>
  </w:footnote>
  <w:footnote w:id="598">
    <w:p>
      <w:pPr>
        <w:pStyle w:val="FootnoteText"/>
      </w:pPr>
      <w:r>
        <w:rPr>
          <w:rStyle w:val="FootnoteReference"/>
        </w:rPr>
        <w:footnoteRef/>
      </w:r>
      <w:r>
        <w:t xml:space="preserve"> </w:t>
      </w:r>
      <w:r>
        <w:t xml:space="preserve">NCT06200467.</w:t>
      </w:r>
    </w:p>
  </w:footnote>
  <w:footnote w:id="601">
    <w:p>
      <w:pPr>
        <w:pStyle w:val="FootnoteText"/>
      </w:pPr>
      <w:r>
        <w:rPr>
          <w:rStyle w:val="FootnoteReference"/>
        </w:rPr>
        <w:footnoteRef/>
      </w:r>
      <w:r>
        <w:t xml:space="preserve"> </w:t>
      </w:r>
      <w:r>
        <w:t xml:space="preserve">NCT06077864.</w:t>
      </w:r>
    </w:p>
  </w:footnote>
  <w:footnote w:id="602">
    <w:p>
      <w:pPr>
        <w:pStyle w:val="FootnoteText"/>
      </w:pPr>
      <w:r>
        <w:rPr>
          <w:rStyle w:val="FootnoteReference"/>
        </w:rPr>
        <w:footnoteRef/>
      </w:r>
      <w:r>
        <w:t xml:space="preserve"> </w:t>
      </w:r>
      <w:r>
        <w:t xml:space="preserve">PMID 39453356.</w:t>
      </w:r>
    </w:p>
  </w:footnote>
  <w:footnote w:id="603">
    <w:p>
      <w:pPr>
        <w:pStyle w:val="FootnoteText"/>
      </w:pPr>
      <w:r>
        <w:rPr>
          <w:rStyle w:val="FootnoteReference"/>
        </w:rPr>
        <w:footnoteRef/>
      </w:r>
      <w:r>
        <w:t xml:space="preserve"> </w:t>
      </w:r>
      <w:r>
        <w:t xml:space="preserve">NCT06632444.</w:t>
      </w:r>
    </w:p>
  </w:footnote>
  <w:footnote w:id="604">
    <w:p>
      <w:pPr>
        <w:pStyle w:val="FootnoteText"/>
      </w:pPr>
      <w:r>
        <w:rPr>
          <w:rStyle w:val="FootnoteReference"/>
        </w:rPr>
        <w:footnoteRef/>
      </w:r>
      <w:r>
        <w:t xml:space="preserve"> </w:t>
      </w:r>
      <w:r>
        <w:t xml:space="preserve">NCT06632457.</w:t>
      </w:r>
    </w:p>
  </w:footnote>
  <w:footnote w:id="605">
    <w:p>
      <w:pPr>
        <w:pStyle w:val="FootnoteText"/>
      </w:pPr>
      <w:r>
        <w:rPr>
          <w:rStyle w:val="FootnoteReference"/>
        </w:rPr>
        <w:footnoteRef/>
      </w:r>
      <w:r>
        <w:t xml:space="preserve"> </w:t>
      </w:r>
      <w:r>
        <w:t xml:space="preserve">NCT07754461.</w:t>
      </w:r>
    </w:p>
  </w:footnote>
  <w:footnote w:id="606">
    <w:p>
      <w:pPr>
        <w:pStyle w:val="FootnoteText"/>
      </w:pPr>
      <w:r>
        <w:rPr>
          <w:rStyle w:val="FootnoteReference"/>
        </w:rPr>
        <w:footnoteRef/>
      </w:r>
      <w:r>
        <w:t xml:space="preserve"> </w:t>
      </w:r>
      <w:r>
        <w:t xml:space="preserve">NCT07850050.</w:t>
      </w:r>
    </w:p>
  </w:footnote>
  <w:footnote w:id="607">
    <w:p>
      <w:pPr>
        <w:pStyle w:val="FootnoteText"/>
      </w:pPr>
      <w:r>
        <w:rPr>
          <w:rStyle w:val="FootnoteReference"/>
        </w:rPr>
        <w:footnoteRef/>
      </w:r>
      <w:r>
        <w:t xml:space="preserve"> </w:t>
      </w:r>
      <w:r>
        <w:t xml:space="preserve">NCT07850063.</w:t>
      </w:r>
    </w:p>
  </w:footnote>
  <w:footnote w:id="608">
    <w:p>
      <w:pPr>
        <w:pStyle w:val="FootnoteText"/>
      </w:pPr>
      <w:r>
        <w:rPr>
          <w:rStyle w:val="FootnoteReference"/>
        </w:rPr>
        <w:footnoteRef/>
      </w:r>
      <w:r>
        <w:t xml:space="preserve"> </w:t>
      </w:r>
      <w:r>
        <w:t xml:space="preserve">NCT07855900.</w:t>
      </w:r>
    </w:p>
  </w:footnote>
  <w:footnote w:id="609">
    <w:p>
      <w:pPr>
        <w:pStyle w:val="FootnoteText"/>
      </w:pPr>
      <w:r>
        <w:rPr>
          <w:rStyle w:val="FootnoteReference"/>
        </w:rPr>
        <w:footnoteRef/>
      </w:r>
      <w:r>
        <w:t xml:space="preserve"> </w:t>
      </w:r>
      <w:r>
        <w:t xml:space="preserve">NCT06214741.</w:t>
      </w:r>
    </w:p>
  </w:footnote>
  <w:footnote w:id="610">
    <w:p>
      <w:pPr>
        <w:pStyle w:val="FootnoteText"/>
      </w:pPr>
      <w:r>
        <w:rPr>
          <w:rStyle w:val="FootnoteReference"/>
        </w:rPr>
        <w:footnoteRef/>
      </w:r>
      <w:r>
        <w:t xml:space="preserve"> </w:t>
      </w:r>
      <w:r>
        <w:t xml:space="preserve">NCT06176365.</w:t>
      </w:r>
    </w:p>
  </w:footnote>
  <w:footnote w:id="616">
    <w:p>
      <w:pPr>
        <w:pStyle w:val="FootnoteText"/>
      </w:pPr>
      <w:r>
        <w:rPr>
          <w:rStyle w:val="FootnoteReference"/>
        </w:rPr>
        <w:footnoteRef/>
      </w:r>
      <w:r>
        <w:t xml:space="preserve"> </w:t>
      </w:r>
      <w:r>
        <w:t xml:space="preserve">Ji 2025, PMID 40421736.</w:t>
      </w:r>
    </w:p>
  </w:footnote>
  <w:footnote w:id="617">
    <w:p>
      <w:pPr>
        <w:pStyle w:val="FootnoteText"/>
      </w:pPr>
      <w:r>
        <w:rPr>
          <w:rStyle w:val="FootnoteReference"/>
        </w:rPr>
        <w:footnoteRef/>
      </w:r>
      <w:r>
        <w:t xml:space="preserve"> </w:t>
      </w:r>
      <w:r>
        <w:t xml:space="preserve">Gao 2026, PMID 42251595.</w:t>
      </w:r>
    </w:p>
  </w:footnote>
  <w:footnote w:id="619">
    <w:p>
      <w:pPr>
        <w:pStyle w:val="FootnoteText"/>
      </w:pPr>
      <w:r>
        <w:rPr>
          <w:rStyle w:val="FootnoteReference"/>
        </w:rPr>
        <w:footnoteRef/>
      </w:r>
      <w:r>
        <w:t xml:space="preserve"> </w:t>
      </w:r>
      <w:r>
        <w:t xml:space="preserve">Zhu 2026, PMID 41407859.</w:t>
      </w:r>
    </w:p>
  </w:footnote>
  <w:footnote w:id="620">
    <w:p>
      <w:pPr>
        <w:pStyle w:val="FootnoteText"/>
      </w:pPr>
      <w:r>
        <w:rPr>
          <w:rStyle w:val="FootnoteReference"/>
        </w:rPr>
        <w:footnoteRef/>
      </w:r>
      <w:r>
        <w:t xml:space="preserve"> </w:t>
      </w:r>
      <w:r>
        <w:t xml:space="preserve">Guo 2026, PMID 41407860.</w:t>
      </w:r>
    </w:p>
  </w:footnote>
  <w:footnote w:id="621">
    <w:p>
      <w:pPr>
        <w:pStyle w:val="FootnoteText"/>
      </w:pPr>
      <w:r>
        <w:rPr>
          <w:rStyle w:val="FootnoteReference"/>
        </w:rPr>
        <w:footnoteRef/>
      </w:r>
      <w:r>
        <w:t xml:space="preserve"> </w:t>
      </w:r>
      <w:r>
        <w:t xml:space="preserve">NCT06184568.</w:t>
      </w:r>
    </w:p>
  </w:footnote>
  <w:footnote w:id="622">
    <w:p>
      <w:pPr>
        <w:pStyle w:val="FootnoteText"/>
      </w:pPr>
      <w:r>
        <w:rPr>
          <w:rStyle w:val="FootnoteReference"/>
        </w:rPr>
        <w:footnoteRef/>
      </w:r>
      <w:r>
        <w:t xml:space="preserve"> </w:t>
      </w:r>
      <w:r>
        <w:t xml:space="preserve">Luo 2026, PMID 41260459.</w:t>
      </w:r>
    </w:p>
  </w:footnote>
  <w:footnote w:id="624">
    <w:p>
      <w:pPr>
        <w:pStyle w:val="FootnoteText"/>
      </w:pPr>
      <w:r>
        <w:rPr>
          <w:rStyle w:val="FootnoteReference"/>
        </w:rPr>
        <w:footnoteRef/>
      </w:r>
      <w:r>
        <w:t xml:space="preserve"> </w:t>
      </w:r>
      <w:r>
        <w:t xml:space="preserve">Bhattachar 2025, PMID 40832785.</w:t>
      </w:r>
    </w:p>
  </w:footnote>
  <w:footnote w:id="625">
    <w:p>
      <w:pPr>
        <w:pStyle w:val="FootnoteText"/>
      </w:pPr>
      <w:r>
        <w:rPr>
          <w:rStyle w:val="FootnoteReference"/>
        </w:rPr>
        <w:footnoteRef/>
      </w:r>
      <w:r>
        <w:t xml:space="preserve"> </w:t>
      </w:r>
      <w:r>
        <w:t xml:space="preserve">Hsia 2026, PMID 42628555.</w:t>
      </w:r>
    </w:p>
  </w:footnote>
  <w:footnote w:id="627">
    <w:p>
      <w:pPr>
        <w:pStyle w:val="FootnoteText"/>
      </w:pPr>
      <w:r>
        <w:rPr>
          <w:rStyle w:val="FootnoteReference"/>
        </w:rPr>
        <w:footnoteRef/>
      </w:r>
      <w:r>
        <w:t xml:space="preserve"> </w:t>
      </w:r>
      <w:r>
        <w:t xml:space="preserve">Cheng 2025, PMID 41030857.</w:t>
      </w:r>
    </w:p>
  </w:footnote>
  <w:footnote w:id="628">
    <w:p>
      <w:pPr>
        <w:pStyle w:val="FootnoteText"/>
      </w:pPr>
      <w:r>
        <w:rPr>
          <w:rStyle w:val="FootnoteReference"/>
        </w:rPr>
        <w:footnoteRef/>
      </w:r>
      <w:r>
        <w:t xml:space="preserve"> </w:t>
      </w:r>
      <w:r>
        <w:t xml:space="preserve">NCT07255209.</w:t>
      </w:r>
    </w:p>
  </w:footnote>
  <w:footnote w:id="631">
    <w:p>
      <w:pPr>
        <w:pStyle w:val="FootnoteText"/>
      </w:pPr>
      <w:r>
        <w:rPr>
          <w:rStyle w:val="FootnoteReference"/>
        </w:rPr>
        <w:footnoteRef/>
      </w:r>
      <w:r>
        <w:t xml:space="preserve"> </w:t>
      </w:r>
      <w:r>
        <w:t xml:space="preserve">Dong 2025, PMID 40479843.</w:t>
      </w:r>
    </w:p>
  </w:footnote>
  <w:footnote w:id="632">
    <w:p>
      <w:pPr>
        <w:pStyle w:val="FootnoteText"/>
      </w:pPr>
      <w:r>
        <w:rPr>
          <w:rStyle w:val="FootnoteReference"/>
        </w:rPr>
        <w:footnoteRef/>
      </w:r>
      <w:r>
        <w:t xml:space="preserve"> </w:t>
      </w:r>
      <w:r>
        <w:t xml:space="preserve">Gan 2026, PMID 41901218.</w:t>
      </w:r>
    </w:p>
  </w:footnote>
  <w:footnote w:id="633">
    <w:p>
      <w:pPr>
        <w:pStyle w:val="FootnoteText"/>
      </w:pPr>
      <w:r>
        <w:rPr>
          <w:rStyle w:val="FootnoteReference"/>
        </w:rPr>
        <w:footnoteRef/>
      </w:r>
      <w:r>
        <w:t xml:space="preserve"> </w:t>
      </w:r>
      <w:r>
        <w:t xml:space="preserve">NCT07083154.</w:t>
      </w:r>
    </w:p>
  </w:footnote>
  <w:footnote w:id="635">
    <w:p>
      <w:pPr>
        <w:pStyle w:val="FootnoteText"/>
      </w:pPr>
      <w:r>
        <w:rPr>
          <w:rStyle w:val="FootnoteReference"/>
        </w:rPr>
        <w:footnoteRef/>
      </w:r>
      <w:r>
        <w:t xml:space="preserve"> </w:t>
      </w:r>
      <w:r>
        <w:t xml:space="preserve">Zhang 2024, PMID 37943529.</w:t>
      </w:r>
    </w:p>
  </w:footnote>
  <w:footnote w:id="636">
    <w:p>
      <w:pPr>
        <w:pStyle w:val="FootnoteText"/>
      </w:pPr>
      <w:r>
        <w:rPr>
          <w:rStyle w:val="FootnoteReference"/>
        </w:rPr>
        <w:footnoteRef/>
      </w:r>
      <w:r>
        <w:t xml:space="preserve"> </w:t>
      </w:r>
      <w:r>
        <w:t xml:space="preserve">Gao 2026, PMID 42251595.</w:t>
      </w:r>
    </w:p>
  </w:footnote>
  <w:footnote w:id="637">
    <w:p>
      <w:pPr>
        <w:pStyle w:val="FootnoteText"/>
      </w:pPr>
      <w:r>
        <w:rPr>
          <w:rStyle w:val="FootnoteReference"/>
        </w:rPr>
        <w:footnoteRef/>
      </w:r>
      <w:r>
        <w:t xml:space="preserve"> </w:t>
      </w:r>
      <w:r>
        <w:t xml:space="preserve">Zhang 2024, PMID 37943529.</w:t>
      </w:r>
    </w:p>
  </w:footnote>
  <w:footnote w:id="638">
    <w:p>
      <w:pPr>
        <w:pStyle w:val="FootnoteText"/>
      </w:pPr>
      <w:r>
        <w:rPr>
          <w:rStyle w:val="FootnoteReference"/>
        </w:rPr>
        <w:footnoteRef/>
      </w:r>
      <w:r>
        <w:t xml:space="preserve"> </w:t>
      </w:r>
      <w:r>
        <w:t xml:space="preserve">Hsia 2026, PMID 42628555.</w:t>
      </w:r>
    </w:p>
  </w:footnote>
  <w:footnote w:id="640">
    <w:p>
      <w:pPr>
        <w:pStyle w:val="FootnoteText"/>
      </w:pPr>
      <w:r>
        <w:rPr>
          <w:rStyle w:val="FootnoteReference"/>
        </w:rPr>
        <w:footnoteRef/>
      </w:r>
      <w:r>
        <w:t xml:space="preserve"> </w:t>
      </w:r>
      <w:r>
        <w:t xml:space="preserve">Shirley 2025, PMID 41028652.</w:t>
      </w:r>
    </w:p>
  </w:footnote>
  <w:footnote w:id="642">
    <w:p>
      <w:pPr>
        <w:pStyle w:val="FootnoteText"/>
      </w:pPr>
      <w:r>
        <w:rPr>
          <w:rStyle w:val="FootnoteReference"/>
        </w:rPr>
        <w:footnoteRef/>
      </w:r>
      <w:r>
        <w:t xml:space="preserve"> </w:t>
      </w:r>
      <w:r>
        <w:t xml:space="preserve">NCT06884293.</w:t>
      </w:r>
    </w:p>
  </w:footnote>
  <w:footnote w:id="643">
    <w:p>
      <w:pPr>
        <w:pStyle w:val="FootnoteText"/>
      </w:pPr>
      <w:r>
        <w:rPr>
          <w:rStyle w:val="FootnoteReference"/>
        </w:rPr>
        <w:footnoteRef/>
      </w:r>
      <w:r>
        <w:t xml:space="preserve"> </w:t>
      </w:r>
      <w:r>
        <w:t xml:space="preserve">NCT06931028.</w:t>
      </w:r>
    </w:p>
  </w:footnote>
  <w:footnote w:id="644">
    <w:p>
      <w:pPr>
        <w:pStyle w:val="FootnoteText"/>
      </w:pPr>
      <w:r>
        <w:rPr>
          <w:rStyle w:val="FootnoteReference"/>
        </w:rPr>
        <w:footnoteRef/>
      </w:r>
      <w:r>
        <w:t xml:space="preserve"> </w:t>
      </w:r>
      <w:r>
        <w:t xml:space="preserve">NCT07469800.</w:t>
      </w:r>
    </w:p>
  </w:footnote>
  <w:footnote w:id="645">
    <w:p>
      <w:pPr>
        <w:pStyle w:val="FootnoteText"/>
      </w:pPr>
      <w:r>
        <w:rPr>
          <w:rStyle w:val="FootnoteReference"/>
        </w:rPr>
        <w:footnoteRef/>
      </w:r>
      <w:r>
        <w:t xml:space="preserve"> </w:t>
      </w:r>
      <w:r>
        <w:t xml:space="preserve">NCT07255209.</w:t>
      </w:r>
    </w:p>
  </w:footnote>
  <w:footnote w:id="646">
    <w:p>
      <w:pPr>
        <w:pStyle w:val="FootnoteText"/>
      </w:pPr>
      <w:r>
        <w:rPr>
          <w:rStyle w:val="FootnoteReference"/>
        </w:rPr>
        <w:footnoteRef/>
      </w:r>
      <w:r>
        <w:t xml:space="preserve"> </w:t>
      </w:r>
      <w:r>
        <w:t xml:space="preserve">NCT06937749.</w:t>
      </w:r>
    </w:p>
  </w:footnote>
  <w:footnote w:id="647">
    <w:p>
      <w:pPr>
        <w:pStyle w:val="FootnoteText"/>
      </w:pPr>
      <w:r>
        <w:rPr>
          <w:rStyle w:val="FootnoteReference"/>
        </w:rPr>
        <w:footnoteRef/>
      </w:r>
      <w:r>
        <w:t xml:space="preserve"> </w:t>
      </w:r>
      <w:r>
        <w:t xml:space="preserve">NCT06862908.</w:t>
      </w:r>
    </w:p>
  </w:footnote>
  <w:footnote w:id="648">
    <w:p>
      <w:pPr>
        <w:pStyle w:val="FootnoteText"/>
      </w:pPr>
      <w:r>
        <w:rPr>
          <w:rStyle w:val="FootnoteReference"/>
        </w:rPr>
        <w:footnoteRef/>
      </w:r>
      <w:r>
        <w:t xml:space="preserve"> </w:t>
      </w:r>
      <w:r>
        <w:t xml:space="preserve">NCT06143956.</w:t>
      </w:r>
    </w:p>
  </w:footnote>
  <w:footnote w:id="653">
    <w:p>
      <w:pPr>
        <w:pStyle w:val="FootnoteText"/>
      </w:pPr>
      <w:r>
        <w:rPr>
          <w:rStyle w:val="FootnoteReference"/>
        </w:rPr>
        <w:footnoteRef/>
      </w:r>
      <w:r>
        <w:t xml:space="preserve"> </w:t>
      </w:r>
      <w:r>
        <w:t xml:space="preserve">Kruse 2021, PMID 34288673.</w:t>
      </w:r>
    </w:p>
  </w:footnote>
  <w:footnote w:id="654">
    <w:p>
      <w:pPr>
        <w:pStyle w:val="FootnoteText"/>
      </w:pPr>
      <w:r>
        <w:rPr>
          <w:rStyle w:val="FootnoteReference"/>
        </w:rPr>
        <w:footnoteRef/>
      </w:r>
      <w:r>
        <w:t xml:space="preserve"> </w:t>
      </w:r>
      <w:r>
        <w:t xml:space="preserve">Enebo 2021, PMID 33894838.</w:t>
      </w:r>
    </w:p>
  </w:footnote>
  <w:footnote w:id="655">
    <w:p>
      <w:pPr>
        <w:pStyle w:val="FootnoteText"/>
      </w:pPr>
      <w:r>
        <w:rPr>
          <w:rStyle w:val="FootnoteReference"/>
        </w:rPr>
        <w:footnoteRef/>
      </w:r>
      <w:r>
        <w:t xml:space="preserve"> </w:t>
      </w:r>
      <w:r>
        <w:t xml:space="preserve">Carvas 2025, PMID 40609154.</w:t>
      </w:r>
    </w:p>
  </w:footnote>
  <w:footnote w:id="656">
    <w:p>
      <w:pPr>
        <w:pStyle w:val="FootnoteText"/>
      </w:pPr>
      <w:r>
        <w:rPr>
          <w:rStyle w:val="FootnoteReference"/>
        </w:rPr>
        <w:footnoteRef/>
      </w:r>
      <w:r>
        <w:t xml:space="preserve"> </w:t>
      </w:r>
      <w:r>
        <w:t xml:space="preserve">Jacobsen 2025, PMID 40629149.</w:t>
      </w:r>
    </w:p>
  </w:footnote>
  <w:footnote w:id="658">
    <w:p>
      <w:pPr>
        <w:pStyle w:val="FootnoteText"/>
      </w:pPr>
      <w:r>
        <w:rPr>
          <w:rStyle w:val="FootnoteReference"/>
        </w:rPr>
        <w:footnoteRef/>
      </w:r>
      <w:r>
        <w:t xml:space="preserve"> </w:t>
      </w:r>
      <w:r>
        <w:t xml:space="preserve">Lau 2021, PMID 34798060.</w:t>
      </w:r>
    </w:p>
  </w:footnote>
  <w:footnote w:id="659">
    <w:p>
      <w:pPr>
        <w:pStyle w:val="FootnoteText"/>
      </w:pPr>
      <w:r>
        <w:rPr>
          <w:rStyle w:val="FootnoteReference"/>
        </w:rPr>
        <w:footnoteRef/>
      </w:r>
      <w:r>
        <w:t xml:space="preserve"> </w:t>
      </w:r>
      <w:r>
        <w:t xml:space="preserve">NCT07220642.</w:t>
      </w:r>
    </w:p>
  </w:footnote>
  <w:footnote w:id="661">
    <w:p>
      <w:pPr>
        <w:pStyle w:val="FootnoteText"/>
      </w:pPr>
      <w:r>
        <w:rPr>
          <w:rStyle w:val="FootnoteReference"/>
        </w:rPr>
        <w:footnoteRef/>
      </w:r>
      <w:r>
        <w:t xml:space="preserve"> </w:t>
      </w:r>
      <w:r>
        <w:t xml:space="preserve">Enebo 2021, PMID 33894838.</w:t>
      </w:r>
    </w:p>
  </w:footnote>
  <w:footnote w:id="662">
    <w:p>
      <w:pPr>
        <w:pStyle w:val="FootnoteText"/>
      </w:pPr>
      <w:r>
        <w:rPr>
          <w:rStyle w:val="FootnoteReference"/>
        </w:rPr>
        <w:footnoteRef/>
      </w:r>
      <w:r>
        <w:t xml:space="preserve"> </w:t>
      </w:r>
      <w:r>
        <w:t xml:space="preserve">Frias 2023, PMID 37364590.</w:t>
      </w:r>
    </w:p>
  </w:footnote>
  <w:footnote w:id="664">
    <w:p>
      <w:pPr>
        <w:pStyle w:val="FootnoteText"/>
      </w:pPr>
      <w:r>
        <w:rPr>
          <w:rStyle w:val="FootnoteReference"/>
        </w:rPr>
        <w:footnoteRef/>
      </w:r>
      <w:r>
        <w:t xml:space="preserve"> </w:t>
      </w:r>
      <w:r>
        <w:t xml:space="preserve">Garvey 2025, PMID 40544433.</w:t>
      </w:r>
    </w:p>
  </w:footnote>
  <w:footnote w:id="665">
    <w:p>
      <w:pPr>
        <w:pStyle w:val="FootnoteText"/>
      </w:pPr>
      <w:r>
        <w:rPr>
          <w:rStyle w:val="FootnoteReference"/>
        </w:rPr>
        <w:footnoteRef/>
      </w:r>
      <w:r>
        <w:t xml:space="preserve"> </w:t>
      </w:r>
      <w:r>
        <w:t xml:space="preserve">Busetto 2026, PMID 42503495.</w:t>
      </w:r>
    </w:p>
  </w:footnote>
  <w:footnote w:id="666">
    <w:p>
      <w:pPr>
        <w:pStyle w:val="FootnoteText"/>
      </w:pPr>
      <w:r>
        <w:rPr>
          <w:rStyle w:val="FootnoteReference"/>
        </w:rPr>
        <w:footnoteRef/>
      </w:r>
      <w:r>
        <w:t xml:space="preserve"> </w:t>
      </w:r>
      <w:r>
        <w:t xml:space="preserve">Verma 2026, PMID 41328546.</w:t>
      </w:r>
    </w:p>
  </w:footnote>
  <w:footnote w:id="667">
    <w:p>
      <w:pPr>
        <w:pStyle w:val="FootnoteText"/>
      </w:pPr>
      <w:r>
        <w:rPr>
          <w:rStyle w:val="FootnoteReference"/>
        </w:rPr>
        <w:footnoteRef/>
      </w:r>
      <w:r>
        <w:t xml:space="preserve"> </w:t>
      </w:r>
      <w:r>
        <w:t xml:space="preserve">Davies 2025, PMID 40544432.</w:t>
      </w:r>
    </w:p>
  </w:footnote>
  <w:footnote w:id="668">
    <w:p>
      <w:pPr>
        <w:pStyle w:val="FootnoteText"/>
      </w:pPr>
      <w:r>
        <w:rPr>
          <w:rStyle w:val="FootnoteReference"/>
        </w:rPr>
        <w:footnoteRef/>
      </w:r>
      <w:r>
        <w:t xml:space="preserve"> </w:t>
      </w:r>
      <w:r>
        <w:t xml:space="preserve">Yamauchi 2026, PMID 42009015.</w:t>
      </w:r>
    </w:p>
  </w:footnote>
  <w:footnote w:id="669">
    <w:p>
      <w:pPr>
        <w:pStyle w:val="FootnoteText"/>
      </w:pPr>
      <w:r>
        <w:rPr>
          <w:rStyle w:val="FootnoteReference"/>
        </w:rPr>
        <w:footnoteRef/>
      </w:r>
      <w:r>
        <w:t xml:space="preserve"> </w:t>
      </w:r>
      <w:r>
        <w:t xml:space="preserve">Buse 2026, PMID 42251859.</w:t>
      </w:r>
    </w:p>
  </w:footnote>
  <w:footnote w:id="670">
    <w:p>
      <w:pPr>
        <w:pStyle w:val="FootnoteText"/>
      </w:pPr>
      <w:r>
        <w:rPr>
          <w:rStyle w:val="FootnoteReference"/>
        </w:rPr>
        <w:footnoteRef/>
      </w:r>
      <w:r>
        <w:t xml:space="preserve"> </w:t>
      </w:r>
      <w:r>
        <w:t xml:space="preserve">NCT06221969, NCT06534411.</w:t>
      </w:r>
    </w:p>
  </w:footnote>
  <w:footnote w:id="673">
    <w:p>
      <w:pPr>
        <w:pStyle w:val="FootnoteText"/>
      </w:pPr>
      <w:r>
        <w:rPr>
          <w:rStyle w:val="FootnoteReference"/>
        </w:rPr>
        <w:footnoteRef/>
      </w:r>
      <w:r>
        <w:t xml:space="preserve"> </w:t>
      </w:r>
      <w:r>
        <w:t xml:space="preserve">Cao 2025, PMID 40204768.</w:t>
      </w:r>
    </w:p>
  </w:footnote>
  <w:footnote w:id="674">
    <w:p>
      <w:pPr>
        <w:pStyle w:val="FootnoteText"/>
      </w:pPr>
      <w:r>
        <w:rPr>
          <w:rStyle w:val="FootnoteReference"/>
        </w:rPr>
        <w:footnoteRef/>
      </w:r>
      <w:r>
        <w:t xml:space="preserve"> </w:t>
      </w:r>
      <w:r>
        <w:t xml:space="preserve">Carvas 2025, PMID 40609154.</w:t>
      </w:r>
    </w:p>
  </w:footnote>
  <w:footnote w:id="675">
    <w:p>
      <w:pPr>
        <w:pStyle w:val="FootnoteText"/>
      </w:pPr>
      <w:r>
        <w:rPr>
          <w:rStyle w:val="FootnoteReference"/>
        </w:rPr>
        <w:footnoteRef/>
      </w:r>
      <w:r>
        <w:t xml:space="preserve"> </w:t>
      </w:r>
      <w:r>
        <w:t xml:space="preserve">Jacobsen 2025, PMID 40629149.</w:t>
      </w:r>
    </w:p>
  </w:footnote>
  <w:footnote w:id="676">
    <w:p>
      <w:pPr>
        <w:pStyle w:val="FootnoteText"/>
      </w:pPr>
      <w:r>
        <w:rPr>
          <w:rStyle w:val="FootnoteReference"/>
        </w:rPr>
        <w:footnoteRef/>
      </w:r>
      <w:r>
        <w:t xml:space="preserve"> </w:t>
      </w:r>
      <w:r>
        <w:t xml:space="preserve">Petersen 2026, PMID 42744908.</w:t>
      </w:r>
    </w:p>
  </w:footnote>
  <w:footnote w:id="678">
    <w:p>
      <w:pPr>
        <w:pStyle w:val="FootnoteText"/>
      </w:pPr>
      <w:r>
        <w:rPr>
          <w:rStyle w:val="FootnoteReference"/>
        </w:rPr>
        <w:footnoteRef/>
      </w:r>
      <w:r>
        <w:t xml:space="preserve"> </w:t>
      </w:r>
      <w:r>
        <w:t xml:space="preserve">Garvey 2025, PMID 40544433.</w:t>
      </w:r>
    </w:p>
  </w:footnote>
  <w:footnote w:id="679">
    <w:p>
      <w:pPr>
        <w:pStyle w:val="FootnoteText"/>
      </w:pPr>
      <w:r>
        <w:rPr>
          <w:rStyle w:val="FootnoteReference"/>
        </w:rPr>
        <w:footnoteRef/>
      </w:r>
      <w:r>
        <w:t xml:space="preserve"> </w:t>
      </w:r>
      <w:r>
        <w:t xml:space="preserve">Davies 2025, PMID 40544432.</w:t>
      </w:r>
    </w:p>
  </w:footnote>
  <w:footnote w:id="680">
    <w:p>
      <w:pPr>
        <w:pStyle w:val="FootnoteText"/>
      </w:pPr>
      <w:r>
        <w:rPr>
          <w:rStyle w:val="FootnoteReference"/>
        </w:rPr>
        <w:footnoteRef/>
      </w:r>
      <w:r>
        <w:t xml:space="preserve"> </w:t>
      </w:r>
      <w:r>
        <w:t xml:space="preserve">Rosenstock 2026, PMID 42251856.</w:t>
      </w:r>
    </w:p>
  </w:footnote>
  <w:footnote w:id="681">
    <w:p>
      <w:pPr>
        <w:pStyle w:val="FootnoteText"/>
      </w:pPr>
      <w:r>
        <w:rPr>
          <w:rStyle w:val="FootnoteReference"/>
        </w:rPr>
        <w:footnoteRef/>
      </w:r>
      <w:r>
        <w:t xml:space="preserve"> </w:t>
      </w:r>
      <w:r>
        <w:t xml:space="preserve">Gabe 2024, PMID 39279639.</w:t>
      </w:r>
    </w:p>
  </w:footnote>
  <w:footnote w:id="682">
    <w:p>
      <w:pPr>
        <w:pStyle w:val="FootnoteText"/>
      </w:pPr>
      <w:r>
        <w:rPr>
          <w:rStyle w:val="FootnoteReference"/>
        </w:rPr>
        <w:footnoteRef/>
      </w:r>
      <w:r>
        <w:t xml:space="preserve"> </w:t>
      </w:r>
      <w:r>
        <w:t xml:space="preserve">Nielsen 2026, PMID 42228334.</w:t>
      </w:r>
    </w:p>
  </w:footnote>
  <w:footnote w:id="683">
    <w:p>
      <w:pPr>
        <w:pStyle w:val="FootnoteText"/>
      </w:pPr>
      <w:r>
        <w:rPr>
          <w:rStyle w:val="FootnoteReference"/>
        </w:rPr>
        <w:footnoteRef/>
      </w:r>
      <w:r>
        <w:t xml:space="preserve"> </w:t>
      </w:r>
      <w:r>
        <w:t xml:space="preserve">NCT07010432.</w:t>
      </w:r>
    </w:p>
  </w:footnote>
  <w:footnote w:id="684">
    <w:p>
      <w:pPr>
        <w:pStyle w:val="FootnoteText"/>
      </w:pPr>
      <w:r>
        <w:rPr>
          <w:rStyle w:val="FootnoteReference"/>
        </w:rPr>
        <w:footnoteRef/>
      </w:r>
      <w:r>
        <w:t xml:space="preserve"> </w:t>
      </w:r>
      <w:r>
        <w:t xml:space="preserve">NCT07527195.</w:t>
      </w:r>
    </w:p>
  </w:footnote>
  <w:footnote w:id="687">
    <w:p>
      <w:pPr>
        <w:pStyle w:val="FootnoteText"/>
      </w:pPr>
      <w:r>
        <w:rPr>
          <w:rStyle w:val="FootnoteReference"/>
        </w:rPr>
        <w:footnoteRef/>
      </w:r>
      <w:r>
        <w:t xml:space="preserve"> </w:t>
      </w:r>
      <w:r>
        <w:t xml:space="preserve">NCT05669755.</w:t>
      </w:r>
    </w:p>
  </w:footnote>
  <w:footnote w:id="688">
    <w:p>
      <w:pPr>
        <w:pStyle w:val="FootnoteText"/>
      </w:pPr>
      <w:r>
        <w:rPr>
          <w:rStyle w:val="FootnoteReference"/>
        </w:rPr>
        <w:footnoteRef/>
      </w:r>
      <w:r>
        <w:t xml:space="preserve"> </w:t>
      </w:r>
      <w:r>
        <w:t xml:space="preserve">Cavender 2026, PMID 42838477.</w:t>
      </w:r>
    </w:p>
  </w:footnote>
  <w:footnote w:id="689">
    <w:p>
      <w:pPr>
        <w:pStyle w:val="FootnoteText"/>
      </w:pPr>
      <w:r>
        <w:rPr>
          <w:rStyle w:val="FootnoteReference"/>
        </w:rPr>
        <w:footnoteRef/>
      </w:r>
      <w:r>
        <w:t xml:space="preserve"> </w:t>
      </w:r>
      <w:r>
        <w:t xml:space="preserve">NCT06131437, NCT06221969, NCT06534411.</w:t>
      </w:r>
    </w:p>
  </w:footnote>
  <w:footnote w:id="690">
    <w:p>
      <w:pPr>
        <w:pStyle w:val="FootnoteText"/>
      </w:pPr>
      <w:r>
        <w:rPr>
          <w:rStyle w:val="FootnoteReference"/>
        </w:rPr>
        <w:footnoteRef/>
      </w:r>
      <w:r>
        <w:t xml:space="preserve"> </w:t>
      </w:r>
      <w:r>
        <w:t xml:space="preserve">NCT07564414.</w:t>
      </w:r>
    </w:p>
  </w:footnote>
  <w:footnote w:id="691">
    <w:p>
      <w:pPr>
        <w:pStyle w:val="FootnoteText"/>
      </w:pPr>
      <w:r>
        <w:rPr>
          <w:rStyle w:val="FootnoteReference"/>
        </w:rPr>
        <w:footnoteRef/>
      </w:r>
      <w:r>
        <w:t xml:space="preserve"> </w:t>
      </w:r>
      <w:r>
        <w:t xml:space="preserve">NCT06780449.</w:t>
      </w:r>
    </w:p>
  </w:footnote>
  <w:footnote w:id="692">
    <w:p>
      <w:pPr>
        <w:pStyle w:val="FootnoteText"/>
      </w:pPr>
      <w:r>
        <w:rPr>
          <w:rStyle w:val="FootnoteReference"/>
        </w:rPr>
        <w:footnoteRef/>
      </w:r>
      <w:r>
        <w:t xml:space="preserve"> </w:t>
      </w:r>
      <w:r>
        <w:t xml:space="preserve">NCT07253285.</w:t>
      </w:r>
    </w:p>
  </w:footnote>
  <w:footnote w:id="693">
    <w:p>
      <w:pPr>
        <w:pStyle w:val="FootnoteText"/>
      </w:pPr>
      <w:r>
        <w:rPr>
          <w:rStyle w:val="FootnoteReference"/>
        </w:rPr>
        <w:footnoteRef/>
      </w:r>
      <w:r>
        <w:t xml:space="preserve"> </w:t>
      </w:r>
      <w:r>
        <w:t xml:space="preserve">NCT07220642.</w:t>
      </w:r>
    </w:p>
  </w:footnote>
  <w:footnote w:id="694">
    <w:p>
      <w:pPr>
        <w:pStyle w:val="FootnoteText"/>
      </w:pPr>
      <w:r>
        <w:rPr>
          <w:rStyle w:val="FootnoteReference"/>
        </w:rPr>
        <w:footnoteRef/>
      </w:r>
      <w:r>
        <w:t xml:space="preserve"> </w:t>
      </w:r>
      <w:r>
        <w:t xml:space="preserve">NCT07010432.</w:t>
      </w:r>
    </w:p>
  </w:footnote>
  <w:footnote w:id="695">
    <w:p>
      <w:pPr>
        <w:pStyle w:val="FootnoteText"/>
      </w:pPr>
      <w:r>
        <w:rPr>
          <w:rStyle w:val="FootnoteReference"/>
        </w:rPr>
        <w:footnoteRef/>
      </w:r>
      <w:r>
        <w:t xml:space="preserve"> </w:t>
      </w:r>
      <w:r>
        <w:t xml:space="preserve">NCT07527195.</w:t>
      </w:r>
    </w:p>
  </w:footnote>
  <w:footnote w:id="696">
    <w:p>
      <w:pPr>
        <w:pStyle w:val="FootnoteText"/>
      </w:pPr>
      <w:r>
        <w:rPr>
          <w:rStyle w:val="FootnoteReference"/>
        </w:rPr>
        <w:footnoteRef/>
      </w:r>
      <w:r>
        <w:t xml:space="preserve"> </w:t>
      </w:r>
      <w:r>
        <w:t xml:space="preserve">NCT07607587.</w:t>
      </w:r>
    </w:p>
  </w:footnote>
  <w:footnote w:id="701">
    <w:p>
      <w:pPr>
        <w:pStyle w:val="FootnoteText"/>
      </w:pPr>
      <w:r>
        <w:rPr>
          <w:rStyle w:val="FootnoteReference"/>
        </w:rPr>
        <w:footnoteRef/>
      </w:r>
      <w:r>
        <w:t xml:space="preserve"> </w:t>
      </w:r>
      <w:r>
        <w:t xml:space="preserve">Kuhre 2025, PMID 40706446.</w:t>
      </w:r>
    </w:p>
  </w:footnote>
  <w:footnote w:id="703">
    <w:p>
      <w:pPr>
        <w:pStyle w:val="FootnoteText"/>
      </w:pPr>
      <w:r>
        <w:rPr>
          <w:rStyle w:val="FootnoteReference"/>
        </w:rPr>
        <w:footnoteRef/>
      </w:r>
      <w:r>
        <w:t xml:space="preserve"> </w:t>
      </w:r>
      <w:r>
        <w:t xml:space="preserve">Gasiorek 2025, PMID 40550229.</w:t>
      </w:r>
    </w:p>
  </w:footnote>
  <w:footnote w:id="705">
    <w:p>
      <w:pPr>
        <w:pStyle w:val="FootnoteText"/>
      </w:pPr>
      <w:r>
        <w:rPr>
          <w:rStyle w:val="FootnoteReference"/>
        </w:rPr>
        <w:footnoteRef/>
      </w:r>
      <w:r>
        <w:t xml:space="preserve"> </w:t>
      </w:r>
      <w:r>
        <w:t xml:space="preserve">Dahl 2025, PMID 40550231.</w:t>
      </w:r>
    </w:p>
  </w:footnote>
  <w:footnote w:id="707">
    <w:p>
      <w:pPr>
        <w:pStyle w:val="FootnoteText"/>
      </w:pPr>
      <w:r>
        <w:rPr>
          <w:rStyle w:val="FootnoteReference"/>
        </w:rPr>
        <w:footnoteRef/>
      </w:r>
      <w:r>
        <w:t xml:space="preserve"> </w:t>
      </w:r>
      <w:r>
        <w:t xml:space="preserve">Mora 2026, PMID 42532079.</w:t>
      </w:r>
    </w:p>
  </w:footnote>
  <w:footnote w:id="708">
    <w:p>
      <w:pPr>
        <w:pStyle w:val="FootnoteText"/>
      </w:pPr>
      <w:r>
        <w:rPr>
          <w:rStyle w:val="FootnoteReference"/>
        </w:rPr>
        <w:footnoteRef/>
      </w:r>
      <w:r>
        <w:t xml:space="preserve"> </w:t>
      </w:r>
      <w:r>
        <w:t xml:space="preserve">Mora 2026, PMID 42532080.</w:t>
      </w:r>
    </w:p>
  </w:footnote>
  <w:footnote w:id="711">
    <w:p>
      <w:pPr>
        <w:pStyle w:val="FootnoteText"/>
      </w:pPr>
      <w:r>
        <w:rPr>
          <w:rStyle w:val="FootnoteReference"/>
        </w:rPr>
        <w:footnoteRef/>
      </w:r>
      <w:r>
        <w:t xml:space="preserve"> </w:t>
      </w:r>
      <w:r>
        <w:t xml:space="preserve">Kuhre 2025, PMID 40706446.</w:t>
      </w:r>
    </w:p>
  </w:footnote>
  <w:footnote w:id="713">
    <w:p>
      <w:pPr>
        <w:pStyle w:val="FootnoteText"/>
      </w:pPr>
      <w:r>
        <w:rPr>
          <w:rStyle w:val="FootnoteReference"/>
        </w:rPr>
        <w:footnoteRef/>
      </w:r>
      <w:r>
        <w:t xml:space="preserve"> </w:t>
      </w:r>
      <w:r>
        <w:t xml:space="preserve">Gasiorek 2025, PMID 40550229; Dahl 2025, PMID 40550231.</w:t>
      </w:r>
    </w:p>
  </w:footnote>
  <w:footnote w:id="714">
    <w:p>
      <w:pPr>
        <w:pStyle w:val="FootnoteText"/>
      </w:pPr>
      <w:r>
        <w:rPr>
          <w:rStyle w:val="FootnoteReference"/>
        </w:rPr>
        <w:footnoteRef/>
      </w:r>
      <w:r>
        <w:t xml:space="preserve"> </w:t>
      </w:r>
      <w:r>
        <w:t xml:space="preserve">Mora 2026, PMID 42532079; PMID 42532080.</w:t>
      </w:r>
    </w:p>
  </w:footnote>
  <w:footnote w:id="715">
    <w:p>
      <w:pPr>
        <w:pStyle w:val="FootnoteText"/>
      </w:pPr>
      <w:r>
        <w:rPr>
          <w:rStyle w:val="FootnoteReference"/>
        </w:rPr>
        <w:footnoteRef/>
      </w:r>
      <w:r>
        <w:t xml:space="preserve"> </w:t>
      </w:r>
      <w:r>
        <w:t xml:space="preserve">Oldenburg 2026, PMID 42443140.</w:t>
      </w:r>
    </w:p>
  </w:footnote>
  <w:footnote w:id="716">
    <w:p>
      <w:pPr>
        <w:pStyle w:val="FootnoteText"/>
      </w:pPr>
      <w:r>
        <w:rPr>
          <w:rStyle w:val="FootnoteReference"/>
        </w:rPr>
        <w:footnoteRef/>
      </w:r>
      <w:r>
        <w:t xml:space="preserve"> </w:t>
      </w:r>
      <w:r>
        <w:t xml:space="preserve">Rubin 2026, PMID 42853576.</w:t>
      </w:r>
    </w:p>
  </w:footnote>
  <w:footnote w:id="719">
    <w:p>
      <w:pPr>
        <w:pStyle w:val="FootnoteText"/>
      </w:pPr>
      <w:r>
        <w:rPr>
          <w:rStyle w:val="FootnoteReference"/>
        </w:rPr>
        <w:footnoteRef/>
      </w:r>
      <w:r>
        <w:t xml:space="preserve"> </w:t>
      </w:r>
      <w:r>
        <w:t xml:space="preserve">NCT07339423.</w:t>
      </w:r>
    </w:p>
  </w:footnote>
  <w:footnote w:id="720">
    <w:p>
      <w:pPr>
        <w:pStyle w:val="FootnoteText"/>
      </w:pPr>
      <w:r>
        <w:rPr>
          <w:rStyle w:val="FootnoteReference"/>
        </w:rPr>
        <w:footnoteRef/>
      </w:r>
      <w:r>
        <w:t xml:space="preserve"> </w:t>
      </w:r>
      <w:r>
        <w:t xml:space="preserve">NCT07533175.</w:t>
      </w:r>
    </w:p>
  </w:footnote>
  <w:footnote w:id="721">
    <w:p>
      <w:pPr>
        <w:pStyle w:val="FootnoteText"/>
      </w:pPr>
      <w:r>
        <w:rPr>
          <w:rStyle w:val="FootnoteReference"/>
        </w:rPr>
        <w:footnoteRef/>
      </w:r>
      <w:r>
        <w:t xml:space="preserve"> </w:t>
      </w:r>
      <w:r>
        <w:t xml:space="preserve">NCT07571005, NCT07571109.</w:t>
      </w:r>
    </w:p>
  </w:footnote>
  <w:footnote w:id="722">
    <w:p>
      <w:pPr>
        <w:pStyle w:val="FootnoteText"/>
      </w:pPr>
      <w:r>
        <w:rPr>
          <w:rStyle w:val="FootnoteReference"/>
        </w:rPr>
        <w:footnoteRef/>
      </w:r>
      <w:r>
        <w:t xml:space="preserve"> </w:t>
      </w:r>
      <w:r>
        <w:t xml:space="preserve">NCT07509307.</w:t>
      </w:r>
    </w:p>
  </w:footnote>
  <w:footnote w:id="723">
    <w:p>
      <w:pPr>
        <w:pStyle w:val="FootnoteText"/>
      </w:pPr>
      <w:r>
        <w:rPr>
          <w:rStyle w:val="FootnoteReference"/>
        </w:rPr>
        <w:footnoteRef/>
      </w:r>
      <w:r>
        <w:t xml:space="preserve"> </w:t>
      </w:r>
      <w:r>
        <w:t xml:space="preserve">NCT07481630.</w:t>
      </w:r>
    </w:p>
  </w:footnote>
  <w:footnote w:id="724">
    <w:p>
      <w:pPr>
        <w:pStyle w:val="FootnoteText"/>
      </w:pPr>
      <w:r>
        <w:rPr>
          <w:rStyle w:val="FootnoteReference"/>
        </w:rPr>
        <w:footnoteRef/>
      </w:r>
      <w:r>
        <w:t xml:space="preserve"> </w:t>
      </w:r>
      <w:r>
        <w:t xml:space="preserve">NCT07720271.</w:t>
      </w:r>
    </w:p>
  </w:footnote>
  <w:footnote w:id="725">
    <w:p>
      <w:pPr>
        <w:pStyle w:val="FootnoteText"/>
      </w:pPr>
      <w:r>
        <w:rPr>
          <w:rStyle w:val="FootnoteReference"/>
        </w:rPr>
        <w:footnoteRef/>
      </w:r>
      <w:r>
        <w:t xml:space="preserve"> </w:t>
      </w:r>
      <w:r>
        <w:t xml:space="preserve">NCT07503210.</w:t>
      </w:r>
    </w:p>
  </w:footnote>
  <w:footnote w:id="730">
    <w:p>
      <w:pPr>
        <w:pStyle w:val="FootnoteText"/>
      </w:pPr>
      <w:r>
        <w:rPr>
          <w:rStyle w:val="FootnoteReference"/>
        </w:rPr>
        <w:footnoteRef/>
      </w:r>
      <w:r>
        <w:t xml:space="preserve"> </w:t>
      </w:r>
      <w:r>
        <w:t xml:space="preserve">Davies 2026, PMID 41287212.</w:t>
      </w:r>
    </w:p>
  </w:footnote>
  <w:footnote w:id="731">
    <w:p>
      <w:pPr>
        <w:pStyle w:val="FootnoteText"/>
      </w:pPr>
      <w:r>
        <w:rPr>
          <w:rStyle w:val="FootnoteReference"/>
        </w:rPr>
        <w:footnoteRef/>
      </w:r>
      <w:r>
        <w:t xml:space="preserve"> </w:t>
      </w:r>
      <w:r>
        <w:t xml:space="preserve">Véniant 2024, PMID 38316982.</w:t>
      </w:r>
    </w:p>
  </w:footnote>
  <w:footnote w:id="732">
    <w:p>
      <w:pPr>
        <w:pStyle w:val="FootnoteText"/>
      </w:pPr>
      <w:r>
        <w:rPr>
          <w:rStyle w:val="FootnoteReference"/>
        </w:rPr>
        <w:footnoteRef/>
      </w:r>
      <w:r>
        <w:t xml:space="preserve"> </w:t>
      </w:r>
      <w:r>
        <w:t xml:space="preserve">Wu 2026, PMID 41941715.</w:t>
      </w:r>
    </w:p>
  </w:footnote>
  <w:footnote w:id="734">
    <w:p>
      <w:pPr>
        <w:pStyle w:val="FootnoteText"/>
      </w:pPr>
      <w:r>
        <w:rPr>
          <w:rStyle w:val="FootnoteReference"/>
        </w:rPr>
        <w:footnoteRef/>
      </w:r>
      <w:r>
        <w:t xml:space="preserve"> </w:t>
      </w:r>
      <w:r>
        <w:t xml:space="preserve">Véniant 2024, PMID 38316982; NCT04478708.</w:t>
      </w:r>
    </w:p>
  </w:footnote>
  <w:footnote w:id="736">
    <w:p>
      <w:pPr>
        <w:pStyle w:val="FootnoteText"/>
      </w:pPr>
      <w:r>
        <w:rPr>
          <w:rStyle w:val="FootnoteReference"/>
        </w:rPr>
        <w:footnoteRef/>
      </w:r>
      <w:r>
        <w:t xml:space="preserve"> </w:t>
      </w:r>
      <w:r>
        <w:t xml:space="preserve">Jastreboff 2025, PMID 40549887.</w:t>
      </w:r>
    </w:p>
  </w:footnote>
  <w:footnote w:id="739">
    <w:p>
      <w:pPr>
        <w:pStyle w:val="FootnoteText"/>
      </w:pPr>
      <w:r>
        <w:rPr>
          <w:rStyle w:val="FootnoteReference"/>
        </w:rPr>
        <w:footnoteRef/>
      </w:r>
      <w:r>
        <w:t xml:space="preserve"> </w:t>
      </w:r>
      <w:r>
        <w:t xml:space="preserve">Véniant 2024, PMID 38316982; Wu 2026, PMID 41941715.</w:t>
      </w:r>
    </w:p>
  </w:footnote>
  <w:footnote w:id="740">
    <w:p>
      <w:pPr>
        <w:pStyle w:val="FootnoteText"/>
      </w:pPr>
      <w:r>
        <w:rPr>
          <w:rStyle w:val="FootnoteReference"/>
        </w:rPr>
        <w:footnoteRef/>
      </w:r>
      <w:r>
        <w:t xml:space="preserve"> </w:t>
      </w:r>
      <w:r>
        <w:t xml:space="preserve">Davies 2026, PMID 41287212.</w:t>
      </w:r>
    </w:p>
  </w:footnote>
  <w:footnote w:id="742">
    <w:p>
      <w:pPr>
        <w:pStyle w:val="FootnoteText"/>
      </w:pPr>
      <w:r>
        <w:rPr>
          <w:rStyle w:val="FootnoteReference"/>
        </w:rPr>
        <w:footnoteRef/>
      </w:r>
      <w:r>
        <w:t xml:space="preserve"> </w:t>
      </w:r>
      <w:r>
        <w:t xml:space="preserve">Jastreboff 2025, PMID 40549887.</w:t>
      </w:r>
    </w:p>
  </w:footnote>
  <w:footnote w:id="743">
    <w:p>
      <w:pPr>
        <w:pStyle w:val="FootnoteText"/>
      </w:pPr>
      <w:r>
        <w:rPr>
          <w:rStyle w:val="FootnoteReference"/>
        </w:rPr>
        <w:footnoteRef/>
      </w:r>
      <w:r>
        <w:t xml:space="preserve"> </w:t>
      </w:r>
      <w:r>
        <w:t xml:space="preserve">Véniant 2024, PMID 38316982.</w:t>
      </w:r>
    </w:p>
  </w:footnote>
  <w:footnote w:id="744">
    <w:p>
      <w:pPr>
        <w:pStyle w:val="FootnoteText"/>
      </w:pPr>
      <w:r>
        <w:rPr>
          <w:rStyle w:val="FootnoteReference"/>
        </w:rPr>
        <w:footnoteRef/>
      </w:r>
      <w:r>
        <w:t xml:space="preserve"> </w:t>
      </w:r>
      <w:r>
        <w:t xml:space="preserve">Davies 2026, PMID 41287212.</w:t>
      </w:r>
    </w:p>
  </w:footnote>
  <w:footnote w:id="747">
    <w:p>
      <w:pPr>
        <w:pStyle w:val="FootnoteText"/>
      </w:pPr>
      <w:r>
        <w:rPr>
          <w:rStyle w:val="FootnoteReference"/>
        </w:rPr>
        <w:footnoteRef/>
      </w:r>
      <w:r>
        <w:t xml:space="preserve"> </w:t>
      </w:r>
      <w:r>
        <w:t xml:space="preserve">NCT06858839.</w:t>
      </w:r>
    </w:p>
  </w:footnote>
  <w:footnote w:id="748">
    <w:p>
      <w:pPr>
        <w:pStyle w:val="FootnoteText"/>
      </w:pPr>
      <w:r>
        <w:rPr>
          <w:rStyle w:val="FootnoteReference"/>
        </w:rPr>
        <w:footnoteRef/>
      </w:r>
      <w:r>
        <w:t xml:space="preserve"> </w:t>
      </w:r>
      <w:r>
        <w:t xml:space="preserve">NCT06858878.</w:t>
      </w:r>
    </w:p>
  </w:footnote>
  <w:footnote w:id="749">
    <w:p>
      <w:pPr>
        <w:pStyle w:val="FootnoteText"/>
      </w:pPr>
      <w:r>
        <w:rPr>
          <w:rStyle w:val="FootnoteReference"/>
        </w:rPr>
        <w:footnoteRef/>
      </w:r>
      <w:r>
        <w:t xml:space="preserve"> </w:t>
      </w:r>
      <w:r>
        <w:t xml:space="preserve">NCT07037433.</w:t>
      </w:r>
    </w:p>
  </w:footnote>
  <w:footnote w:id="750">
    <w:p>
      <w:pPr>
        <w:pStyle w:val="FootnoteText"/>
      </w:pPr>
      <w:r>
        <w:rPr>
          <w:rStyle w:val="FootnoteReference"/>
        </w:rPr>
        <w:footnoteRef/>
      </w:r>
      <w:r>
        <w:t xml:space="preserve"> </w:t>
      </w:r>
      <w:r>
        <w:t xml:space="preserve">NCT07037459.</w:t>
      </w:r>
    </w:p>
  </w:footnote>
  <w:footnote w:id="751">
    <w:p>
      <w:pPr>
        <w:pStyle w:val="FootnoteText"/>
      </w:pPr>
      <w:r>
        <w:rPr>
          <w:rStyle w:val="FootnoteReference"/>
        </w:rPr>
        <w:footnoteRef/>
      </w:r>
      <w:r>
        <w:t xml:space="preserve"> </w:t>
      </w:r>
      <w:r>
        <w:t xml:space="preserve">NCT07226765, NCT07225686.</w:t>
      </w:r>
    </w:p>
  </w:footnote>
  <w:footnote w:id="752">
    <w:p>
      <w:pPr>
        <w:pStyle w:val="FootnoteText"/>
      </w:pPr>
      <w:r>
        <w:rPr>
          <w:rStyle w:val="FootnoteReference"/>
        </w:rPr>
        <w:footnoteRef/>
      </w:r>
      <w:r>
        <w:t xml:space="preserve"> </w:t>
      </w:r>
      <w:r>
        <w:t xml:space="preserve">NCT07866066.</w:t>
      </w:r>
    </w:p>
  </w:footnote>
  <w:footnote w:id="753">
    <w:p>
      <w:pPr>
        <w:pStyle w:val="FootnoteText"/>
      </w:pPr>
      <w:r>
        <w:rPr>
          <w:rStyle w:val="FootnoteReference"/>
        </w:rPr>
        <w:footnoteRef/>
      </w:r>
      <w:r>
        <w:t xml:space="preserve"> </w:t>
      </w:r>
      <w:r>
        <w:t xml:space="preserve">NCT07575399.</w:t>
      </w:r>
    </w:p>
  </w:footnote>
  <w:footnote w:id="754">
    <w:p>
      <w:pPr>
        <w:pStyle w:val="FootnoteText"/>
      </w:pPr>
      <w:r>
        <w:rPr>
          <w:rStyle w:val="FootnoteReference"/>
        </w:rPr>
        <w:footnoteRef/>
      </w:r>
      <w:r>
        <w:t xml:space="preserve"> </w:t>
      </w:r>
      <w:r>
        <w:t xml:space="preserve">NCT06987695.</w:t>
      </w:r>
    </w:p>
  </w:footnote>
  <w:footnote w:id="755">
    <w:p>
      <w:pPr>
        <w:pStyle w:val="FootnoteText"/>
      </w:pPr>
      <w:r>
        <w:rPr>
          <w:rStyle w:val="FootnoteReference"/>
        </w:rPr>
        <w:footnoteRef/>
      </w:r>
      <w:r>
        <w:t xml:space="preserve"> </w:t>
      </w:r>
      <w:r>
        <w:t xml:space="preserve">NCT07429032.</w:t>
      </w:r>
    </w:p>
  </w:footnote>
  <w:footnote w:id="756">
    <w:p>
      <w:pPr>
        <w:pStyle w:val="FootnoteText"/>
      </w:pPr>
      <w:r>
        <w:rPr>
          <w:rStyle w:val="FootnoteReference"/>
        </w:rPr>
        <w:footnoteRef/>
      </w:r>
      <w:r>
        <w:t xml:space="preserve"> </w:t>
      </w:r>
      <w:r>
        <w:t xml:space="preserve">NCT07229157.</w:t>
      </w:r>
    </w:p>
  </w:footnote>
  <w:footnote w:id="757">
    <w:p>
      <w:pPr>
        <w:pStyle w:val="FootnoteText"/>
      </w:pPr>
      <w:r>
        <w:rPr>
          <w:rStyle w:val="FootnoteReference"/>
        </w:rPr>
        <w:footnoteRef/>
      </w:r>
      <w:r>
        <w:t xml:space="preserve"> </w:t>
      </w:r>
      <w:r>
        <w:t xml:space="preserve">NCT07523711.</w:t>
      </w:r>
    </w:p>
  </w:footnote>
  <w:footnote w:id="762">
    <w:p>
      <w:pPr>
        <w:pStyle w:val="FootnoteText"/>
      </w:pPr>
      <w:r>
        <w:rPr>
          <w:rStyle w:val="FootnoteReference"/>
        </w:rPr>
        <w:footnoteRef/>
      </w:r>
      <w:r>
        <w:t xml:space="preserve"> </w:t>
      </w:r>
      <w:r>
        <w:t xml:space="preserve">Vella 2002, PMID 11975712.</w:t>
      </w:r>
    </w:p>
  </w:footnote>
  <w:footnote w:id="764">
    <w:p>
      <w:pPr>
        <w:pStyle w:val="FootnoteText"/>
      </w:pPr>
      <w:r>
        <w:rPr>
          <w:rStyle w:val="FootnoteReference"/>
        </w:rPr>
        <w:footnoteRef/>
      </w:r>
      <w:r>
        <w:t xml:space="preserve"> </w:t>
      </w:r>
      <w:r>
        <w:t xml:space="preserve">Avgerinos 2021, PMID 33300282.</w:t>
      </w:r>
    </w:p>
  </w:footnote>
  <w:footnote w:id="766">
    <w:p>
      <w:pPr>
        <w:pStyle w:val="FootnoteText"/>
      </w:pPr>
      <w:r>
        <w:rPr>
          <w:rStyle w:val="FootnoteReference"/>
        </w:rPr>
        <w:footnoteRef/>
      </w:r>
      <w:r>
        <w:t xml:space="preserve"> </w:t>
      </w:r>
      <w:r>
        <w:t xml:space="preserve">Hollander 2003, PMID 12610038.</w:t>
      </w:r>
    </w:p>
  </w:footnote>
  <w:footnote w:id="767">
    <w:p>
      <w:pPr>
        <w:pStyle w:val="FootnoteText"/>
      </w:pPr>
      <w:r>
        <w:rPr>
          <w:rStyle w:val="FootnoteReference"/>
        </w:rPr>
        <w:footnoteRef/>
      </w:r>
      <w:r>
        <w:t xml:space="preserve"> </w:t>
      </w:r>
      <w:r>
        <w:t xml:space="preserve">Riddle 2009, PMID 19502544.</w:t>
      </w:r>
    </w:p>
  </w:footnote>
  <w:footnote w:id="768">
    <w:p>
      <w:pPr>
        <w:pStyle w:val="FootnoteText"/>
      </w:pPr>
      <w:r>
        <w:rPr>
          <w:rStyle w:val="FootnoteReference"/>
        </w:rPr>
        <w:footnoteRef/>
      </w:r>
      <w:r>
        <w:t xml:space="preserve"> </w:t>
      </w:r>
      <w:r>
        <w:t xml:space="preserve">Singh-Franco 2011, PMID 21199269.</w:t>
      </w:r>
    </w:p>
  </w:footnote>
  <w:footnote w:id="770">
    <w:p>
      <w:pPr>
        <w:pStyle w:val="FootnoteText"/>
      </w:pPr>
      <w:r>
        <w:rPr>
          <w:rStyle w:val="FootnoteReference"/>
        </w:rPr>
        <w:footnoteRef/>
      </w:r>
      <w:r>
        <w:t xml:space="preserve"> </w:t>
      </w:r>
      <w:r>
        <w:t xml:space="preserve">Aronne 2007, PMID 17504894.</w:t>
      </w:r>
    </w:p>
  </w:footnote>
  <w:footnote w:id="771">
    <w:p>
      <w:pPr>
        <w:pStyle w:val="FootnoteText"/>
      </w:pPr>
      <w:r>
        <w:rPr>
          <w:rStyle w:val="FootnoteReference"/>
        </w:rPr>
        <w:footnoteRef/>
      </w:r>
      <w:r>
        <w:t xml:space="preserve"> </w:t>
      </w:r>
      <w:r>
        <w:t xml:space="preserve">Smith 2008, PMID 18753666.</w:t>
      </w:r>
    </w:p>
  </w:footnote>
  <w:footnote w:id="772">
    <w:p>
      <w:pPr>
        <w:pStyle w:val="FootnoteText"/>
      </w:pPr>
      <w:r>
        <w:rPr>
          <w:rStyle w:val="FootnoteReference"/>
        </w:rPr>
        <w:footnoteRef/>
      </w:r>
      <w:r>
        <w:t xml:space="preserve"> </w:t>
      </w:r>
      <w:r>
        <w:t xml:space="preserve">Ravussin 2009, PMID 19521351.</w:t>
      </w:r>
    </w:p>
  </w:footnote>
  <w:footnote w:id="774">
    <w:p>
      <w:pPr>
        <w:pStyle w:val="FootnoteText"/>
      </w:pPr>
      <w:r>
        <w:rPr>
          <w:rStyle w:val="FootnoteReference"/>
        </w:rPr>
        <w:footnoteRef/>
      </w:r>
      <w:r>
        <w:t xml:space="preserve"> </w:t>
      </w:r>
      <w:r>
        <w:t xml:space="preserve">Haidar 2020, PMID 31974099.</w:t>
      </w:r>
    </w:p>
  </w:footnote>
  <w:footnote w:id="775">
    <w:p>
      <w:pPr>
        <w:pStyle w:val="FootnoteText"/>
      </w:pPr>
      <w:r>
        <w:rPr>
          <w:rStyle w:val="FootnoteReference"/>
        </w:rPr>
        <w:footnoteRef/>
      </w:r>
      <w:r>
        <w:t xml:space="preserve"> </w:t>
      </w:r>
      <w:r>
        <w:t xml:space="preserve">Odabassian 2025, PMID 41174925.</w:t>
      </w:r>
    </w:p>
  </w:footnote>
  <w:footnote w:id="776">
    <w:p>
      <w:pPr>
        <w:pStyle w:val="FootnoteText"/>
      </w:pPr>
      <w:r>
        <w:rPr>
          <w:rStyle w:val="FootnoteReference"/>
        </w:rPr>
        <w:footnoteRef/>
      </w:r>
      <w:r>
        <w:t xml:space="preserve"> </w:t>
      </w:r>
      <w:r>
        <w:t xml:space="preserve">Andersen 2024, PMID 39109464.</w:t>
      </w:r>
    </w:p>
  </w:footnote>
  <w:footnote w:id="779">
    <w:p>
      <w:pPr>
        <w:pStyle w:val="FootnoteText"/>
      </w:pPr>
      <w:r>
        <w:rPr>
          <w:rStyle w:val="FootnoteReference"/>
        </w:rPr>
        <w:footnoteRef/>
      </w:r>
      <w:r>
        <w:t xml:space="preserve"> </w:t>
      </w:r>
      <w:r>
        <w:t xml:space="preserve">described as the starting point in Ravussin 2009, PMID 19521351.</w:t>
      </w:r>
    </w:p>
  </w:footnote>
  <w:footnote w:id="780">
    <w:p>
      <w:pPr>
        <w:pStyle w:val="FootnoteText"/>
      </w:pPr>
      <w:r>
        <w:rPr>
          <w:rStyle w:val="FootnoteReference"/>
        </w:rPr>
        <w:footnoteRef/>
      </w:r>
      <w:r>
        <w:t xml:space="preserve"> </w:t>
      </w:r>
      <w:r>
        <w:t xml:space="preserve">Ghanizada 2021, PMID 33772845.</w:t>
      </w:r>
    </w:p>
  </w:footnote>
  <w:footnote w:id="782">
    <w:p>
      <w:pPr>
        <w:pStyle w:val="FootnoteText"/>
      </w:pPr>
      <w:r>
        <w:rPr>
          <w:rStyle w:val="FootnoteReference"/>
        </w:rPr>
        <w:footnoteRef/>
      </w:r>
      <w:r>
        <w:t xml:space="preserve"> </w:t>
      </w:r>
      <w:r>
        <w:t xml:space="preserve">Smith 2008, PMID 18753666; Edelman 2006, PMID 17003291.</w:t>
      </w:r>
    </w:p>
  </w:footnote>
  <w:footnote w:id="783">
    <w:p>
      <w:pPr>
        <w:pStyle w:val="FootnoteText"/>
      </w:pPr>
      <w:r>
        <w:rPr>
          <w:rStyle w:val="FootnoteReference"/>
        </w:rPr>
        <w:footnoteRef/>
      </w:r>
      <w:r>
        <w:t xml:space="preserve"> </w:t>
      </w:r>
      <w:r>
        <w:t xml:space="preserve">Edelman 2006, PMID 17003291.</w:t>
      </w:r>
    </w:p>
  </w:footnote>
  <w:footnote w:id="784">
    <w:p>
      <w:pPr>
        <w:pStyle w:val="FootnoteText"/>
      </w:pPr>
      <w:r>
        <w:rPr>
          <w:rStyle w:val="FootnoteReference"/>
        </w:rPr>
        <w:footnoteRef/>
      </w:r>
      <w:r>
        <w:t xml:space="preserve"> </w:t>
      </w:r>
      <w:r>
        <w:t xml:space="preserve">Ghanizada 2021, PMID 33772845.</w:t>
      </w:r>
    </w:p>
  </w:footnote>
  <w:footnote w:id="787">
    <w:p>
      <w:pPr>
        <w:pStyle w:val="FootnoteText"/>
      </w:pPr>
      <w:r>
        <w:rPr>
          <w:rStyle w:val="FootnoteReference"/>
        </w:rPr>
        <w:footnoteRef/>
      </w:r>
      <w:r>
        <w:t xml:space="preserve"> </w:t>
      </w:r>
      <w:r>
        <w:t xml:space="preserve">NCT07340788.</w:t>
      </w:r>
    </w:p>
  </w:footnote>
  <w:footnote w:id="788">
    <w:p>
      <w:pPr>
        <w:pStyle w:val="FootnoteText"/>
      </w:pPr>
      <w:r>
        <w:rPr>
          <w:rStyle w:val="FootnoteReference"/>
        </w:rPr>
        <w:footnoteRef/>
      </w:r>
      <w:r>
        <w:t xml:space="preserve"> </w:t>
      </w:r>
      <w:r>
        <w:t xml:space="preserve">NCT07340775.</w:t>
      </w:r>
    </w:p>
  </w:footnote>
  <w:footnote w:id="789">
    <w:p>
      <w:pPr>
        <w:pStyle w:val="FootnoteText"/>
      </w:pPr>
      <w:r>
        <w:rPr>
          <w:rStyle w:val="FootnoteReference"/>
        </w:rPr>
        <w:footnoteRef/>
      </w:r>
      <w:r>
        <w:t xml:space="preserve"> </w:t>
      </w:r>
      <w:r>
        <w:t xml:space="preserve">NCT07506369.</w:t>
      </w:r>
    </w:p>
  </w:footnote>
  <w:footnote w:id="790">
    <w:p>
      <w:pPr>
        <w:pStyle w:val="FootnoteText"/>
      </w:pPr>
      <w:r>
        <w:rPr>
          <w:rStyle w:val="FootnoteReference"/>
        </w:rPr>
        <w:footnoteRef/>
      </w:r>
      <w:r>
        <w:t xml:space="preserve"> </w:t>
      </w:r>
      <w:r>
        <w:t xml:space="preserve">Odabassian 2025, PMID 41174925.</w:t>
      </w:r>
    </w:p>
  </w:footnote>
  <w:footnote w:id="794">
    <w:p>
      <w:pPr>
        <w:pStyle w:val="FootnoteText"/>
      </w:pPr>
      <w:r>
        <w:rPr>
          <w:rStyle w:val="FootnoteReference"/>
        </w:rPr>
        <w:footnoteRef/>
      </w:r>
      <w:r>
        <w:t xml:space="preserve"> </w:t>
      </w:r>
      <w:r>
        <w:t xml:space="preserve">Markham 2021, PMID 33638809.</w:t>
      </w:r>
    </w:p>
  </w:footnote>
  <w:footnote w:id="797">
    <w:p>
      <w:pPr>
        <w:pStyle w:val="FootnoteText"/>
      </w:pPr>
      <w:r>
        <w:rPr>
          <w:rStyle w:val="FootnoteReference"/>
        </w:rPr>
        <w:footnoteRef/>
      </w:r>
      <w:r>
        <w:t xml:space="preserve"> </w:t>
      </w:r>
      <w:r>
        <w:t xml:space="preserve">Kühnen 2016, PMID 27468060.</w:t>
      </w:r>
    </w:p>
  </w:footnote>
  <w:footnote w:id="798">
    <w:p>
      <w:pPr>
        <w:pStyle w:val="FootnoteText"/>
      </w:pPr>
      <w:r>
        <w:rPr>
          <w:rStyle w:val="FootnoteReference"/>
        </w:rPr>
        <w:footnoteRef/>
      </w:r>
      <w:r>
        <w:t xml:space="preserve"> </w:t>
      </w:r>
      <w:r>
        <w:t xml:space="preserve">Clément 2018, PMID 29736023.</w:t>
      </w:r>
    </w:p>
  </w:footnote>
  <w:footnote w:id="799">
    <w:p>
      <w:pPr>
        <w:pStyle w:val="FootnoteText"/>
      </w:pPr>
      <w:r>
        <w:rPr>
          <w:rStyle w:val="FootnoteReference"/>
        </w:rPr>
        <w:footnoteRef/>
      </w:r>
      <w:r>
        <w:t xml:space="preserve"> </w:t>
      </w:r>
      <w:r>
        <w:t xml:space="preserve">Clément 2020, PMID 33137293.</w:t>
      </w:r>
    </w:p>
  </w:footnote>
  <w:footnote w:id="801">
    <w:p>
      <w:pPr>
        <w:pStyle w:val="FootnoteText"/>
      </w:pPr>
      <w:r>
        <w:rPr>
          <w:rStyle w:val="FootnoteReference"/>
        </w:rPr>
        <w:footnoteRef/>
      </w:r>
      <w:r>
        <w:t xml:space="preserve"> </w:t>
      </w:r>
      <w:r>
        <w:t xml:space="preserve">Haqq 2022, PMID 36356613.</w:t>
      </w:r>
    </w:p>
  </w:footnote>
  <w:footnote w:id="802">
    <w:p>
      <w:pPr>
        <w:pStyle w:val="FootnoteText"/>
      </w:pPr>
      <w:r>
        <w:rPr>
          <w:rStyle w:val="FootnoteReference"/>
        </w:rPr>
        <w:footnoteRef/>
      </w:r>
      <w:r>
        <w:t xml:space="preserve"> </w:t>
      </w:r>
      <w:r>
        <w:t xml:space="preserve">Argente 2026, PMID 41703984.</w:t>
      </w:r>
    </w:p>
  </w:footnote>
  <w:footnote w:id="804">
    <w:p>
      <w:pPr>
        <w:pStyle w:val="FootnoteText"/>
      </w:pPr>
      <w:r>
        <w:rPr>
          <w:rStyle w:val="FootnoteReference"/>
        </w:rPr>
        <w:footnoteRef/>
      </w:r>
      <w:r>
        <w:t xml:space="preserve"> </w:t>
      </w:r>
      <w:r>
        <w:t xml:space="preserve">Argente 2025, PMID 39549719.</w:t>
      </w:r>
    </w:p>
  </w:footnote>
  <w:footnote w:id="806">
    <w:p>
      <w:pPr>
        <w:pStyle w:val="FootnoteText"/>
      </w:pPr>
      <w:r>
        <w:rPr>
          <w:rStyle w:val="FootnoteReference"/>
        </w:rPr>
        <w:footnoteRef/>
      </w:r>
      <w:r>
        <w:t xml:space="preserve"> </w:t>
      </w:r>
      <w:r>
        <w:t xml:space="preserve">Roth 2024, PMID 38697184.</w:t>
      </w:r>
    </w:p>
  </w:footnote>
  <w:footnote w:id="807">
    <w:p>
      <w:pPr>
        <w:pStyle w:val="FootnoteText"/>
      </w:pPr>
      <w:r>
        <w:rPr>
          <w:rStyle w:val="FootnoteReference"/>
        </w:rPr>
        <w:footnoteRef/>
      </w:r>
      <w:r>
        <w:t xml:space="preserve"> </w:t>
      </w:r>
      <w:r>
        <w:t xml:space="preserve">Miller 2026, PMID 42418774.</w:t>
      </w:r>
    </w:p>
  </w:footnote>
  <w:footnote w:id="809">
    <w:p>
      <w:pPr>
        <w:pStyle w:val="FootnoteText"/>
      </w:pPr>
      <w:r>
        <w:rPr>
          <w:rStyle w:val="FootnoteReference"/>
        </w:rPr>
        <w:footnoteRef/>
      </w:r>
      <w:r>
        <w:t xml:space="preserve"> </w:t>
      </w:r>
      <w:r>
        <w:t xml:space="preserve">Collet 2017, PMID 29031731.</w:t>
      </w:r>
    </w:p>
  </w:footnote>
  <w:footnote w:id="810">
    <w:p>
      <w:pPr>
        <w:pStyle w:val="FootnoteText"/>
      </w:pPr>
      <w:r>
        <w:rPr>
          <w:rStyle w:val="FootnoteReference"/>
        </w:rPr>
        <w:footnoteRef/>
      </w:r>
      <w:r>
        <w:t xml:space="preserve"> </w:t>
      </w:r>
      <w:r>
        <w:t xml:space="preserve">NCT05093634.</w:t>
      </w:r>
    </w:p>
  </w:footnote>
  <w:footnote w:id="813">
    <w:p>
      <w:pPr>
        <w:pStyle w:val="FootnoteText"/>
      </w:pPr>
      <w:r>
        <w:rPr>
          <w:rStyle w:val="FootnoteReference"/>
        </w:rPr>
        <w:footnoteRef/>
      </w:r>
      <w:r>
        <w:t xml:space="preserve"> </w:t>
      </w:r>
      <w:r>
        <w:t xml:space="preserve">Collet 2017, PMID 29031731.</w:t>
      </w:r>
    </w:p>
  </w:footnote>
  <w:footnote w:id="815">
    <w:p>
      <w:pPr>
        <w:pStyle w:val="FootnoteText"/>
      </w:pPr>
      <w:r>
        <w:rPr>
          <w:rStyle w:val="FootnoteReference"/>
        </w:rPr>
        <w:footnoteRef/>
      </w:r>
      <w:r>
        <w:t xml:space="preserve"> </w:t>
      </w:r>
      <w:r>
        <w:t xml:space="preserve">Sridharan 2026, PMID 39924461.</w:t>
      </w:r>
    </w:p>
  </w:footnote>
  <w:footnote w:id="816">
    <w:p>
      <w:pPr>
        <w:pStyle w:val="FootnoteText"/>
      </w:pPr>
      <w:r>
        <w:rPr>
          <w:rStyle w:val="FootnoteReference"/>
        </w:rPr>
        <w:footnoteRef/>
      </w:r>
      <w:r>
        <w:t xml:space="preserve"> </w:t>
      </w:r>
      <w:r>
        <w:t xml:space="preserve">Kanti 2021, PMID 34058738.</w:t>
      </w:r>
    </w:p>
  </w:footnote>
  <w:footnote w:id="817">
    <w:p>
      <w:pPr>
        <w:pStyle w:val="FootnoteText"/>
      </w:pPr>
      <w:r>
        <w:rPr>
          <w:rStyle w:val="FootnoteReference"/>
        </w:rPr>
        <w:footnoteRef/>
      </w:r>
      <w:r>
        <w:t xml:space="preserve"> </w:t>
      </w:r>
      <w:r>
        <w:t xml:space="preserve">Sridharan 2026, PMID 39924461.</w:t>
      </w:r>
    </w:p>
  </w:footnote>
  <w:footnote w:id="818">
    <w:p>
      <w:pPr>
        <w:pStyle w:val="FootnoteText"/>
      </w:pPr>
      <w:r>
        <w:rPr>
          <w:rStyle w:val="FootnoteReference"/>
        </w:rPr>
        <w:footnoteRef/>
      </w:r>
      <w:r>
        <w:t xml:space="preserve"> </w:t>
      </w:r>
      <w:r>
        <w:t xml:space="preserve">Miller 2026, PMID 42418774.</w:t>
      </w:r>
    </w:p>
  </w:footnote>
  <w:footnote w:id="819">
    <w:p>
      <w:pPr>
        <w:pStyle w:val="FootnoteText"/>
      </w:pPr>
      <w:r>
        <w:rPr>
          <w:rStyle w:val="FootnoteReference"/>
        </w:rPr>
        <w:footnoteRef/>
      </w:r>
      <w:r>
        <w:t xml:space="preserve"> </w:t>
      </w:r>
      <w:r>
        <w:t xml:space="preserve">Haqq 2022, PMID 36356613.</w:t>
      </w:r>
    </w:p>
  </w:footnote>
  <w:footnote w:id="822">
    <w:p>
      <w:pPr>
        <w:pStyle w:val="FootnoteText"/>
      </w:pPr>
      <w:r>
        <w:rPr>
          <w:rStyle w:val="FootnoteReference"/>
        </w:rPr>
        <w:footnoteRef/>
      </w:r>
      <w:r>
        <w:t xml:space="preserve"> </w:t>
      </w:r>
      <w:r>
        <w:t xml:space="preserve">NCT05774756.</w:t>
      </w:r>
    </w:p>
  </w:footnote>
  <w:footnote w:id="823">
    <w:p>
      <w:pPr>
        <w:pStyle w:val="FootnoteText"/>
      </w:pPr>
      <w:r>
        <w:rPr>
          <w:rStyle w:val="FootnoteReference"/>
        </w:rPr>
        <w:footnoteRef/>
      </w:r>
      <w:r>
        <w:t xml:space="preserve"> </w:t>
      </w:r>
      <w:r>
        <w:t xml:space="preserve">NCT06760546.</w:t>
      </w:r>
    </w:p>
  </w:footnote>
  <w:footnote w:id="824">
    <w:p>
      <w:pPr>
        <w:pStyle w:val="FootnoteText"/>
      </w:pPr>
      <w:r>
        <w:rPr>
          <w:rStyle w:val="FootnoteReference"/>
        </w:rPr>
        <w:footnoteRef/>
      </w:r>
      <w:r>
        <w:t xml:space="preserve"> </w:t>
      </w:r>
      <w:r>
        <w:t xml:space="preserve">NCT06772597.</w:t>
      </w:r>
    </w:p>
  </w:footnote>
  <w:footnote w:id="825">
    <w:p>
      <w:pPr>
        <w:pStyle w:val="FootnoteText"/>
      </w:pPr>
      <w:r>
        <w:rPr>
          <w:rStyle w:val="FootnoteReference"/>
        </w:rPr>
        <w:footnoteRef/>
      </w:r>
      <w:r>
        <w:t xml:space="preserve"> </w:t>
      </w:r>
      <w:r>
        <w:t xml:space="preserve">NCT07674290.</w:t>
      </w:r>
    </w:p>
  </w:footnote>
  <w:footnote w:id="826">
    <w:p>
      <w:pPr>
        <w:pStyle w:val="FootnoteText"/>
      </w:pPr>
      <w:r>
        <w:rPr>
          <w:rStyle w:val="FootnoteReference"/>
        </w:rPr>
        <w:footnoteRef/>
      </w:r>
      <w:r>
        <w:t xml:space="preserve"> </w:t>
      </w:r>
      <w:r>
        <w:t xml:space="preserve">NCT05093634.</w:t>
      </w:r>
    </w:p>
  </w:footnote>
  <w:footnote w:id="827">
    <w:p>
      <w:pPr>
        <w:pStyle w:val="FootnoteText"/>
      </w:pPr>
      <w:r>
        <w:rPr>
          <w:rStyle w:val="FootnoteReference"/>
        </w:rPr>
        <w:footnoteRef/>
      </w:r>
      <w:r>
        <w:t xml:space="preserve"> </w:t>
      </w:r>
      <w:r>
        <w:t xml:space="preserve">NCT04963231.</w:t>
      </w:r>
    </w:p>
  </w:footnote>
  <w:footnote w:id="831">
    <w:p>
      <w:pPr>
        <w:pStyle w:val="FootnoteText"/>
      </w:pPr>
      <w:r>
        <w:rPr>
          <w:rStyle w:val="FootnoteReference"/>
        </w:rPr>
        <w:footnoteRef/>
      </w:r>
      <w:r>
        <w:t xml:space="preserve"> </w:t>
      </w:r>
      <w:r>
        <w:t xml:space="preserve">Cox 2015, PMID 25208511.</w:t>
      </w:r>
    </w:p>
  </w:footnote>
  <w:footnote w:id="833">
    <w:p>
      <w:pPr>
        <w:pStyle w:val="FootnoteText"/>
      </w:pPr>
      <w:r>
        <w:rPr>
          <w:rStyle w:val="FootnoteReference"/>
        </w:rPr>
        <w:footnoteRef/>
      </w:r>
      <w:r>
        <w:t xml:space="preserve"> </w:t>
      </w:r>
      <w:r>
        <w:t xml:space="preserve">Wade 1982, PMID 6751009.</w:t>
      </w:r>
    </w:p>
  </w:footnote>
  <w:footnote w:id="834">
    <w:p>
      <w:pPr>
        <w:pStyle w:val="FootnoteText"/>
      </w:pPr>
      <w:r>
        <w:rPr>
          <w:rStyle w:val="FootnoteReference"/>
        </w:rPr>
        <w:footnoteRef/>
      </w:r>
      <w:r>
        <w:t xml:space="preserve"> </w:t>
      </w:r>
      <w:r>
        <w:t xml:space="preserve">Heffernan 2001, PMID 11673763.</w:t>
      </w:r>
    </w:p>
  </w:footnote>
  <w:footnote w:id="835">
    <w:p>
      <w:pPr>
        <w:pStyle w:val="FootnoteText"/>
      </w:pPr>
      <w:r>
        <w:rPr>
          <w:rStyle w:val="FootnoteReference"/>
        </w:rPr>
        <w:footnoteRef/>
      </w:r>
      <w:r>
        <w:t xml:space="preserve"> </w:t>
      </w:r>
      <w:r>
        <w:t xml:space="preserve">Heffernan 2001, PMID 11713213.</w:t>
      </w:r>
    </w:p>
  </w:footnote>
  <w:footnote w:id="837">
    <w:p>
      <w:pPr>
        <w:pStyle w:val="FootnoteText"/>
      </w:pPr>
      <w:r>
        <w:rPr>
          <w:rStyle w:val="FootnoteReference"/>
        </w:rPr>
        <w:footnoteRef/>
      </w:r>
      <w:r>
        <w:t xml:space="preserve"> </w:t>
      </w:r>
      <w:r>
        <w:t xml:space="preserve">Wilding 2004, PMID 15134286; Halford 2006, PMID 16625817.</w:t>
      </w:r>
    </w:p>
  </w:footnote>
  <w:footnote w:id="839">
    <w:p>
      <w:pPr>
        <w:pStyle w:val="FootnoteText"/>
      </w:pPr>
      <w:r>
        <w:rPr>
          <w:rStyle w:val="FootnoteReference"/>
        </w:rPr>
        <w:footnoteRef/>
      </w:r>
      <w:r>
        <w:t xml:space="preserve"> </w:t>
      </w:r>
      <w:r>
        <w:t xml:space="preserve">Ng 2000, PMID 11146367.</w:t>
      </w:r>
    </w:p>
  </w:footnote>
  <w:footnote w:id="840">
    <w:p>
      <w:pPr>
        <w:pStyle w:val="FootnoteText"/>
      </w:pPr>
      <w:r>
        <w:rPr>
          <w:rStyle w:val="FootnoteReference"/>
        </w:rPr>
        <w:footnoteRef/>
      </w:r>
      <w:r>
        <w:t xml:space="preserve"> </w:t>
      </w:r>
      <w:r>
        <w:t xml:space="preserve">Heffernan 2001, PMID 11673763.</w:t>
      </w:r>
    </w:p>
  </w:footnote>
  <w:footnote w:id="841">
    <w:p>
      <w:pPr>
        <w:pStyle w:val="FootnoteText"/>
      </w:pPr>
      <w:r>
        <w:rPr>
          <w:rStyle w:val="FootnoteReference"/>
        </w:rPr>
        <w:footnoteRef/>
      </w:r>
      <w:r>
        <w:t xml:space="preserve"> </w:t>
      </w:r>
      <w:r>
        <w:t xml:space="preserve">Natera 1994, PMID 7987248.</w:t>
      </w:r>
    </w:p>
  </w:footnote>
  <w:footnote w:id="842">
    <w:p>
      <w:pPr>
        <w:pStyle w:val="FootnoteText"/>
      </w:pPr>
      <w:r>
        <w:rPr>
          <w:rStyle w:val="FootnoteReference"/>
        </w:rPr>
        <w:footnoteRef/>
      </w:r>
      <w:r>
        <w:t xml:space="preserve"> </w:t>
      </w:r>
      <w:r>
        <w:t xml:space="preserve">Kwon 2015, PMID 26275694.</w:t>
      </w:r>
    </w:p>
  </w:footnote>
  <w:footnote w:id="844">
    <w:p>
      <w:pPr>
        <w:pStyle w:val="FootnoteText"/>
      </w:pPr>
      <w:r>
        <w:rPr>
          <w:rStyle w:val="FootnoteReference"/>
        </w:rPr>
        <w:footnoteRef/>
      </w:r>
      <w:r>
        <w:t xml:space="preserve"> </w:t>
      </w:r>
      <w:r>
        <w:t xml:space="preserve">Cox 2015, PMID 25208511.</w:t>
      </w:r>
    </w:p>
  </w:footnote>
  <w:footnote w:id="845">
    <w:p>
      <w:pPr>
        <w:pStyle w:val="FootnoteText"/>
      </w:pPr>
      <w:r>
        <w:rPr>
          <w:rStyle w:val="FootnoteReference"/>
        </w:rPr>
        <w:footnoteRef/>
      </w:r>
      <w:r>
        <w:t xml:space="preserve"> </w:t>
      </w:r>
      <w:r>
        <w:t xml:space="preserve">Vanhee 2014, PMID 24976118.</w:t>
      </w:r>
    </w:p>
  </w:footnote>
  <w:footnote w:id="846">
    <w:p>
      <w:pPr>
        <w:pStyle w:val="FootnoteText"/>
      </w:pPr>
      <w:r>
        <w:rPr>
          <w:rStyle w:val="FootnoteReference"/>
        </w:rPr>
        <w:footnoteRef/>
      </w:r>
      <w:r>
        <w:t xml:space="preserve"> </w:t>
      </w:r>
      <w:r>
        <w:t xml:space="preserve">Mendias 2026, PMID 41966639; Dominikowski 2026, PMID 42395176.</w:t>
      </w:r>
    </w:p>
  </w:footnote>
  <w:footnote w:id="847">
    <w:p>
      <w:pPr>
        <w:pStyle w:val="FootnoteText"/>
      </w:pPr>
      <w:r>
        <w:rPr>
          <w:rStyle w:val="FootnoteReference"/>
        </w:rPr>
        <w:footnoteRef/>
      </w:r>
      <w:r>
        <w:t xml:space="preserve"> </w:t>
      </w:r>
      <w:r>
        <w:t xml:space="preserve">Coutinho 2026, PMID 41880199.</w:t>
      </w:r>
    </w:p>
  </w:footnote>
  <w:footnote w:id="848">
    <w:p>
      <w:pPr>
        <w:pStyle w:val="FootnoteText"/>
      </w:pPr>
      <w:r>
        <w:rPr>
          <w:rStyle w:val="FootnoteReference"/>
        </w:rPr>
        <w:footnoteRef/>
      </w:r>
      <w:r>
        <w:t xml:space="preserve"> </w:t>
      </w:r>
      <w:r>
        <w:t xml:space="preserve">Heffernan 2001, PMID 11673763.</w:t>
      </w:r>
    </w:p>
  </w:footnote>
  <w:footnote w:id="850">
    <w:p>
      <w:pPr>
        <w:pStyle w:val="FootnoteText"/>
      </w:pPr>
      <w:r>
        <w:rPr>
          <w:rStyle w:val="FootnoteReference"/>
        </w:rPr>
        <w:footnoteRef/>
      </w:r>
      <w:r>
        <w:t xml:space="preserve"> </w:t>
      </w:r>
      <w:r>
        <w:t xml:space="preserve">Cox 2015, PMID 25208511.</w:t>
      </w:r>
    </w:p>
  </w:footnote>
  <w:footnote w:id="851">
    <w:p>
      <w:pPr>
        <w:pStyle w:val="FootnoteText"/>
      </w:pPr>
      <w:r>
        <w:rPr>
          <w:rStyle w:val="FootnoteReference"/>
        </w:rPr>
        <w:footnoteRef/>
      </w:r>
      <w:r>
        <w:t xml:space="preserve"> </w:t>
      </w:r>
      <w:r>
        <w:t xml:space="preserve">Orlovius 2013, PMID 24124033.</w:t>
      </w:r>
    </w:p>
  </w:footnote>
  <w:footnote w:id="857">
    <w:p>
      <w:pPr>
        <w:pStyle w:val="FootnoteText"/>
      </w:pPr>
      <w:r>
        <w:rPr>
          <w:rStyle w:val="FootnoteReference"/>
        </w:rPr>
        <w:footnoteRef/>
      </w:r>
      <w:r>
        <w:t xml:space="preserve"> </w:t>
      </w:r>
      <w:r>
        <w:t xml:space="preserve">Rosenstock 2026, PMID 41765029.</w:t>
      </w:r>
    </w:p>
  </w:footnote>
  <w:footnote w:id="859">
    <w:p>
      <w:pPr>
        <w:pStyle w:val="FootnoteText"/>
      </w:pPr>
      <w:r>
        <w:rPr>
          <w:rStyle w:val="FootnoteReference"/>
        </w:rPr>
        <w:footnoteRef/>
      </w:r>
      <w:r>
        <w:t xml:space="preserve"> </w:t>
      </w:r>
      <w:r>
        <w:t xml:space="preserve">Rosenstock 2025, PMID 40808573.</w:t>
      </w:r>
    </w:p>
  </w:footnote>
  <w:footnote w:id="861">
    <w:p>
      <w:pPr>
        <w:pStyle w:val="FootnoteText"/>
      </w:pPr>
      <w:r>
        <w:rPr>
          <w:rStyle w:val="FootnoteReference"/>
        </w:rPr>
        <w:footnoteRef/>
      </w:r>
      <w:r>
        <w:t xml:space="preserve"> </w:t>
      </w:r>
      <w:r>
        <w:t xml:space="preserve">Wharton 2025, PMID 40960239.</w:t>
      </w:r>
    </w:p>
  </w:footnote>
  <w:footnote w:id="862">
    <w:p>
      <w:pPr>
        <w:pStyle w:val="FootnoteText"/>
      </w:pPr>
      <w:r>
        <w:rPr>
          <w:rStyle w:val="FootnoteReference"/>
        </w:rPr>
        <w:footnoteRef/>
      </w:r>
      <w:r>
        <w:t xml:space="preserve"> </w:t>
      </w:r>
      <w:r>
        <w:t xml:space="preserve">Wharton 2023, PMID 37351564.</w:t>
      </w:r>
    </w:p>
  </w:footnote>
  <w:footnote w:id="863">
    <w:p>
      <w:pPr>
        <w:pStyle w:val="FootnoteText"/>
      </w:pPr>
      <w:r>
        <w:rPr>
          <w:rStyle w:val="FootnoteReference"/>
        </w:rPr>
        <w:footnoteRef/>
      </w:r>
      <w:r>
        <w:t xml:space="preserve"> </w:t>
      </w:r>
      <w:r>
        <w:t xml:space="preserve">Horn 2026, PMID 41275875.</w:t>
      </w:r>
    </w:p>
  </w:footnote>
  <w:footnote w:id="864">
    <w:p>
      <w:pPr>
        <w:pStyle w:val="FootnoteText"/>
      </w:pPr>
      <w:r>
        <w:rPr>
          <w:rStyle w:val="FootnoteReference"/>
        </w:rPr>
        <w:footnoteRef/>
      </w:r>
      <w:r>
        <w:t xml:space="preserve"> </w:t>
      </w:r>
      <w:r>
        <w:t xml:space="preserve">Aronne 2026, PMID 42120723.</w:t>
      </w:r>
    </w:p>
  </w:footnote>
  <w:footnote w:id="866">
    <w:p>
      <w:pPr>
        <w:pStyle w:val="FootnoteText"/>
      </w:pPr>
      <w:r>
        <w:rPr>
          <w:rStyle w:val="FootnoteReference"/>
        </w:rPr>
        <w:footnoteRef/>
      </w:r>
      <w:r>
        <w:t xml:space="preserve"> </w:t>
      </w:r>
      <w:r>
        <w:t xml:space="preserve">Rosenstock 2025, PMID 40544435.</w:t>
      </w:r>
    </w:p>
  </w:footnote>
  <w:footnote w:id="867">
    <w:p>
      <w:pPr>
        <w:pStyle w:val="FootnoteText"/>
      </w:pPr>
      <w:r>
        <w:rPr>
          <w:rStyle w:val="FootnoteReference"/>
        </w:rPr>
        <w:footnoteRef/>
      </w:r>
      <w:r>
        <w:t xml:space="preserve"> </w:t>
      </w:r>
      <w:r>
        <w:t xml:space="preserve">Welch 2026, PMID 42259339.</w:t>
      </w:r>
    </w:p>
  </w:footnote>
  <w:footnote w:id="868">
    <w:p>
      <w:pPr>
        <w:pStyle w:val="FootnoteText"/>
      </w:pPr>
      <w:r>
        <w:rPr>
          <w:rStyle w:val="FootnoteReference"/>
        </w:rPr>
        <w:footnoteRef/>
      </w:r>
      <w:r>
        <w:t xml:space="preserve"> </w:t>
      </w:r>
      <w:r>
        <w:t xml:space="preserve">Rosenstock 2026, PMID 41765029.</w:t>
      </w:r>
    </w:p>
  </w:footnote>
  <w:footnote w:id="869">
    <w:p>
      <w:pPr>
        <w:pStyle w:val="FootnoteText"/>
      </w:pPr>
      <w:r>
        <w:rPr>
          <w:rStyle w:val="FootnoteReference"/>
        </w:rPr>
        <w:footnoteRef/>
      </w:r>
      <w:r>
        <w:t xml:space="preserve"> </w:t>
      </w:r>
      <w:r>
        <w:t xml:space="preserve">Klein 2026, PMID 42815506.</w:t>
      </w:r>
    </w:p>
  </w:footnote>
  <w:footnote w:id="872">
    <w:p>
      <w:pPr>
        <w:pStyle w:val="FootnoteText"/>
      </w:pPr>
      <w:r>
        <w:rPr>
          <w:rStyle w:val="FootnoteReference"/>
        </w:rPr>
        <w:footnoteRef/>
      </w:r>
      <w:r>
        <w:t xml:space="preserve"> </w:t>
      </w:r>
      <w:r>
        <w:t xml:space="preserve">NCT05469126, NCT05573230, NCT06370728, NCT06704763.</w:t>
      </w:r>
    </w:p>
  </w:footnote>
  <w:footnote w:id="874">
    <w:p>
      <w:pPr>
        <w:pStyle w:val="FootnoteText"/>
      </w:pPr>
      <w:r>
        <w:rPr>
          <w:rStyle w:val="FootnoteReference"/>
        </w:rPr>
        <w:footnoteRef/>
      </w:r>
      <w:r>
        <w:t xml:space="preserve"> </w:t>
      </w:r>
      <w:r>
        <w:t xml:space="preserve">Klein 2026, PMID 42815506.</w:t>
      </w:r>
    </w:p>
  </w:footnote>
  <w:footnote w:id="875">
    <w:p>
      <w:pPr>
        <w:pStyle w:val="FootnoteText"/>
      </w:pPr>
      <w:r>
        <w:rPr>
          <w:rStyle w:val="FootnoteReference"/>
        </w:rPr>
        <w:footnoteRef/>
      </w:r>
      <w:r>
        <w:t xml:space="preserve"> </w:t>
      </w:r>
      <w:r>
        <w:t xml:space="preserve">Wharton 2025, PMID 40960239.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Rosenstock 2026, PMID 41765029.</w:t>
      </w:r>
    </w:p>
  </w:footnote>
  <w:footnote w:id="878">
    <w:p>
      <w:pPr>
        <w:pStyle w:val="FootnoteText"/>
      </w:pPr>
      <w:r>
        <w:rPr>
          <w:rStyle w:val="FootnoteReference"/>
        </w:rPr>
        <w:footnoteRef/>
      </w:r>
      <w:r>
        <w:t xml:space="preserve"> </w:t>
      </w:r>
      <w:r>
        <w:t xml:space="preserve">Klein 2026, PMID 42815506.</w:t>
      </w:r>
    </w:p>
  </w:footnote>
  <w:footnote w:id="879">
    <w:p>
      <w:pPr>
        <w:pStyle w:val="FootnoteText"/>
      </w:pPr>
      <w:r>
        <w:rPr>
          <w:rStyle w:val="FootnoteReference"/>
        </w:rPr>
        <w:footnoteRef/>
      </w:r>
      <w:r>
        <w:t xml:space="preserve"> </w:t>
      </w:r>
      <w:r>
        <w:t xml:space="preserve">NCT07241390.</w:t>
      </w:r>
    </w:p>
  </w:footnote>
  <w:footnote w:id="880">
    <w:p>
      <w:pPr>
        <w:pStyle w:val="FootnoteText"/>
      </w:pPr>
      <w:r>
        <w:rPr>
          <w:rStyle w:val="FootnoteReference"/>
        </w:rPr>
        <w:footnoteRef/>
      </w:r>
      <w:r>
        <w:t xml:space="preserve"> </w:t>
      </w:r>
      <w:r>
        <w:t xml:space="preserve">Wharton 2026, PMID 42338042.</w:t>
      </w:r>
    </w:p>
  </w:footnote>
  <w:footnote w:id="883">
    <w:p>
      <w:pPr>
        <w:pStyle w:val="FootnoteText"/>
      </w:pPr>
      <w:r>
        <w:rPr>
          <w:rStyle w:val="FootnoteReference"/>
        </w:rPr>
        <w:footnoteRef/>
      </w:r>
      <w:r>
        <w:t xml:space="preserve"> </w:t>
      </w:r>
      <w:r>
        <w:t xml:space="preserve">NCT07223593.</w:t>
      </w:r>
    </w:p>
  </w:footnote>
  <w:footnote w:id="884">
    <w:p>
      <w:pPr>
        <w:pStyle w:val="FootnoteText"/>
      </w:pPr>
      <w:r>
        <w:rPr>
          <w:rStyle w:val="FootnoteReference"/>
        </w:rPr>
        <w:footnoteRef/>
      </w:r>
      <w:r>
        <w:t xml:space="preserve"> </w:t>
      </w:r>
      <w:r>
        <w:t xml:space="preserve">NCT06948422, NCT06948435, NCT06952530.</w:t>
      </w:r>
    </w:p>
  </w:footnote>
  <w:footnote w:id="885">
    <w:p>
      <w:pPr>
        <w:pStyle w:val="FootnoteText"/>
      </w:pPr>
      <w:r>
        <w:rPr>
          <w:rStyle w:val="FootnoteReference"/>
        </w:rPr>
        <w:footnoteRef/>
      </w:r>
      <w:r>
        <w:t xml:space="preserve"> </w:t>
      </w:r>
      <w:r>
        <w:t xml:space="preserve">NCT07153471.</w:t>
      </w:r>
    </w:p>
  </w:footnote>
  <w:footnote w:id="886">
    <w:p>
      <w:pPr>
        <w:pStyle w:val="FootnoteText"/>
      </w:pPr>
      <w:r>
        <w:rPr>
          <w:rStyle w:val="FootnoteReference"/>
        </w:rPr>
        <w:footnoteRef/>
      </w:r>
      <w:r>
        <w:t xml:space="preserve"> </w:t>
      </w:r>
      <w:r>
        <w:t xml:space="preserve">NCT07202884.</w:t>
      </w:r>
    </w:p>
  </w:footnote>
  <w:footnote w:id="887">
    <w:p>
      <w:pPr>
        <w:pStyle w:val="FootnoteText"/>
      </w:pPr>
      <w:r>
        <w:rPr>
          <w:rStyle w:val="FootnoteReference"/>
        </w:rPr>
        <w:footnoteRef/>
      </w:r>
      <w:r>
        <w:t xml:space="preserve"> </w:t>
      </w:r>
      <w:r>
        <w:t xml:space="preserve">NCT06672939.</w:t>
      </w:r>
    </w:p>
  </w:footnote>
  <w:footnote w:id="888">
    <w:p>
      <w:pPr>
        <w:pStyle w:val="FootnoteText"/>
      </w:pPr>
      <w:r>
        <w:rPr>
          <w:rStyle w:val="FootnoteReference"/>
        </w:rPr>
        <w:footnoteRef/>
      </w:r>
      <w:r>
        <w:t xml:space="preserve"> </w:t>
      </w:r>
      <w:r>
        <w:t xml:space="preserve">NCT07668336.</w:t>
      </w:r>
    </w:p>
  </w:footnote>
  <w:footnote w:id="889">
    <w:p>
      <w:pPr>
        <w:pStyle w:val="FootnoteText"/>
      </w:pPr>
      <w:r>
        <w:rPr>
          <w:rStyle w:val="FootnoteReference"/>
        </w:rPr>
        <w:footnoteRef/>
      </w:r>
      <w:r>
        <w:t xml:space="preserve"> </w:t>
      </w:r>
      <w:r>
        <w:t xml:space="preserve">NCT06649045.</w:t>
      </w:r>
    </w:p>
  </w:footnote>
  <w:footnote w:id="897">
    <w:p>
      <w:pPr>
        <w:pStyle w:val="FootnoteText"/>
      </w:pPr>
      <w:r>
        <w:rPr>
          <w:rStyle w:val="FootnoteReference"/>
        </w:rPr>
        <w:footnoteRef/>
      </w:r>
      <w:r>
        <w:t xml:space="preserve"> </w:t>
      </w:r>
      <w:r>
        <w:t xml:space="preserve">Cox 2017, PMID 28035768.</w:t>
      </w:r>
    </w:p>
  </w:footnote>
  <w:footnote w:id="899">
    <w:p>
      <w:pPr>
        <w:pStyle w:val="FootnoteText"/>
      </w:pPr>
      <w:r>
        <w:rPr>
          <w:rStyle w:val="FootnoteReference"/>
        </w:rPr>
        <w:footnoteRef/>
      </w:r>
      <w:r>
        <w:t xml:space="preserve"> </w:t>
      </w:r>
      <w:r>
        <w:t xml:space="preserve">Hsieh 2017, PMID 27847966.</w:t>
      </w:r>
    </w:p>
  </w:footnote>
  <w:footnote w:id="900">
    <w:p>
      <w:pPr>
        <w:pStyle w:val="FootnoteText"/>
      </w:pPr>
      <w:r>
        <w:rPr>
          <w:rStyle w:val="FootnoteReference"/>
        </w:rPr>
        <w:footnoteRef/>
      </w:r>
      <w:r>
        <w:t xml:space="preserve"> </w:t>
      </w:r>
      <w:r>
        <w:t xml:space="preserve">Zhang 2026, PMID 41606641.</w:t>
      </w:r>
    </w:p>
  </w:footnote>
  <w:footnote w:id="901">
    <w:p>
      <w:pPr>
        <w:pStyle w:val="FootnoteText"/>
      </w:pPr>
      <w:r>
        <w:rPr>
          <w:rStyle w:val="FootnoteReference"/>
        </w:rPr>
        <w:footnoteRef/>
      </w:r>
      <w:r>
        <w:t xml:space="preserve"> </w:t>
      </w:r>
      <w:r>
        <w:t xml:space="preserve">Chang 2011, PMID 21030672.</w:t>
      </w:r>
    </w:p>
  </w:footnote>
  <w:footnote w:id="902">
    <w:p>
      <w:pPr>
        <w:pStyle w:val="FootnoteText"/>
      </w:pPr>
      <w:r>
        <w:rPr>
          <w:rStyle w:val="FootnoteReference"/>
        </w:rPr>
        <w:footnoteRef/>
      </w:r>
      <w:r>
        <w:t xml:space="preserve"> </w:t>
      </w:r>
      <w:r>
        <w:t xml:space="preserve">Chang 2014, PMID 25415472.</w:t>
      </w:r>
    </w:p>
  </w:footnote>
  <w:footnote w:id="903">
    <w:p>
      <w:pPr>
        <w:pStyle w:val="FootnoteText"/>
      </w:pPr>
      <w:r>
        <w:rPr>
          <w:rStyle w:val="FootnoteReference"/>
        </w:rPr>
        <w:footnoteRef/>
      </w:r>
      <w:r>
        <w:t xml:space="preserve"> </w:t>
      </w:r>
      <w:r>
        <w:t xml:space="preserve">Sikiric 2025, PMID 40573323.</w:t>
      </w:r>
    </w:p>
  </w:footnote>
  <w:footnote w:id="904">
    <w:p>
      <w:pPr>
        <w:pStyle w:val="FootnoteText"/>
      </w:pPr>
      <w:r>
        <w:rPr>
          <w:rStyle w:val="FootnoteReference"/>
        </w:rPr>
        <w:footnoteRef/>
      </w:r>
      <w:r>
        <w:t xml:space="preserve"> </w:t>
      </w:r>
      <w:r>
        <w:t xml:space="preserve">Mateescu 2026, PMID 42198317.</w:t>
      </w:r>
    </w:p>
  </w:footnote>
  <w:footnote w:id="906">
    <w:p>
      <w:pPr>
        <w:pStyle w:val="FootnoteText"/>
      </w:pPr>
      <w:r>
        <w:rPr>
          <w:rStyle w:val="FootnoteReference"/>
        </w:rPr>
        <w:footnoteRef/>
      </w:r>
      <w:r>
        <w:t xml:space="preserve"> </w:t>
      </w:r>
      <w:r>
        <w:t xml:space="preserve">Poolton 2026, PMID 42885452.</w:t>
      </w:r>
    </w:p>
  </w:footnote>
  <w:footnote w:id="907">
    <w:p>
      <w:pPr>
        <w:pStyle w:val="FootnoteText"/>
      </w:pPr>
      <w:r>
        <w:rPr>
          <w:rStyle w:val="FootnoteReference"/>
        </w:rPr>
        <w:footnoteRef/>
      </w:r>
      <w:r>
        <w:t xml:space="preserve"> </w:t>
      </w:r>
      <w:r>
        <w:t xml:space="preserve">Lee 2021, PMID 34324435.</w:t>
      </w:r>
    </w:p>
  </w:footnote>
  <w:footnote w:id="908">
    <w:p>
      <w:pPr>
        <w:pStyle w:val="FootnoteText"/>
      </w:pPr>
      <w:r>
        <w:rPr>
          <w:rStyle w:val="FootnoteReference"/>
        </w:rPr>
        <w:footnoteRef/>
      </w:r>
      <w:r>
        <w:t xml:space="preserve"> </w:t>
      </w:r>
      <w:r>
        <w:t xml:space="preserve">Lee 2024, PMID 39325560.</w:t>
      </w:r>
    </w:p>
  </w:footnote>
  <w:footnote w:id="909">
    <w:p>
      <w:pPr>
        <w:pStyle w:val="FootnoteText"/>
      </w:pPr>
      <w:r>
        <w:rPr>
          <w:rStyle w:val="FootnoteReference"/>
        </w:rPr>
        <w:footnoteRef/>
      </w:r>
      <w:r>
        <w:t xml:space="preserve"> </w:t>
      </w:r>
      <w:r>
        <w:t xml:space="preserve">Lee 2025, PMID 40131143.</w:t>
      </w:r>
    </w:p>
  </w:footnote>
  <w:footnote w:id="910">
    <w:p>
      <w:pPr>
        <w:pStyle w:val="FootnoteText"/>
      </w:pPr>
      <w:r>
        <w:rPr>
          <w:rStyle w:val="FootnoteReference"/>
        </w:rPr>
        <w:footnoteRef/>
      </w:r>
      <w:r>
        <w:t xml:space="preserve"> </w:t>
      </w:r>
      <w:r>
        <w:t xml:space="preserve">Poolton 2026, PMID 42885452.</w:t>
      </w:r>
    </w:p>
  </w:footnote>
  <w:footnote w:id="911">
    <w:p>
      <w:pPr>
        <w:pStyle w:val="FootnoteText"/>
      </w:pPr>
      <w:r>
        <w:rPr>
          <w:rStyle w:val="FootnoteReference"/>
        </w:rPr>
        <w:footnoteRef/>
      </w:r>
      <w:r>
        <w:t xml:space="preserve"> </w:t>
      </w:r>
      <w:r>
        <w:t xml:space="preserve">Vasireddi 2025, PMID 40756949.</w:t>
      </w:r>
    </w:p>
  </w:footnote>
  <w:footnote w:id="912">
    <w:p>
      <w:pPr>
        <w:pStyle w:val="FootnoteText"/>
      </w:pPr>
      <w:r>
        <w:rPr>
          <w:rStyle w:val="FootnoteReference"/>
        </w:rPr>
        <w:footnoteRef/>
      </w:r>
      <w:r>
        <w:t xml:space="preserve"> </w:t>
      </w:r>
      <w:r>
        <w:t xml:space="preserve">Tham 2026, PMID 42937313; Tewari 2026, PMID 42578445.</w:t>
      </w:r>
    </w:p>
  </w:footnote>
  <w:footnote w:id="914">
    <w:p>
      <w:pPr>
        <w:pStyle w:val="FootnoteText"/>
      </w:pPr>
      <w:r>
        <w:rPr>
          <w:rStyle w:val="FootnoteReference"/>
        </w:rPr>
        <w:footnoteRef/>
      </w:r>
      <w:r>
        <w:t xml:space="preserve"> </w:t>
      </w:r>
      <w:r>
        <w:t xml:space="preserve">Staresinic 2003, PMID 14554208.</w:t>
      </w:r>
    </w:p>
  </w:footnote>
  <w:footnote w:id="915">
    <w:p>
      <w:pPr>
        <w:pStyle w:val="FootnoteText"/>
      </w:pPr>
      <w:r>
        <w:rPr>
          <w:rStyle w:val="FootnoteReference"/>
        </w:rPr>
        <w:footnoteRef/>
      </w:r>
      <w:r>
        <w:t xml:space="preserve"> </w:t>
      </w:r>
      <w:r>
        <w:t xml:space="preserve">Seiwerth 2021, PMID 34267654.</w:t>
      </w:r>
    </w:p>
  </w:footnote>
  <w:footnote w:id="916">
    <w:p>
      <w:pPr>
        <w:pStyle w:val="FootnoteText"/>
      </w:pPr>
      <w:r>
        <w:rPr>
          <w:rStyle w:val="FootnoteReference"/>
        </w:rPr>
        <w:footnoteRef/>
      </w:r>
      <w:r>
        <w:t xml:space="preserve"> </w:t>
      </w:r>
      <w:r>
        <w:t xml:space="preserve">NCT02637284.</w:t>
      </w:r>
    </w:p>
  </w:footnote>
  <w:footnote w:id="919">
    <w:p>
      <w:pPr>
        <w:pStyle w:val="FootnoteText"/>
      </w:pPr>
      <w:r>
        <w:rPr>
          <w:rStyle w:val="FootnoteReference"/>
        </w:rPr>
        <w:footnoteRef/>
      </w:r>
      <w:r>
        <w:t xml:space="preserve"> </w:t>
      </w:r>
      <w:r>
        <w:t xml:space="preserve">Gwyer 2019, PMID 30915550.</w:t>
      </w:r>
    </w:p>
  </w:footnote>
  <w:footnote w:id="920">
    <w:p>
      <w:pPr>
        <w:pStyle w:val="FootnoteText"/>
      </w:pPr>
      <w:r>
        <w:rPr>
          <w:rStyle w:val="FootnoteReference"/>
        </w:rPr>
        <w:footnoteRef/>
      </w:r>
      <w:r>
        <w:t xml:space="preserve"> </w:t>
      </w:r>
      <w:r>
        <w:t xml:space="preserve">Demirtaş 2026, PMID 42794771.</w:t>
      </w:r>
    </w:p>
  </w:footnote>
  <w:footnote w:id="921">
    <w:p>
      <w:pPr>
        <w:pStyle w:val="FootnoteText"/>
      </w:pPr>
      <w:r>
        <w:rPr>
          <w:rStyle w:val="FootnoteReference"/>
        </w:rPr>
        <w:footnoteRef/>
      </w:r>
      <w:r>
        <w:t xml:space="preserve"> </w:t>
      </w:r>
      <w:r>
        <w:t xml:space="preserve">Whitehouse 2025, PMID 40759852.</w:t>
      </w:r>
    </w:p>
  </w:footnote>
  <w:footnote w:id="924">
    <w:p>
      <w:pPr>
        <w:pStyle w:val="FootnoteText"/>
      </w:pPr>
      <w:r>
        <w:rPr>
          <w:rStyle w:val="FootnoteReference"/>
        </w:rPr>
        <w:footnoteRef/>
      </w:r>
      <w:r>
        <w:t xml:space="preserve"> </w:t>
      </w:r>
      <w:r>
        <w:t xml:space="preserve">He 2022, PMID 36588717.</w:t>
      </w:r>
    </w:p>
  </w:footnote>
  <w:footnote w:id="925">
    <w:p>
      <w:pPr>
        <w:pStyle w:val="FootnoteText"/>
      </w:pPr>
      <w:r>
        <w:rPr>
          <w:rStyle w:val="FootnoteReference"/>
        </w:rPr>
        <w:footnoteRef/>
      </w:r>
      <w:r>
        <w:t xml:space="preserve"> </w:t>
      </w:r>
      <w:r>
        <w:t xml:space="preserve">Xu 2020, PMID 32334036.</w:t>
      </w:r>
    </w:p>
  </w:footnote>
  <w:footnote w:id="928">
    <w:p>
      <w:pPr>
        <w:pStyle w:val="FootnoteText"/>
      </w:pPr>
      <w:r>
        <w:rPr>
          <w:rStyle w:val="FootnoteReference"/>
        </w:rPr>
        <w:footnoteRef/>
      </w:r>
      <w:r>
        <w:t xml:space="preserve"> </w:t>
      </w:r>
      <w:r>
        <w:t xml:space="preserve">Poolton 2026, PMID 42885452.</w:t>
      </w:r>
    </w:p>
  </w:footnote>
  <w:footnote w:id="930">
    <w:p>
      <w:pPr>
        <w:pStyle w:val="FootnoteText"/>
      </w:pPr>
      <w:r>
        <w:rPr>
          <w:rStyle w:val="FootnoteReference"/>
        </w:rPr>
        <w:footnoteRef/>
      </w:r>
      <w:r>
        <w:t xml:space="preserve"> </w:t>
      </w:r>
      <w:r>
        <w:t xml:space="preserve">Hsieh 2017, PMID 27847966.</w:t>
      </w:r>
    </w:p>
  </w:footnote>
  <w:footnote w:id="931">
    <w:p>
      <w:pPr>
        <w:pStyle w:val="FootnoteText"/>
      </w:pPr>
      <w:r>
        <w:rPr>
          <w:rStyle w:val="FootnoteReference"/>
        </w:rPr>
        <w:footnoteRef/>
      </w:r>
      <w:r>
        <w:t xml:space="preserve"> </w:t>
      </w:r>
      <w:r>
        <w:t xml:space="preserve">Moiz 2026, PMID 42757290.</w:t>
      </w:r>
    </w:p>
  </w:footnote>
  <w:footnote w:id="932">
    <w:p>
      <w:pPr>
        <w:pStyle w:val="FootnoteText"/>
      </w:pPr>
      <w:r>
        <w:rPr>
          <w:rStyle w:val="FootnoteReference"/>
        </w:rPr>
        <w:footnoteRef/>
      </w:r>
      <w:r>
        <w:t xml:space="preserve"> </w:t>
      </w:r>
      <w:r>
        <w:t xml:space="preserve">Sikiric 2025, PMID 40573323.</w:t>
      </w:r>
    </w:p>
  </w:footnote>
  <w:footnote w:id="934">
    <w:p>
      <w:pPr>
        <w:pStyle w:val="FootnoteText"/>
      </w:pPr>
      <w:r>
        <w:rPr>
          <w:rStyle w:val="FootnoteReference"/>
        </w:rPr>
        <w:footnoteRef/>
      </w:r>
      <w:r>
        <w:t xml:space="preserve"> </w:t>
      </w:r>
      <w:r>
        <w:t xml:space="preserve">Tham 2026, PMID 42937313; Mendias 2026, PMID 41966639.</w:t>
      </w:r>
    </w:p>
  </w:footnote>
  <w:footnote w:id="935">
    <w:p>
      <w:pPr>
        <w:pStyle w:val="FootnoteText"/>
      </w:pPr>
      <w:r>
        <w:rPr>
          <w:rStyle w:val="FootnoteReference"/>
        </w:rPr>
        <w:footnoteRef/>
      </w:r>
      <w:r>
        <w:t xml:space="preserve"> </w:t>
      </w:r>
      <w:r>
        <w:t xml:space="preserve">Cox 2017, PMID 28035768.</w:t>
      </w:r>
    </w:p>
  </w:footnote>
  <w:footnote w:id="937">
    <w:p>
      <w:pPr>
        <w:pStyle w:val="FootnoteText"/>
      </w:pPr>
      <w:r>
        <w:rPr>
          <w:rStyle w:val="FootnoteReference"/>
        </w:rPr>
        <w:footnoteRef/>
      </w:r>
      <w:r>
        <w:t xml:space="preserve"> </w:t>
      </w:r>
      <w:r>
        <w:t xml:space="preserve">Sikiric 2025, PMID 40573323.</w:t>
      </w:r>
    </w:p>
  </w:footnote>
  <w:footnote w:id="938">
    <w:p>
      <w:pPr>
        <w:pStyle w:val="FootnoteText"/>
      </w:pPr>
      <w:r>
        <w:rPr>
          <w:rStyle w:val="FootnoteReference"/>
        </w:rPr>
        <w:footnoteRef/>
      </w:r>
      <w:r>
        <w:t xml:space="preserve"> </w:t>
      </w:r>
      <w:r>
        <w:t xml:space="preserve">Mendias 2026, PMID 41966639.</w:t>
      </w:r>
    </w:p>
  </w:footnote>
  <w:footnote w:id="941">
    <w:p>
      <w:pPr>
        <w:pStyle w:val="FootnoteText"/>
      </w:pPr>
      <w:r>
        <w:rPr>
          <w:rStyle w:val="FootnoteReference"/>
        </w:rPr>
        <w:footnoteRef/>
      </w:r>
      <w:r>
        <w:t xml:space="preserve"> </w:t>
      </w:r>
      <w:r>
        <w:t xml:space="preserve">Willis 2026, PMID 42752426.</w:t>
      </w:r>
    </w:p>
  </w:footnote>
  <w:footnote w:id="942">
    <w:p>
      <w:pPr>
        <w:pStyle w:val="FootnoteText"/>
      </w:pPr>
      <w:r>
        <w:rPr>
          <w:rStyle w:val="FootnoteReference"/>
        </w:rPr>
        <w:footnoteRef/>
      </w:r>
      <w:r>
        <w:t xml:space="preserve"> </w:t>
      </w:r>
      <w:r>
        <w:t xml:space="preserve">Józwiak 2025, PMID 40005999.</w:t>
      </w:r>
    </w:p>
  </w:footnote>
  <w:footnote w:id="943">
    <w:p>
      <w:pPr>
        <w:pStyle w:val="FootnoteText"/>
      </w:pPr>
      <w:r>
        <w:rPr>
          <w:rStyle w:val="FootnoteReference"/>
        </w:rPr>
        <w:footnoteRef/>
      </w:r>
      <w:r>
        <w:t xml:space="preserve"> </w:t>
      </w:r>
      <w:r>
        <w:t xml:space="preserve">Tian 2023, PMID 37959764.</w:t>
      </w:r>
    </w:p>
  </w:footnote>
  <w:footnote w:id="945">
    <w:p>
      <w:pPr>
        <w:pStyle w:val="FootnoteText"/>
      </w:pPr>
      <w:r>
        <w:rPr>
          <w:rStyle w:val="FootnoteReference"/>
        </w:rPr>
        <w:footnoteRef/>
      </w:r>
      <w:r>
        <w:t xml:space="preserve"> </w:t>
      </w:r>
      <w:r>
        <w:t xml:space="preserve">NCT07437547.</w:t>
      </w:r>
    </w:p>
  </w:footnote>
  <w:footnote w:id="946">
    <w:p>
      <w:pPr>
        <w:pStyle w:val="FootnoteText"/>
      </w:pPr>
      <w:r>
        <w:rPr>
          <w:rStyle w:val="FootnoteReference"/>
        </w:rPr>
        <w:footnoteRef/>
      </w:r>
      <w:r>
        <w:t xml:space="preserve"> </w:t>
      </w:r>
      <w:r>
        <w:t xml:space="preserve">NCT07487363.</w:t>
      </w:r>
    </w:p>
  </w:footnote>
  <w:footnote w:id="947">
    <w:p>
      <w:pPr>
        <w:pStyle w:val="FootnoteText"/>
      </w:pPr>
      <w:r>
        <w:rPr>
          <w:rStyle w:val="FootnoteReference"/>
        </w:rPr>
        <w:footnoteRef/>
      </w:r>
      <w:r>
        <w:t xml:space="preserve"> </w:t>
      </w:r>
      <w:r>
        <w:t xml:space="preserve">NCT07803250.</w:t>
      </w:r>
    </w:p>
  </w:footnote>
  <w:footnote w:id="948">
    <w:p>
      <w:pPr>
        <w:pStyle w:val="FootnoteText"/>
      </w:pPr>
      <w:r>
        <w:rPr>
          <w:rStyle w:val="FootnoteReference"/>
        </w:rPr>
        <w:footnoteRef/>
      </w:r>
      <w:r>
        <w:t xml:space="preserve"> </w:t>
      </w:r>
      <w:r>
        <w:t xml:space="preserve">NCT07752381.</w:t>
      </w:r>
    </w:p>
  </w:footnote>
  <w:footnote w:id="949">
    <w:p>
      <w:pPr>
        <w:pStyle w:val="FootnoteText"/>
      </w:pPr>
      <w:r>
        <w:rPr>
          <w:rStyle w:val="FootnoteReference"/>
        </w:rPr>
        <w:footnoteRef/>
      </w:r>
      <w:r>
        <w:t xml:space="preserve"> </w:t>
      </w:r>
      <w:r>
        <w:t xml:space="preserve">Mateescu 2026, PMID 42198317.</w:t>
      </w:r>
    </w:p>
  </w:footnote>
  <w:footnote w:id="951">
    <w:p>
      <w:pPr>
        <w:pStyle w:val="FootnoteText"/>
      </w:pPr>
      <w:r>
        <w:rPr>
          <w:rStyle w:val="FootnoteReference"/>
        </w:rPr>
        <w:footnoteRef/>
      </w:r>
      <w:r>
        <w:t xml:space="preserve"> </w:t>
      </w:r>
      <w:r>
        <w:t xml:space="preserve">Poolton 2026, PMID 42885452.</w:t>
      </w:r>
    </w:p>
  </w:footnote>
  <w:footnote w:id="952">
    <w:p>
      <w:pPr>
        <w:pStyle w:val="FootnoteText"/>
      </w:pPr>
      <w:r>
        <w:rPr>
          <w:rStyle w:val="FootnoteReference"/>
        </w:rPr>
        <w:footnoteRef/>
      </w:r>
      <w:r>
        <w:t xml:space="preserve"> </w:t>
      </w:r>
      <w:r>
        <w:t xml:space="preserve">NCT07803250.</w:t>
      </w:r>
    </w:p>
  </w:footnote>
  <w:footnote w:id="955">
    <w:p>
      <w:pPr>
        <w:pStyle w:val="FootnoteText"/>
      </w:pPr>
      <w:r>
        <w:rPr>
          <w:rStyle w:val="FootnoteReference"/>
        </w:rPr>
        <w:footnoteRef/>
      </w:r>
      <w:r>
        <w:t xml:space="preserve"> </w:t>
      </w:r>
      <w:r>
        <w:t xml:space="preserve">Esposito 2012, PMID 22962027.</w:t>
      </w:r>
    </w:p>
  </w:footnote>
  <w:footnote w:id="957">
    <w:p>
      <w:pPr>
        <w:pStyle w:val="FootnoteText"/>
      </w:pPr>
      <w:r>
        <w:rPr>
          <w:rStyle w:val="FootnoteReference"/>
        </w:rPr>
        <w:footnoteRef/>
      </w:r>
      <w:r>
        <w:t xml:space="preserve"> </w:t>
      </w:r>
      <w:r>
        <w:t xml:space="preserve">Sosne 2010, PMID 20179146.</w:t>
      </w:r>
    </w:p>
  </w:footnote>
  <w:footnote w:id="958">
    <w:p>
      <w:pPr>
        <w:pStyle w:val="FootnoteText"/>
      </w:pPr>
      <w:r>
        <w:rPr>
          <w:rStyle w:val="FootnoteReference"/>
        </w:rPr>
        <w:footnoteRef/>
      </w:r>
      <w:r>
        <w:t xml:space="preserve"> </w:t>
      </w:r>
      <w:r>
        <w:t xml:space="preserve">Philp 2003, PMID 14500546.</w:t>
      </w:r>
    </w:p>
  </w:footnote>
  <w:footnote w:id="959">
    <w:p>
      <w:pPr>
        <w:pStyle w:val="FootnoteText"/>
      </w:pPr>
      <w:r>
        <w:rPr>
          <w:rStyle w:val="FootnoteReference"/>
        </w:rPr>
        <w:footnoteRef/>
      </w:r>
      <w:r>
        <w:t xml:space="preserve"> </w:t>
      </w:r>
      <w:r>
        <w:t xml:space="preserve">Rahaman 2024, PMID 38382158.</w:t>
      </w:r>
    </w:p>
  </w:footnote>
  <w:footnote w:id="960">
    <w:p>
      <w:pPr>
        <w:pStyle w:val="FootnoteText"/>
      </w:pPr>
      <w:r>
        <w:rPr>
          <w:rStyle w:val="FootnoteReference"/>
        </w:rPr>
        <w:footnoteRef/>
      </w:r>
      <w:r>
        <w:t xml:space="preserve"> </w:t>
      </w:r>
      <w:r>
        <w:t xml:space="preserve">Tham 2026, PMID 42937313.</w:t>
      </w:r>
    </w:p>
  </w:footnote>
  <w:footnote w:id="962">
    <w:p>
      <w:pPr>
        <w:pStyle w:val="FootnoteText"/>
      </w:pPr>
      <w:r>
        <w:rPr>
          <w:rStyle w:val="FootnoteReference"/>
        </w:rPr>
        <w:footnoteRef/>
      </w:r>
      <w:r>
        <w:t xml:space="preserve"> </w:t>
      </w:r>
      <w:r>
        <w:t xml:space="preserve">Sosne 2015, PMID 25826322.</w:t>
      </w:r>
    </w:p>
  </w:footnote>
  <w:footnote w:id="963">
    <w:p>
      <w:pPr>
        <w:pStyle w:val="FootnoteText"/>
      </w:pPr>
      <w:r>
        <w:rPr>
          <w:rStyle w:val="FootnoteReference"/>
        </w:rPr>
        <w:footnoteRef/>
      </w:r>
      <w:r>
        <w:t xml:space="preserve"> </w:t>
      </w:r>
      <w:r>
        <w:t xml:space="preserve">Sosne 2015, PMID 26056426.</w:t>
      </w:r>
    </w:p>
  </w:footnote>
  <w:footnote w:id="964">
    <w:p>
      <w:pPr>
        <w:pStyle w:val="FootnoteText"/>
      </w:pPr>
      <w:r>
        <w:rPr>
          <w:rStyle w:val="FootnoteReference"/>
        </w:rPr>
        <w:footnoteRef/>
      </w:r>
      <w:r>
        <w:t xml:space="preserve"> </w:t>
      </w:r>
      <w:r>
        <w:t xml:space="preserve">NCT02974907; NCT03937882.</w:t>
      </w:r>
    </w:p>
  </w:footnote>
  <w:footnote w:id="965">
    <w:p>
      <w:pPr>
        <w:pStyle w:val="FootnoteText"/>
      </w:pPr>
      <w:r>
        <w:rPr>
          <w:rStyle w:val="FootnoteReference"/>
        </w:rPr>
        <w:footnoteRef/>
      </w:r>
      <w:r>
        <w:t xml:space="preserve"> </w:t>
      </w:r>
      <w:r>
        <w:t xml:space="preserve">Sosne 2022, PMID 36613994.</w:t>
      </w:r>
    </w:p>
  </w:footnote>
  <w:footnote w:id="966">
    <w:p>
      <w:pPr>
        <w:pStyle w:val="FootnoteText"/>
      </w:pPr>
      <w:r>
        <w:rPr>
          <w:rStyle w:val="FootnoteReference"/>
        </w:rPr>
        <w:footnoteRef/>
      </w:r>
      <w:r>
        <w:t xml:space="preserve"> </w:t>
      </w:r>
      <w:r>
        <w:t xml:space="preserve">Kruoch 2025, PMID 41347649.</w:t>
      </w:r>
    </w:p>
  </w:footnote>
  <w:footnote w:id="968">
    <w:p>
      <w:pPr>
        <w:pStyle w:val="FootnoteText"/>
      </w:pPr>
      <w:r>
        <w:rPr>
          <w:rStyle w:val="FootnoteReference"/>
        </w:rPr>
        <w:footnoteRef/>
      </w:r>
      <w:r>
        <w:t xml:space="preserve"> </w:t>
      </w:r>
      <w:r>
        <w:t xml:space="preserve">Zhang 2025, PMID 41229390.</w:t>
      </w:r>
    </w:p>
  </w:footnote>
  <w:footnote w:id="970">
    <w:p>
      <w:pPr>
        <w:pStyle w:val="FootnoteText"/>
      </w:pPr>
      <w:r>
        <w:rPr>
          <w:rStyle w:val="FootnoteReference"/>
        </w:rPr>
        <w:footnoteRef/>
      </w:r>
      <w:r>
        <w:t xml:space="preserve"> </w:t>
      </w:r>
      <w:r>
        <w:t xml:space="preserve">Guarnera 2010, PMID 20536470.</w:t>
      </w:r>
    </w:p>
  </w:footnote>
  <w:footnote w:id="971">
    <w:p>
      <w:pPr>
        <w:pStyle w:val="FootnoteText"/>
      </w:pPr>
      <w:r>
        <w:rPr>
          <w:rStyle w:val="FootnoteReference"/>
        </w:rPr>
        <w:footnoteRef/>
      </w:r>
      <w:r>
        <w:t xml:space="preserve"> </w:t>
      </w:r>
      <w:r>
        <w:t xml:space="preserve">NCT00311766.</w:t>
      </w:r>
    </w:p>
  </w:footnote>
  <w:footnote w:id="973">
    <w:p>
      <w:pPr>
        <w:pStyle w:val="FootnoteText"/>
      </w:pPr>
      <w:r>
        <w:rPr>
          <w:rStyle w:val="FootnoteReference"/>
        </w:rPr>
        <w:footnoteRef/>
      </w:r>
      <w:r>
        <w:t xml:space="preserve"> </w:t>
      </w:r>
      <w:r>
        <w:t xml:space="preserve">NCT07487363.</w:t>
      </w:r>
    </w:p>
  </w:footnote>
  <w:footnote w:id="974">
    <w:p>
      <w:pPr>
        <w:pStyle w:val="FootnoteText"/>
      </w:pPr>
      <w:r>
        <w:rPr>
          <w:rStyle w:val="FootnoteReference"/>
        </w:rPr>
        <w:footnoteRef/>
      </w:r>
      <w:r>
        <w:t xml:space="preserve"> </w:t>
      </w:r>
      <w:r>
        <w:t xml:space="preserve">Lee 2021, PMID 34324435.</w:t>
      </w:r>
    </w:p>
  </w:footnote>
  <w:footnote w:id="977">
    <w:p>
      <w:pPr>
        <w:pStyle w:val="FootnoteText"/>
      </w:pPr>
      <w:r>
        <w:rPr>
          <w:rStyle w:val="FootnoteReference"/>
        </w:rPr>
        <w:footnoteRef/>
      </w:r>
      <w:r>
        <w:t xml:space="preserve"> </w:t>
      </w:r>
      <w:r>
        <w:t xml:space="preserve">Bock-Marquette 2004, PMID 15565145.</w:t>
      </w:r>
    </w:p>
  </w:footnote>
  <w:footnote w:id="978">
    <w:p>
      <w:pPr>
        <w:pStyle w:val="FootnoteText"/>
      </w:pPr>
      <w:r>
        <w:rPr>
          <w:rStyle w:val="FootnoteReference"/>
        </w:rPr>
        <w:footnoteRef/>
      </w:r>
      <w:r>
        <w:t xml:space="preserve"> </w:t>
      </w:r>
      <w:r>
        <w:t xml:space="preserve">Smart 2007, PMID 17108969.</w:t>
      </w:r>
    </w:p>
  </w:footnote>
  <w:footnote w:id="979">
    <w:p>
      <w:pPr>
        <w:pStyle w:val="FootnoteText"/>
      </w:pPr>
      <w:r>
        <w:rPr>
          <w:rStyle w:val="FootnoteReference"/>
        </w:rPr>
        <w:footnoteRef/>
      </w:r>
      <w:r>
        <w:t xml:space="preserve"> </w:t>
      </w:r>
      <w:r>
        <w:t xml:space="preserve">Kispert 2012, PMID 22019445.</w:t>
      </w:r>
    </w:p>
  </w:footnote>
  <w:footnote w:id="980">
    <w:p>
      <w:pPr>
        <w:pStyle w:val="FootnoteText"/>
      </w:pPr>
      <w:r>
        <w:rPr>
          <w:rStyle w:val="FootnoteReference"/>
        </w:rPr>
        <w:footnoteRef/>
      </w:r>
      <w:r>
        <w:t xml:space="preserve"> </w:t>
      </w:r>
      <w:r>
        <w:t xml:space="preserve">Tao 2024, PMID 38757041.</w:t>
      </w:r>
    </w:p>
  </w:footnote>
  <w:footnote w:id="981">
    <w:p>
      <w:pPr>
        <w:pStyle w:val="FootnoteText"/>
      </w:pPr>
      <w:r>
        <w:rPr>
          <w:rStyle w:val="FootnoteReference"/>
        </w:rPr>
        <w:footnoteRef/>
      </w:r>
      <w:r>
        <w:t xml:space="preserve"> </w:t>
      </w:r>
      <w:r>
        <w:t xml:space="preserve">Brady 2014, PMID 25042765.</w:t>
      </w:r>
    </w:p>
  </w:footnote>
  <w:footnote w:id="982">
    <w:p>
      <w:pPr>
        <w:pStyle w:val="FootnoteText"/>
      </w:pPr>
      <w:r>
        <w:rPr>
          <w:rStyle w:val="FootnoteReference"/>
        </w:rPr>
        <w:footnoteRef/>
      </w:r>
      <w:r>
        <w:t xml:space="preserve"> </w:t>
      </w:r>
      <w:r>
        <w:t xml:space="preserve">Tham 2026, PMID 42937313.</w:t>
      </w:r>
    </w:p>
  </w:footnote>
  <w:footnote w:id="983">
    <w:p>
      <w:pPr>
        <w:pStyle w:val="FootnoteText"/>
      </w:pPr>
      <w:r>
        <w:rPr>
          <w:rStyle w:val="FootnoteReference"/>
        </w:rPr>
        <w:footnoteRef/>
      </w:r>
      <w:r>
        <w:t xml:space="preserve"> </w:t>
      </w:r>
      <w:r>
        <w:t xml:space="preserve">Biçer 2026, PMID 42542926.</w:t>
      </w:r>
    </w:p>
  </w:footnote>
  <w:footnote w:id="985">
    <w:p>
      <w:pPr>
        <w:pStyle w:val="FootnoteText"/>
      </w:pPr>
      <w:r>
        <w:rPr>
          <w:rStyle w:val="FootnoteReference"/>
        </w:rPr>
        <w:footnoteRef/>
      </w:r>
      <w:r>
        <w:t xml:space="preserve"> </w:t>
      </w:r>
      <w:r>
        <w:t xml:space="preserve">Ruff 2010, PMID 20536472.</w:t>
      </w:r>
    </w:p>
  </w:footnote>
  <w:footnote w:id="986">
    <w:p>
      <w:pPr>
        <w:pStyle w:val="FootnoteText"/>
      </w:pPr>
      <w:r>
        <w:rPr>
          <w:rStyle w:val="FootnoteReference"/>
        </w:rPr>
        <w:footnoteRef/>
      </w:r>
      <w:r>
        <w:t xml:space="preserve"> </w:t>
      </w:r>
      <w:r>
        <w:t xml:space="preserve">Wang 2021, PMID 34346165.</w:t>
      </w:r>
    </w:p>
  </w:footnote>
  <w:footnote w:id="988">
    <w:p>
      <w:pPr>
        <w:pStyle w:val="FootnoteText"/>
      </w:pPr>
      <w:r>
        <w:rPr>
          <w:rStyle w:val="FootnoteReference"/>
        </w:rPr>
        <w:footnoteRef/>
      </w:r>
      <w:r>
        <w:t xml:space="preserve"> </w:t>
      </w:r>
      <w:r>
        <w:t xml:space="preserve">Wang 2016, PMID 27596300.</w:t>
      </w:r>
    </w:p>
  </w:footnote>
  <w:footnote w:id="989">
    <w:p>
      <w:pPr>
        <w:pStyle w:val="FootnoteText"/>
      </w:pPr>
      <w:r>
        <w:rPr>
          <w:rStyle w:val="FootnoteReference"/>
        </w:rPr>
        <w:footnoteRef/>
      </w:r>
      <w:r>
        <w:t xml:space="preserve"> </w:t>
      </w:r>
      <w:r>
        <w:t xml:space="preserve">Larsson 2007, PMID 17495241.</w:t>
      </w:r>
    </w:p>
  </w:footnote>
  <w:footnote w:id="991">
    <w:p>
      <w:pPr>
        <w:pStyle w:val="FootnoteText"/>
      </w:pPr>
      <w:r>
        <w:rPr>
          <w:rStyle w:val="FootnoteReference"/>
        </w:rPr>
        <w:footnoteRef/>
      </w:r>
      <w:r>
        <w:t xml:space="preserve"> </w:t>
      </w:r>
      <w:r>
        <w:t xml:space="preserve">Delcourt 2023, PMID 36482504.</w:t>
      </w:r>
    </w:p>
  </w:footnote>
  <w:footnote w:id="992">
    <w:p>
      <w:pPr>
        <w:pStyle w:val="FootnoteText"/>
      </w:pPr>
      <w:r>
        <w:rPr>
          <w:rStyle w:val="FootnoteReference"/>
        </w:rPr>
        <w:footnoteRef/>
      </w:r>
      <w:r>
        <w:t xml:space="preserve"> </w:t>
      </w:r>
      <w:r>
        <w:t xml:space="preserve">Ho 2012, PMID 23084823.</w:t>
      </w:r>
    </w:p>
  </w:footnote>
  <w:footnote w:id="995">
    <w:p>
      <w:pPr>
        <w:pStyle w:val="FootnoteText"/>
      </w:pPr>
      <w:r>
        <w:rPr>
          <w:rStyle w:val="FootnoteReference"/>
        </w:rPr>
        <w:footnoteRef/>
      </w:r>
      <w:r>
        <w:t xml:space="preserve"> </w:t>
      </w:r>
      <w:r>
        <w:t xml:space="preserve">Willis 2026, PMID 42752426.</w:t>
      </w:r>
    </w:p>
  </w:footnote>
  <w:footnote w:id="996">
    <w:p>
      <w:pPr>
        <w:pStyle w:val="FootnoteText"/>
      </w:pPr>
      <w:r>
        <w:rPr>
          <w:rStyle w:val="FootnoteReference"/>
        </w:rPr>
        <w:footnoteRef/>
      </w:r>
      <w:r>
        <w:t xml:space="preserve"> </w:t>
      </w:r>
      <w:r>
        <w:t xml:space="preserve">Delcourt 2025, PMID 39314109.</w:t>
      </w:r>
    </w:p>
  </w:footnote>
  <w:footnote w:id="998">
    <w:p>
      <w:pPr>
        <w:pStyle w:val="FootnoteText"/>
      </w:pPr>
      <w:r>
        <w:rPr>
          <w:rStyle w:val="FootnoteReference"/>
        </w:rPr>
        <w:footnoteRef/>
      </w:r>
      <w:r>
        <w:t xml:space="preserve"> </w:t>
      </w:r>
      <w:r>
        <w:t xml:space="preserve">NCT05555589.</w:t>
      </w:r>
    </w:p>
  </w:footnote>
  <w:footnote w:id="999">
    <w:p>
      <w:pPr>
        <w:pStyle w:val="FootnoteText"/>
      </w:pPr>
      <w:r>
        <w:rPr>
          <w:rStyle w:val="FootnoteReference"/>
        </w:rPr>
        <w:footnoteRef/>
      </w:r>
      <w:r>
        <w:t xml:space="preserve"> </w:t>
      </w:r>
      <w:r>
        <w:t xml:space="preserve">NCT07586865.</w:t>
      </w:r>
    </w:p>
  </w:footnote>
  <w:footnote w:id="1000">
    <w:p>
      <w:pPr>
        <w:pStyle w:val="FootnoteText"/>
      </w:pPr>
      <w:r>
        <w:rPr>
          <w:rStyle w:val="FootnoteReference"/>
        </w:rPr>
        <w:footnoteRef/>
      </w:r>
      <w:r>
        <w:t xml:space="preserve"> </w:t>
      </w:r>
      <w:r>
        <w:t xml:space="preserve">NCT05485818; NCT05984134.</w:t>
      </w:r>
    </w:p>
  </w:footnote>
  <w:footnote w:id="1002">
    <w:p>
      <w:pPr>
        <w:pStyle w:val="FootnoteText"/>
      </w:pPr>
      <w:r>
        <w:rPr>
          <w:rStyle w:val="FootnoteReference"/>
        </w:rPr>
        <w:footnoteRef/>
      </w:r>
      <w:r>
        <w:t xml:space="preserve"> </w:t>
      </w:r>
      <w:r>
        <w:t xml:space="preserve">Zhang 2025, PMID 41229390.</w:t>
      </w:r>
    </w:p>
  </w:footnote>
  <w:footnote w:id="1005">
    <w:p>
      <w:pPr>
        <w:pStyle w:val="FootnoteText"/>
      </w:pPr>
      <w:r>
        <w:rPr>
          <w:rStyle w:val="FootnoteReference"/>
        </w:rPr>
        <w:footnoteRef/>
      </w:r>
      <w:r>
        <w:t xml:space="preserve"> </w:t>
      </w:r>
      <w:r>
        <w:t xml:space="preserve">Iino 2005, PMID 15850471.</w:t>
      </w:r>
    </w:p>
  </w:footnote>
  <w:footnote w:id="1006">
    <w:p>
      <w:pPr>
        <w:pStyle w:val="FootnoteText"/>
      </w:pPr>
      <w:r>
        <w:rPr>
          <w:rStyle w:val="FootnoteReference"/>
        </w:rPr>
        <w:footnoteRef/>
      </w:r>
      <w:r>
        <w:t xml:space="preserve"> </w:t>
      </w:r>
      <w:r>
        <w:t xml:space="preserve">Dinetz 2024, PMID 38308608.</w:t>
      </w:r>
    </w:p>
  </w:footnote>
  <w:footnote w:id="1008">
    <w:p>
      <w:pPr>
        <w:pStyle w:val="FootnoteText"/>
      </w:pPr>
      <w:r>
        <w:rPr>
          <w:rStyle w:val="FootnoteReference"/>
        </w:rPr>
        <w:footnoteRef/>
      </w:r>
      <w:r>
        <w:t xml:space="preserve"> </w:t>
      </w:r>
      <w:r>
        <w:t xml:space="preserve">Garaci 2007, PMID 17600290.</w:t>
      </w:r>
    </w:p>
  </w:footnote>
  <w:footnote w:id="1009">
    <w:p>
      <w:pPr>
        <w:pStyle w:val="FootnoteText"/>
      </w:pPr>
      <w:r>
        <w:rPr>
          <w:rStyle w:val="FootnoteReference"/>
        </w:rPr>
        <w:footnoteRef/>
      </w:r>
      <w:r>
        <w:t xml:space="preserve"> </w:t>
      </w:r>
      <w:r>
        <w:t xml:space="preserve">Ancell 2001, PMID 11381492.</w:t>
      </w:r>
    </w:p>
  </w:footnote>
  <w:footnote w:id="1011">
    <w:p>
      <w:pPr>
        <w:pStyle w:val="FootnoteText"/>
      </w:pPr>
      <w:r>
        <w:rPr>
          <w:rStyle w:val="FootnoteReference"/>
        </w:rPr>
        <w:footnoteRef/>
      </w:r>
      <w:r>
        <w:t xml:space="preserve"> </w:t>
      </w:r>
      <w:r>
        <w:t xml:space="preserve">Dinetz 2024, PMID 38308608.</w:t>
      </w:r>
    </w:p>
  </w:footnote>
  <w:footnote w:id="1013">
    <w:p>
      <w:pPr>
        <w:pStyle w:val="FootnoteText"/>
      </w:pPr>
      <w:r>
        <w:rPr>
          <w:rStyle w:val="FootnoteReference"/>
        </w:rPr>
        <w:footnoteRef/>
      </w:r>
      <w:r>
        <w:t xml:space="preserve"> </w:t>
      </w:r>
      <w:r>
        <w:t xml:space="preserve">Chien 1998, PMID 9581695.</w:t>
      </w:r>
    </w:p>
  </w:footnote>
  <w:footnote w:id="1014">
    <w:p>
      <w:pPr>
        <w:pStyle w:val="FootnoteText"/>
      </w:pPr>
      <w:r>
        <w:rPr>
          <w:rStyle w:val="FootnoteReference"/>
        </w:rPr>
        <w:footnoteRef/>
      </w:r>
      <w:r>
        <w:t xml:space="preserve"> </w:t>
      </w:r>
      <w:r>
        <w:t xml:space="preserve">Mutchnick 1999, PMID 10607256.</w:t>
      </w:r>
    </w:p>
  </w:footnote>
  <w:footnote w:id="1015">
    <w:p>
      <w:pPr>
        <w:pStyle w:val="FootnoteText"/>
      </w:pPr>
      <w:r>
        <w:rPr>
          <w:rStyle w:val="FootnoteReference"/>
        </w:rPr>
        <w:footnoteRef/>
      </w:r>
      <w:r>
        <w:t xml:space="preserve"> </w:t>
      </w:r>
      <w:r>
        <w:t xml:space="preserve">Yang 2008, PMID 18078676.</w:t>
      </w:r>
    </w:p>
  </w:footnote>
  <w:footnote w:id="1016">
    <w:p>
      <w:pPr>
        <w:pStyle w:val="FootnoteText"/>
      </w:pPr>
      <w:r>
        <w:rPr>
          <w:rStyle w:val="FootnoteReference"/>
        </w:rPr>
        <w:footnoteRef/>
      </w:r>
      <w:r>
        <w:t xml:space="preserve"> </w:t>
      </w:r>
      <w:r>
        <w:t xml:space="preserve">Wu 2018, PMID 30063860.</w:t>
      </w:r>
    </w:p>
  </w:footnote>
  <w:footnote w:id="1017">
    <w:p>
      <w:pPr>
        <w:pStyle w:val="FootnoteText"/>
      </w:pPr>
      <w:r>
        <w:rPr>
          <w:rStyle w:val="FootnoteReference"/>
        </w:rPr>
        <w:footnoteRef/>
      </w:r>
      <w:r>
        <w:t xml:space="preserve"> </w:t>
      </w:r>
      <w:r>
        <w:t xml:space="preserve">Peng 2020, PMID 33076834.</w:t>
      </w:r>
    </w:p>
  </w:footnote>
  <w:footnote w:id="1018">
    <w:p>
      <w:pPr>
        <w:pStyle w:val="FootnoteText"/>
      </w:pPr>
      <w:r>
        <w:rPr>
          <w:rStyle w:val="FootnoteReference"/>
        </w:rPr>
        <w:footnoteRef/>
      </w:r>
      <w:r>
        <w:t xml:space="preserve"> </w:t>
      </w:r>
      <w:r>
        <w:t xml:space="preserve">Chen 2022, PMID 35616850.</w:t>
      </w:r>
    </w:p>
  </w:footnote>
  <w:footnote w:id="1019">
    <w:p>
      <w:pPr>
        <w:pStyle w:val="FootnoteText"/>
      </w:pPr>
      <w:r>
        <w:rPr>
          <w:rStyle w:val="FootnoteReference"/>
        </w:rPr>
        <w:footnoteRef/>
      </w:r>
      <w:r>
        <w:t xml:space="preserve"> </w:t>
      </w:r>
      <w:r>
        <w:t xml:space="preserve">Sherman 1998, PMID 9537454; Andreone 2004, PMID 14738560.</w:t>
      </w:r>
    </w:p>
  </w:footnote>
  <w:footnote w:id="1021">
    <w:p>
      <w:pPr>
        <w:pStyle w:val="FootnoteText"/>
      </w:pPr>
      <w:r>
        <w:rPr>
          <w:rStyle w:val="FootnoteReference"/>
        </w:rPr>
        <w:footnoteRef/>
      </w:r>
      <w:r>
        <w:t xml:space="preserve"> </w:t>
      </w:r>
      <w:r>
        <w:t xml:space="preserve">Wu 2013, PMID 23327199.</w:t>
      </w:r>
    </w:p>
  </w:footnote>
  <w:footnote w:id="1022">
    <w:p>
      <w:pPr>
        <w:pStyle w:val="FootnoteText"/>
      </w:pPr>
      <w:r>
        <w:rPr>
          <w:rStyle w:val="FootnoteReference"/>
        </w:rPr>
        <w:footnoteRef/>
      </w:r>
      <w:r>
        <w:t xml:space="preserve"> </w:t>
      </w:r>
      <w:r>
        <w:t xml:space="preserve">Wu 2025, PMID 39814420.</w:t>
      </w:r>
    </w:p>
  </w:footnote>
  <w:footnote w:id="1023">
    <w:p>
      <w:pPr>
        <w:pStyle w:val="FootnoteText"/>
      </w:pPr>
      <w:r>
        <w:rPr>
          <w:rStyle w:val="FootnoteReference"/>
        </w:rPr>
        <w:footnoteRef/>
      </w:r>
      <w:r>
        <w:t xml:space="preserve"> </w:t>
      </w:r>
      <w:r>
        <w:t xml:space="preserve">Gu 2025, PMID 40969554.</w:t>
      </w:r>
    </w:p>
  </w:footnote>
  <w:footnote w:id="1024">
    <w:p>
      <w:pPr>
        <w:pStyle w:val="FootnoteText"/>
      </w:pPr>
      <w:r>
        <w:rPr>
          <w:rStyle w:val="FootnoteReference"/>
        </w:rPr>
        <w:footnoteRef/>
      </w:r>
      <w:r>
        <w:t xml:space="preserve"> </w:t>
      </w:r>
      <w:r>
        <w:t xml:space="preserve">Luo 2026, PMID 42205841.</w:t>
      </w:r>
    </w:p>
  </w:footnote>
  <w:footnote w:id="1026">
    <w:p>
      <w:pPr>
        <w:pStyle w:val="FootnoteText"/>
      </w:pPr>
      <w:r>
        <w:rPr>
          <w:rStyle w:val="FootnoteReference"/>
        </w:rPr>
        <w:footnoteRef/>
      </w:r>
      <w:r>
        <w:t xml:space="preserve"> </w:t>
      </w:r>
      <w:r>
        <w:t xml:space="preserve">Liu 2020, PMID 32442287.</w:t>
      </w:r>
    </w:p>
  </w:footnote>
  <w:footnote w:id="1027">
    <w:p>
      <w:pPr>
        <w:pStyle w:val="FootnoteText"/>
      </w:pPr>
      <w:r>
        <w:rPr>
          <w:rStyle w:val="FootnoteReference"/>
        </w:rPr>
        <w:footnoteRef/>
      </w:r>
      <w:r>
        <w:t xml:space="preserve"> </w:t>
      </w:r>
      <w:r>
        <w:t xml:space="preserve">Liu 2021, PMID 34408744.</w:t>
      </w:r>
    </w:p>
  </w:footnote>
  <w:footnote w:id="1028">
    <w:p>
      <w:pPr>
        <w:pStyle w:val="FootnoteText"/>
      </w:pPr>
      <w:r>
        <w:rPr>
          <w:rStyle w:val="FootnoteReference"/>
        </w:rPr>
        <w:footnoteRef/>
      </w:r>
      <w:r>
        <w:t xml:space="preserve"> </w:t>
      </w:r>
      <w:r>
        <w:t xml:space="preserve">Shehadeh 2023, PMID 36056913.</w:t>
      </w:r>
    </w:p>
  </w:footnote>
  <w:footnote w:id="1029">
    <w:p>
      <w:pPr>
        <w:pStyle w:val="FootnoteText"/>
      </w:pPr>
      <w:r>
        <w:rPr>
          <w:rStyle w:val="FootnoteReference"/>
        </w:rPr>
        <w:footnoteRef/>
      </w:r>
      <w:r>
        <w:t xml:space="preserve"> </w:t>
      </w:r>
      <w:r>
        <w:t xml:space="preserve">Shang 2023, PMID 36527881.</w:t>
      </w:r>
    </w:p>
  </w:footnote>
  <w:footnote w:id="1030">
    <w:p>
      <w:pPr>
        <w:pStyle w:val="FootnoteText"/>
      </w:pPr>
      <w:r>
        <w:rPr>
          <w:rStyle w:val="FootnoteReference"/>
        </w:rPr>
        <w:footnoteRef/>
      </w:r>
      <w:r>
        <w:t xml:space="preserve"> </w:t>
      </w:r>
      <w:r>
        <w:t xml:space="preserve">Soeroto 2023, PMID 37845598.</w:t>
      </w:r>
    </w:p>
  </w:footnote>
  <w:footnote w:id="1032">
    <w:p>
      <w:pPr>
        <w:pStyle w:val="FootnoteText"/>
      </w:pPr>
      <w:r>
        <w:rPr>
          <w:rStyle w:val="FootnoteReference"/>
        </w:rPr>
        <w:footnoteRef/>
      </w:r>
      <w:r>
        <w:t xml:space="preserve"> </w:t>
      </w:r>
      <w:r>
        <w:t xml:space="preserve">Maio 2010, PMID 20194853.</w:t>
      </w:r>
    </w:p>
  </w:footnote>
  <w:footnote w:id="1033">
    <w:p>
      <w:pPr>
        <w:pStyle w:val="FootnoteText"/>
      </w:pPr>
      <w:r>
        <w:rPr>
          <w:rStyle w:val="FootnoteReference"/>
        </w:rPr>
        <w:footnoteRef/>
      </w:r>
      <w:r>
        <w:t xml:space="preserve"> </w:t>
      </w:r>
      <w:r>
        <w:t xml:space="preserve">Kim 2026, PMID 42797537.</w:t>
      </w:r>
    </w:p>
  </w:footnote>
  <w:footnote w:id="1034">
    <w:p>
      <w:pPr>
        <w:pStyle w:val="FootnoteText"/>
      </w:pPr>
      <w:r>
        <w:rPr>
          <w:rStyle w:val="FootnoteReference"/>
        </w:rPr>
        <w:footnoteRef/>
      </w:r>
      <w:r>
        <w:t xml:space="preserve"> </w:t>
      </w:r>
      <w:r>
        <w:t xml:space="preserve">Xu 2026, PMID 41749205.</w:t>
      </w:r>
    </w:p>
  </w:footnote>
  <w:footnote w:id="1036">
    <w:p>
      <w:pPr>
        <w:pStyle w:val="FootnoteText"/>
      </w:pPr>
      <w:r>
        <w:rPr>
          <w:rStyle w:val="FootnoteReference"/>
        </w:rPr>
        <w:footnoteRef/>
      </w:r>
      <w:r>
        <w:t xml:space="preserve"> </w:t>
      </w:r>
      <w:r>
        <w:t xml:space="preserve">Gravenstein 1989, PMID 2642497.</w:t>
      </w:r>
    </w:p>
  </w:footnote>
  <w:footnote w:id="1037">
    <w:p>
      <w:pPr>
        <w:pStyle w:val="FootnoteText"/>
      </w:pPr>
      <w:r>
        <w:rPr>
          <w:rStyle w:val="FootnoteReference"/>
        </w:rPr>
        <w:footnoteRef/>
      </w:r>
      <w:r>
        <w:t xml:space="preserve"> </w:t>
      </w:r>
      <w:r>
        <w:t xml:space="preserve">Tuthill 2023, PMID 36881981.</w:t>
      </w:r>
    </w:p>
  </w:footnote>
  <w:footnote w:id="1038">
    <w:p>
      <w:pPr>
        <w:pStyle w:val="FootnoteText"/>
      </w:pPr>
      <w:r>
        <w:rPr>
          <w:rStyle w:val="FootnoteReference"/>
        </w:rPr>
        <w:footnoteRef/>
      </w:r>
      <w:r>
        <w:t xml:space="preserve"> </w:t>
      </w:r>
      <w:r>
        <w:t xml:space="preserve">NCT06821100.</w:t>
      </w:r>
    </w:p>
  </w:footnote>
  <w:footnote w:id="1041">
    <w:p>
      <w:pPr>
        <w:pStyle w:val="FootnoteText"/>
      </w:pPr>
      <w:r>
        <w:rPr>
          <w:rStyle w:val="FootnoteReference"/>
        </w:rPr>
        <w:footnoteRef/>
      </w:r>
      <w:r>
        <w:t xml:space="preserve"> </w:t>
      </w:r>
      <w:r>
        <w:t xml:space="preserve">Garaci 2007, PMID 17600290.</w:t>
      </w:r>
    </w:p>
  </w:footnote>
  <w:footnote w:id="1043">
    <w:p>
      <w:pPr>
        <w:pStyle w:val="FootnoteText"/>
      </w:pPr>
      <w:r>
        <w:rPr>
          <w:rStyle w:val="FootnoteReference"/>
        </w:rPr>
        <w:footnoteRef/>
      </w:r>
      <w:r>
        <w:t xml:space="preserve"> </w:t>
      </w:r>
      <w:r>
        <w:t xml:space="preserve">Ancell 2001, PMID 11381492.</w:t>
      </w:r>
    </w:p>
  </w:footnote>
  <w:footnote w:id="1044">
    <w:p>
      <w:pPr>
        <w:pStyle w:val="FootnoteText"/>
      </w:pPr>
      <w:r>
        <w:rPr>
          <w:rStyle w:val="FootnoteReference"/>
        </w:rPr>
        <w:footnoteRef/>
      </w:r>
      <w:r>
        <w:t xml:space="preserve"> </w:t>
      </w:r>
      <w:r>
        <w:t xml:space="preserve">Wu 2025, PMID 39814420.</w:t>
      </w:r>
    </w:p>
  </w:footnote>
  <w:footnote w:id="1045">
    <w:p>
      <w:pPr>
        <w:pStyle w:val="FootnoteText"/>
      </w:pPr>
      <w:r>
        <w:rPr>
          <w:rStyle w:val="FootnoteReference"/>
        </w:rPr>
        <w:footnoteRef/>
      </w:r>
      <w:r>
        <w:t xml:space="preserve"> </w:t>
      </w:r>
      <w:r>
        <w:t xml:space="preserve">Iino 2005, PMID 15850471.</w:t>
      </w:r>
    </w:p>
  </w:footnote>
  <w:footnote w:id="1047">
    <w:p>
      <w:pPr>
        <w:pStyle w:val="FootnoteText"/>
      </w:pPr>
      <w:r>
        <w:rPr>
          <w:rStyle w:val="FootnoteReference"/>
        </w:rPr>
        <w:footnoteRef/>
      </w:r>
      <w:r>
        <w:t xml:space="preserve"> </w:t>
      </w:r>
      <w:r>
        <w:t xml:space="preserve">Wu 2025, PMID 39814420.</w:t>
      </w:r>
    </w:p>
  </w:footnote>
  <w:footnote w:id="1048">
    <w:p>
      <w:pPr>
        <w:pStyle w:val="FootnoteText"/>
      </w:pPr>
      <w:r>
        <w:rPr>
          <w:rStyle w:val="FootnoteReference"/>
        </w:rPr>
        <w:footnoteRef/>
      </w:r>
      <w:r>
        <w:t xml:space="preserve"> </w:t>
      </w:r>
      <w:r>
        <w:t xml:space="preserve">Liu 2021, PMID 34408744.</w:t>
      </w:r>
    </w:p>
  </w:footnote>
  <w:footnote w:id="1049">
    <w:p>
      <w:pPr>
        <w:pStyle w:val="FootnoteText"/>
      </w:pPr>
      <w:r>
        <w:rPr>
          <w:rStyle w:val="FootnoteReference"/>
        </w:rPr>
        <w:footnoteRef/>
      </w:r>
      <w:r>
        <w:t xml:space="preserve"> </w:t>
      </w:r>
      <w:r>
        <w:t xml:space="preserve">Kim 2026, PMID 42797537.</w:t>
      </w:r>
    </w:p>
  </w:footnote>
  <w:footnote w:id="1052">
    <w:p>
      <w:pPr>
        <w:pStyle w:val="FootnoteText"/>
      </w:pPr>
      <w:r>
        <w:rPr>
          <w:rStyle w:val="FootnoteReference"/>
        </w:rPr>
        <w:footnoteRef/>
      </w:r>
      <w:r>
        <w:t xml:space="preserve"> </w:t>
      </w:r>
      <w:r>
        <w:t xml:space="preserve">Dinetz 2024, PMID 38308608.</w:t>
      </w:r>
    </w:p>
  </w:footnote>
  <w:footnote w:id="1053">
    <w:p>
      <w:pPr>
        <w:pStyle w:val="FootnoteText"/>
      </w:pPr>
      <w:r>
        <w:rPr>
          <w:rStyle w:val="FootnoteReference"/>
        </w:rPr>
        <w:footnoteRef/>
      </w:r>
      <w:r>
        <w:t xml:space="preserve"> </w:t>
      </w:r>
      <w:r>
        <w:t xml:space="preserve">Willis 2026, PMID 42752426.</w:t>
      </w:r>
    </w:p>
  </w:footnote>
  <w:footnote w:id="1055">
    <w:p>
      <w:pPr>
        <w:pStyle w:val="FootnoteText"/>
      </w:pPr>
      <w:r>
        <w:rPr>
          <w:rStyle w:val="FootnoteReference"/>
        </w:rPr>
        <w:footnoteRef/>
      </w:r>
      <w:r>
        <w:t xml:space="preserve"> </w:t>
      </w:r>
      <w:r>
        <w:t xml:space="preserve">NCT05086614.</w:t>
      </w:r>
    </w:p>
  </w:footnote>
  <w:footnote w:id="1056">
    <w:p>
      <w:pPr>
        <w:pStyle w:val="FootnoteText"/>
      </w:pPr>
      <w:r>
        <w:rPr>
          <w:rStyle w:val="FootnoteReference"/>
        </w:rPr>
        <w:footnoteRef/>
      </w:r>
      <w:r>
        <w:t xml:space="preserve"> </w:t>
      </w:r>
      <w:r>
        <w:t xml:space="preserve">NCT07884201.</w:t>
      </w:r>
    </w:p>
  </w:footnote>
  <w:footnote w:id="1057">
    <w:p>
      <w:pPr>
        <w:pStyle w:val="FootnoteText"/>
      </w:pPr>
      <w:r>
        <w:rPr>
          <w:rStyle w:val="FootnoteReference"/>
        </w:rPr>
        <w:footnoteRef/>
      </w:r>
      <w:r>
        <w:t xml:space="preserve"> </w:t>
      </w:r>
      <w:r>
        <w:t xml:space="preserve">NCT07866118.</w:t>
      </w:r>
    </w:p>
  </w:footnote>
  <w:footnote w:id="1058">
    <w:p>
      <w:pPr>
        <w:pStyle w:val="FootnoteText"/>
      </w:pPr>
      <w:r>
        <w:rPr>
          <w:rStyle w:val="FootnoteReference"/>
        </w:rPr>
        <w:footnoteRef/>
      </w:r>
      <w:r>
        <w:t xml:space="preserve"> </w:t>
      </w:r>
      <w:r>
        <w:t xml:space="preserve">NCT06821100.</w:t>
      </w:r>
    </w:p>
  </w:footnote>
  <w:footnote w:id="1060">
    <w:p>
      <w:pPr>
        <w:pStyle w:val="FootnoteText"/>
      </w:pPr>
      <w:r>
        <w:rPr>
          <w:rStyle w:val="FootnoteReference"/>
        </w:rPr>
        <w:footnoteRef/>
      </w:r>
      <w:r>
        <w:t xml:space="preserve"> </w:t>
      </w:r>
      <w:r>
        <w:t xml:space="preserve">Wu 2025, PMID 39814420.</w:t>
      </w:r>
    </w:p>
  </w:footnote>
  <w:footnote w:id="1061">
    <w:p>
      <w:pPr>
        <w:pStyle w:val="FootnoteText"/>
      </w:pPr>
      <w:r>
        <w:rPr>
          <w:rStyle w:val="FootnoteReference"/>
        </w:rPr>
        <w:footnoteRef/>
      </w:r>
      <w:r>
        <w:t xml:space="preserve"> </w:t>
      </w:r>
      <w:r>
        <w:t xml:space="preserve">Ke 2022, PMID 35713670.</w:t>
      </w:r>
    </w:p>
  </w:footnote>
  <w:footnote w:id="1062">
    <w:p>
      <w:pPr>
        <w:pStyle w:val="FootnoteText"/>
      </w:pPr>
      <w:r>
        <w:rPr>
          <w:rStyle w:val="FootnoteReference"/>
        </w:rPr>
        <w:footnoteRef/>
      </w:r>
      <w:r>
        <w:t xml:space="preserve"> </w:t>
      </w:r>
      <w:r>
        <w:t xml:space="preserve">Wu 2018, PMID 30063860.</w:t>
      </w:r>
    </w:p>
  </w:footnote>
  <w:footnote w:id="1065">
    <w:p>
      <w:pPr>
        <w:pStyle w:val="FootnoteText"/>
      </w:pPr>
      <w:r>
        <w:rPr>
          <w:rStyle w:val="FootnoteReference"/>
        </w:rPr>
        <w:footnoteRef/>
      </w:r>
      <w:r>
        <w:t xml:space="preserve"> </w:t>
      </w:r>
      <w:r>
        <w:t xml:space="preserve">Cutuli 2000, PMID 10670585.</w:t>
      </w:r>
    </w:p>
  </w:footnote>
  <w:footnote w:id="1067">
    <w:p>
      <w:pPr>
        <w:pStyle w:val="FootnoteText"/>
      </w:pPr>
      <w:r>
        <w:rPr>
          <w:rStyle w:val="FootnoteReference"/>
        </w:rPr>
        <w:footnoteRef/>
      </w:r>
      <w:r>
        <w:t xml:space="preserve"> </w:t>
      </w:r>
      <w:r>
        <w:t xml:space="preserve">Catania 1998, PMID 9700761.</w:t>
      </w:r>
    </w:p>
  </w:footnote>
  <w:footnote w:id="1068">
    <w:p>
      <w:pPr>
        <w:pStyle w:val="FootnoteText"/>
      </w:pPr>
      <w:r>
        <w:rPr>
          <w:rStyle w:val="FootnoteReference"/>
        </w:rPr>
        <w:footnoteRef/>
      </w:r>
      <w:r>
        <w:t xml:space="preserve"> </w:t>
      </w:r>
      <w:r>
        <w:t xml:space="preserve">Getting 2003, PMID 12750433.</w:t>
      </w:r>
    </w:p>
  </w:footnote>
  <w:footnote w:id="1069">
    <w:p>
      <w:pPr>
        <w:pStyle w:val="FootnoteText"/>
      </w:pPr>
      <w:r>
        <w:rPr>
          <w:rStyle w:val="FootnoteReference"/>
        </w:rPr>
        <w:footnoteRef/>
      </w:r>
      <w:r>
        <w:t xml:space="preserve"> </w:t>
      </w:r>
      <w:r>
        <w:t xml:space="preserve">Dalmasso 2008, PMID 18061177.</w:t>
      </w:r>
    </w:p>
  </w:footnote>
  <w:footnote w:id="1070">
    <w:p>
      <w:pPr>
        <w:pStyle w:val="FootnoteText"/>
      </w:pPr>
      <w:r>
        <w:rPr>
          <w:rStyle w:val="FootnoteReference"/>
        </w:rPr>
        <w:footnoteRef/>
      </w:r>
      <w:r>
        <w:t xml:space="preserve"> </w:t>
      </w:r>
      <w:r>
        <w:t xml:space="preserve">Cutuli 2000, PMID 10670585.</w:t>
      </w:r>
    </w:p>
  </w:footnote>
  <w:footnote w:id="1072">
    <w:p>
      <w:pPr>
        <w:pStyle w:val="FootnoteText"/>
      </w:pPr>
      <w:r>
        <w:rPr>
          <w:rStyle w:val="FootnoteReference"/>
        </w:rPr>
        <w:footnoteRef/>
      </w:r>
      <w:r>
        <w:t xml:space="preserve"> </w:t>
      </w:r>
      <w:r>
        <w:t xml:space="preserve">Catania 1998, PMID 9700761.</w:t>
      </w:r>
    </w:p>
  </w:footnote>
  <w:footnote w:id="1073">
    <w:p>
      <w:pPr>
        <w:pStyle w:val="FootnoteText"/>
      </w:pPr>
      <w:r>
        <w:rPr>
          <w:rStyle w:val="FootnoteReference"/>
        </w:rPr>
        <w:footnoteRef/>
      </w:r>
      <w:r>
        <w:t xml:space="preserve"> </w:t>
      </w:r>
      <w:r>
        <w:t xml:space="preserve">Elliott 2004, PMID 15102092.</w:t>
      </w:r>
    </w:p>
  </w:footnote>
  <w:footnote w:id="1074">
    <w:p>
      <w:pPr>
        <w:pStyle w:val="FootnoteText"/>
      </w:pPr>
      <w:r>
        <w:rPr>
          <w:rStyle w:val="FootnoteReference"/>
        </w:rPr>
        <w:footnoteRef/>
      </w:r>
      <w:r>
        <w:t xml:space="preserve"> </w:t>
      </w:r>
      <w:r>
        <w:t xml:space="preserve">Pawar 2017, PMID 28343991.</w:t>
      </w:r>
    </w:p>
  </w:footnote>
  <w:footnote w:id="1075">
    <w:p>
      <w:pPr>
        <w:pStyle w:val="FootnoteText"/>
      </w:pPr>
      <w:r>
        <w:rPr>
          <w:rStyle w:val="FootnoteReference"/>
        </w:rPr>
        <w:footnoteRef/>
      </w:r>
      <w:r>
        <w:t xml:space="preserve"> </w:t>
      </w:r>
      <w:r>
        <w:t xml:space="preserve">Gatti 2006, PMID 16413580.</w:t>
      </w:r>
    </w:p>
  </w:footnote>
  <w:footnote w:id="1079">
    <w:p>
      <w:pPr>
        <w:pStyle w:val="FootnoteText"/>
      </w:pPr>
      <w:r>
        <w:rPr>
          <w:rStyle w:val="FootnoteReference"/>
        </w:rPr>
        <w:footnoteRef/>
      </w:r>
      <w:r>
        <w:t xml:space="preserve"> </w:t>
      </w:r>
      <w:r>
        <w:t xml:space="preserve">Cutuli 2000, PMID 10670585.</w:t>
      </w:r>
    </w:p>
  </w:footnote>
  <w:footnote w:id="1080">
    <w:p>
      <w:pPr>
        <w:pStyle w:val="FootnoteText"/>
      </w:pPr>
      <w:r>
        <w:rPr>
          <w:rStyle w:val="FootnoteReference"/>
        </w:rPr>
        <w:footnoteRef/>
      </w:r>
      <w:r>
        <w:t xml:space="preserve"> </w:t>
      </w:r>
      <w:r>
        <w:t xml:space="preserve">Coutinho 2026, PMID 41880199.</w:t>
      </w:r>
    </w:p>
  </w:footnote>
  <w:footnote w:id="1085">
    <w:p>
      <w:pPr>
        <w:pStyle w:val="FootnoteText"/>
      </w:pPr>
      <w:r>
        <w:rPr>
          <w:rStyle w:val="FootnoteReference"/>
        </w:rPr>
        <w:footnoteRef/>
      </w:r>
      <w:r>
        <w:t xml:space="preserve"> </w:t>
      </w:r>
      <w:r>
        <w:t xml:space="preserve">Dalmasso 2008, PMID 18061177; Kannengiesser 2008, PMID 18092346.</w:t>
      </w:r>
    </w:p>
  </w:footnote>
  <w:footnote w:id="1088">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Gombart 2005, PMID 15985530.</w:t>
      </w:r>
    </w:p>
  </w:footnote>
  <w:footnote w:id="1091">
    <w:p>
      <w:pPr>
        <w:pStyle w:val="FootnoteText"/>
      </w:pPr>
      <w:r>
        <w:rPr>
          <w:rStyle w:val="FootnoteReference"/>
        </w:rPr>
        <w:footnoteRef/>
      </w:r>
      <w:r>
        <w:t xml:space="preserve"> </w:t>
      </w:r>
      <w:r>
        <w:t xml:space="preserve">Lande 2007, PMID 17873860.</w:t>
      </w:r>
    </w:p>
  </w:footnote>
  <w:footnote w:id="1092">
    <w:p>
      <w:pPr>
        <w:pStyle w:val="FootnoteText"/>
      </w:pPr>
      <w:r>
        <w:rPr>
          <w:rStyle w:val="FootnoteReference"/>
        </w:rPr>
        <w:footnoteRef/>
      </w:r>
      <w:r>
        <w:t xml:space="preserve"> </w:t>
      </w:r>
      <w:r>
        <w:t xml:space="preserve">Lande 2014, PMID 25470744.</w:t>
      </w:r>
    </w:p>
  </w:footnote>
  <w:footnote w:id="1093">
    <w:p>
      <w:pPr>
        <w:pStyle w:val="FootnoteText"/>
      </w:pPr>
      <w:r>
        <w:rPr>
          <w:rStyle w:val="FootnoteReference"/>
        </w:rPr>
        <w:footnoteRef/>
      </w:r>
      <w:r>
        <w:t xml:space="preserve"> </w:t>
      </w:r>
      <w:r>
        <w:t xml:space="preserve">Yamasaki 2007, PMID 17676051.</w:t>
      </w:r>
    </w:p>
  </w:footnote>
  <w:footnote w:id="1095">
    <w:p>
      <w:pPr>
        <w:pStyle w:val="FootnoteText"/>
      </w:pPr>
      <w:r>
        <w:rPr>
          <w:rStyle w:val="FootnoteReference"/>
        </w:rPr>
        <w:footnoteRef/>
      </w:r>
      <w:r>
        <w:t xml:space="preserve"> </w:t>
      </w:r>
      <w:r>
        <w:t xml:space="preserve">Grönberg 2014, PMID 25041740.</w:t>
      </w:r>
    </w:p>
  </w:footnote>
  <w:footnote w:id="1096">
    <w:p>
      <w:pPr>
        <w:pStyle w:val="FootnoteText"/>
      </w:pPr>
      <w:r>
        <w:rPr>
          <w:rStyle w:val="FootnoteReference"/>
        </w:rPr>
        <w:footnoteRef/>
      </w:r>
      <w:r>
        <w:t xml:space="preserve"> </w:t>
      </w:r>
      <w:r>
        <w:t xml:space="preserve">Mahlapuu 2021, PMID 34687253.</w:t>
      </w:r>
    </w:p>
  </w:footnote>
  <w:footnote w:id="1097">
    <w:p>
      <w:pPr>
        <w:pStyle w:val="FootnoteText"/>
      </w:pPr>
      <w:r>
        <w:rPr>
          <w:rStyle w:val="FootnoteReference"/>
        </w:rPr>
        <w:footnoteRef/>
      </w:r>
      <w:r>
        <w:t xml:space="preserve"> </w:t>
      </w:r>
      <w:r>
        <w:t xml:space="preserve">Miranda 2023, PMID 37480520.</w:t>
      </w:r>
    </w:p>
  </w:footnote>
  <w:footnote w:id="1098">
    <w:p>
      <w:pPr>
        <w:pStyle w:val="FootnoteText"/>
      </w:pPr>
      <w:r>
        <w:rPr>
          <w:rStyle w:val="FootnoteReference"/>
        </w:rPr>
        <w:footnoteRef/>
      </w:r>
      <w:r>
        <w:t xml:space="preserve"> </w:t>
      </w:r>
      <w:r>
        <w:t xml:space="preserve">Zhao 2023, PMID 37605995.</w:t>
      </w:r>
    </w:p>
  </w:footnote>
  <w:footnote w:id="1100">
    <w:p>
      <w:pPr>
        <w:pStyle w:val="FootnoteText"/>
      </w:pPr>
      <w:r>
        <w:rPr>
          <w:rStyle w:val="FootnoteReference"/>
        </w:rPr>
        <w:footnoteRef/>
      </w:r>
      <w:r>
        <w:t xml:space="preserve"> </w:t>
      </w:r>
      <w:r>
        <w:t xml:space="preserve">Majewski 2017, PMID 28956425.</w:t>
      </w:r>
    </w:p>
  </w:footnote>
  <w:footnote w:id="1101">
    <w:p>
      <w:pPr>
        <w:pStyle w:val="FootnoteText"/>
      </w:pPr>
      <w:r>
        <w:rPr>
          <w:rStyle w:val="FootnoteReference"/>
        </w:rPr>
        <w:footnoteRef/>
      </w:r>
      <w:r>
        <w:t xml:space="preserve"> </w:t>
      </w:r>
      <w:r>
        <w:t xml:space="preserve">Savonius 2018, PMID 28827496.</w:t>
      </w:r>
    </w:p>
  </w:footnote>
  <w:footnote w:id="1102">
    <w:p>
      <w:pPr>
        <w:pStyle w:val="FootnoteText"/>
      </w:pPr>
      <w:r>
        <w:rPr>
          <w:rStyle w:val="FootnoteReference"/>
        </w:rPr>
        <w:footnoteRef/>
      </w:r>
      <w:r>
        <w:t xml:space="preserve"> </w:t>
      </w:r>
      <w:r>
        <w:t xml:space="preserve">Quraishi 2015, PMID 26086941.</w:t>
      </w:r>
    </w:p>
  </w:footnote>
  <w:footnote w:id="1104">
    <w:p>
      <w:pPr>
        <w:pStyle w:val="FootnoteText"/>
      </w:pPr>
      <w:r>
        <w:rPr>
          <w:rStyle w:val="FootnoteReference"/>
        </w:rPr>
        <w:footnoteRef/>
      </w:r>
      <w:r>
        <w:t xml:space="preserve"> </w:t>
      </w:r>
      <w:r>
        <w:t xml:space="preserve">Mily 2015, PMID 26394045.</w:t>
      </w:r>
    </w:p>
  </w:footnote>
  <w:footnote w:id="1107">
    <w:p>
      <w:pPr>
        <w:pStyle w:val="FootnoteText"/>
      </w:pPr>
      <w:r>
        <w:rPr>
          <w:rStyle w:val="FootnoteReference"/>
        </w:rPr>
        <w:footnoteRef/>
      </w:r>
      <w:r>
        <w:t xml:space="preserve"> </w:t>
      </w:r>
      <w:r>
        <w:t xml:space="preserve">Chen 2018, PMID 29843147.</w:t>
      </w:r>
    </w:p>
  </w:footnote>
  <w:footnote w:id="1108">
    <w:p>
      <w:pPr>
        <w:pStyle w:val="FootnoteText"/>
      </w:pPr>
      <w:r>
        <w:rPr>
          <w:rStyle w:val="FootnoteReference"/>
        </w:rPr>
        <w:footnoteRef/>
      </w:r>
      <w:r>
        <w:t xml:space="preserve"> </w:t>
      </w:r>
      <w:r>
        <w:t xml:space="preserve">Gombart 2005, PMID 15985530.</w:t>
      </w:r>
    </w:p>
  </w:footnote>
  <w:footnote w:id="1110">
    <w:p>
      <w:pPr>
        <w:pStyle w:val="FootnoteText"/>
      </w:pPr>
      <w:r>
        <w:rPr>
          <w:rStyle w:val="FootnoteReference"/>
        </w:rPr>
        <w:footnoteRef/>
      </w:r>
      <w:r>
        <w:t xml:space="preserve"> </w:t>
      </w:r>
      <w:r>
        <w:t xml:space="preserve">Grönberg 2014, PMID 25041740; Mahlapuu 2021, PMID 34687253.</w:t>
      </w:r>
    </w:p>
  </w:footnote>
  <w:footnote w:id="1111">
    <w:p>
      <w:pPr>
        <w:pStyle w:val="FootnoteText"/>
      </w:pPr>
      <w:r>
        <w:rPr>
          <w:rStyle w:val="FootnoteReference"/>
        </w:rPr>
        <w:footnoteRef/>
      </w:r>
      <w:r>
        <w:t xml:space="preserve"> </w:t>
      </w:r>
      <w:r>
        <w:t xml:space="preserve">Dolkar 2018, PMID 29665030.</w:t>
      </w:r>
    </w:p>
  </w:footnote>
  <w:footnote w:id="1113">
    <w:p>
      <w:pPr>
        <w:pStyle w:val="FootnoteText"/>
      </w:pPr>
      <w:r>
        <w:rPr>
          <w:rStyle w:val="FootnoteReference"/>
        </w:rPr>
        <w:footnoteRef/>
      </w:r>
      <w:r>
        <w:t xml:space="preserve"> </w:t>
      </w:r>
      <w:r>
        <w:t xml:space="preserve">Lande 2007, PMID 17873860; Lande 2014, PMID 25470744.</w:t>
      </w:r>
    </w:p>
  </w:footnote>
  <w:footnote w:id="1114">
    <w:p>
      <w:pPr>
        <w:pStyle w:val="FootnoteText"/>
      </w:pPr>
      <w:r>
        <w:rPr>
          <w:rStyle w:val="FootnoteReference"/>
        </w:rPr>
        <w:footnoteRef/>
      </w:r>
      <w:r>
        <w:t xml:space="preserve"> </w:t>
      </w:r>
      <w:r>
        <w:t xml:space="preserve">Yamasaki 2007, PMID 17676051.</w:t>
      </w:r>
    </w:p>
  </w:footnote>
  <w:footnote w:id="1115">
    <w:p>
      <w:pPr>
        <w:pStyle w:val="FootnoteText"/>
      </w:pPr>
      <w:r>
        <w:rPr>
          <w:rStyle w:val="FootnoteReference"/>
        </w:rPr>
        <w:footnoteRef/>
      </w:r>
      <w:r>
        <w:t xml:space="preserve"> </w:t>
      </w:r>
      <w:r>
        <w:t xml:space="preserve">Chen 2018, PMID 29843147.</w:t>
      </w:r>
    </w:p>
  </w:footnote>
  <w:footnote w:id="1120">
    <w:p>
      <w:pPr>
        <w:pStyle w:val="FootnoteText"/>
      </w:pPr>
      <w:r>
        <w:rPr>
          <w:rStyle w:val="FootnoteReference"/>
        </w:rPr>
        <w:footnoteRef/>
      </w:r>
      <w:r>
        <w:t xml:space="preserve"> </w:t>
      </w:r>
      <w:r>
        <w:t xml:space="preserve">Mahlapuu 2021, PMID 34687253.</w:t>
      </w:r>
    </w:p>
  </w:footnote>
  <w:footnote w:id="1123">
    <w:p>
      <w:pPr>
        <w:pStyle w:val="FootnoteText"/>
      </w:pPr>
      <w:r>
        <w:rPr>
          <w:rStyle w:val="FootnoteReference"/>
        </w:rPr>
        <w:footnoteRef/>
      </w:r>
      <w:r>
        <w:t xml:space="preserve"> </w:t>
      </w:r>
      <w:r>
        <w:t xml:space="preserve">Winicki 2022, PMID 36741836.</w:t>
      </w:r>
    </w:p>
  </w:footnote>
  <w:footnote w:id="1124">
    <w:p>
      <w:pPr>
        <w:pStyle w:val="FootnoteText"/>
      </w:pPr>
      <w:r>
        <w:rPr>
          <w:rStyle w:val="FootnoteReference"/>
        </w:rPr>
        <w:footnoteRef/>
      </w:r>
      <w:r>
        <w:t xml:space="preserve"> </w:t>
      </w:r>
      <w:r>
        <w:t xml:space="preserve">Thomas 2017, PMID 28941172.</w:t>
      </w:r>
    </w:p>
  </w:footnote>
  <w:footnote w:id="1126">
    <w:p>
      <w:pPr>
        <w:pStyle w:val="FootnoteText"/>
      </w:pPr>
      <w:r>
        <w:rPr>
          <w:rStyle w:val="FootnoteReference"/>
        </w:rPr>
        <w:footnoteRef/>
      </w:r>
      <w:r>
        <w:t xml:space="preserve"> </w:t>
      </w:r>
      <w:r>
        <w:t xml:space="preserve">Swartjes 2014, PMID 24529189.</w:t>
      </w:r>
    </w:p>
  </w:footnote>
  <w:footnote w:id="1127">
    <w:p>
      <w:pPr>
        <w:pStyle w:val="FootnoteText"/>
      </w:pPr>
      <w:r>
        <w:rPr>
          <w:rStyle w:val="FootnoteReference"/>
        </w:rPr>
        <w:footnoteRef/>
      </w:r>
      <w:r>
        <w:t xml:space="preserve"> </w:t>
      </w:r>
      <w:r>
        <w:t xml:space="preserve">Thomas 2017, PMID 28941172.</w:t>
      </w:r>
    </w:p>
  </w:footnote>
  <w:footnote w:id="1129">
    <w:p>
      <w:pPr>
        <w:pStyle w:val="FootnoteText"/>
      </w:pPr>
      <w:r>
        <w:rPr>
          <w:rStyle w:val="FootnoteReference"/>
        </w:rPr>
        <w:footnoteRef/>
      </w:r>
      <w:r>
        <w:t xml:space="preserve"> </w:t>
      </w:r>
      <w:r>
        <w:t xml:space="preserve">Heij 2012, PMID 23168581.</w:t>
      </w:r>
    </w:p>
  </w:footnote>
  <w:footnote w:id="1130">
    <w:p>
      <w:pPr>
        <w:pStyle w:val="FootnoteText"/>
      </w:pPr>
      <w:r>
        <w:rPr>
          <w:rStyle w:val="FootnoteReference"/>
        </w:rPr>
        <w:footnoteRef/>
      </w:r>
      <w:r>
        <w:t xml:space="preserve"> </w:t>
      </w:r>
      <w:r>
        <w:t xml:space="preserve">Culver 2017, PMID 28475703.</w:t>
      </w:r>
    </w:p>
  </w:footnote>
  <w:footnote w:id="1131">
    <w:p>
      <w:pPr>
        <w:pStyle w:val="FootnoteText"/>
      </w:pPr>
      <w:r>
        <w:rPr>
          <w:rStyle w:val="FootnoteReference"/>
        </w:rPr>
        <w:footnoteRef/>
      </w:r>
      <w:r>
        <w:t xml:space="preserve"> </w:t>
      </w:r>
      <w:r>
        <w:t xml:space="preserve">van Velzen 2014, PMID 24555851.</w:t>
      </w:r>
    </w:p>
  </w:footnote>
  <w:footnote w:id="1133">
    <w:p>
      <w:pPr>
        <w:pStyle w:val="FootnoteText"/>
      </w:pPr>
      <w:r>
        <w:rPr>
          <w:rStyle w:val="FootnoteReference"/>
        </w:rPr>
        <w:footnoteRef/>
      </w:r>
      <w:r>
        <w:t xml:space="preserve"> </w:t>
      </w:r>
      <w:r>
        <w:t xml:space="preserve">Brines 2015, PMID 25387363.</w:t>
      </w:r>
    </w:p>
  </w:footnote>
  <w:footnote w:id="1134">
    <w:p>
      <w:pPr>
        <w:pStyle w:val="FootnoteText"/>
      </w:pPr>
      <w:r>
        <w:rPr>
          <w:rStyle w:val="FootnoteReference"/>
        </w:rPr>
        <w:footnoteRef/>
      </w:r>
      <w:r>
        <w:t xml:space="preserve"> </w:t>
      </w:r>
      <w:r>
        <w:t xml:space="preserve">NCT01933529.</w:t>
      </w:r>
    </w:p>
  </w:footnote>
  <w:footnote w:id="1135">
    <w:p>
      <w:pPr>
        <w:pStyle w:val="FootnoteText"/>
      </w:pPr>
      <w:r>
        <w:rPr>
          <w:rStyle w:val="FootnoteReference"/>
        </w:rPr>
        <w:footnoteRef/>
      </w:r>
      <w:r>
        <w:t xml:space="preserve"> </w:t>
      </w:r>
      <w:r>
        <w:t xml:space="preserve">Lois 2020, PMID 32674280.</w:t>
      </w:r>
    </w:p>
  </w:footnote>
  <w:footnote w:id="1138">
    <w:p>
      <w:pPr>
        <w:pStyle w:val="FootnoteText"/>
      </w:pPr>
      <w:r>
        <w:rPr>
          <w:rStyle w:val="FootnoteReference"/>
        </w:rPr>
        <w:footnoteRef/>
      </w:r>
      <w:r>
        <w:t xml:space="preserve"> </w:t>
      </w:r>
      <w:r>
        <w:t xml:space="preserve">Swartjes 2014, PMID 24529189; Pulman 2013, PMID 23262243.</w:t>
      </w:r>
    </w:p>
  </w:footnote>
  <w:footnote w:id="1139">
    <w:p>
      <w:pPr>
        <w:pStyle w:val="FootnoteText"/>
      </w:pPr>
      <w:r>
        <w:rPr>
          <w:rStyle w:val="FootnoteReference"/>
        </w:rPr>
        <w:footnoteRef/>
      </w:r>
      <w:r>
        <w:t xml:space="preserve"> </w:t>
      </w:r>
      <w:r>
        <w:t xml:space="preserve">van Rijt 2013, PMID 23302512.</w:t>
      </w:r>
    </w:p>
  </w:footnote>
  <w:footnote w:id="1140">
    <w:p>
      <w:pPr>
        <w:pStyle w:val="FootnoteText"/>
      </w:pPr>
      <w:r>
        <w:rPr>
          <w:rStyle w:val="FootnoteReference"/>
        </w:rPr>
        <w:footnoteRef/>
      </w:r>
      <w:r>
        <w:t xml:space="preserve"> </w:t>
      </w:r>
      <w:r>
        <w:t xml:space="preserve">Muller 2016, PMID 26736179.</w:t>
      </w:r>
    </w:p>
  </w:footnote>
  <w:footnote w:id="1141">
    <w:p>
      <w:pPr>
        <w:pStyle w:val="FootnoteText"/>
      </w:pPr>
      <w:r>
        <w:rPr>
          <w:rStyle w:val="FootnoteReference"/>
        </w:rPr>
        <w:footnoteRef/>
      </w:r>
      <w:r>
        <w:t xml:space="preserve"> </w:t>
      </w:r>
      <w:r>
        <w:t xml:space="preserve">Al-Onaizi 2022, PMID 34343617.</w:t>
      </w:r>
    </w:p>
  </w:footnote>
  <w:footnote w:id="1142">
    <w:p>
      <w:pPr>
        <w:pStyle w:val="FootnoteText"/>
      </w:pPr>
      <w:r>
        <w:rPr>
          <w:rStyle w:val="FootnoteReference"/>
        </w:rPr>
        <w:footnoteRef/>
      </w:r>
      <w:r>
        <w:t xml:space="preserve"> </w:t>
      </w:r>
      <w:r>
        <w:t xml:space="preserve">Winicki 2022, PMID 36741836.</w:t>
      </w:r>
    </w:p>
  </w:footnote>
  <w:footnote w:id="1144">
    <w:p>
      <w:pPr>
        <w:pStyle w:val="FootnoteText"/>
      </w:pPr>
      <w:r>
        <w:rPr>
          <w:rStyle w:val="FootnoteReference"/>
        </w:rPr>
        <w:footnoteRef/>
      </w:r>
      <w:r>
        <w:t xml:space="preserve"> </w:t>
      </w:r>
      <w:r>
        <w:t xml:space="preserve">Heij 2012, PMID 23168581; Brines 2015, PMID 25387363.</w:t>
      </w:r>
    </w:p>
  </w:footnote>
  <w:footnote w:id="1145">
    <w:p>
      <w:pPr>
        <w:pStyle w:val="FootnoteText"/>
      </w:pPr>
      <w:r>
        <w:rPr>
          <w:rStyle w:val="FootnoteReference"/>
        </w:rPr>
        <w:footnoteRef/>
      </w:r>
      <w:r>
        <w:t xml:space="preserve"> </w:t>
      </w:r>
      <w:r>
        <w:t xml:space="preserve">Lois 2020, PMID 32674280.</w:t>
      </w:r>
    </w:p>
  </w:footnote>
  <w:footnote w:id="1150">
    <w:p>
      <w:pPr>
        <w:pStyle w:val="FootnoteText"/>
      </w:pPr>
      <w:r>
        <w:rPr>
          <w:rStyle w:val="FootnoteReference"/>
        </w:rPr>
        <w:footnoteRef/>
      </w:r>
      <w:r>
        <w:t xml:space="preserve"> </w:t>
      </w:r>
      <w:r>
        <w:t xml:space="preserve">NCT02039687.</w:t>
      </w:r>
    </w:p>
  </w:footnote>
  <w:footnote w:id="1151">
    <w:p>
      <w:pPr>
        <w:pStyle w:val="FootnoteText"/>
      </w:pPr>
      <w:r>
        <w:rPr>
          <w:rStyle w:val="FootnoteReference"/>
        </w:rPr>
        <w:footnoteRef/>
      </w:r>
      <w:r>
        <w:t xml:space="preserve"> </w:t>
      </w:r>
      <w:r>
        <w:t xml:space="preserve">NCT06626971.</w:t>
      </w:r>
    </w:p>
  </w:footnote>
  <w:footnote w:id="1153">
    <w:p>
      <w:pPr>
        <w:pStyle w:val="FootnoteText"/>
      </w:pPr>
      <w:r>
        <w:rPr>
          <w:rStyle w:val="FootnoteReference"/>
        </w:rPr>
        <w:footnoteRef/>
      </w:r>
      <w:r>
        <w:t xml:space="preserve"> </w:t>
      </w:r>
      <w:r>
        <w:t xml:space="preserve">Culver 2017, PMID 28475703.</w:t>
      </w:r>
    </w:p>
  </w:footnote>
  <w:footnote w:id="1156">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Gopalakrishnan 2012, PMID 22401908.</w:t>
      </w:r>
    </w:p>
  </w:footnote>
  <w:footnote w:id="1159">
    <w:p>
      <w:pPr>
        <w:pStyle w:val="FootnoteText"/>
      </w:pPr>
      <w:r>
        <w:rPr>
          <w:rStyle w:val="FootnoteReference"/>
        </w:rPr>
        <w:footnoteRef/>
      </w:r>
      <w:r>
        <w:t xml:space="preserve"> </w:t>
      </w:r>
      <w:r>
        <w:t xml:space="preserve">Slifer 2021, PMID 33881350.</w:t>
      </w:r>
    </w:p>
  </w:footnote>
  <w:footnote w:id="1161">
    <w:p>
      <w:pPr>
        <w:pStyle w:val="FootnoteText"/>
      </w:pPr>
      <w:r>
        <w:rPr>
          <w:rStyle w:val="FootnoteReference"/>
        </w:rPr>
        <w:footnoteRef/>
      </w:r>
      <w:r>
        <w:t xml:space="preserve"> </w:t>
      </w:r>
      <w:r>
        <w:t xml:space="preserve">Hoilat 2022, PMID 34339872.</w:t>
      </w:r>
    </w:p>
  </w:footnote>
  <w:footnote w:id="1162">
    <w:p>
      <w:pPr>
        <w:pStyle w:val="FootnoteText"/>
      </w:pPr>
      <w:r>
        <w:rPr>
          <w:rStyle w:val="FootnoteReference"/>
        </w:rPr>
        <w:footnoteRef/>
      </w:r>
      <w:r>
        <w:t xml:space="preserve"> </w:t>
      </w:r>
      <w:r>
        <w:t xml:space="preserve">Leffler 2012, PMID 22825365; Kelly 2013, PMID 23163616.</w:t>
      </w:r>
    </w:p>
  </w:footnote>
  <w:footnote w:id="1163">
    <w:p>
      <w:pPr>
        <w:pStyle w:val="FootnoteText"/>
      </w:pPr>
      <w:r>
        <w:rPr>
          <w:rStyle w:val="FootnoteReference"/>
        </w:rPr>
        <w:footnoteRef/>
      </w:r>
      <w:r>
        <w:t xml:space="preserve"> </w:t>
      </w:r>
      <w:r>
        <w:t xml:space="preserve">Kelly 2013, PMID 23163616.</w:t>
      </w:r>
    </w:p>
  </w:footnote>
  <w:footnote w:id="1164">
    <w:p>
      <w:pPr>
        <w:pStyle w:val="FootnoteText"/>
      </w:pPr>
      <w:r>
        <w:rPr>
          <w:rStyle w:val="FootnoteReference"/>
        </w:rPr>
        <w:footnoteRef/>
      </w:r>
      <w:r>
        <w:t xml:space="preserve"> </w:t>
      </w:r>
      <w:r>
        <w:t xml:space="preserve">Leffler 2015, PMID 25683116.</w:t>
      </w:r>
    </w:p>
  </w:footnote>
  <w:footnote w:id="1165">
    <w:p>
      <w:pPr>
        <w:pStyle w:val="FootnoteText"/>
      </w:pPr>
      <w:r>
        <w:rPr>
          <w:rStyle w:val="FootnoteReference"/>
        </w:rPr>
        <w:footnoteRef/>
      </w:r>
      <w:r>
        <w:t xml:space="preserve"> </w:t>
      </w:r>
      <w:r>
        <w:t xml:space="preserve">Hoilat 2022, PMID 34339872.</w:t>
      </w:r>
    </w:p>
  </w:footnote>
  <w:footnote w:id="1167">
    <w:p>
      <w:pPr>
        <w:pStyle w:val="FootnoteText"/>
      </w:pPr>
      <w:r>
        <w:rPr>
          <w:rStyle w:val="FootnoteReference"/>
        </w:rPr>
        <w:footnoteRef/>
      </w:r>
      <w:r>
        <w:t xml:space="preserve"> </w:t>
      </w:r>
      <w:r>
        <w:t xml:space="preserve">NCT03569007.</w:t>
      </w:r>
    </w:p>
  </w:footnote>
  <w:footnote w:id="1168">
    <w:p>
      <w:pPr>
        <w:pStyle w:val="FootnoteText"/>
      </w:pPr>
      <w:r>
        <w:rPr>
          <w:rStyle w:val="FootnoteReference"/>
        </w:rPr>
        <w:footnoteRef/>
      </w:r>
      <w:r>
        <w:t xml:space="preserve"> </w:t>
      </w:r>
      <w:r>
        <w:t xml:space="preserve">D’heedene 2024, PMID 38648685.</w:t>
      </w:r>
    </w:p>
  </w:footnote>
  <w:footnote w:id="1169">
    <w:p>
      <w:pPr>
        <w:pStyle w:val="FootnoteText"/>
      </w:pPr>
      <w:r>
        <w:rPr>
          <w:rStyle w:val="FootnoteReference"/>
        </w:rPr>
        <w:footnoteRef/>
      </w:r>
      <w:r>
        <w:t xml:space="preserve"> </w:t>
      </w:r>
      <w:r>
        <w:t xml:space="preserve">Girbal-González 2025, PMID 41010485.</w:t>
      </w:r>
    </w:p>
  </w:footnote>
  <w:footnote w:id="1171">
    <w:p>
      <w:pPr>
        <w:pStyle w:val="FootnoteText"/>
      </w:pPr>
      <w:r>
        <w:rPr>
          <w:rStyle w:val="FootnoteReference"/>
        </w:rPr>
        <w:footnoteRef/>
      </w:r>
      <w:r>
        <w:t xml:space="preserve"> </w:t>
      </w:r>
      <w:r>
        <w:t xml:space="preserve">Yonker 2022, PMID 35211683.</w:t>
      </w:r>
    </w:p>
  </w:footnote>
  <w:footnote w:id="1172">
    <w:p>
      <w:pPr>
        <w:pStyle w:val="FootnoteText"/>
      </w:pPr>
      <w:r>
        <w:rPr>
          <w:rStyle w:val="FootnoteReference"/>
        </w:rPr>
        <w:footnoteRef/>
      </w:r>
      <w:r>
        <w:t xml:space="preserve"> </w:t>
      </w:r>
      <w:r>
        <w:t xml:space="preserve">Yonker 2025, PMID 40737433.</w:t>
      </w:r>
    </w:p>
  </w:footnote>
  <w:footnote w:id="1173">
    <w:p>
      <w:pPr>
        <w:pStyle w:val="FootnoteText"/>
      </w:pPr>
      <w:r>
        <w:rPr>
          <w:rStyle w:val="FootnoteReference"/>
        </w:rPr>
        <w:footnoteRef/>
      </w:r>
      <w:r>
        <w:t xml:space="preserve"> </w:t>
      </w:r>
      <w:r>
        <w:t xml:space="preserve">NCT05022303.</w:t>
      </w:r>
    </w:p>
  </w:footnote>
  <w:footnote w:id="1174">
    <w:p>
      <w:pPr>
        <w:pStyle w:val="FootnoteText"/>
      </w:pPr>
      <w:r>
        <w:rPr>
          <w:rStyle w:val="FootnoteReference"/>
        </w:rPr>
        <w:footnoteRef/>
      </w:r>
      <w:r>
        <w:t xml:space="preserve"> </w:t>
      </w:r>
      <w:r>
        <w:t xml:space="preserve">NCT05747534.</w:t>
      </w:r>
    </w:p>
  </w:footnote>
  <w:footnote w:id="1177">
    <w:p>
      <w:pPr>
        <w:pStyle w:val="FootnoteText"/>
      </w:pPr>
      <w:r>
        <w:rPr>
          <w:rStyle w:val="FootnoteReference"/>
        </w:rPr>
        <w:footnoteRef/>
      </w:r>
      <w:r>
        <w:t xml:space="preserve"> </w:t>
      </w:r>
      <w:r>
        <w:t xml:space="preserve">Tajik 2020, PMID 32332732.</w:t>
      </w:r>
    </w:p>
  </w:footnote>
  <w:footnote w:id="1178">
    <w:p>
      <w:pPr>
        <w:pStyle w:val="FootnoteText"/>
      </w:pPr>
      <w:r>
        <w:rPr>
          <w:rStyle w:val="FootnoteReference"/>
        </w:rPr>
        <w:footnoteRef/>
      </w:r>
      <w:r>
        <w:t xml:space="preserve"> </w:t>
      </w:r>
      <w:r>
        <w:t xml:space="preserve">Slifer 2021, PMID 33881350.</w:t>
      </w:r>
    </w:p>
  </w:footnote>
  <w:footnote w:id="1179">
    <w:p>
      <w:pPr>
        <w:pStyle w:val="FootnoteText"/>
      </w:pPr>
      <w:r>
        <w:rPr>
          <w:rStyle w:val="FootnoteReference"/>
        </w:rPr>
        <w:footnoteRef/>
      </w:r>
      <w:r>
        <w:t xml:space="preserve"> </w:t>
      </w:r>
      <w:r>
        <w:t xml:space="preserve">Karahan 2024, PMID 38441784; Caliskan 2021, PMID 34791921.</w:t>
      </w:r>
    </w:p>
  </w:footnote>
  <w:footnote w:id="1181">
    <w:p>
      <w:pPr>
        <w:pStyle w:val="FootnoteText"/>
      </w:pPr>
      <w:r>
        <w:rPr>
          <w:rStyle w:val="FootnoteReference"/>
        </w:rPr>
        <w:footnoteRef/>
      </w:r>
      <w:r>
        <w:t xml:space="preserve"> </w:t>
      </w:r>
      <w:r>
        <w:t xml:space="preserve">Leffler 2012, PMID 22825365.</w:t>
      </w:r>
    </w:p>
  </w:footnote>
  <w:footnote w:id="1182">
    <w:p>
      <w:pPr>
        <w:pStyle w:val="FootnoteText"/>
      </w:pPr>
      <w:r>
        <w:rPr>
          <w:rStyle w:val="FootnoteReference"/>
        </w:rPr>
        <w:footnoteRef/>
      </w:r>
      <w:r>
        <w:t xml:space="preserve"> </w:t>
      </w:r>
      <w:r>
        <w:t xml:space="preserve">Leffler 2015, PMID 25683116.</w:t>
      </w:r>
    </w:p>
  </w:footnote>
  <w:footnote w:id="1183">
    <w:p>
      <w:pPr>
        <w:pStyle w:val="FootnoteText"/>
      </w:pPr>
      <w:r>
        <w:rPr>
          <w:rStyle w:val="FootnoteReference"/>
        </w:rPr>
        <w:footnoteRef/>
      </w:r>
      <w:r>
        <w:t xml:space="preserve"> </w:t>
      </w:r>
      <w:r>
        <w:t xml:space="preserve">Hoilat 2022, PMID 34339872.</w:t>
      </w:r>
    </w:p>
  </w:footnote>
  <w:footnote w:id="1188">
    <w:p>
      <w:pPr>
        <w:pStyle w:val="FootnoteText"/>
      </w:pPr>
      <w:r>
        <w:rPr>
          <w:rStyle w:val="FootnoteReference"/>
        </w:rPr>
        <w:footnoteRef/>
      </w:r>
      <w:r>
        <w:t xml:space="preserve"> </w:t>
      </w:r>
      <w:r>
        <w:t xml:space="preserve">NCT05747534.</w:t>
      </w:r>
    </w:p>
  </w:footnote>
  <w:footnote w:id="1189">
    <w:p>
      <w:pPr>
        <w:pStyle w:val="FootnoteText"/>
      </w:pPr>
      <w:r>
        <w:rPr>
          <w:rStyle w:val="FootnoteReference"/>
        </w:rPr>
        <w:footnoteRef/>
      </w:r>
      <w:r>
        <w:t xml:space="preserve"> </w:t>
      </w:r>
      <w:r>
        <w:t xml:space="preserve">D’heedene 2024, PMID 38648685.</w:t>
      </w:r>
    </w:p>
  </w:footnote>
  <w:footnote w:id="1191">
    <w:p>
      <w:pPr>
        <w:pStyle w:val="FootnoteText"/>
      </w:pPr>
      <w:r>
        <w:rPr>
          <w:rStyle w:val="FootnoteReference"/>
        </w:rPr>
        <w:footnoteRef/>
      </w:r>
      <w:r>
        <w:t xml:space="preserve"> </w:t>
      </w:r>
      <w:r>
        <w:t xml:space="preserve">Leffler 2015, PMID 25683116.</w:t>
      </w:r>
    </w:p>
  </w:footnote>
  <w:footnote w:id="1194">
    <w:p>
      <w:pPr>
        <w:pStyle w:val="FootnoteText"/>
      </w:pPr>
      <w:r>
        <w:rPr>
          <w:rStyle w:val="FootnoteReference"/>
        </w:rPr>
        <w:footnoteRef/>
      </w:r>
      <w:r>
        <w:t xml:space="preserve"> </w:t>
      </w:r>
      <w:r>
        <w:t xml:space="preserve">Morozov 1997, PMID 9637345.</w:t>
      </w:r>
    </w:p>
  </w:footnote>
  <w:footnote w:id="1195">
    <w:p>
      <w:pPr>
        <w:pStyle w:val="FootnoteText"/>
      </w:pPr>
      <w:r>
        <w:rPr>
          <w:rStyle w:val="FootnoteReference"/>
        </w:rPr>
        <w:footnoteRef/>
      </w:r>
      <w:r>
        <w:t xml:space="preserve"> </w:t>
      </w:r>
      <w:r>
        <w:t xml:space="preserve">Linkova 2023, PMID 37686182.</w:t>
      </w:r>
    </w:p>
  </w:footnote>
  <w:footnote w:id="1196">
    <w:p>
      <w:pPr>
        <w:pStyle w:val="FootnoteText"/>
      </w:pPr>
      <w:r>
        <w:rPr>
          <w:rStyle w:val="FootnoteReference"/>
        </w:rPr>
        <w:footnoteRef/>
      </w:r>
      <w:r>
        <w:t xml:space="preserve"> </w:t>
      </w:r>
      <w:r>
        <w:t xml:space="preserve">Anisimov 2000, PMID 11707921.</w:t>
      </w:r>
    </w:p>
  </w:footnote>
  <w:footnote w:id="1198">
    <w:p>
      <w:pPr>
        <w:pStyle w:val="FootnoteText"/>
      </w:pPr>
      <w:r>
        <w:rPr>
          <w:rStyle w:val="FootnoteReference"/>
        </w:rPr>
        <w:footnoteRef/>
      </w:r>
      <w:r>
        <w:t xml:space="preserve"> </w:t>
      </w:r>
      <w:r>
        <w:t xml:space="preserve">Morozov 1997, PMID 9637345.</w:t>
      </w:r>
    </w:p>
  </w:footnote>
  <w:footnote w:id="1199">
    <w:p>
      <w:pPr>
        <w:pStyle w:val="FootnoteText"/>
      </w:pPr>
      <w:r>
        <w:rPr>
          <w:rStyle w:val="FootnoteReference"/>
        </w:rPr>
        <w:footnoteRef/>
      </w:r>
      <w:r>
        <w:t xml:space="preserve"> </w:t>
      </w:r>
      <w:r>
        <w:t xml:space="preserve">Khavinson 2002, PMID 12374906.</w:t>
      </w:r>
    </w:p>
  </w:footnote>
  <w:footnote w:id="1200">
    <w:p>
      <w:pPr>
        <w:pStyle w:val="FootnoteText"/>
      </w:pPr>
      <w:r>
        <w:rPr>
          <w:rStyle w:val="FootnoteReference"/>
        </w:rPr>
        <w:footnoteRef/>
      </w:r>
      <w:r>
        <w:t xml:space="preserve"> </w:t>
      </w:r>
      <w:r>
        <w:t xml:space="preserve">Linkova 2023, PMID 37686182.</w:t>
      </w:r>
    </w:p>
  </w:footnote>
  <w:footnote w:id="1202">
    <w:p>
      <w:pPr>
        <w:pStyle w:val="FootnoteText"/>
      </w:pPr>
      <w:r>
        <w:rPr>
          <w:rStyle w:val="FootnoteReference"/>
        </w:rPr>
        <w:footnoteRef/>
      </w:r>
      <w:r>
        <w:t xml:space="preserve"> </w:t>
      </w:r>
      <w:r>
        <w:t xml:space="preserve">Khavinson 2003, PMID 14523363.</w:t>
      </w:r>
    </w:p>
  </w:footnote>
  <w:footnote w:id="1204">
    <w:p>
      <w:pPr>
        <w:pStyle w:val="FootnoteText"/>
      </w:pPr>
      <w:r>
        <w:rPr>
          <w:rStyle w:val="FootnoteReference"/>
        </w:rPr>
        <w:footnoteRef/>
      </w:r>
      <w:r>
        <w:t xml:space="preserve"> </w:t>
      </w:r>
      <w:r>
        <w:t xml:space="preserve">Kuznik 2022, PMID 36169363.</w:t>
      </w:r>
    </w:p>
  </w:footnote>
  <w:footnote w:id="1205">
    <w:p>
      <w:pPr>
        <w:pStyle w:val="FootnoteText"/>
      </w:pPr>
      <w:r>
        <w:rPr>
          <w:rStyle w:val="FootnoteReference"/>
        </w:rPr>
        <w:footnoteRef/>
      </w:r>
      <w:r>
        <w:t xml:space="preserve"> </w:t>
      </w:r>
      <w:r>
        <w:t xml:space="preserve">Khavinson 2021, PMID 33575961.</w:t>
      </w:r>
    </w:p>
  </w:footnote>
  <w:footnote w:id="1207">
    <w:p>
      <w:pPr>
        <w:pStyle w:val="FootnoteText"/>
      </w:pPr>
      <w:r>
        <w:rPr>
          <w:rStyle w:val="FootnoteReference"/>
        </w:rPr>
        <w:footnoteRef/>
      </w:r>
      <w:r>
        <w:t xml:space="preserve"> </w:t>
      </w:r>
      <w:r>
        <w:t xml:space="preserve">Smirnov 2011, PMID 21957588.</w:t>
      </w:r>
    </w:p>
  </w:footnote>
  <w:footnote w:id="1211">
    <w:p>
      <w:pPr>
        <w:pStyle w:val="FootnoteText"/>
      </w:pPr>
      <w:r>
        <w:rPr>
          <w:rStyle w:val="FootnoteReference"/>
        </w:rPr>
        <w:footnoteRef/>
      </w:r>
      <w:r>
        <w:t xml:space="preserve"> </w:t>
      </w:r>
      <w:r>
        <w:t xml:space="preserve">Anisimov 2000, PMID 11707921.</w:t>
      </w:r>
    </w:p>
  </w:footnote>
  <w:footnote w:id="1212">
    <w:p>
      <w:pPr>
        <w:pStyle w:val="FootnoteText"/>
      </w:pPr>
      <w:r>
        <w:rPr>
          <w:rStyle w:val="FootnoteReference"/>
        </w:rPr>
        <w:footnoteRef/>
      </w:r>
      <w:r>
        <w:t xml:space="preserve"> </w:t>
      </w:r>
      <w:r>
        <w:t xml:space="preserve">Khavinson 2020, PMID 33237528.</w:t>
      </w:r>
    </w:p>
  </w:footnote>
  <w:footnote w:id="1220">
    <w:p>
      <w:pPr>
        <w:pStyle w:val="FootnoteText"/>
      </w:pPr>
      <w:r>
        <w:rPr>
          <w:rStyle w:val="FootnoteReference"/>
        </w:rPr>
        <w:footnoteRef/>
      </w:r>
      <w:r>
        <w:t xml:space="preserve"> </w:t>
      </w:r>
      <w:r>
        <w:t xml:space="preserve">Khavinson 2003, PMID 14523363.</w:t>
      </w:r>
    </w:p>
  </w:footnote>
  <w:footnote w:id="1224">
    <w:p>
      <w:pPr>
        <w:pStyle w:val="FootnoteText"/>
      </w:pPr>
      <w:r>
        <w:rPr>
          <w:rStyle w:val="FootnoteReference"/>
        </w:rPr>
        <w:footnoteRef/>
      </w:r>
      <w:r>
        <w:t xml:space="preserve"> </w:t>
      </w:r>
      <w:r>
        <w:t xml:space="preserve">Kojima 1999, PMID 10604470.</w:t>
      </w:r>
    </w:p>
  </w:footnote>
  <w:footnote w:id="1226">
    <w:p>
      <w:pPr>
        <w:pStyle w:val="FootnoteText"/>
      </w:pPr>
      <w:r>
        <w:rPr>
          <w:rStyle w:val="FootnoteReference"/>
        </w:rPr>
        <w:footnoteRef/>
      </w:r>
      <w:r>
        <w:t xml:space="preserve"> </w:t>
      </w:r>
      <w:r>
        <w:t xml:space="preserve">Liu 2008, PMID 18347346.</w:t>
      </w:r>
    </w:p>
  </w:footnote>
  <w:footnote w:id="1227">
    <w:p>
      <w:pPr>
        <w:pStyle w:val="FootnoteText"/>
      </w:pPr>
      <w:r>
        <w:rPr>
          <w:rStyle w:val="FootnoteReference"/>
        </w:rPr>
        <w:footnoteRef/>
      </w:r>
      <w:r>
        <w:t xml:space="preserve"> </w:t>
      </w:r>
      <w:r>
        <w:t xml:space="preserve">Liu 2007, PMID 17227934.</w:t>
      </w:r>
    </w:p>
  </w:footnote>
  <w:footnote w:id="1229">
    <w:p>
      <w:pPr>
        <w:pStyle w:val="FootnoteText"/>
      </w:pPr>
      <w:r>
        <w:rPr>
          <w:rStyle w:val="FootnoteReference"/>
        </w:rPr>
        <w:footnoteRef/>
      </w:r>
      <w:r>
        <w:t xml:space="preserve"> </w:t>
      </w:r>
      <w:r>
        <w:t xml:space="preserve">Renehan 2004, PMID 15110491.</w:t>
      </w:r>
    </w:p>
  </w:footnote>
  <w:footnote w:id="1230">
    <w:p>
      <w:pPr>
        <w:pStyle w:val="FootnoteText"/>
      </w:pPr>
      <w:r>
        <w:rPr>
          <w:rStyle w:val="FootnoteReference"/>
        </w:rPr>
        <w:footnoteRef/>
      </w:r>
      <w:r>
        <w:t xml:space="preserve"> </w:t>
      </w:r>
      <w:r>
        <w:t xml:space="preserve">Murphy 2020, PMID 32169310; Murphy 2020, PMID 31884074.</w:t>
      </w:r>
    </w:p>
  </w:footnote>
  <w:footnote w:id="1231">
    <w:p>
      <w:pPr>
        <w:pStyle w:val="FootnoteText"/>
      </w:pPr>
      <w:r>
        <w:rPr>
          <w:rStyle w:val="FootnoteReference"/>
        </w:rPr>
        <w:footnoteRef/>
      </w:r>
      <w:r>
        <w:t xml:space="preserve"> </w:t>
      </w:r>
      <w:r>
        <w:t xml:space="preserve">Dal 2018, PMID 29590449.</w:t>
      </w:r>
    </w:p>
  </w:footnote>
  <w:footnote w:id="1232">
    <w:p>
      <w:pPr>
        <w:pStyle w:val="FootnoteText"/>
      </w:pPr>
      <w:r>
        <w:rPr>
          <w:rStyle w:val="FootnoteReference"/>
        </w:rPr>
        <w:footnoteRef/>
      </w:r>
      <w:r>
        <w:t xml:space="preserve"> </w:t>
      </w:r>
      <w:r>
        <w:t xml:space="preserve">Guevara-Aguirre 2011, PMID 21325617.</w:t>
      </w:r>
    </w:p>
  </w:footnote>
  <w:footnote w:id="1233">
    <w:p>
      <w:pPr>
        <w:pStyle w:val="FootnoteText"/>
      </w:pPr>
      <w:r>
        <w:rPr>
          <w:rStyle w:val="FootnoteReference"/>
        </w:rPr>
        <w:footnoteRef/>
      </w:r>
      <w:r>
        <w:t xml:space="preserve"> </w:t>
      </w:r>
      <w:r>
        <w:t xml:space="preserve">Swerdlow 2017, PMID 28187225.</w:t>
      </w:r>
    </w:p>
  </w:footnote>
  <w:footnote w:id="1234">
    <w:p>
      <w:pPr>
        <w:pStyle w:val="FootnoteText"/>
      </w:pPr>
      <w:r>
        <w:rPr>
          <w:rStyle w:val="FootnoteReference"/>
        </w:rPr>
        <w:footnoteRef/>
      </w:r>
      <w:r>
        <w:t xml:space="preserve"> </w:t>
      </w:r>
      <w:r>
        <w:t xml:space="preserve">Child 2015, PMID 25810462.</w:t>
      </w:r>
    </w:p>
  </w:footnote>
  <w:footnote w:id="1238">
    <w:p>
      <w:pPr>
        <w:pStyle w:val="FootnoteText"/>
      </w:pPr>
      <w:r>
        <w:rPr>
          <w:rStyle w:val="FootnoteReference"/>
        </w:rPr>
        <w:footnoteRef/>
      </w:r>
      <w:r>
        <w:t xml:space="preserve"> </w:t>
      </w:r>
      <w:r>
        <w:t xml:space="preserve">Prakash 1999, PMID 18031173.</w:t>
      </w:r>
    </w:p>
  </w:footnote>
  <w:footnote w:id="1240">
    <w:p>
      <w:pPr>
        <w:pStyle w:val="FootnoteText"/>
      </w:pPr>
      <w:r>
        <w:rPr>
          <w:rStyle w:val="FootnoteReference"/>
        </w:rPr>
        <w:footnoteRef/>
      </w:r>
      <w:r>
        <w:t xml:space="preserve"> </w:t>
      </w:r>
      <w:r>
        <w:t xml:space="preserve">Esposito 2003, PMID 14499707.</w:t>
      </w:r>
    </w:p>
  </w:footnote>
  <w:footnote w:id="1242">
    <w:p>
      <w:pPr>
        <w:pStyle w:val="FootnoteText"/>
      </w:pPr>
      <w:r>
        <w:rPr>
          <w:rStyle w:val="FootnoteReference"/>
        </w:rPr>
        <w:footnoteRef/>
      </w:r>
      <w:r>
        <w:t xml:space="preserve"> </w:t>
      </w:r>
      <w:r>
        <w:t xml:space="preserve">Thorner 1996, PMID 8772599.</w:t>
      </w:r>
    </w:p>
  </w:footnote>
  <w:footnote w:id="1243">
    <w:p>
      <w:pPr>
        <w:pStyle w:val="FootnoteText"/>
      </w:pPr>
      <w:r>
        <w:rPr>
          <w:rStyle w:val="FootnoteReference"/>
        </w:rPr>
        <w:footnoteRef/>
      </w:r>
      <w:r>
        <w:t xml:space="preserve"> </w:t>
      </w:r>
      <w:r>
        <w:t xml:space="preserve">Ross 1987, PMID 2879138.</w:t>
      </w:r>
    </w:p>
  </w:footnote>
  <w:footnote w:id="1244">
    <w:p>
      <w:pPr>
        <w:pStyle w:val="FootnoteText"/>
      </w:pPr>
      <w:r>
        <w:rPr>
          <w:rStyle w:val="FootnoteReference"/>
        </w:rPr>
        <w:footnoteRef/>
      </w:r>
      <w:r>
        <w:t xml:space="preserve"> </w:t>
      </w:r>
      <w:r>
        <w:t xml:space="preserve">Neyzi 1993, PMID 8329826.</w:t>
      </w:r>
    </w:p>
  </w:footnote>
  <w:footnote w:id="1245">
    <w:p>
      <w:pPr>
        <w:pStyle w:val="FootnoteText"/>
      </w:pPr>
      <w:r>
        <w:rPr>
          <w:rStyle w:val="FootnoteReference"/>
        </w:rPr>
        <w:footnoteRef/>
      </w:r>
      <w:r>
        <w:t xml:space="preserve"> </w:t>
      </w:r>
      <w:r>
        <w:t xml:space="preserve">Prakash 1999, PMID 18031173.</w:t>
      </w:r>
    </w:p>
  </w:footnote>
  <w:footnote w:id="1246">
    <w:p>
      <w:pPr>
        <w:pStyle w:val="FootnoteText"/>
      </w:pPr>
      <w:r>
        <w:rPr>
          <w:rStyle w:val="FootnoteReference"/>
        </w:rPr>
        <w:footnoteRef/>
      </w:r>
      <w:r>
        <w:t xml:space="preserve"> </w:t>
      </w:r>
      <w:r>
        <w:t xml:space="preserve">Kirk 1994, PMID 7955460.</w:t>
      </w:r>
    </w:p>
  </w:footnote>
  <w:footnote w:id="1248">
    <w:p>
      <w:pPr>
        <w:pStyle w:val="FootnoteText"/>
      </w:pPr>
      <w:r>
        <w:rPr>
          <w:rStyle w:val="FootnoteReference"/>
        </w:rPr>
        <w:footnoteRef/>
      </w:r>
      <w:r>
        <w:t xml:space="preserve"> </w:t>
      </w:r>
      <w:r>
        <w:t xml:space="preserve">Khorram 1997, PMID 9141536.</w:t>
      </w:r>
    </w:p>
  </w:footnote>
  <w:footnote w:id="1249">
    <w:p>
      <w:pPr>
        <w:pStyle w:val="FootnoteText"/>
      </w:pPr>
      <w:r>
        <w:rPr>
          <w:rStyle w:val="FootnoteReference"/>
        </w:rPr>
        <w:footnoteRef/>
      </w:r>
      <w:r>
        <w:t xml:space="preserve"> </w:t>
      </w:r>
      <w:r>
        <w:t xml:space="preserve">Khorram 1997, PMID 9360512.</w:t>
      </w:r>
    </w:p>
  </w:footnote>
  <w:footnote w:id="1250">
    <w:p>
      <w:pPr>
        <w:pStyle w:val="FootnoteText"/>
      </w:pPr>
      <w:r>
        <w:rPr>
          <w:rStyle w:val="FootnoteReference"/>
        </w:rPr>
        <w:footnoteRef/>
      </w:r>
      <w:r>
        <w:t xml:space="preserve"> </w:t>
      </w:r>
      <w:r>
        <w:t xml:space="preserve">Vittone 1997, PMID 9005976.</w:t>
      </w:r>
    </w:p>
  </w:footnote>
  <w:footnote w:id="1251">
    <w:p>
      <w:pPr>
        <w:pStyle w:val="FootnoteText"/>
      </w:pPr>
      <w:r>
        <w:rPr>
          <w:rStyle w:val="FootnoteReference"/>
        </w:rPr>
        <w:footnoteRef/>
      </w:r>
      <w:r>
        <w:t xml:space="preserve"> </w:t>
      </w:r>
      <w:r>
        <w:t xml:space="preserve">NCT00807365, NCT01410799.</w:t>
      </w:r>
    </w:p>
  </w:footnote>
  <w:footnote w:id="1253">
    <w:p>
      <w:pPr>
        <w:pStyle w:val="FootnoteText"/>
      </w:pPr>
      <w:r>
        <w:rPr>
          <w:rStyle w:val="FootnoteReference"/>
        </w:rPr>
        <w:footnoteRef/>
      </w:r>
      <w:r>
        <w:t xml:space="preserve"> </w:t>
      </w:r>
      <w:r>
        <w:t xml:space="preserve">Prakash 1999, PMID 18031173.</w:t>
      </w:r>
    </w:p>
  </w:footnote>
  <w:footnote w:id="1254">
    <w:p>
      <w:pPr>
        <w:pStyle w:val="FootnoteText"/>
      </w:pPr>
      <w:r>
        <w:rPr>
          <w:rStyle w:val="FootnoteReference"/>
        </w:rPr>
        <w:footnoteRef/>
      </w:r>
      <w:r>
        <w:t xml:space="preserve"> </w:t>
      </w:r>
      <w:r>
        <w:t xml:space="preserve">Garcia 2013, PMID 23559086.</w:t>
      </w:r>
    </w:p>
  </w:footnote>
  <w:footnote w:id="1256">
    <w:p>
      <w:pPr>
        <w:pStyle w:val="FootnoteText"/>
      </w:pPr>
      <w:r>
        <w:rPr>
          <w:rStyle w:val="FootnoteReference"/>
        </w:rPr>
        <w:footnoteRef/>
      </w:r>
      <w:r>
        <w:t xml:space="preserve"> </w:t>
      </w:r>
      <w:r>
        <w:t xml:space="preserve">Sigalos 2017, PMID 28830317.</w:t>
      </w:r>
    </w:p>
  </w:footnote>
  <w:footnote w:id="1259">
    <w:p>
      <w:pPr>
        <w:pStyle w:val="FootnoteText"/>
      </w:pPr>
      <w:r>
        <w:rPr>
          <w:rStyle w:val="FootnoteReference"/>
        </w:rPr>
        <w:footnoteRef/>
      </w:r>
      <w:r>
        <w:t xml:space="preserve"> </w:t>
      </w:r>
      <w:r>
        <w:t xml:space="preserve">Esposito 2003, PMID 14499707.</w:t>
      </w:r>
    </w:p>
  </w:footnote>
  <w:footnote w:id="1260">
    <w:p>
      <w:pPr>
        <w:pStyle w:val="FootnoteText"/>
      </w:pPr>
      <w:r>
        <w:rPr>
          <w:rStyle w:val="FootnoteReference"/>
        </w:rPr>
        <w:footnoteRef/>
      </w:r>
      <w:r>
        <w:t xml:space="preserve"> </w:t>
      </w:r>
      <w:r>
        <w:t xml:space="preserve">Chang 2021, PMID 33842627.</w:t>
      </w:r>
    </w:p>
  </w:footnote>
  <w:footnote w:id="1262">
    <w:p>
      <w:pPr>
        <w:pStyle w:val="FootnoteText"/>
      </w:pPr>
      <w:r>
        <w:rPr>
          <w:rStyle w:val="FootnoteReference"/>
        </w:rPr>
        <w:footnoteRef/>
      </w:r>
      <w:r>
        <w:t xml:space="preserve"> </w:t>
      </w:r>
      <w:r>
        <w:t xml:space="preserve">Prakash 1999, PMID 18031173.</w:t>
      </w:r>
    </w:p>
  </w:footnote>
  <w:footnote w:id="1263">
    <w:p>
      <w:pPr>
        <w:pStyle w:val="FootnoteText"/>
      </w:pPr>
      <w:r>
        <w:rPr>
          <w:rStyle w:val="FootnoteReference"/>
        </w:rPr>
        <w:footnoteRef/>
      </w:r>
      <w:r>
        <w:t xml:space="preserve"> </w:t>
      </w:r>
      <w:r>
        <w:t xml:space="preserve">Ross 1987, PMID 2879138.</w:t>
      </w:r>
    </w:p>
  </w:footnote>
  <w:footnote w:id="1264">
    <w:p>
      <w:pPr>
        <w:pStyle w:val="FootnoteText"/>
      </w:pPr>
      <w:r>
        <w:rPr>
          <w:rStyle w:val="FootnoteReference"/>
        </w:rPr>
        <w:footnoteRef/>
      </w:r>
      <w:r>
        <w:t xml:space="preserve"> </w:t>
      </w:r>
      <w:r>
        <w:t xml:space="preserve">Kirk 1994, PMID 7955460; Khorram 1997, PMID 9141536.</w:t>
      </w:r>
    </w:p>
  </w:footnote>
  <w:footnote w:id="1265">
    <w:p>
      <w:pPr>
        <w:pStyle w:val="FootnoteText"/>
      </w:pPr>
      <w:r>
        <w:rPr>
          <w:rStyle w:val="FootnoteReference"/>
        </w:rPr>
        <w:footnoteRef/>
      </w:r>
      <w:r>
        <w:t xml:space="preserve"> </w:t>
      </w:r>
      <w:r>
        <w:t xml:space="preserve">Perez 2026, PMID 42465868.</w:t>
      </w:r>
    </w:p>
  </w:footnote>
  <w:footnote w:id="1266">
    <w:p>
      <w:pPr>
        <w:pStyle w:val="FootnoteText"/>
      </w:pPr>
      <w:r>
        <w:rPr>
          <w:rStyle w:val="FootnoteReference"/>
        </w:rPr>
        <w:footnoteRef/>
      </w:r>
      <w:r>
        <w:t xml:space="preserve"> </w:t>
      </w:r>
      <w:r>
        <w:t xml:space="preserve">Venhuis 2016, PMID 26456392.</w:t>
      </w:r>
    </w:p>
  </w:footnote>
  <w:footnote w:id="1268">
    <w:p>
      <w:pPr>
        <w:pStyle w:val="FootnoteText"/>
      </w:pPr>
      <w:r>
        <w:rPr>
          <w:rStyle w:val="FootnoteReference"/>
        </w:rPr>
        <w:footnoteRef/>
      </w:r>
      <w:r>
        <w:t xml:space="preserve"> </w:t>
      </w:r>
      <w:r>
        <w:t xml:space="preserve">Garcia 2013, PMID 23559086.</w:t>
      </w:r>
    </w:p>
  </w:footnote>
  <w:footnote w:id="1269">
    <w:p>
      <w:pPr>
        <w:pStyle w:val="FootnoteText"/>
      </w:pPr>
      <w:r>
        <w:rPr>
          <w:rStyle w:val="FootnoteReference"/>
        </w:rPr>
        <w:footnoteRef/>
      </w:r>
      <w:r>
        <w:t xml:space="preserve"> </w:t>
      </w:r>
      <w:r>
        <w:t xml:space="preserve">Willis 2026, PMID 42752426.</w:t>
      </w:r>
    </w:p>
  </w:footnote>
  <w:footnote w:id="1270">
    <w:p>
      <w:pPr>
        <w:pStyle w:val="FootnoteText"/>
      </w:pPr>
      <w:r>
        <w:rPr>
          <w:rStyle w:val="FootnoteReference"/>
        </w:rPr>
        <w:footnoteRef/>
      </w:r>
      <w:r>
        <w:t xml:space="preserve"> </w:t>
      </w:r>
      <w:r>
        <w:t xml:space="preserve">Memdouh 2021, PMID 34665524.</w:t>
      </w:r>
    </w:p>
  </w:footnote>
  <w:footnote w:id="1275">
    <w:p>
      <w:pPr>
        <w:pStyle w:val="FootnoteText"/>
      </w:pPr>
      <w:r>
        <w:rPr>
          <w:rStyle w:val="FootnoteReference"/>
        </w:rPr>
        <w:footnoteRef/>
      </w:r>
      <w:r>
        <w:t xml:space="preserve"> </w:t>
      </w:r>
      <w:r>
        <w:t xml:space="preserve">Falutz 2010, PMID 20101189.</w:t>
      </w:r>
    </w:p>
  </w:footnote>
  <w:footnote w:id="1276">
    <w:p>
      <w:pPr>
        <w:pStyle w:val="FootnoteText"/>
      </w:pPr>
      <w:r>
        <w:rPr>
          <w:rStyle w:val="FootnoteReference"/>
        </w:rPr>
        <w:footnoteRef/>
      </w:r>
      <w:r>
        <w:t xml:space="preserve"> </w:t>
      </w:r>
      <w:r>
        <w:t xml:space="preserve">FDA approval reported in Traynor 2010, PMID 21115997.</w:t>
      </w:r>
    </w:p>
  </w:footnote>
  <w:footnote w:id="1279">
    <w:p>
      <w:pPr>
        <w:pStyle w:val="FootnoteText"/>
      </w:pPr>
      <w:r>
        <w:rPr>
          <w:rStyle w:val="FootnoteReference"/>
        </w:rPr>
        <w:footnoteRef/>
      </w:r>
      <w:r>
        <w:t xml:space="preserve"> </w:t>
      </w:r>
      <w:r>
        <w:t xml:space="preserve">Falutz 2007, PMID 18057338.</w:t>
      </w:r>
    </w:p>
  </w:footnote>
  <w:footnote w:id="1280">
    <w:p>
      <w:pPr>
        <w:pStyle w:val="FootnoteText"/>
      </w:pPr>
      <w:r>
        <w:rPr>
          <w:rStyle w:val="FootnoteReference"/>
        </w:rPr>
        <w:footnoteRef/>
      </w:r>
      <w:r>
        <w:t xml:space="preserve"> </w:t>
      </w:r>
      <w:r>
        <w:t xml:space="preserve">Falutz 2008, PMID 18690162.</w:t>
      </w:r>
    </w:p>
  </w:footnote>
  <w:footnote w:id="1281">
    <w:p>
      <w:pPr>
        <w:pStyle w:val="FootnoteText"/>
      </w:pPr>
      <w:r>
        <w:rPr>
          <w:rStyle w:val="FootnoteReference"/>
        </w:rPr>
        <w:footnoteRef/>
      </w:r>
      <w:r>
        <w:t xml:space="preserve"> </w:t>
      </w:r>
      <w:r>
        <w:t xml:space="preserve">Falutz 2010, PMID 20101189.</w:t>
      </w:r>
    </w:p>
  </w:footnote>
  <w:footnote w:id="1282">
    <w:p>
      <w:pPr>
        <w:pStyle w:val="FootnoteText"/>
      </w:pPr>
      <w:r>
        <w:rPr>
          <w:rStyle w:val="FootnoteReference"/>
        </w:rPr>
        <w:footnoteRef/>
      </w:r>
      <w:r>
        <w:t xml:space="preserve"> </w:t>
      </w:r>
      <w:r>
        <w:t xml:space="preserve">Falutz 2010, PMID 20554713.</w:t>
      </w:r>
    </w:p>
  </w:footnote>
  <w:footnote w:id="1283">
    <w:p>
      <w:pPr>
        <w:pStyle w:val="FootnoteText"/>
      </w:pPr>
      <w:r>
        <w:rPr>
          <w:rStyle w:val="FootnoteReference"/>
        </w:rPr>
        <w:footnoteRef/>
      </w:r>
      <w:r>
        <w:t xml:space="preserve"> </w:t>
      </w:r>
      <w:r>
        <w:t xml:space="preserve">Stanley 2012, PMID 22495074.</w:t>
      </w:r>
    </w:p>
  </w:footnote>
  <w:footnote w:id="1285">
    <w:p>
      <w:pPr>
        <w:pStyle w:val="FootnoteText"/>
      </w:pPr>
      <w:r>
        <w:rPr>
          <w:rStyle w:val="FootnoteReference"/>
        </w:rPr>
        <w:footnoteRef/>
      </w:r>
      <w:r>
        <w:t xml:space="preserve"> </w:t>
      </w:r>
      <w:r>
        <w:t xml:space="preserve">Stanley 2014, PMID 25038357.</w:t>
      </w:r>
    </w:p>
  </w:footnote>
  <w:footnote w:id="1286">
    <w:p>
      <w:pPr>
        <w:pStyle w:val="FootnoteText"/>
      </w:pPr>
      <w:r>
        <w:rPr>
          <w:rStyle w:val="FootnoteReference"/>
        </w:rPr>
        <w:footnoteRef/>
      </w:r>
      <w:r>
        <w:t xml:space="preserve"> </w:t>
      </w:r>
      <w:r>
        <w:t xml:space="preserve">Stanley 2019, PMID 31611038.</w:t>
      </w:r>
    </w:p>
  </w:footnote>
  <w:footnote w:id="1288">
    <w:p>
      <w:pPr>
        <w:pStyle w:val="FootnoteText"/>
      </w:pPr>
      <w:r>
        <w:rPr>
          <w:rStyle w:val="FootnoteReference"/>
        </w:rPr>
        <w:footnoteRef/>
      </w:r>
      <w:r>
        <w:t xml:space="preserve"> </w:t>
      </w:r>
      <w:r>
        <w:t xml:space="preserve">Makimura 2012, PMID 23015655.</w:t>
      </w:r>
    </w:p>
  </w:footnote>
  <w:footnote w:id="1289">
    <w:p>
      <w:pPr>
        <w:pStyle w:val="FootnoteText"/>
      </w:pPr>
      <w:r>
        <w:rPr>
          <w:rStyle w:val="FootnoteReference"/>
        </w:rPr>
        <w:footnoteRef/>
      </w:r>
      <w:r>
        <w:t xml:space="preserve"> </w:t>
      </w:r>
      <w:r>
        <w:t xml:space="preserve">Clemmons 2017, PMID 28617838.</w:t>
      </w:r>
    </w:p>
  </w:footnote>
  <w:footnote w:id="1290">
    <w:p>
      <w:pPr>
        <w:pStyle w:val="FootnoteText"/>
      </w:pPr>
      <w:r>
        <w:rPr>
          <w:rStyle w:val="FootnoteReference"/>
        </w:rPr>
        <w:footnoteRef/>
      </w:r>
      <w:r>
        <w:t xml:space="preserve"> </w:t>
      </w:r>
      <w:r>
        <w:t xml:space="preserve">Baker 2012, PMID 22869065.</w:t>
      </w:r>
    </w:p>
  </w:footnote>
  <w:footnote w:id="1291">
    <w:p>
      <w:pPr>
        <w:pStyle w:val="FootnoteText"/>
      </w:pPr>
      <w:r>
        <w:rPr>
          <w:rStyle w:val="FootnoteReference"/>
        </w:rPr>
        <w:footnoteRef/>
      </w:r>
      <w:r>
        <w:t xml:space="preserve"> </w:t>
      </w:r>
      <w:r>
        <w:t xml:space="preserve">Ellis 2025, PMID 39813152.</w:t>
      </w:r>
    </w:p>
  </w:footnote>
  <w:footnote w:id="1293">
    <w:p>
      <w:pPr>
        <w:pStyle w:val="FootnoteText"/>
      </w:pPr>
      <w:r>
        <w:rPr>
          <w:rStyle w:val="FootnoteReference"/>
        </w:rPr>
        <w:footnoteRef/>
      </w:r>
      <w:r>
        <w:t xml:space="preserve"> </w:t>
      </w:r>
      <w:r>
        <w:t xml:space="preserve">Ditta 2026, PMID 42538058.</w:t>
      </w:r>
    </w:p>
  </w:footnote>
  <w:footnote w:id="1294">
    <w:p>
      <w:pPr>
        <w:pStyle w:val="FootnoteText"/>
      </w:pPr>
      <w:r>
        <w:rPr>
          <w:rStyle w:val="FootnoteReference"/>
        </w:rPr>
        <w:footnoteRef/>
      </w:r>
      <w:r>
        <w:t xml:space="preserve"> </w:t>
      </w:r>
      <w:r>
        <w:t xml:space="preserve">Badran 2026, PMID 41545261.</w:t>
      </w:r>
    </w:p>
  </w:footnote>
  <w:footnote w:id="1297">
    <w:p>
      <w:pPr>
        <w:pStyle w:val="FootnoteText"/>
      </w:pPr>
      <w:r>
        <w:rPr>
          <w:rStyle w:val="FootnoteReference"/>
        </w:rPr>
        <w:footnoteRef/>
      </w:r>
      <w:r>
        <w:t xml:space="preserve"> </w:t>
      </w:r>
      <w:r>
        <w:t xml:space="preserve">Tuffaha 2016, PMID 27192539.</w:t>
      </w:r>
    </w:p>
  </w:footnote>
  <w:footnote w:id="1298">
    <w:p>
      <w:pPr>
        <w:pStyle w:val="FootnoteText"/>
      </w:pPr>
      <w:r>
        <w:rPr>
          <w:rStyle w:val="FootnoteReference"/>
        </w:rPr>
        <w:footnoteRef/>
      </w:r>
      <w:r>
        <w:t xml:space="preserve"> </w:t>
      </w:r>
      <w:r>
        <w:t xml:space="preserve">NCT03150511.</w:t>
      </w:r>
    </w:p>
  </w:footnote>
  <w:footnote w:id="1299">
    <w:p>
      <w:pPr>
        <w:pStyle w:val="FootnoteText"/>
      </w:pPr>
      <w:r>
        <w:rPr>
          <w:rStyle w:val="FootnoteReference"/>
        </w:rPr>
        <w:footnoteRef/>
      </w:r>
      <w:r>
        <w:t xml:space="preserve"> </w:t>
      </w:r>
      <w:r>
        <w:t xml:space="preserve">Fourman 2020, PMID 32701508.</w:t>
      </w:r>
    </w:p>
  </w:footnote>
  <w:footnote w:id="1301">
    <w:p>
      <w:pPr>
        <w:pStyle w:val="FootnoteText"/>
      </w:pPr>
      <w:r>
        <w:rPr>
          <w:rStyle w:val="FootnoteReference"/>
        </w:rPr>
        <w:footnoteRef/>
      </w:r>
      <w:r>
        <w:t xml:space="preserve"> </w:t>
      </w:r>
      <w:r>
        <w:t xml:space="preserve">Stanley 2019, PMID 31611038.</w:t>
      </w:r>
    </w:p>
  </w:footnote>
  <w:footnote w:id="1302">
    <w:p>
      <w:pPr>
        <w:pStyle w:val="FootnoteText"/>
      </w:pPr>
      <w:r>
        <w:rPr>
          <w:rStyle w:val="FootnoteReference"/>
        </w:rPr>
        <w:footnoteRef/>
      </w:r>
      <w:r>
        <w:t xml:space="preserve"> </w:t>
      </w:r>
      <w:r>
        <w:t xml:space="preserve">Badran 2026, PMID 41545261.</w:t>
      </w:r>
    </w:p>
  </w:footnote>
  <w:footnote w:id="1303">
    <w:p>
      <w:pPr>
        <w:pStyle w:val="FootnoteText"/>
      </w:pPr>
      <w:r>
        <w:rPr>
          <w:rStyle w:val="FootnoteReference"/>
        </w:rPr>
        <w:footnoteRef/>
      </w:r>
      <w:r>
        <w:t xml:space="preserve"> </w:t>
      </w:r>
      <w:r>
        <w:t xml:space="preserve">Stanley 2014, PMID 25038357.</w:t>
      </w:r>
    </w:p>
  </w:footnote>
  <w:footnote w:id="1304">
    <w:p>
      <w:pPr>
        <w:pStyle w:val="FootnoteText"/>
      </w:pPr>
      <w:r>
        <w:rPr>
          <w:rStyle w:val="FootnoteReference"/>
        </w:rPr>
        <w:footnoteRef/>
      </w:r>
      <w:r>
        <w:t xml:space="preserve"> </w:t>
      </w:r>
      <w:r>
        <w:t xml:space="preserve">Stanley 2012, PMID 22495074.</w:t>
      </w:r>
    </w:p>
  </w:footnote>
  <w:footnote w:id="1305">
    <w:p>
      <w:pPr>
        <w:pStyle w:val="FootnoteText"/>
      </w:pPr>
      <w:r>
        <w:rPr>
          <w:rStyle w:val="FootnoteReference"/>
        </w:rPr>
        <w:footnoteRef/>
      </w:r>
      <w:r>
        <w:t xml:space="preserve"> </w:t>
      </w:r>
      <w:r>
        <w:t xml:space="preserve">Falutz 2007, PMID 18057338.</w:t>
      </w:r>
    </w:p>
  </w:footnote>
  <w:footnote w:id="1306">
    <w:p>
      <w:pPr>
        <w:pStyle w:val="FootnoteText"/>
      </w:pPr>
      <w:r>
        <w:rPr>
          <w:rStyle w:val="FootnoteReference"/>
        </w:rPr>
        <w:footnoteRef/>
      </w:r>
      <w:r>
        <w:t xml:space="preserve"> </w:t>
      </w:r>
      <w:r>
        <w:t xml:space="preserve">Falutz 2008, PMID 18690162.</w:t>
      </w:r>
    </w:p>
  </w:footnote>
  <w:footnote w:id="1307">
    <w:p>
      <w:pPr>
        <w:pStyle w:val="FootnoteText"/>
      </w:pPr>
      <w:r>
        <w:rPr>
          <w:rStyle w:val="FootnoteReference"/>
        </w:rPr>
        <w:footnoteRef/>
      </w:r>
      <w:r>
        <w:t xml:space="preserve"> </w:t>
      </w:r>
      <w:r>
        <w:t xml:space="preserve">NCT01579695.</w:t>
      </w:r>
    </w:p>
  </w:footnote>
  <w:footnote w:id="1308">
    <w:p>
      <w:pPr>
        <w:pStyle w:val="FootnoteText"/>
      </w:pPr>
      <w:r>
        <w:rPr>
          <w:rStyle w:val="FootnoteReference"/>
        </w:rPr>
        <w:footnoteRef/>
      </w:r>
      <w:r>
        <w:t xml:space="preserve"> </w:t>
      </w:r>
      <w:r>
        <w:t xml:space="preserve">NCT01591902.</w:t>
      </w:r>
    </w:p>
  </w:footnote>
  <w:footnote w:id="1310">
    <w:p>
      <w:pPr>
        <w:pStyle w:val="FootnoteText"/>
      </w:pPr>
      <w:r>
        <w:rPr>
          <w:rStyle w:val="FootnoteReference"/>
        </w:rPr>
        <w:footnoteRef/>
      </w:r>
      <w:r>
        <w:t xml:space="preserve"> </w:t>
      </w:r>
      <w:r>
        <w:t xml:space="preserve">Memdouh 2021, PMID 34665524.</w:t>
      </w:r>
    </w:p>
  </w:footnote>
  <w:footnote w:id="1315">
    <w:p>
      <w:pPr>
        <w:pStyle w:val="FootnoteText"/>
      </w:pPr>
      <w:r>
        <w:rPr>
          <w:rStyle w:val="FootnoteReference"/>
        </w:rPr>
        <w:footnoteRef/>
      </w:r>
      <w:r>
        <w:t xml:space="preserve"> </w:t>
      </w:r>
      <w:r>
        <w:t xml:space="preserve">Jetté 2005, PMID 15817669.</w:t>
      </w:r>
    </w:p>
  </w:footnote>
  <w:footnote w:id="1317">
    <w:p>
      <w:pPr>
        <w:pStyle w:val="FootnoteText"/>
      </w:pPr>
      <w:r>
        <w:rPr>
          <w:rStyle w:val="FootnoteReference"/>
        </w:rPr>
        <w:footnoteRef/>
      </w:r>
      <w:r>
        <w:t xml:space="preserve"> </w:t>
      </w:r>
      <w:r>
        <w:t xml:space="preserve">Jetté 2005, PMID 15817669.</w:t>
      </w:r>
    </w:p>
  </w:footnote>
  <w:footnote w:id="1319">
    <w:p>
      <w:pPr>
        <w:pStyle w:val="FootnoteText"/>
      </w:pPr>
      <w:r>
        <w:rPr>
          <w:rStyle w:val="FootnoteReference"/>
        </w:rPr>
        <w:footnoteRef/>
      </w:r>
      <w:r>
        <w:t xml:space="preserve"> </w:t>
      </w:r>
      <w:r>
        <w:t xml:space="preserve">Teichman 2006, PMID 16352683.</w:t>
      </w:r>
    </w:p>
  </w:footnote>
  <w:footnote w:id="1320">
    <w:p>
      <w:pPr>
        <w:pStyle w:val="FootnoteText"/>
      </w:pPr>
      <w:r>
        <w:rPr>
          <w:rStyle w:val="FootnoteReference"/>
        </w:rPr>
        <w:footnoteRef/>
      </w:r>
      <w:r>
        <w:t xml:space="preserve"> </w:t>
      </w:r>
      <w:r>
        <w:t xml:space="preserve">Ionescu 2006, PMID 17018654.</w:t>
      </w:r>
    </w:p>
  </w:footnote>
  <w:footnote w:id="1321">
    <w:p>
      <w:pPr>
        <w:pStyle w:val="FootnoteText"/>
      </w:pPr>
      <w:r>
        <w:rPr>
          <w:rStyle w:val="FootnoteReference"/>
        </w:rPr>
        <w:footnoteRef/>
      </w:r>
      <w:r>
        <w:t xml:space="preserve"> </w:t>
      </w:r>
      <w:r>
        <w:t xml:space="preserve">Sackmann-Sala 2009, PMID 19386527.</w:t>
      </w:r>
    </w:p>
  </w:footnote>
  <w:footnote w:id="1322">
    <w:p>
      <w:pPr>
        <w:pStyle w:val="FootnoteText"/>
      </w:pPr>
      <w:r>
        <w:rPr>
          <w:rStyle w:val="FootnoteReference"/>
        </w:rPr>
        <w:footnoteRef/>
      </w:r>
      <w:r>
        <w:t xml:space="preserve"> </w:t>
      </w:r>
      <w:r>
        <w:t xml:space="preserve">NCT00267527.</w:t>
      </w:r>
    </w:p>
  </w:footnote>
  <w:footnote w:id="1325">
    <w:p>
      <w:pPr>
        <w:pStyle w:val="FootnoteText"/>
      </w:pPr>
      <w:r>
        <w:rPr>
          <w:rStyle w:val="FootnoteReference"/>
        </w:rPr>
        <w:footnoteRef/>
      </w:r>
      <w:r>
        <w:t xml:space="preserve"> </w:t>
      </w:r>
      <w:r>
        <w:t xml:space="preserve">Jetté 2005, PMID 15817669.</w:t>
      </w:r>
    </w:p>
  </w:footnote>
  <w:footnote w:id="1326">
    <w:p>
      <w:pPr>
        <w:pStyle w:val="FootnoteText"/>
      </w:pPr>
      <w:r>
        <w:rPr>
          <w:rStyle w:val="FootnoteReference"/>
        </w:rPr>
        <w:footnoteRef/>
      </w:r>
      <w:r>
        <w:t xml:space="preserve"> </w:t>
      </w:r>
      <w:r>
        <w:t xml:space="preserve">Alba 2006, PMID 16822960.</w:t>
      </w:r>
    </w:p>
  </w:footnote>
  <w:footnote w:id="1328">
    <w:p>
      <w:pPr>
        <w:pStyle w:val="FootnoteText"/>
      </w:pPr>
      <w:r>
        <w:rPr>
          <w:rStyle w:val="FootnoteReference"/>
        </w:rPr>
        <w:footnoteRef/>
      </w:r>
      <w:r>
        <w:t xml:space="preserve"> </w:t>
      </w:r>
      <w:r>
        <w:t xml:space="preserve">Teichman 2006, PMID 16352683.</w:t>
      </w:r>
    </w:p>
  </w:footnote>
  <w:footnote w:id="1329">
    <w:p>
      <w:pPr>
        <w:pStyle w:val="FootnoteText"/>
      </w:pPr>
      <w:r>
        <w:rPr>
          <w:rStyle w:val="FootnoteReference"/>
        </w:rPr>
        <w:footnoteRef/>
      </w:r>
      <w:r>
        <w:t xml:space="preserve"> </w:t>
      </w:r>
      <w:r>
        <w:t xml:space="preserve">Henninge 2010, PMID 21204297.</w:t>
      </w:r>
    </w:p>
  </w:footnote>
  <w:footnote w:id="1330">
    <w:p>
      <w:pPr>
        <w:pStyle w:val="FootnoteText"/>
      </w:pPr>
      <w:r>
        <w:rPr>
          <w:rStyle w:val="FootnoteReference"/>
        </w:rPr>
        <w:footnoteRef/>
      </w:r>
      <w:r>
        <w:t xml:space="preserve"> </w:t>
      </w:r>
      <w:r>
        <w:t xml:space="preserve">Gajda 2019, PMID 30136411.</w:t>
      </w:r>
    </w:p>
  </w:footnote>
  <w:footnote w:id="1331">
    <w:p>
      <w:pPr>
        <w:pStyle w:val="FootnoteText"/>
      </w:pPr>
      <w:r>
        <w:rPr>
          <w:rStyle w:val="FootnoteReference"/>
        </w:rPr>
        <w:footnoteRef/>
      </w:r>
      <w:r>
        <w:t xml:space="preserve"> </w:t>
      </w:r>
      <w:r>
        <w:t xml:space="preserve">Van Hout 2016, PMID 26771670.</w:t>
      </w:r>
    </w:p>
  </w:footnote>
  <w:footnote w:id="1333">
    <w:p>
      <w:pPr>
        <w:pStyle w:val="FootnoteText"/>
      </w:pPr>
      <w:r>
        <w:rPr>
          <w:rStyle w:val="FootnoteReference"/>
        </w:rPr>
        <w:footnoteRef/>
      </w:r>
      <w:r>
        <w:t xml:space="preserve"> </w:t>
      </w:r>
      <w:r>
        <w:t xml:space="preserve">Willis 2026, PMID 42752426.</w:t>
      </w:r>
    </w:p>
  </w:footnote>
  <w:footnote w:id="1334">
    <w:p>
      <w:pPr>
        <w:pStyle w:val="FootnoteText"/>
      </w:pPr>
      <w:r>
        <w:rPr>
          <w:rStyle w:val="FootnoteReference"/>
        </w:rPr>
        <w:footnoteRef/>
      </w:r>
      <w:r>
        <w:t xml:space="preserve"> </w:t>
      </w:r>
      <w:r>
        <w:t xml:space="preserve">Memdouh 2021, PMID 34665524.</w:t>
      </w:r>
    </w:p>
  </w:footnote>
  <w:footnote w:id="1335">
    <w:p>
      <w:pPr>
        <w:pStyle w:val="FootnoteText"/>
      </w:pPr>
      <w:r>
        <w:rPr>
          <w:rStyle w:val="FootnoteReference"/>
        </w:rPr>
        <w:footnoteRef/>
      </w:r>
      <w:r>
        <w:t xml:space="preserve"> </w:t>
      </w:r>
      <w:r>
        <w:t xml:space="preserve">Timms 2019, PMID 30938069.</w:t>
      </w:r>
    </w:p>
  </w:footnote>
  <w:footnote w:id="1340">
    <w:p>
      <w:pPr>
        <w:pStyle w:val="FootnoteText"/>
      </w:pPr>
      <w:r>
        <w:rPr>
          <w:rStyle w:val="FootnoteReference"/>
        </w:rPr>
        <w:footnoteRef/>
      </w:r>
      <w:r>
        <w:t xml:space="preserve"> </w:t>
      </w:r>
      <w:r>
        <w:t xml:space="preserve">Raun 1998, PMID 9849822.</w:t>
      </w:r>
    </w:p>
  </w:footnote>
  <w:footnote w:id="1342">
    <w:p>
      <w:pPr>
        <w:pStyle w:val="FootnoteText"/>
      </w:pPr>
      <w:r>
        <w:rPr>
          <w:rStyle w:val="FootnoteReference"/>
        </w:rPr>
        <w:footnoteRef/>
      </w:r>
      <w:r>
        <w:t xml:space="preserve"> </w:t>
      </w:r>
      <w:r>
        <w:t xml:space="preserve">Kojima 1999, PMID 10604470.</w:t>
      </w:r>
    </w:p>
  </w:footnote>
  <w:footnote w:id="1343">
    <w:p>
      <w:pPr>
        <w:pStyle w:val="FootnoteText"/>
      </w:pPr>
      <w:r>
        <w:rPr>
          <w:rStyle w:val="FootnoteReference"/>
        </w:rPr>
        <w:footnoteRef/>
      </w:r>
      <w:r>
        <w:t xml:space="preserve"> </w:t>
      </w:r>
      <w:r>
        <w:t xml:space="preserve">Raun 1998, PMID 9849822.</w:t>
      </w:r>
    </w:p>
  </w:footnote>
  <w:footnote w:id="1345">
    <w:p>
      <w:pPr>
        <w:pStyle w:val="FootnoteText"/>
      </w:pPr>
      <w:r>
        <w:rPr>
          <w:rStyle w:val="FootnoteReference"/>
        </w:rPr>
        <w:footnoteRef/>
      </w:r>
      <w:r>
        <w:t xml:space="preserve"> </w:t>
      </w:r>
      <w:r>
        <w:t xml:space="preserve">NCT07717866.</w:t>
      </w:r>
    </w:p>
  </w:footnote>
  <w:footnote w:id="1346">
    <w:p>
      <w:pPr>
        <w:pStyle w:val="FootnoteText"/>
      </w:pPr>
      <w:r>
        <w:rPr>
          <w:rStyle w:val="FootnoteReference"/>
        </w:rPr>
        <w:footnoteRef/>
      </w:r>
      <w:r>
        <w:t xml:space="preserve"> </w:t>
      </w:r>
      <w:r>
        <w:t xml:space="preserve">Gobburu 1999, PMID 10496658.</w:t>
      </w:r>
    </w:p>
  </w:footnote>
  <w:footnote w:id="1347">
    <w:p>
      <w:pPr>
        <w:pStyle w:val="FootnoteText"/>
      </w:pPr>
      <w:r>
        <w:rPr>
          <w:rStyle w:val="FootnoteReference"/>
        </w:rPr>
        <w:footnoteRef/>
      </w:r>
      <w:r>
        <w:t xml:space="preserve"> </w:t>
      </w:r>
      <w:r>
        <w:t xml:space="preserve">Beck 2014, PMID 25331030.</w:t>
      </w:r>
    </w:p>
  </w:footnote>
  <w:footnote w:id="1348">
    <w:p>
      <w:pPr>
        <w:pStyle w:val="FootnoteText"/>
      </w:pPr>
      <w:r>
        <w:rPr>
          <w:rStyle w:val="FootnoteReference"/>
        </w:rPr>
        <w:footnoteRef/>
      </w:r>
      <w:r>
        <w:t xml:space="preserve"> </w:t>
      </w:r>
      <w:r>
        <w:t xml:space="preserve">NCT01280344.</w:t>
      </w:r>
    </w:p>
  </w:footnote>
  <w:footnote w:id="1350">
    <w:p>
      <w:pPr>
        <w:pStyle w:val="FootnoteText"/>
      </w:pPr>
      <w:r>
        <w:rPr>
          <w:rStyle w:val="FootnoteReference"/>
        </w:rPr>
        <w:footnoteRef/>
      </w:r>
      <w:r>
        <w:t xml:space="preserve"> </w:t>
      </w:r>
      <w:r>
        <w:t xml:space="preserve">Venkova 2009, PMID 19289567.</w:t>
      </w:r>
    </w:p>
  </w:footnote>
  <w:footnote w:id="1351">
    <w:p>
      <w:pPr>
        <w:pStyle w:val="FootnoteText"/>
      </w:pPr>
      <w:r>
        <w:rPr>
          <w:rStyle w:val="FootnoteReference"/>
        </w:rPr>
        <w:footnoteRef/>
      </w:r>
      <w:r>
        <w:t xml:space="preserve"> </w:t>
      </w:r>
      <w:r>
        <w:t xml:space="preserve">Johansen 1999, PMID 10373343.</w:t>
      </w:r>
    </w:p>
  </w:footnote>
  <w:footnote w:id="1352">
    <w:p>
      <w:pPr>
        <w:pStyle w:val="FootnoteText"/>
      </w:pPr>
      <w:r>
        <w:rPr>
          <w:rStyle w:val="FootnoteReference"/>
        </w:rPr>
        <w:footnoteRef/>
      </w:r>
      <w:r>
        <w:t xml:space="preserve"> </w:t>
      </w:r>
      <w:r>
        <w:t xml:space="preserve">Raun 1998, PMID 9849822.</w:t>
      </w:r>
    </w:p>
  </w:footnote>
  <w:footnote w:id="1354">
    <w:p>
      <w:pPr>
        <w:pStyle w:val="FootnoteText"/>
      </w:pPr>
      <w:r>
        <w:rPr>
          <w:rStyle w:val="FootnoteReference"/>
        </w:rPr>
        <w:footnoteRef/>
      </w:r>
      <w:r>
        <w:t xml:space="preserve"> </w:t>
      </w:r>
      <w:r>
        <w:t xml:space="preserve">Beck 2014, PMID 25331030.</w:t>
      </w:r>
    </w:p>
  </w:footnote>
  <w:footnote w:id="1355">
    <w:p>
      <w:pPr>
        <w:pStyle w:val="FootnoteText"/>
      </w:pPr>
      <w:r>
        <w:rPr>
          <w:rStyle w:val="FootnoteReference"/>
        </w:rPr>
        <w:footnoteRef/>
      </w:r>
      <w:r>
        <w:t xml:space="preserve"> </w:t>
      </w:r>
      <w:r>
        <w:t xml:space="preserve">Krug 2018, PMID 29864719; Gajda 2019, PMID 30136411.</w:t>
      </w:r>
    </w:p>
  </w:footnote>
  <w:footnote w:id="1357">
    <w:p>
      <w:pPr>
        <w:pStyle w:val="FootnoteText"/>
      </w:pPr>
      <w:r>
        <w:rPr>
          <w:rStyle w:val="FootnoteReference"/>
        </w:rPr>
        <w:footnoteRef/>
      </w:r>
      <w:r>
        <w:t xml:space="preserve"> </w:t>
      </w:r>
      <w:r>
        <w:t xml:space="preserve">Willis 2026, PMID 42752426.</w:t>
      </w:r>
    </w:p>
  </w:footnote>
  <w:footnote w:id="1358">
    <w:p>
      <w:pPr>
        <w:pStyle w:val="FootnoteText"/>
      </w:pPr>
      <w:r>
        <w:rPr>
          <w:rStyle w:val="FootnoteReference"/>
        </w:rPr>
        <w:footnoteRef/>
      </w:r>
      <w:r>
        <w:t xml:space="preserve"> </w:t>
      </w:r>
      <w:r>
        <w:t xml:space="preserve">Semenistaya 2015, PMID 25869809.</w:t>
      </w:r>
    </w:p>
  </w:footnote>
  <w:footnote w:id="1363">
    <w:p>
      <w:pPr>
        <w:pStyle w:val="FootnoteText"/>
      </w:pPr>
      <w:r>
        <w:rPr>
          <w:rStyle w:val="FootnoteReference"/>
        </w:rPr>
        <w:footnoteRef/>
      </w:r>
      <w:r>
        <w:t xml:space="preserve"> </w:t>
      </w:r>
      <w:r>
        <w:t xml:space="preserve">Doi 2004, PMID 15646370.</w:t>
      </w:r>
    </w:p>
  </w:footnote>
  <w:footnote w:id="1364">
    <w:p>
      <w:pPr>
        <w:pStyle w:val="FootnoteText"/>
      </w:pPr>
      <w:r>
        <w:rPr>
          <w:rStyle w:val="FootnoteReference"/>
        </w:rPr>
        <w:footnoteRef/>
      </w:r>
      <w:r>
        <w:t xml:space="preserve"> </w:t>
      </w:r>
      <w:r>
        <w:t xml:space="preserve">anonymous drug profile in Drugs R D 2004, PMID 15230633.</w:t>
      </w:r>
    </w:p>
  </w:footnote>
  <w:footnote w:id="1366">
    <w:p>
      <w:pPr>
        <w:pStyle w:val="FootnoteText"/>
      </w:pPr>
      <w:r>
        <w:rPr>
          <w:rStyle w:val="FootnoteReference"/>
        </w:rPr>
        <w:footnoteRef/>
      </w:r>
      <w:r>
        <w:t xml:space="preserve"> </w:t>
      </w:r>
      <w:r>
        <w:t xml:space="preserve">Kojima 1999, PMID 10604470.</w:t>
      </w:r>
    </w:p>
  </w:footnote>
  <w:footnote w:id="1367">
    <w:p>
      <w:pPr>
        <w:pStyle w:val="FootnoteText"/>
      </w:pPr>
      <w:r>
        <w:rPr>
          <w:rStyle w:val="FootnoteReference"/>
        </w:rPr>
        <w:footnoteRef/>
      </w:r>
      <w:r>
        <w:t xml:space="preserve"> </w:t>
      </w:r>
      <w:r>
        <w:t xml:space="preserve">Doi 2004, PMID 15646370.</w:t>
      </w:r>
    </w:p>
  </w:footnote>
  <w:footnote w:id="1369">
    <w:p>
      <w:pPr>
        <w:pStyle w:val="FootnoteText"/>
      </w:pPr>
      <w:r>
        <w:rPr>
          <w:rStyle w:val="FootnoteReference"/>
        </w:rPr>
        <w:footnoteRef/>
      </w:r>
      <w:r>
        <w:t xml:space="preserve"> </w:t>
      </w:r>
      <w:r>
        <w:t xml:space="preserve">Chihara 2007, PMID 17609397.</w:t>
      </w:r>
    </w:p>
  </w:footnote>
  <w:footnote w:id="1370">
    <w:p>
      <w:pPr>
        <w:pStyle w:val="FootnoteText"/>
      </w:pPr>
      <w:r>
        <w:rPr>
          <w:rStyle w:val="FootnoteReference"/>
        </w:rPr>
        <w:footnoteRef/>
      </w:r>
      <w:r>
        <w:t xml:space="preserve"> </w:t>
      </w:r>
      <w:r>
        <w:t xml:space="preserve">Kinoshita 2013, PMID 23079545.</w:t>
      </w:r>
    </w:p>
  </w:footnote>
  <w:footnote w:id="1371">
    <w:p>
      <w:pPr>
        <w:pStyle w:val="FootnoteText"/>
      </w:pPr>
      <w:r>
        <w:rPr>
          <w:rStyle w:val="FootnoteReference"/>
        </w:rPr>
        <w:footnoteRef/>
      </w:r>
      <w:r>
        <w:t xml:space="preserve"> </w:t>
      </w:r>
      <w:r>
        <w:t xml:space="preserve">Arimura 2016, PMID 27020037.</w:t>
      </w:r>
    </w:p>
  </w:footnote>
  <w:footnote w:id="1372">
    <w:p>
      <w:pPr>
        <w:pStyle w:val="FootnoteText"/>
      </w:pPr>
      <w:r>
        <w:rPr>
          <w:rStyle w:val="FootnoteReference"/>
        </w:rPr>
        <w:footnoteRef/>
      </w:r>
      <w:r>
        <w:t xml:space="preserve"> </w:t>
      </w:r>
      <w:r>
        <w:t xml:space="preserve">Hayakawa 2018, PMID 30324179.</w:t>
      </w:r>
    </w:p>
  </w:footnote>
  <w:footnote w:id="1374">
    <w:p>
      <w:pPr>
        <w:pStyle w:val="FootnoteText"/>
      </w:pPr>
      <w:r>
        <w:rPr>
          <w:rStyle w:val="FootnoteReference"/>
        </w:rPr>
        <w:footnoteRef/>
      </w:r>
      <w:r>
        <w:t xml:space="preserve"> </w:t>
      </w:r>
      <w:r>
        <w:t xml:space="preserve">Mericq 1998, PMID 9661608.</w:t>
      </w:r>
    </w:p>
  </w:footnote>
  <w:footnote w:id="1375">
    <w:p>
      <w:pPr>
        <w:pStyle w:val="FootnoteText"/>
      </w:pPr>
      <w:r>
        <w:rPr>
          <w:rStyle w:val="FootnoteReference"/>
        </w:rPr>
        <w:footnoteRef/>
      </w:r>
      <w:r>
        <w:t xml:space="preserve"> </w:t>
      </w:r>
      <w:r>
        <w:t xml:space="preserve">Pihoker 1997, PMID 9390009.</w:t>
      </w:r>
    </w:p>
  </w:footnote>
  <w:footnote w:id="1376">
    <w:p>
      <w:pPr>
        <w:pStyle w:val="FootnoteText"/>
      </w:pPr>
      <w:r>
        <w:rPr>
          <w:rStyle w:val="FootnoteReference"/>
        </w:rPr>
        <w:footnoteRef/>
      </w:r>
      <w:r>
        <w:t xml:space="preserve"> </w:t>
      </w:r>
      <w:r>
        <w:t xml:space="preserve">Mericq 2003, PMID 14513874.</w:t>
      </w:r>
    </w:p>
  </w:footnote>
  <w:footnote w:id="1377">
    <w:p>
      <w:pPr>
        <w:pStyle w:val="FootnoteText"/>
      </w:pPr>
      <w:r>
        <w:rPr>
          <w:rStyle w:val="FootnoteReference"/>
        </w:rPr>
        <w:footnoteRef/>
      </w:r>
      <w:r>
        <w:t xml:space="preserve"> </w:t>
      </w:r>
      <w:r>
        <w:t xml:space="preserve">anonymous drug profile in Drugs R D 2004, PMID 15230633.</w:t>
      </w:r>
    </w:p>
  </w:footnote>
  <w:footnote w:id="1379">
    <w:p>
      <w:pPr>
        <w:pStyle w:val="FootnoteText"/>
      </w:pPr>
      <w:r>
        <w:rPr>
          <w:rStyle w:val="FootnoteReference"/>
        </w:rPr>
        <w:footnoteRef/>
      </w:r>
      <w:r>
        <w:t xml:space="preserve"> </w:t>
      </w:r>
      <w:r>
        <w:t xml:space="preserve">Laferrère 2006, PMID 16861611.</w:t>
      </w:r>
    </w:p>
  </w:footnote>
  <w:footnote w:id="1380">
    <w:p>
      <w:pPr>
        <w:pStyle w:val="FootnoteText"/>
      </w:pPr>
      <w:r>
        <w:rPr>
          <w:rStyle w:val="FootnoteReference"/>
        </w:rPr>
        <w:footnoteRef/>
      </w:r>
      <w:r>
        <w:t xml:space="preserve"> </w:t>
      </w:r>
      <w:r>
        <w:t xml:space="preserve">Van den Berghe 1999, PMID 10199772.</w:t>
      </w:r>
    </w:p>
  </w:footnote>
  <w:footnote w:id="1383">
    <w:p>
      <w:pPr>
        <w:pStyle w:val="FootnoteText"/>
      </w:pPr>
      <w:r>
        <w:rPr>
          <w:rStyle w:val="FootnoteReference"/>
        </w:rPr>
        <w:footnoteRef/>
      </w:r>
      <w:r>
        <w:t xml:space="preserve"> </w:t>
      </w:r>
      <w:r>
        <w:t xml:space="preserve">Doi 2004, PMID 15646370.</w:t>
      </w:r>
    </w:p>
  </w:footnote>
  <w:footnote w:id="1384">
    <w:p>
      <w:pPr>
        <w:pStyle w:val="FootnoteText"/>
      </w:pPr>
      <w:r>
        <w:rPr>
          <w:rStyle w:val="FootnoteReference"/>
        </w:rPr>
        <w:footnoteRef/>
      </w:r>
      <w:r>
        <w:t xml:space="preserve"> </w:t>
      </w:r>
      <w:r>
        <w:t xml:space="preserve">Raun 1998, PMID 9849822.</w:t>
      </w:r>
    </w:p>
  </w:footnote>
  <w:footnote w:id="1386">
    <w:p>
      <w:pPr>
        <w:pStyle w:val="FootnoteText"/>
      </w:pPr>
      <w:r>
        <w:rPr>
          <w:rStyle w:val="FootnoteReference"/>
        </w:rPr>
        <w:footnoteRef/>
      </w:r>
      <w:r>
        <w:t xml:space="preserve"> </w:t>
      </w:r>
      <w:r>
        <w:t xml:space="preserve">Mericq 2003, PMID 14513874; Laferrère 2006, PMID 16861611.</w:t>
      </w:r>
    </w:p>
  </w:footnote>
  <w:footnote w:id="1387">
    <w:p>
      <w:pPr>
        <w:pStyle w:val="FootnoteText"/>
      </w:pPr>
      <w:r>
        <w:rPr>
          <w:rStyle w:val="FootnoteReference"/>
        </w:rPr>
        <w:footnoteRef/>
      </w:r>
      <w:r>
        <w:t xml:space="preserve"> </w:t>
      </w:r>
      <w:r>
        <w:t xml:space="preserve">Arimura 2016, PMID 27020037.</w:t>
      </w:r>
    </w:p>
  </w:footnote>
  <w:footnote w:id="1388">
    <w:p>
      <w:pPr>
        <w:pStyle w:val="FootnoteText"/>
      </w:pPr>
      <w:r>
        <w:rPr>
          <w:rStyle w:val="FootnoteReference"/>
        </w:rPr>
        <w:footnoteRef/>
      </w:r>
      <w:r>
        <w:t xml:space="preserve"> </w:t>
      </w:r>
      <w:r>
        <w:t xml:space="preserve">Sigalos 2018, PMID 28400207.</w:t>
      </w:r>
    </w:p>
  </w:footnote>
  <w:footnote w:id="1389">
    <w:p>
      <w:pPr>
        <w:pStyle w:val="FootnoteText"/>
      </w:pPr>
      <w:r>
        <w:rPr>
          <w:rStyle w:val="FootnoteReference"/>
        </w:rPr>
        <w:footnoteRef/>
      </w:r>
      <w:r>
        <w:t xml:space="preserve"> </w:t>
      </w:r>
      <w:r>
        <w:t xml:space="preserve">Krug 2018, PMID 29864719; Gajda 2019, PMID 30136411.</w:t>
      </w:r>
    </w:p>
  </w:footnote>
  <w:footnote w:id="1391">
    <w:p>
      <w:pPr>
        <w:pStyle w:val="FootnoteText"/>
      </w:pPr>
      <w:r>
        <w:rPr>
          <w:rStyle w:val="FootnoteReference"/>
        </w:rPr>
        <w:footnoteRef/>
      </w:r>
      <w:r>
        <w:t xml:space="preserve"> </w:t>
      </w:r>
      <w:r>
        <w:t xml:space="preserve">Semenistaya 2015, PMID 25869809.</w:t>
      </w:r>
    </w:p>
  </w:footnote>
  <w:footnote w:id="1396">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Bowers 1984, PMID 6714155.</w:t>
      </w:r>
    </w:p>
  </w:footnote>
  <w:footnote w:id="1399">
    <w:p>
      <w:pPr>
        <w:pStyle w:val="FootnoteText"/>
      </w:pPr>
      <w:r>
        <w:rPr>
          <w:rStyle w:val="FootnoteReference"/>
        </w:rPr>
        <w:footnoteRef/>
      </w:r>
      <w:r>
        <w:t xml:space="preserve"> </w:t>
      </w:r>
      <w:r>
        <w:t xml:space="preserve">Kojima 1999, PMID 10604470.</w:t>
      </w:r>
    </w:p>
  </w:footnote>
  <w:footnote w:id="1401">
    <w:p>
      <w:pPr>
        <w:pStyle w:val="FootnoteText"/>
      </w:pPr>
      <w:r>
        <w:rPr>
          <w:rStyle w:val="FootnoteReference"/>
        </w:rPr>
        <w:footnoteRef/>
      </w:r>
      <w:r>
        <w:t xml:space="preserve"> </w:t>
      </w:r>
      <w:r>
        <w:t xml:space="preserve">Popovic 2000, PMID 11030292.</w:t>
      </w:r>
    </w:p>
  </w:footnote>
  <w:footnote w:id="1402">
    <w:p>
      <w:pPr>
        <w:pStyle w:val="FootnoteText"/>
      </w:pPr>
      <w:r>
        <w:rPr>
          <w:rStyle w:val="FootnoteReference"/>
        </w:rPr>
        <w:footnoteRef/>
      </w:r>
      <w:r>
        <w:t xml:space="preserve"> </w:t>
      </w:r>
      <w:r>
        <w:t xml:space="preserve">Petersenn 2002, PMID 11980622.</w:t>
      </w:r>
    </w:p>
  </w:footnote>
  <w:footnote w:id="1403">
    <w:p>
      <w:pPr>
        <w:pStyle w:val="FootnoteText"/>
      </w:pPr>
      <w:r>
        <w:rPr>
          <w:rStyle w:val="FootnoteReference"/>
        </w:rPr>
        <w:footnoteRef/>
      </w:r>
      <w:r>
        <w:t xml:space="preserve"> </w:t>
      </w:r>
      <w:r>
        <w:t xml:space="preserve">Leal-Cerro 1995, PMID 7788011.</w:t>
      </w:r>
    </w:p>
  </w:footnote>
  <w:footnote w:id="1404">
    <w:p>
      <w:pPr>
        <w:pStyle w:val="FootnoteText"/>
      </w:pPr>
      <w:r>
        <w:rPr>
          <w:rStyle w:val="FootnoteReference"/>
        </w:rPr>
        <w:footnoteRef/>
      </w:r>
      <w:r>
        <w:t xml:space="preserve"> </w:t>
      </w:r>
      <w:r>
        <w:t xml:space="preserve">Alaioubi 2010, PMID 19946832.</w:t>
      </w:r>
    </w:p>
  </w:footnote>
  <w:footnote w:id="1406">
    <w:p>
      <w:pPr>
        <w:pStyle w:val="FootnoteText"/>
      </w:pPr>
      <w:r>
        <w:rPr>
          <w:rStyle w:val="FootnoteReference"/>
        </w:rPr>
        <w:footnoteRef/>
      </w:r>
      <w:r>
        <w:t xml:space="preserve"> </w:t>
      </w:r>
      <w:r>
        <w:t xml:space="preserve">Cabrales 2013, PMID 23099431.</w:t>
      </w:r>
    </w:p>
  </w:footnote>
  <w:footnote w:id="1407">
    <w:p>
      <w:pPr>
        <w:pStyle w:val="FootnoteText"/>
      </w:pPr>
      <w:r>
        <w:rPr>
          <w:rStyle w:val="FootnoteReference"/>
        </w:rPr>
        <w:footnoteRef/>
      </w:r>
      <w:r>
        <w:t xml:space="preserve"> </w:t>
      </w:r>
      <w:r>
        <w:t xml:space="preserve">Frieboes 1995, PMID 7617137.</w:t>
      </w:r>
    </w:p>
  </w:footnote>
  <w:footnote w:id="1408">
    <w:p>
      <w:pPr>
        <w:pStyle w:val="FootnoteText"/>
      </w:pPr>
      <w:r>
        <w:rPr>
          <w:rStyle w:val="FootnoteReference"/>
        </w:rPr>
        <w:footnoteRef/>
      </w:r>
      <w:r>
        <w:t xml:space="preserve"> </w:t>
      </w:r>
      <w:r>
        <w:t xml:space="preserve">Micic 1995, PMID 7734029.</w:t>
      </w:r>
    </w:p>
  </w:footnote>
  <w:footnote w:id="1409">
    <w:p>
      <w:pPr>
        <w:pStyle w:val="FootnoteText"/>
      </w:pPr>
      <w:r>
        <w:rPr>
          <w:rStyle w:val="FootnoteReference"/>
        </w:rPr>
        <w:footnoteRef/>
      </w:r>
      <w:r>
        <w:t xml:space="preserve"> </w:t>
      </w:r>
      <w:r>
        <w:t xml:space="preserve">Bellone 1995, PMID 7581965.</w:t>
      </w:r>
    </w:p>
  </w:footnote>
  <w:footnote w:id="1412">
    <w:p>
      <w:pPr>
        <w:pStyle w:val="FootnoteText"/>
      </w:pPr>
      <w:r>
        <w:rPr>
          <w:rStyle w:val="FootnoteReference"/>
        </w:rPr>
        <w:footnoteRef/>
      </w:r>
      <w:r>
        <w:t xml:space="preserve"> </w:t>
      </w:r>
      <w:r>
        <w:t xml:space="preserve">Berlanga-Acosta 2024, PMID 38873418.</w:t>
      </w:r>
    </w:p>
  </w:footnote>
  <w:footnote w:id="1413">
    <w:p>
      <w:pPr>
        <w:pStyle w:val="FootnoteText"/>
      </w:pPr>
      <w:r>
        <w:rPr>
          <w:rStyle w:val="FootnoteReference"/>
        </w:rPr>
        <w:footnoteRef/>
      </w:r>
      <w:r>
        <w:t xml:space="preserve"> </w:t>
      </w:r>
      <w:r>
        <w:t xml:space="preserve">Cibrián 2006, PMID 16417467.</w:t>
      </w:r>
    </w:p>
  </w:footnote>
  <w:footnote w:id="1414">
    <w:p>
      <w:pPr>
        <w:pStyle w:val="FootnoteText"/>
      </w:pPr>
      <w:r>
        <w:rPr>
          <w:rStyle w:val="FootnoteReference"/>
        </w:rPr>
        <w:footnoteRef/>
      </w:r>
      <w:r>
        <w:t xml:space="preserve"> </w:t>
      </w:r>
      <w:r>
        <w:t xml:space="preserve">del Barco 2011, PMID 21697595.</w:t>
      </w:r>
    </w:p>
  </w:footnote>
  <w:footnote w:id="1416">
    <w:p>
      <w:pPr>
        <w:pStyle w:val="FootnoteText"/>
      </w:pPr>
      <w:r>
        <w:rPr>
          <w:rStyle w:val="FootnoteReference"/>
        </w:rPr>
        <w:footnoteRef/>
      </w:r>
      <w:r>
        <w:t xml:space="preserve"> </w:t>
      </w:r>
      <w:r>
        <w:t xml:space="preserve">Petersenn 2002, PMID 11980622.</w:t>
      </w:r>
    </w:p>
  </w:footnote>
  <w:footnote w:id="1417">
    <w:p>
      <w:pPr>
        <w:pStyle w:val="FootnoteText"/>
      </w:pPr>
      <w:r>
        <w:rPr>
          <w:rStyle w:val="FootnoteReference"/>
        </w:rPr>
        <w:footnoteRef/>
      </w:r>
      <w:r>
        <w:t xml:space="preserve"> </w:t>
      </w:r>
      <w:r>
        <w:t xml:space="preserve">Frieboes 1995, PMID 7617137.</w:t>
      </w:r>
    </w:p>
  </w:footnote>
  <w:footnote w:id="1418">
    <w:p>
      <w:pPr>
        <w:pStyle w:val="FootnoteText"/>
      </w:pPr>
      <w:r>
        <w:rPr>
          <w:rStyle w:val="FootnoteReference"/>
        </w:rPr>
        <w:footnoteRef/>
      </w:r>
      <w:r>
        <w:t xml:space="preserve"> </w:t>
      </w:r>
      <w:r>
        <w:t xml:space="preserve">Perez 2026, PMID 42465868.</w:t>
      </w:r>
    </w:p>
  </w:footnote>
  <w:footnote w:id="1419">
    <w:p>
      <w:pPr>
        <w:pStyle w:val="FootnoteText"/>
      </w:pPr>
      <w:r>
        <w:rPr>
          <w:rStyle w:val="FootnoteReference"/>
        </w:rPr>
        <w:footnoteRef/>
      </w:r>
      <w:r>
        <w:t xml:space="preserve"> </w:t>
      </w:r>
      <w:r>
        <w:t xml:space="preserve">Krug 2018, PMID 29864719.</w:t>
      </w:r>
    </w:p>
  </w:footnote>
  <w:footnote w:id="1421">
    <w:p>
      <w:pPr>
        <w:pStyle w:val="FootnoteText"/>
      </w:pPr>
      <w:r>
        <w:rPr>
          <w:rStyle w:val="FootnoteReference"/>
        </w:rPr>
        <w:footnoteRef/>
      </w:r>
      <w:r>
        <w:t xml:space="preserve"> </w:t>
      </w:r>
      <w:r>
        <w:t xml:space="preserve">Semenistaya 2015, PMID 25869809.</w:t>
      </w:r>
    </w:p>
  </w:footnote>
  <w:footnote w:id="1426">
    <w:p>
      <w:pPr>
        <w:pStyle w:val="FootnoteText"/>
      </w:pPr>
      <w:r>
        <w:rPr>
          <w:rStyle w:val="FootnoteReference"/>
        </w:rPr>
        <w:footnoteRef/>
      </w:r>
      <w:r>
        <w:t xml:space="preserve"> </w:t>
      </w:r>
      <w:r>
        <w:t xml:space="preserve">Imbimbo 1994, PMID 7957536.</w:t>
      </w:r>
    </w:p>
  </w:footnote>
  <w:footnote w:id="1427">
    <w:p>
      <w:pPr>
        <w:pStyle w:val="FootnoteText"/>
      </w:pPr>
      <w:r>
        <w:rPr>
          <w:rStyle w:val="FootnoteReference"/>
        </w:rPr>
        <w:footnoteRef/>
      </w:r>
      <w:r>
        <w:t xml:space="preserve"> </w:t>
      </w:r>
      <w:r>
        <w:t xml:space="preserve">Mao 2014, PMID 25278975.</w:t>
      </w:r>
    </w:p>
  </w:footnote>
  <w:footnote w:id="1429">
    <w:p>
      <w:pPr>
        <w:pStyle w:val="FootnoteText"/>
      </w:pPr>
      <w:r>
        <w:rPr>
          <w:rStyle w:val="FootnoteReference"/>
        </w:rPr>
        <w:footnoteRef/>
      </w:r>
      <w:r>
        <w:t xml:space="preserve"> </w:t>
      </w:r>
      <w:r>
        <w:t xml:space="preserve">Loche 1995, PMID 7673411.</w:t>
      </w:r>
    </w:p>
  </w:footnote>
  <w:footnote w:id="1431">
    <w:p>
      <w:pPr>
        <w:pStyle w:val="FootnoteText"/>
      </w:pPr>
      <w:r>
        <w:rPr>
          <w:rStyle w:val="FootnoteReference"/>
        </w:rPr>
        <w:footnoteRef/>
      </w:r>
      <w:r>
        <w:t xml:space="preserve"> </w:t>
      </w:r>
      <w:r>
        <w:t xml:space="preserve">Imbimbo 1994, PMID 7957536.</w:t>
      </w:r>
    </w:p>
  </w:footnote>
  <w:footnote w:id="1432">
    <w:p>
      <w:pPr>
        <w:pStyle w:val="FootnoteText"/>
      </w:pPr>
      <w:r>
        <w:rPr>
          <w:rStyle w:val="FootnoteReference"/>
        </w:rPr>
        <w:footnoteRef/>
      </w:r>
      <w:r>
        <w:t xml:space="preserve"> </w:t>
      </w:r>
      <w:r>
        <w:t xml:space="preserve">Massoud 1996, PMID 8954038.</w:t>
      </w:r>
    </w:p>
  </w:footnote>
  <w:footnote w:id="1433">
    <w:p>
      <w:pPr>
        <w:pStyle w:val="FootnoteText"/>
      </w:pPr>
      <w:r>
        <w:rPr>
          <w:rStyle w:val="FootnoteReference"/>
        </w:rPr>
        <w:footnoteRef/>
      </w:r>
      <w:r>
        <w:t xml:space="preserve"> </w:t>
      </w:r>
      <w:r>
        <w:t xml:space="preserve">Korbonits 1999, PMID 10404825.</w:t>
      </w:r>
    </w:p>
  </w:footnote>
  <w:footnote w:id="1435">
    <w:p>
      <w:pPr>
        <w:pStyle w:val="FootnoteText"/>
      </w:pPr>
      <w:r>
        <w:rPr>
          <w:rStyle w:val="FootnoteReference"/>
        </w:rPr>
        <w:footnoteRef/>
      </w:r>
      <w:r>
        <w:t xml:space="preserve"> </w:t>
      </w:r>
      <w:r>
        <w:t xml:space="preserve">Rahim 1998, PMID 9589671.</w:t>
      </w:r>
    </w:p>
  </w:footnote>
  <w:footnote w:id="1436">
    <w:p>
      <w:pPr>
        <w:pStyle w:val="FootnoteText"/>
      </w:pPr>
      <w:r>
        <w:rPr>
          <w:rStyle w:val="FootnoteReference"/>
        </w:rPr>
        <w:footnoteRef/>
      </w:r>
      <w:r>
        <w:t xml:space="preserve"> </w:t>
      </w:r>
      <w:r>
        <w:t xml:space="preserve">Rahim 1999, PMID 10341859.</w:t>
      </w:r>
    </w:p>
  </w:footnote>
  <w:footnote w:id="1437">
    <w:p>
      <w:pPr>
        <w:pStyle w:val="FootnoteText"/>
      </w:pPr>
      <w:r>
        <w:rPr>
          <w:rStyle w:val="FootnoteReference"/>
        </w:rPr>
        <w:footnoteRef/>
      </w:r>
      <w:r>
        <w:t xml:space="preserve"> </w:t>
      </w:r>
      <w:r>
        <w:t xml:space="preserve">Laron 1995, PMID 8548949.</w:t>
      </w:r>
    </w:p>
  </w:footnote>
  <w:footnote w:id="1438">
    <w:p>
      <w:pPr>
        <w:pStyle w:val="FootnoteText"/>
      </w:pPr>
      <w:r>
        <w:rPr>
          <w:rStyle w:val="FootnoteReference"/>
        </w:rPr>
        <w:footnoteRef/>
      </w:r>
      <w:r>
        <w:t xml:space="preserve"> </w:t>
      </w:r>
      <w:r>
        <w:t xml:space="preserve">Klinger 1996, PMID 8766941.</w:t>
      </w:r>
    </w:p>
  </w:footnote>
  <w:footnote w:id="1440">
    <w:p>
      <w:pPr>
        <w:pStyle w:val="FootnoteText"/>
      </w:pPr>
      <w:r>
        <w:rPr>
          <w:rStyle w:val="FootnoteReference"/>
        </w:rPr>
        <w:footnoteRef/>
      </w:r>
      <w:r>
        <w:t xml:space="preserve"> </w:t>
      </w:r>
      <w:r>
        <w:t xml:space="preserve">Bisi 1999, PMID 10528131.</w:t>
      </w:r>
    </w:p>
  </w:footnote>
  <w:footnote w:id="1441">
    <w:p>
      <w:pPr>
        <w:pStyle w:val="FootnoteText"/>
      </w:pPr>
      <w:r>
        <w:rPr>
          <w:rStyle w:val="FootnoteReference"/>
        </w:rPr>
        <w:footnoteRef/>
      </w:r>
      <w:r>
        <w:t xml:space="preserve"> </w:t>
      </w:r>
      <w:r>
        <w:t xml:space="preserve">Broglio 2001, PMID 11322491.</w:t>
      </w:r>
    </w:p>
  </w:footnote>
  <w:footnote w:id="1442">
    <w:p>
      <w:pPr>
        <w:pStyle w:val="FootnoteText"/>
      </w:pPr>
      <w:r>
        <w:rPr>
          <w:rStyle w:val="FootnoteReference"/>
        </w:rPr>
        <w:footnoteRef/>
      </w:r>
      <w:r>
        <w:t xml:space="preserve"> </w:t>
      </w:r>
      <w:r>
        <w:t xml:space="preserve">Broglio 2002, PMID 12144941.</w:t>
      </w:r>
    </w:p>
  </w:footnote>
  <w:footnote w:id="1445">
    <w:p>
      <w:pPr>
        <w:pStyle w:val="FootnoteText"/>
      </w:pPr>
      <w:r>
        <w:rPr>
          <w:rStyle w:val="FootnoteReference"/>
        </w:rPr>
        <w:footnoteRef/>
      </w:r>
      <w:r>
        <w:t xml:space="preserve"> </w:t>
      </w:r>
      <w:r>
        <w:t xml:space="preserve">Tivesten 2000, PMID 10614623.</w:t>
      </w:r>
    </w:p>
  </w:footnote>
  <w:footnote w:id="1446">
    <w:p>
      <w:pPr>
        <w:pStyle w:val="FootnoteText"/>
      </w:pPr>
      <w:r>
        <w:rPr>
          <w:rStyle w:val="FootnoteReference"/>
        </w:rPr>
        <w:footnoteRef/>
      </w:r>
      <w:r>
        <w:t xml:space="preserve"> </w:t>
      </w:r>
      <w:r>
        <w:t xml:space="preserve">McDonald 2018, PMID 29756411.</w:t>
      </w:r>
    </w:p>
  </w:footnote>
  <w:footnote w:id="1447">
    <w:p>
      <w:pPr>
        <w:pStyle w:val="FootnoteText"/>
      </w:pPr>
      <w:r>
        <w:rPr>
          <w:rStyle w:val="FootnoteReference"/>
        </w:rPr>
        <w:footnoteRef/>
      </w:r>
      <w:r>
        <w:t xml:space="preserve"> </w:t>
      </w:r>
      <w:r>
        <w:t xml:space="preserve">Mao 2014, PMID 25278975.</w:t>
      </w:r>
    </w:p>
  </w:footnote>
  <w:footnote w:id="1449">
    <w:p>
      <w:pPr>
        <w:pStyle w:val="FootnoteText"/>
      </w:pPr>
      <w:r>
        <w:rPr>
          <w:rStyle w:val="FootnoteReference"/>
        </w:rPr>
        <w:footnoteRef/>
      </w:r>
      <w:r>
        <w:t xml:space="preserve"> </w:t>
      </w:r>
      <w:r>
        <w:t xml:space="preserve">Massoud 1996, PMID 8954038; Korbonits 1999, PMID 10404825.</w:t>
      </w:r>
    </w:p>
  </w:footnote>
  <w:footnote w:id="1450">
    <w:p>
      <w:pPr>
        <w:pStyle w:val="FootnoteText"/>
      </w:pPr>
      <w:r>
        <w:rPr>
          <w:rStyle w:val="FootnoteReference"/>
        </w:rPr>
        <w:footnoteRef/>
      </w:r>
      <w:r>
        <w:t xml:space="preserve"> </w:t>
      </w:r>
      <w:r>
        <w:t xml:space="preserve">Korbonits 1999, PMID 10404825.</w:t>
      </w:r>
    </w:p>
  </w:footnote>
  <w:footnote w:id="1451">
    <w:p>
      <w:pPr>
        <w:pStyle w:val="FootnoteText"/>
      </w:pPr>
      <w:r>
        <w:rPr>
          <w:rStyle w:val="FootnoteReference"/>
        </w:rPr>
        <w:footnoteRef/>
      </w:r>
      <w:r>
        <w:t xml:space="preserve"> </w:t>
      </w:r>
      <w:r>
        <w:t xml:space="preserve">Rahim 1998, PMID 9589671; Klinger 1996, PMID 8766941.</w:t>
      </w:r>
    </w:p>
  </w:footnote>
  <w:footnote w:id="1452">
    <w:p>
      <w:pPr>
        <w:pStyle w:val="FootnoteText"/>
      </w:pPr>
      <w:r>
        <w:rPr>
          <w:rStyle w:val="FootnoteReference"/>
        </w:rPr>
        <w:footnoteRef/>
      </w:r>
      <w:r>
        <w:t xml:space="preserve"> </w:t>
      </w:r>
      <w:r>
        <w:t xml:space="preserve">Laron 1995, PMID 8548949.</w:t>
      </w:r>
    </w:p>
  </w:footnote>
  <w:footnote w:id="1454">
    <w:p>
      <w:pPr>
        <w:pStyle w:val="FootnoteText"/>
      </w:pPr>
      <w:r>
        <w:rPr>
          <w:rStyle w:val="FootnoteReference"/>
        </w:rPr>
        <w:footnoteRef/>
      </w:r>
      <w:r>
        <w:t xml:space="preserve"> </w:t>
      </w:r>
      <w:r>
        <w:t xml:space="preserve">Semenistaya 2015, PMID 25869809.</w:t>
      </w:r>
    </w:p>
  </w:footnote>
  <w:footnote w:id="1459">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Piccoli 2007, PMID 17284637.</w:t>
      </w:r>
    </w:p>
  </w:footnote>
  <w:footnote w:id="1463">
    <w:p>
      <w:pPr>
        <w:pStyle w:val="FootnoteText"/>
      </w:pPr>
      <w:r>
        <w:rPr>
          <w:rStyle w:val="FootnoteReference"/>
        </w:rPr>
        <w:footnoteRef/>
      </w:r>
      <w:r>
        <w:t xml:space="preserve"> </w:t>
      </w:r>
      <w:r>
        <w:t xml:space="preserve">Klaus 2020, PMID 32325373.</w:t>
      </w:r>
    </w:p>
  </w:footnote>
  <w:footnote w:id="1465">
    <w:p>
      <w:pPr>
        <w:pStyle w:val="FootnoteText"/>
      </w:pPr>
      <w:r>
        <w:rPr>
          <w:rStyle w:val="FootnoteReference"/>
        </w:rPr>
        <w:footnoteRef/>
      </w:r>
      <w:r>
        <w:t xml:space="preserve"> </w:t>
      </w:r>
      <w:r>
        <w:t xml:space="preserve">Garcia 2013, PMID 23559086.</w:t>
      </w:r>
    </w:p>
  </w:footnote>
  <w:footnote w:id="1466">
    <w:p>
      <w:pPr>
        <w:pStyle w:val="FootnoteText"/>
      </w:pPr>
      <w:r>
        <w:rPr>
          <w:rStyle w:val="FootnoteReference"/>
        </w:rPr>
        <w:footnoteRef/>
      </w:r>
      <w:r>
        <w:t xml:space="preserve"> </w:t>
      </w:r>
      <w:r>
        <w:t xml:space="preserve">Garcia 2018, PMID 29860473; NCT02558829.</w:t>
      </w:r>
    </w:p>
  </w:footnote>
  <w:footnote w:id="1467">
    <w:p>
      <w:pPr>
        <w:pStyle w:val="FootnoteText"/>
      </w:pPr>
      <w:r>
        <w:rPr>
          <w:rStyle w:val="FootnoteReference"/>
        </w:rPr>
        <w:footnoteRef/>
      </w:r>
      <w:r>
        <w:t xml:space="preserve"> </w:t>
      </w:r>
      <w:r>
        <w:t xml:space="preserve">Garcia 2021, PMID 33320108.</w:t>
      </w:r>
    </w:p>
  </w:footnote>
  <w:footnote w:id="1469">
    <w:p>
      <w:pPr>
        <w:pStyle w:val="FootnoteText"/>
      </w:pPr>
      <w:r>
        <w:rPr>
          <w:rStyle w:val="FootnoteReference"/>
        </w:rPr>
        <w:footnoteRef/>
      </w:r>
      <w:r>
        <w:t xml:space="preserve"> </w:t>
      </w:r>
      <w:r>
        <w:t xml:space="preserve">Yadav 2026, PMID 41793495.</w:t>
      </w:r>
    </w:p>
  </w:footnote>
  <w:footnote w:id="1471">
    <w:p>
      <w:pPr>
        <w:pStyle w:val="FootnoteText"/>
      </w:pPr>
      <w:r>
        <w:rPr>
          <w:rStyle w:val="FootnoteReference"/>
        </w:rPr>
        <w:footnoteRef/>
      </w:r>
      <w:r>
        <w:t xml:space="preserve"> </w:t>
      </w:r>
      <w:r>
        <w:t xml:space="preserve">Csákváry 2021, PMID 34438400.</w:t>
      </w:r>
    </w:p>
  </w:footnote>
  <w:footnote w:id="1472">
    <w:p>
      <w:pPr>
        <w:pStyle w:val="FootnoteText"/>
      </w:pPr>
      <w:r>
        <w:rPr>
          <w:rStyle w:val="FootnoteReference"/>
        </w:rPr>
        <w:footnoteRef/>
      </w:r>
      <w:r>
        <w:t xml:space="preserve"> </w:t>
      </w:r>
      <w:r>
        <w:t xml:space="preserve">NCT04786873.</w:t>
      </w:r>
    </w:p>
  </w:footnote>
  <w:footnote w:id="1473">
    <w:p>
      <w:pPr>
        <w:pStyle w:val="FootnoteText"/>
      </w:pPr>
      <w:r>
        <w:rPr>
          <w:rStyle w:val="FootnoteReference"/>
        </w:rPr>
        <w:footnoteRef/>
      </w:r>
      <w:r>
        <w:t xml:space="preserve"> </w:t>
      </w:r>
      <w:r>
        <w:t xml:space="preserve">Herodes 2023, PMID 36860137.</w:t>
      </w:r>
    </w:p>
  </w:footnote>
  <w:footnote w:id="1476">
    <w:p>
      <w:pPr>
        <w:pStyle w:val="FootnoteText"/>
      </w:pPr>
      <w:r>
        <w:rPr>
          <w:rStyle w:val="FootnoteReference"/>
        </w:rPr>
        <w:footnoteRef/>
      </w:r>
      <w:r>
        <w:t xml:space="preserve"> </w:t>
      </w:r>
      <w:r>
        <w:t xml:space="preserve">Buckinx 2021, PMID 34157194.</w:t>
      </w:r>
    </w:p>
  </w:footnote>
  <w:footnote w:id="1477">
    <w:p>
      <w:pPr>
        <w:pStyle w:val="FootnoteText"/>
      </w:pPr>
      <w:r>
        <w:rPr>
          <w:rStyle w:val="FootnoteReference"/>
        </w:rPr>
        <w:footnoteRef/>
      </w:r>
      <w:r>
        <w:t xml:space="preserve"> </w:t>
      </w:r>
      <w:r>
        <w:t xml:space="preserve">Wang 2025, PMID 40542284.</w:t>
      </w:r>
    </w:p>
  </w:footnote>
  <w:footnote w:id="1479">
    <w:p>
      <w:pPr>
        <w:pStyle w:val="FootnoteText"/>
      </w:pPr>
      <w:r>
        <w:rPr>
          <w:rStyle w:val="FootnoteReference"/>
        </w:rPr>
        <w:footnoteRef/>
      </w:r>
      <w:r>
        <w:t xml:space="preserve"> </w:t>
      </w:r>
      <w:r>
        <w:t xml:space="preserve">Garcia 2018, PMID 29860473.</w:t>
      </w:r>
    </w:p>
  </w:footnote>
  <w:footnote w:id="1480">
    <w:p>
      <w:pPr>
        <w:pStyle w:val="FootnoteText"/>
      </w:pPr>
      <w:r>
        <w:rPr>
          <w:rStyle w:val="FootnoteReference"/>
        </w:rPr>
        <w:footnoteRef/>
      </w:r>
      <w:r>
        <w:t xml:space="preserve"> </w:t>
      </w:r>
      <w:r>
        <w:t xml:space="preserve">Klaus 2020, PMID 32325373.</w:t>
      </w:r>
    </w:p>
  </w:footnote>
  <w:footnote w:id="1481">
    <w:p>
      <w:pPr>
        <w:pStyle w:val="FootnoteText"/>
      </w:pPr>
      <w:r>
        <w:rPr>
          <w:rStyle w:val="FootnoteReference"/>
        </w:rPr>
        <w:footnoteRef/>
      </w:r>
      <w:r>
        <w:t xml:space="preserve"> </w:t>
      </w:r>
      <w:r>
        <w:t xml:space="preserve">Lissy 2021, PMID 32961034.</w:t>
      </w:r>
    </w:p>
  </w:footnote>
  <w:footnote w:id="1482">
    <w:p>
      <w:pPr>
        <w:pStyle w:val="FootnoteText"/>
      </w:pPr>
      <w:r>
        <w:rPr>
          <w:rStyle w:val="FootnoteReference"/>
        </w:rPr>
        <w:footnoteRef/>
      </w:r>
      <w:r>
        <w:t xml:space="preserve"> </w:t>
      </w:r>
      <w:r>
        <w:t xml:space="preserve">Yadav 2026, PMID 41793495.</w:t>
      </w:r>
    </w:p>
  </w:footnote>
  <w:footnote w:id="1484">
    <w:p>
      <w:pPr>
        <w:pStyle w:val="FootnoteText"/>
      </w:pPr>
      <w:r>
        <w:rPr>
          <w:rStyle w:val="FootnoteReference"/>
        </w:rPr>
        <w:footnoteRef/>
      </w:r>
      <w:r>
        <w:t xml:space="preserve"> </w:t>
      </w:r>
      <w:r>
        <w:t xml:space="preserve">Lange 2021, PMID 33458843.</w:t>
      </w:r>
    </w:p>
  </w:footnote>
  <w:footnote w:id="1486">
    <w:p>
      <w:pPr>
        <w:pStyle w:val="FootnoteText"/>
      </w:pPr>
      <w:r>
        <w:rPr>
          <w:rStyle w:val="FootnoteReference"/>
        </w:rPr>
        <w:footnoteRef/>
      </w:r>
      <w:r>
        <w:t xml:space="preserve"> </w:t>
      </w:r>
      <w:r>
        <w:t xml:space="preserve">NCT04786873.</w:t>
      </w:r>
    </w:p>
  </w:footnote>
  <w:footnote w:id="1487">
    <w:p>
      <w:pPr>
        <w:pStyle w:val="FootnoteText"/>
      </w:pPr>
      <w:r>
        <w:rPr>
          <w:rStyle w:val="FootnoteReference"/>
        </w:rPr>
        <w:footnoteRef/>
      </w:r>
      <w:r>
        <w:t xml:space="preserve"> </w:t>
      </w:r>
      <w:r>
        <w:t xml:space="preserve">NCT03844217.</w:t>
      </w:r>
    </w:p>
  </w:footnote>
  <w:footnote w:id="1492">
    <w:p>
      <w:pPr>
        <w:pStyle w:val="FootnoteText"/>
      </w:pPr>
      <w:r>
        <w:rPr>
          <w:rStyle w:val="FootnoteReference"/>
        </w:rPr>
        <w:footnoteRef/>
      </w:r>
      <w:r>
        <w:t xml:space="preserve"> </w:t>
      </w:r>
      <w:r>
        <w:t xml:space="preserve">Saavedra 2026, PMID 42341624.</w:t>
      </w:r>
    </w:p>
  </w:footnote>
  <w:footnote w:id="1494">
    <w:p>
      <w:pPr>
        <w:pStyle w:val="FootnoteText"/>
      </w:pPr>
      <w:r>
        <w:rPr>
          <w:rStyle w:val="FootnoteReference"/>
        </w:rPr>
        <w:footnoteRef/>
      </w:r>
      <w:r>
        <w:t xml:space="preserve"> </w:t>
      </w:r>
      <w:r>
        <w:t xml:space="preserve">Chernausek 2007, PMID 17192294.</w:t>
      </w:r>
    </w:p>
  </w:footnote>
  <w:footnote w:id="1495">
    <w:p>
      <w:pPr>
        <w:pStyle w:val="FootnoteText"/>
      </w:pPr>
      <w:r>
        <w:rPr>
          <w:rStyle w:val="FootnoteReference"/>
        </w:rPr>
        <w:footnoteRef/>
      </w:r>
      <w:r>
        <w:t xml:space="preserve"> </w:t>
      </w:r>
      <w:r>
        <w:t xml:space="preserve">NCT00903110.</w:t>
      </w:r>
    </w:p>
  </w:footnote>
  <w:footnote w:id="1496">
    <w:p>
      <w:pPr>
        <w:pStyle w:val="FootnoteText"/>
      </w:pPr>
      <w:r>
        <w:rPr>
          <w:rStyle w:val="FootnoteReference"/>
        </w:rPr>
        <w:footnoteRef/>
      </w:r>
      <w:r>
        <w:t xml:space="preserve"> </w:t>
      </w:r>
      <w:r>
        <w:t xml:space="preserve">Bang 2021, PMID 33434161.</w:t>
      </w:r>
    </w:p>
  </w:footnote>
  <w:footnote w:id="1497">
    <w:p>
      <w:pPr>
        <w:pStyle w:val="FootnoteText"/>
      </w:pPr>
      <w:r>
        <w:rPr>
          <w:rStyle w:val="FootnoteReference"/>
        </w:rPr>
        <w:footnoteRef/>
      </w:r>
      <w:r>
        <w:t xml:space="preserve"> </w:t>
      </w:r>
      <w:r>
        <w:t xml:space="preserve">Ramon-Krauel 2026, PMID 40626687.</w:t>
      </w:r>
    </w:p>
  </w:footnote>
  <w:footnote w:id="1498">
    <w:p>
      <w:pPr>
        <w:pStyle w:val="FootnoteText"/>
      </w:pPr>
      <w:r>
        <w:rPr>
          <w:rStyle w:val="FootnoteReference"/>
        </w:rPr>
        <w:footnoteRef/>
      </w:r>
      <w:r>
        <w:t xml:space="preserve"> </w:t>
      </w:r>
      <w:r>
        <w:t xml:space="preserve">Bang 2023, PMID 37579214.</w:t>
      </w:r>
    </w:p>
  </w:footnote>
  <w:footnote w:id="1500">
    <w:p>
      <w:pPr>
        <w:pStyle w:val="FootnoteText"/>
      </w:pPr>
      <w:r>
        <w:rPr>
          <w:rStyle w:val="FootnoteReference"/>
        </w:rPr>
        <w:footnoteRef/>
      </w:r>
      <w:r>
        <w:t xml:space="preserve"> </w:t>
      </w:r>
      <w:r>
        <w:t xml:space="preserve">Sorenson 2008, PMID 19029516.</w:t>
      </w:r>
    </w:p>
  </w:footnote>
  <w:footnote w:id="1501">
    <w:p>
      <w:pPr>
        <w:pStyle w:val="FootnoteText"/>
      </w:pPr>
      <w:r>
        <w:rPr>
          <w:rStyle w:val="FootnoteReference"/>
        </w:rPr>
        <w:footnoteRef/>
      </w:r>
      <w:r>
        <w:t xml:space="preserve"> </w:t>
      </w:r>
      <w:r>
        <w:t xml:space="preserve">Rutter 2020, PMID 32108355.</w:t>
      </w:r>
    </w:p>
  </w:footnote>
  <w:footnote w:id="1502">
    <w:p>
      <w:pPr>
        <w:pStyle w:val="FootnoteText"/>
      </w:pPr>
      <w:r>
        <w:rPr>
          <w:rStyle w:val="FootnoteReference"/>
        </w:rPr>
        <w:footnoteRef/>
      </w:r>
      <w:r>
        <w:t xml:space="preserve"> </w:t>
      </w:r>
      <w:r>
        <w:t xml:space="preserve">Ribeiro 2025, PMID 41174329.</w:t>
      </w:r>
    </w:p>
  </w:footnote>
  <w:footnote w:id="1503">
    <w:p>
      <w:pPr>
        <w:pStyle w:val="FootnoteText"/>
      </w:pPr>
      <w:r>
        <w:rPr>
          <w:rStyle w:val="FootnoteReference"/>
        </w:rPr>
        <w:footnoteRef/>
      </w:r>
      <w:r>
        <w:t xml:space="preserve"> </w:t>
      </w:r>
      <w:r>
        <w:t xml:space="preserve">Ley 2019, PMID 30471715.</w:t>
      </w:r>
    </w:p>
  </w:footnote>
  <w:footnote w:id="1504">
    <w:p>
      <w:pPr>
        <w:pStyle w:val="FootnoteText"/>
      </w:pPr>
      <w:r>
        <w:rPr>
          <w:rStyle w:val="FootnoteReference"/>
        </w:rPr>
        <w:footnoteRef/>
      </w:r>
      <w:r>
        <w:t xml:space="preserve"> </w:t>
      </w:r>
      <w:r>
        <w:t xml:space="preserve">NCT03253263.</w:t>
      </w:r>
    </w:p>
  </w:footnote>
  <w:footnote w:id="1505">
    <w:p>
      <w:pPr>
        <w:pStyle w:val="FootnoteText"/>
      </w:pPr>
      <w:r>
        <w:rPr>
          <w:rStyle w:val="FootnoteReference"/>
        </w:rPr>
        <w:footnoteRef/>
      </w:r>
      <w:r>
        <w:t xml:space="preserve"> </w:t>
      </w:r>
      <w:r>
        <w:t xml:space="preserve">Haines 2021, PMID 34355814.</w:t>
      </w:r>
    </w:p>
  </w:footnote>
  <w:footnote w:id="1506">
    <w:p>
      <w:pPr>
        <w:pStyle w:val="FootnoteText"/>
      </w:pPr>
      <w:r>
        <w:rPr>
          <w:rStyle w:val="FootnoteReference"/>
        </w:rPr>
        <w:footnoteRef/>
      </w:r>
      <w:r>
        <w:t xml:space="preserve"> </w:t>
      </w:r>
      <w:r>
        <w:t xml:space="preserve">Mauras 2000, PMID 10999782.</w:t>
      </w:r>
    </w:p>
  </w:footnote>
  <w:footnote w:id="1507">
    <w:p>
      <w:pPr>
        <w:pStyle w:val="FootnoteText"/>
      </w:pPr>
      <w:r>
        <w:rPr>
          <w:rStyle w:val="FootnoteReference"/>
        </w:rPr>
        <w:footnoteRef/>
      </w:r>
      <w:r>
        <w:t xml:space="preserve"> </w:t>
      </w:r>
      <w:r>
        <w:t xml:space="preserve">Guha 2021, PMID 33249593.</w:t>
      </w:r>
    </w:p>
  </w:footnote>
  <w:footnote w:id="1510">
    <w:p>
      <w:pPr>
        <w:pStyle w:val="FootnoteText"/>
      </w:pPr>
      <w:r>
        <w:rPr>
          <w:rStyle w:val="FootnoteReference"/>
        </w:rPr>
        <w:footnoteRef/>
      </w:r>
      <w:r>
        <w:t xml:space="preserve"> </w:t>
      </w:r>
      <w:r>
        <w:t xml:space="preserve">Guevara-Aguirre 2011, PMID 21325617.</w:t>
      </w:r>
    </w:p>
  </w:footnote>
  <w:footnote w:id="1511">
    <w:p>
      <w:pPr>
        <w:pStyle w:val="FootnoteText"/>
      </w:pPr>
      <w:r>
        <w:rPr>
          <w:rStyle w:val="FootnoteReference"/>
        </w:rPr>
        <w:footnoteRef/>
      </w:r>
      <w:r>
        <w:t xml:space="preserve"> </w:t>
      </w:r>
      <w:r>
        <w:t xml:space="preserve">Guevara-Aguirre 2015, PMID 25316432.</w:t>
      </w:r>
    </w:p>
  </w:footnote>
  <w:footnote w:id="1513">
    <w:p>
      <w:pPr>
        <w:pStyle w:val="FootnoteText"/>
      </w:pPr>
      <w:r>
        <w:rPr>
          <w:rStyle w:val="FootnoteReference"/>
        </w:rPr>
        <w:footnoteRef/>
      </w:r>
      <w:r>
        <w:t xml:space="preserve"> </w:t>
      </w:r>
      <w:r>
        <w:t xml:space="preserve">Chernausek 2007, PMID 17192294; Bang 2023, PMID 37579214.</w:t>
      </w:r>
    </w:p>
  </w:footnote>
  <w:footnote w:id="1514">
    <w:p>
      <w:pPr>
        <w:pStyle w:val="FootnoteText"/>
      </w:pPr>
      <w:r>
        <w:rPr>
          <w:rStyle w:val="FootnoteReference"/>
        </w:rPr>
        <w:footnoteRef/>
      </w:r>
      <w:r>
        <w:t xml:space="preserve"> </w:t>
      </w:r>
      <w:r>
        <w:t xml:space="preserve">Chernausek 2007, PMID 17192294.</w:t>
      </w:r>
    </w:p>
  </w:footnote>
  <w:footnote w:id="1515">
    <w:p>
      <w:pPr>
        <w:pStyle w:val="FootnoteText"/>
      </w:pPr>
      <w:r>
        <w:rPr>
          <w:rStyle w:val="FootnoteReference"/>
        </w:rPr>
        <w:footnoteRef/>
      </w:r>
      <w:r>
        <w:t xml:space="preserve"> </w:t>
      </w:r>
      <w:r>
        <w:t xml:space="preserve">Ley 2019, PMID 30471715.</w:t>
      </w:r>
    </w:p>
  </w:footnote>
  <w:footnote w:id="1516">
    <w:p>
      <w:pPr>
        <w:pStyle w:val="FootnoteText"/>
      </w:pPr>
      <w:r>
        <w:rPr>
          <w:rStyle w:val="FootnoteReference"/>
        </w:rPr>
        <w:footnoteRef/>
      </w:r>
      <w:r>
        <w:t xml:space="preserve"> </w:t>
      </w:r>
      <w:r>
        <w:t xml:space="preserve">Renehan 2004, PMID 15110491.</w:t>
      </w:r>
    </w:p>
  </w:footnote>
  <w:footnote w:id="1517">
    <w:p>
      <w:pPr>
        <w:pStyle w:val="FootnoteText"/>
      </w:pPr>
      <w:r>
        <w:rPr>
          <w:rStyle w:val="FootnoteReference"/>
        </w:rPr>
        <w:footnoteRef/>
      </w:r>
      <w:r>
        <w:t xml:space="preserve"> </w:t>
      </w:r>
      <w:r>
        <w:t xml:space="preserve">Murphy 2020, PMID 32169310.</w:t>
      </w:r>
    </w:p>
  </w:footnote>
  <w:footnote w:id="1518">
    <w:p>
      <w:pPr>
        <w:pStyle w:val="FootnoteText"/>
      </w:pPr>
      <w:r>
        <w:rPr>
          <w:rStyle w:val="FootnoteReference"/>
        </w:rPr>
        <w:footnoteRef/>
      </w:r>
      <w:r>
        <w:t xml:space="preserve"> </w:t>
      </w:r>
      <w:r>
        <w:t xml:space="preserve">Murphy 2020, PMID 31884074.</w:t>
      </w:r>
    </w:p>
  </w:footnote>
  <w:footnote w:id="1519">
    <w:p>
      <w:pPr>
        <w:pStyle w:val="FootnoteText"/>
      </w:pPr>
      <w:r>
        <w:rPr>
          <w:rStyle w:val="FootnoteReference"/>
        </w:rPr>
        <w:footnoteRef/>
      </w:r>
      <w:r>
        <w:t xml:space="preserve"> </w:t>
      </w:r>
      <w:r>
        <w:t xml:space="preserve">Watts 2023, PMID 35726641.</w:t>
      </w:r>
    </w:p>
  </w:footnote>
  <w:footnote w:id="1520">
    <w:p>
      <w:pPr>
        <w:pStyle w:val="FootnoteText"/>
      </w:pPr>
      <w:r>
        <w:rPr>
          <w:rStyle w:val="FootnoteReference"/>
        </w:rPr>
        <w:footnoteRef/>
      </w:r>
      <w:r>
        <w:t xml:space="preserve"> </w:t>
      </w:r>
      <w:r>
        <w:t xml:space="preserve">Murphy 2020, PMID 32169310; Murphy 2020, PMID 31884074.</w:t>
      </w:r>
    </w:p>
  </w:footnote>
  <w:footnote w:id="1521">
    <w:p>
      <w:pPr>
        <w:pStyle w:val="FootnoteText"/>
      </w:pPr>
      <w:r>
        <w:rPr>
          <w:rStyle w:val="FootnoteReference"/>
        </w:rPr>
        <w:footnoteRef/>
      </w:r>
      <w:r>
        <w:t xml:space="preserve"> </w:t>
      </w:r>
      <w:r>
        <w:t xml:space="preserve">Guevara-Aguirre 2011, PMID 21325617.</w:t>
      </w:r>
    </w:p>
  </w:footnote>
  <w:footnote w:id="1522">
    <w:p>
      <w:pPr>
        <w:pStyle w:val="FootnoteText"/>
      </w:pPr>
      <w:r>
        <w:rPr>
          <w:rStyle w:val="FootnoteReference"/>
        </w:rPr>
        <w:footnoteRef/>
      </w:r>
      <w:r>
        <w:t xml:space="preserve"> </w:t>
      </w:r>
      <w:r>
        <w:t xml:space="preserve">NCT00903110.</w:t>
      </w:r>
    </w:p>
  </w:footnote>
  <w:footnote w:id="1524">
    <w:p>
      <w:pPr>
        <w:pStyle w:val="FootnoteText"/>
      </w:pPr>
      <w:r>
        <w:rPr>
          <w:rStyle w:val="FootnoteReference"/>
        </w:rPr>
        <w:footnoteRef/>
      </w:r>
      <w:r>
        <w:t xml:space="preserve"> </w:t>
      </w:r>
      <w:r>
        <w:t xml:space="preserve">Saavedra 2026, PMID 42341624.</w:t>
      </w:r>
    </w:p>
  </w:footnote>
  <w:footnote w:id="1525">
    <w:p>
      <w:pPr>
        <w:pStyle w:val="FootnoteText"/>
      </w:pPr>
      <w:r>
        <w:rPr>
          <w:rStyle w:val="FootnoteReference"/>
        </w:rPr>
        <w:footnoteRef/>
      </w:r>
      <w:r>
        <w:t xml:space="preserve"> </w:t>
      </w:r>
      <w:r>
        <w:t xml:space="preserve">Guha 2013, PMID 23934394.</w:t>
      </w:r>
    </w:p>
  </w:footnote>
  <w:footnote w:id="1527">
    <w:p>
      <w:pPr>
        <w:pStyle w:val="FootnoteText"/>
      </w:pPr>
      <w:r>
        <w:rPr>
          <w:rStyle w:val="FootnoteReference"/>
        </w:rPr>
        <w:footnoteRef/>
      </w:r>
      <w:r>
        <w:t xml:space="preserve"> </w:t>
      </w:r>
      <w:r>
        <w:t xml:space="preserve">NCT00903110.</w:t>
      </w:r>
    </w:p>
  </w:footnote>
  <w:footnote w:id="1531">
    <w:p>
      <w:pPr>
        <w:pStyle w:val="FootnoteText"/>
      </w:pPr>
      <w:r>
        <w:rPr>
          <w:rStyle w:val="FootnoteReference"/>
        </w:rPr>
        <w:footnoteRef/>
      </w:r>
      <w:r>
        <w:t xml:space="preserve"> </w:t>
      </w:r>
      <w:r>
        <w:t xml:space="preserve">Bastian 1993, PMID 7693845; Tomas 1993, PMID 7683875.</w:t>
      </w:r>
    </w:p>
  </w:footnote>
  <w:footnote w:id="1533">
    <w:p>
      <w:pPr>
        <w:pStyle w:val="FootnoteText"/>
      </w:pPr>
      <w:r>
        <w:rPr>
          <w:rStyle w:val="FootnoteReference"/>
        </w:rPr>
        <w:footnoteRef/>
      </w:r>
      <w:r>
        <w:t xml:space="preserve"> </w:t>
      </w:r>
      <w:r>
        <w:t xml:space="preserve">Devi 2001, PMID 11735239.</w:t>
      </w:r>
    </w:p>
  </w:footnote>
  <w:footnote w:id="1534">
    <w:p>
      <w:pPr>
        <w:pStyle w:val="FootnoteText"/>
      </w:pPr>
      <w:r>
        <w:rPr>
          <w:rStyle w:val="FootnoteReference"/>
        </w:rPr>
        <w:footnoteRef/>
      </w:r>
      <w:r>
        <w:t xml:space="preserve"> </w:t>
      </w:r>
      <w:r>
        <w:t xml:space="preserve">Bastian 1993, PMID 7693845.</w:t>
      </w:r>
    </w:p>
  </w:footnote>
  <w:footnote w:id="1535">
    <w:p>
      <w:pPr>
        <w:pStyle w:val="FootnoteText"/>
      </w:pPr>
      <w:r>
        <w:rPr>
          <w:rStyle w:val="FootnoteReference"/>
        </w:rPr>
        <w:footnoteRef/>
      </w:r>
      <w:r>
        <w:t xml:space="preserve"> </w:t>
      </w:r>
      <w:r>
        <w:t xml:space="preserve">Tomas 1993, PMID 7683875.</w:t>
      </w:r>
    </w:p>
  </w:footnote>
  <w:footnote w:id="1537">
    <w:p>
      <w:pPr>
        <w:pStyle w:val="FootnoteText"/>
      </w:pPr>
      <w:r>
        <w:rPr>
          <w:rStyle w:val="FootnoteReference"/>
        </w:rPr>
        <w:footnoteRef/>
      </w:r>
      <w:r>
        <w:t xml:space="preserve"> </w:t>
      </w:r>
      <w:r>
        <w:t xml:space="preserve">Kohler 2010, PMID 20675162.</w:t>
      </w:r>
    </w:p>
  </w:footnote>
  <w:footnote w:id="1538">
    <w:p>
      <w:pPr>
        <w:pStyle w:val="FootnoteText"/>
      </w:pPr>
      <w:r>
        <w:rPr>
          <w:rStyle w:val="FootnoteReference"/>
        </w:rPr>
        <w:footnoteRef/>
      </w:r>
      <w:r>
        <w:t xml:space="preserve"> </w:t>
      </w:r>
      <w:r>
        <w:t xml:space="preserve">Mongongu 2021, PMID 33587816.</w:t>
      </w:r>
    </w:p>
  </w:footnote>
  <w:footnote w:id="1539">
    <w:p>
      <w:pPr>
        <w:pStyle w:val="FootnoteText"/>
      </w:pPr>
      <w:r>
        <w:rPr>
          <w:rStyle w:val="FootnoteReference"/>
        </w:rPr>
        <w:footnoteRef/>
      </w:r>
      <w:r>
        <w:t xml:space="preserve"> </w:t>
      </w:r>
      <w:r>
        <w:t xml:space="preserve">Guha 2013, PMID 23934394.</w:t>
      </w:r>
    </w:p>
  </w:footnote>
  <w:footnote w:id="1541">
    <w:p>
      <w:pPr>
        <w:pStyle w:val="FootnoteText"/>
      </w:pPr>
      <w:r>
        <w:rPr>
          <w:rStyle w:val="FootnoteReference"/>
        </w:rPr>
        <w:footnoteRef/>
      </w:r>
      <w:r>
        <w:t xml:space="preserve"> </w:t>
      </w:r>
      <w:r>
        <w:t xml:space="preserve">Bastian 1993, PMID 7693845.</w:t>
      </w:r>
    </w:p>
  </w:footnote>
  <w:footnote w:id="1542">
    <w:p>
      <w:pPr>
        <w:pStyle w:val="FootnoteText"/>
      </w:pPr>
      <w:r>
        <w:rPr>
          <w:rStyle w:val="FootnoteReference"/>
        </w:rPr>
        <w:footnoteRef/>
      </w:r>
      <w:r>
        <w:t xml:space="preserve"> </w:t>
      </w:r>
      <w:r>
        <w:t xml:space="preserve">Tomas 1993, PMID 7683875.</w:t>
      </w:r>
    </w:p>
  </w:footnote>
  <w:footnote w:id="1543">
    <w:p>
      <w:pPr>
        <w:pStyle w:val="FootnoteText"/>
      </w:pPr>
      <w:r>
        <w:rPr>
          <w:rStyle w:val="FootnoteReference"/>
        </w:rPr>
        <w:footnoteRef/>
      </w:r>
      <w:r>
        <w:t xml:space="preserve"> </w:t>
      </w:r>
      <w:r>
        <w:t xml:space="preserve">Dunaiski 1997, PMID 9488001.</w:t>
      </w:r>
    </w:p>
  </w:footnote>
  <w:footnote w:id="1544">
    <w:p>
      <w:pPr>
        <w:pStyle w:val="FootnoteText"/>
      </w:pPr>
      <w:r>
        <w:rPr>
          <w:rStyle w:val="FootnoteReference"/>
        </w:rPr>
        <w:footnoteRef/>
      </w:r>
      <w:r>
        <w:t xml:space="preserve"> </w:t>
      </w:r>
      <w:r>
        <w:t xml:space="preserve">Conlon 1995, PMID 7561636.</w:t>
      </w:r>
    </w:p>
  </w:footnote>
  <w:footnote w:id="1545">
    <w:p>
      <w:pPr>
        <w:pStyle w:val="FootnoteText"/>
      </w:pPr>
      <w:r>
        <w:rPr>
          <w:rStyle w:val="FootnoteReference"/>
        </w:rPr>
        <w:footnoteRef/>
      </w:r>
      <w:r>
        <w:t xml:space="preserve"> </w:t>
      </w:r>
      <w:r>
        <w:t xml:space="preserve">White 2023, PMID 37114757.</w:t>
      </w:r>
    </w:p>
  </w:footnote>
  <w:footnote w:id="1546">
    <w:p>
      <w:pPr>
        <w:pStyle w:val="FootnoteText"/>
      </w:pPr>
      <w:r>
        <w:rPr>
          <w:rStyle w:val="FootnoteReference"/>
        </w:rPr>
        <w:footnoteRef/>
      </w:r>
      <w:r>
        <w:t xml:space="preserve"> </w:t>
      </w:r>
      <w:r>
        <w:t xml:space="preserve">White 2025, PMID 39679943.</w:t>
      </w:r>
    </w:p>
  </w:footnote>
  <w:footnote w:id="1547">
    <w:p>
      <w:pPr>
        <w:pStyle w:val="FootnoteText"/>
      </w:pPr>
      <w:r>
        <w:rPr>
          <w:rStyle w:val="FootnoteReference"/>
        </w:rPr>
        <w:footnoteRef/>
      </w:r>
      <w:r>
        <w:t xml:space="preserve"> </w:t>
      </w:r>
      <w:r>
        <w:t xml:space="preserve">Engel 2025, PMID 39610283.</w:t>
      </w:r>
    </w:p>
  </w:footnote>
  <w:footnote w:id="1549">
    <w:p>
      <w:pPr>
        <w:pStyle w:val="FootnoteText"/>
      </w:pPr>
      <w:r>
        <w:rPr>
          <w:rStyle w:val="FootnoteReference"/>
        </w:rPr>
        <w:footnoteRef/>
      </w:r>
      <w:r>
        <w:t xml:space="preserve"> </w:t>
      </w:r>
      <w:r>
        <w:t xml:space="preserve">Chernausek 2007, PMID 17192294.</w:t>
      </w:r>
    </w:p>
  </w:footnote>
  <w:footnote w:id="1550">
    <w:p>
      <w:pPr>
        <w:pStyle w:val="FootnoteText"/>
      </w:pPr>
      <w:r>
        <w:rPr>
          <w:rStyle w:val="FootnoteReference"/>
        </w:rPr>
        <w:footnoteRef/>
      </w:r>
      <w:r>
        <w:t xml:space="preserve"> </w:t>
      </w:r>
      <w:r>
        <w:t xml:space="preserve">Dunaiski 1997, PMID 9488001; White 2023, PMID 37114757.</w:t>
      </w:r>
    </w:p>
  </w:footnote>
  <w:footnote w:id="1551">
    <w:p>
      <w:pPr>
        <w:pStyle w:val="FootnoteText"/>
      </w:pPr>
      <w:r>
        <w:rPr>
          <w:rStyle w:val="FootnoteReference"/>
        </w:rPr>
        <w:footnoteRef/>
      </w:r>
      <w:r>
        <w:t xml:space="preserve"> </w:t>
      </w:r>
      <w:r>
        <w:t xml:space="preserve">Conlon 1995, PMID 7561636.</w:t>
      </w:r>
    </w:p>
  </w:footnote>
  <w:footnote w:id="1552">
    <w:p>
      <w:pPr>
        <w:pStyle w:val="FootnoteText"/>
      </w:pPr>
      <w:r>
        <w:rPr>
          <w:rStyle w:val="FootnoteReference"/>
        </w:rPr>
        <w:footnoteRef/>
      </w:r>
      <w:r>
        <w:t xml:space="preserve"> </w:t>
      </w:r>
      <w:r>
        <w:t xml:space="preserve">Renehan 2004, PMID 15110491; Murphy 2020, PMID 32169310; Watts 2023, PMID 35726641.</w:t>
      </w:r>
    </w:p>
  </w:footnote>
  <w:footnote w:id="1553">
    <w:p>
      <w:pPr>
        <w:pStyle w:val="FootnoteText"/>
      </w:pPr>
      <w:r>
        <w:rPr>
          <w:rStyle w:val="FootnoteReference"/>
        </w:rPr>
        <w:footnoteRef/>
      </w:r>
      <w:r>
        <w:t xml:space="preserve"> </w:t>
      </w:r>
      <w:r>
        <w:t xml:space="preserve">Guevara-Aguirre 2011, PMID 21325617.</w:t>
      </w:r>
    </w:p>
  </w:footnote>
  <w:footnote w:id="1554">
    <w:p>
      <w:pPr>
        <w:pStyle w:val="FootnoteText"/>
      </w:pPr>
      <w:r>
        <w:rPr>
          <w:rStyle w:val="FootnoteReference"/>
        </w:rPr>
        <w:footnoteRef/>
      </w:r>
      <w:r>
        <w:t xml:space="preserve"> </w:t>
      </w:r>
      <w:r>
        <w:t xml:space="preserve">Kohler 2010, PMID 20675162; Mongongu 2021, PMID 33587816.</w:t>
      </w:r>
    </w:p>
  </w:footnote>
  <w:footnote w:id="1556">
    <w:p>
      <w:pPr>
        <w:pStyle w:val="FootnoteText"/>
      </w:pPr>
      <w:r>
        <w:rPr>
          <w:rStyle w:val="FootnoteReference"/>
        </w:rPr>
        <w:footnoteRef/>
      </w:r>
      <w:r>
        <w:t xml:space="preserve"> </w:t>
      </w:r>
      <w:r>
        <w:t xml:space="preserve">Mongongu 2021, PMID 33587816.</w:t>
      </w:r>
    </w:p>
  </w:footnote>
  <w:footnote w:id="1561">
    <w:p>
      <w:pPr>
        <w:pStyle w:val="FootnoteText"/>
      </w:pPr>
      <w:r>
        <w:rPr>
          <w:rStyle w:val="FootnoteReference"/>
        </w:rPr>
        <w:footnoteRef/>
      </w:r>
      <w:r>
        <w:t xml:space="preserve"> </w:t>
      </w:r>
      <w:r>
        <w:t xml:space="preserve">Bright 2022, PMID 35354138.</w:t>
      </w:r>
    </w:p>
  </w:footnote>
  <w:footnote w:id="1563">
    <w:p>
      <w:pPr>
        <w:pStyle w:val="FootnoteText"/>
      </w:pPr>
      <w:r>
        <w:rPr>
          <w:rStyle w:val="FootnoteReference"/>
        </w:rPr>
        <w:footnoteRef/>
      </w:r>
      <w:r>
        <w:t xml:space="preserve"> </w:t>
      </w:r>
      <w:r>
        <w:t xml:space="preserve">Chapman 1996, PMID 8954023.</w:t>
      </w:r>
    </w:p>
  </w:footnote>
  <w:footnote w:id="1565">
    <w:p>
      <w:pPr>
        <w:pStyle w:val="FootnoteText"/>
      </w:pPr>
      <w:r>
        <w:rPr>
          <w:rStyle w:val="FootnoteReference"/>
        </w:rPr>
        <w:footnoteRef/>
      </w:r>
      <w:r>
        <w:t xml:space="preserve"> </w:t>
      </w:r>
      <w:r>
        <w:t xml:space="preserve">Nass 2008, PMID 18981485.</w:t>
      </w:r>
    </w:p>
  </w:footnote>
  <w:footnote w:id="1567">
    <w:p>
      <w:pPr>
        <w:pStyle w:val="FootnoteText"/>
      </w:pPr>
      <w:r>
        <w:rPr>
          <w:rStyle w:val="FootnoteReference"/>
        </w:rPr>
        <w:footnoteRef/>
      </w:r>
      <w:r>
        <w:t xml:space="preserve"> </w:t>
      </w:r>
      <w:r>
        <w:t xml:space="preserve">Bach 2004, PMID 15066065.</w:t>
      </w:r>
    </w:p>
  </w:footnote>
  <w:footnote w:id="1568">
    <w:p>
      <w:pPr>
        <w:pStyle w:val="FootnoteText"/>
      </w:pPr>
      <w:r>
        <w:rPr>
          <w:rStyle w:val="FootnoteReference"/>
        </w:rPr>
        <w:footnoteRef/>
      </w:r>
      <w:r>
        <w:t xml:space="preserve"> </w:t>
      </w:r>
      <w:r>
        <w:t xml:space="preserve">Adunsky 2011, PMID 21067829.</w:t>
      </w:r>
    </w:p>
  </w:footnote>
  <w:footnote w:id="1570">
    <w:p>
      <w:pPr>
        <w:pStyle w:val="FootnoteText"/>
      </w:pPr>
      <w:r>
        <w:rPr>
          <w:rStyle w:val="FootnoteReference"/>
        </w:rPr>
        <w:footnoteRef/>
      </w:r>
      <w:r>
        <w:t xml:space="preserve"> </w:t>
      </w:r>
      <w:r>
        <w:t xml:space="preserve">Sevigny 2008, PMID 19015485.</w:t>
      </w:r>
    </w:p>
  </w:footnote>
  <w:footnote w:id="1572">
    <w:p>
      <w:pPr>
        <w:pStyle w:val="FootnoteText"/>
      </w:pPr>
      <w:r>
        <w:rPr>
          <w:rStyle w:val="FootnoteReference"/>
        </w:rPr>
        <w:footnoteRef/>
      </w:r>
      <w:r>
        <w:t xml:space="preserve"> </w:t>
      </w:r>
      <w:r>
        <w:t xml:space="preserve">Svensson 1998, PMID 9467542.</w:t>
      </w:r>
    </w:p>
  </w:footnote>
  <w:footnote w:id="1573">
    <w:p>
      <w:pPr>
        <w:pStyle w:val="FootnoteText"/>
      </w:pPr>
      <w:r>
        <w:rPr>
          <w:rStyle w:val="FootnoteReference"/>
        </w:rPr>
        <w:footnoteRef/>
      </w:r>
      <w:r>
        <w:t xml:space="preserve"> </w:t>
      </w:r>
      <w:r>
        <w:t xml:space="preserve">Murphy 2001, PMID 11238495.</w:t>
      </w:r>
    </w:p>
  </w:footnote>
  <w:footnote w:id="1574">
    <w:p>
      <w:pPr>
        <w:pStyle w:val="FootnoteText"/>
      </w:pPr>
      <w:r>
        <w:rPr>
          <w:rStyle w:val="FootnoteReference"/>
        </w:rPr>
        <w:footnoteRef/>
      </w:r>
      <w:r>
        <w:t xml:space="preserve"> </w:t>
      </w:r>
      <w:r>
        <w:t xml:space="preserve">Copinschi 1997, PMID 9349662.</w:t>
      </w:r>
    </w:p>
  </w:footnote>
  <w:footnote w:id="1575">
    <w:p>
      <w:pPr>
        <w:pStyle w:val="FootnoteText"/>
      </w:pPr>
      <w:r>
        <w:rPr>
          <w:rStyle w:val="FootnoteReference"/>
        </w:rPr>
        <w:footnoteRef/>
      </w:r>
      <w:r>
        <w:t xml:space="preserve"> </w:t>
      </w:r>
      <w:r>
        <w:t xml:space="preserve">Campbell 2018, PMID 28340044.</w:t>
      </w:r>
    </w:p>
  </w:footnote>
  <w:footnote w:id="1576">
    <w:p>
      <w:pPr>
        <w:pStyle w:val="FootnoteText"/>
      </w:pPr>
      <w:r>
        <w:rPr>
          <w:rStyle w:val="FootnoteReference"/>
        </w:rPr>
        <w:footnoteRef/>
      </w:r>
      <w:r>
        <w:t xml:space="preserve"> </w:t>
      </w:r>
      <w:r>
        <w:t xml:space="preserve">Codner 2001, PMID 11452249.</w:t>
      </w:r>
    </w:p>
  </w:footnote>
  <w:footnote w:id="1577">
    <w:p>
      <w:pPr>
        <w:pStyle w:val="FootnoteText"/>
      </w:pPr>
      <w:r>
        <w:rPr>
          <w:rStyle w:val="FootnoteReference"/>
        </w:rPr>
        <w:footnoteRef/>
      </w:r>
      <w:r>
        <w:t xml:space="preserve"> </w:t>
      </w:r>
      <w:r>
        <w:t xml:space="preserve">Bright 2022, PMID 35354138.</w:t>
      </w:r>
    </w:p>
  </w:footnote>
  <w:footnote w:id="1580">
    <w:p>
      <w:pPr>
        <w:pStyle w:val="FootnoteText"/>
      </w:pPr>
      <w:r>
        <w:rPr>
          <w:rStyle w:val="FootnoteReference"/>
        </w:rPr>
        <w:footnoteRef/>
      </w:r>
      <w:r>
        <w:t xml:space="preserve"> </w:t>
      </w:r>
      <w:r>
        <w:t xml:space="preserve">Jeong 2018, PMID 29912176.</w:t>
      </w:r>
    </w:p>
  </w:footnote>
  <w:footnote w:id="1581">
    <w:p>
      <w:pPr>
        <w:pStyle w:val="FootnoteText"/>
      </w:pPr>
      <w:r>
        <w:rPr>
          <w:rStyle w:val="FootnoteReference"/>
        </w:rPr>
        <w:footnoteRef/>
      </w:r>
      <w:r>
        <w:t xml:space="preserve"> </w:t>
      </w:r>
      <w:r>
        <w:t xml:space="preserve">Liu 2021, PMID 34737341.</w:t>
      </w:r>
    </w:p>
  </w:footnote>
  <w:footnote w:id="1583">
    <w:p>
      <w:pPr>
        <w:pStyle w:val="FootnoteText"/>
      </w:pPr>
      <w:r>
        <w:rPr>
          <w:rStyle w:val="FootnoteReference"/>
        </w:rPr>
        <w:footnoteRef/>
      </w:r>
      <w:r>
        <w:t xml:space="preserve"> </w:t>
      </w:r>
      <w:r>
        <w:t xml:space="preserve">Adunsky 2011, PMID 21067829.</w:t>
      </w:r>
    </w:p>
  </w:footnote>
  <w:footnote w:id="1584">
    <w:p>
      <w:pPr>
        <w:pStyle w:val="FootnoteText"/>
      </w:pPr>
      <w:r>
        <w:rPr>
          <w:rStyle w:val="FootnoteReference"/>
        </w:rPr>
        <w:footnoteRef/>
      </w:r>
      <w:r>
        <w:t xml:space="preserve"> </w:t>
      </w:r>
      <w:r>
        <w:t xml:space="preserve">Nass 2008, PMID 18981485; Chapman 1996, PMID 8954023.</w:t>
      </w:r>
    </w:p>
  </w:footnote>
  <w:footnote w:id="1585">
    <w:p>
      <w:pPr>
        <w:pStyle w:val="FootnoteText"/>
      </w:pPr>
      <w:r>
        <w:rPr>
          <w:rStyle w:val="FootnoteReference"/>
        </w:rPr>
        <w:footnoteRef/>
      </w:r>
      <w:r>
        <w:t xml:space="preserve"> </w:t>
      </w:r>
      <w:r>
        <w:t xml:space="preserve">Svensson 1998, PMID 9467542.</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Nass 2008, PMID 18981485.</w:t>
      </w:r>
    </w:p>
  </w:footnote>
  <w:footnote w:id="1588">
    <w:p>
      <w:pPr>
        <w:pStyle w:val="FootnoteText"/>
      </w:pPr>
      <w:r>
        <w:rPr>
          <w:rStyle w:val="FootnoteReference"/>
        </w:rPr>
        <w:footnoteRef/>
      </w:r>
      <w:r>
        <w:t xml:space="preserve"> </w:t>
      </w:r>
      <w:r>
        <w:t xml:space="preserve">Cobani 2025, PMID 40675653.</w:t>
      </w:r>
    </w:p>
  </w:footnote>
  <w:footnote w:id="1589">
    <w:p>
      <w:pPr>
        <w:pStyle w:val="FootnoteText"/>
      </w:pPr>
      <w:r>
        <w:rPr>
          <w:rStyle w:val="FootnoteReference"/>
        </w:rPr>
        <w:footnoteRef/>
      </w:r>
      <w:r>
        <w:t xml:space="preserve"> </w:t>
      </w:r>
      <w:r>
        <w:t xml:space="preserve">Chong 2024, PMID 39145153.</w:t>
      </w:r>
    </w:p>
  </w:footnote>
  <w:footnote w:id="1590">
    <w:p>
      <w:pPr>
        <w:pStyle w:val="FootnoteText"/>
      </w:pPr>
      <w:r>
        <w:rPr>
          <w:rStyle w:val="FootnoteReference"/>
        </w:rPr>
        <w:footnoteRef/>
      </w:r>
      <w:r>
        <w:t xml:space="preserve"> </w:t>
      </w:r>
      <w:r>
        <w:t xml:space="preserve">Sigalos 2018, PMID 28400207.</w:t>
      </w:r>
    </w:p>
  </w:footnote>
  <w:footnote w:id="1591">
    <w:p>
      <w:pPr>
        <w:pStyle w:val="FootnoteText"/>
      </w:pPr>
      <w:r>
        <w:rPr>
          <w:rStyle w:val="FootnoteReference"/>
        </w:rPr>
        <w:footnoteRef/>
      </w:r>
      <w:r>
        <w:t xml:space="preserve"> </w:t>
      </w:r>
      <w:r>
        <w:t xml:space="preserve">Van Wagoner 2017, PMID 29183075.</w:t>
      </w:r>
    </w:p>
  </w:footnote>
  <w:footnote w:id="1592">
    <w:p>
      <w:pPr>
        <w:pStyle w:val="FootnoteText"/>
      </w:pPr>
      <w:r>
        <w:rPr>
          <w:rStyle w:val="FootnoteReference"/>
        </w:rPr>
        <w:footnoteRef/>
      </w:r>
      <w:r>
        <w:t xml:space="preserve"> </w:t>
      </w:r>
      <w:r>
        <w:t xml:space="preserve">Barrios 2025, PMID 40551438.</w:t>
      </w:r>
    </w:p>
  </w:footnote>
  <w:footnote w:id="1594">
    <w:p>
      <w:pPr>
        <w:pStyle w:val="FootnoteText"/>
      </w:pPr>
      <w:r>
        <w:rPr>
          <w:rStyle w:val="FootnoteReference"/>
        </w:rPr>
        <w:footnoteRef/>
      </w:r>
      <w:r>
        <w:t xml:space="preserve"> </w:t>
      </w:r>
      <w:r>
        <w:t xml:space="preserve">Viljanto 2023, PMID 36354265.</w:t>
      </w:r>
    </w:p>
  </w:footnote>
  <w:footnote w:id="1596">
    <w:p>
      <w:pPr>
        <w:pStyle w:val="FootnoteText"/>
      </w:pPr>
      <w:r>
        <w:rPr>
          <w:rStyle w:val="FootnoteReference"/>
        </w:rPr>
        <w:footnoteRef/>
      </w:r>
      <w:r>
        <w:t xml:space="preserve"> </w:t>
      </w:r>
      <w:r>
        <w:t xml:space="preserve">NCT04614337.</w:t>
      </w:r>
    </w:p>
  </w:footnote>
  <w:footnote w:id="1597">
    <w:p>
      <w:pPr>
        <w:pStyle w:val="FootnoteText"/>
      </w:pPr>
      <w:r>
        <w:rPr>
          <w:rStyle w:val="FootnoteReference"/>
        </w:rPr>
        <w:footnoteRef/>
      </w:r>
      <w:r>
        <w:t xml:space="preserve"> </w:t>
      </w:r>
      <w:r>
        <w:t xml:space="preserve">NCT06948214.</w:t>
      </w:r>
    </w:p>
  </w:footnote>
  <w:footnote w:id="1598">
    <w:p>
      <w:pPr>
        <w:pStyle w:val="FootnoteText"/>
      </w:pPr>
      <w:r>
        <w:rPr>
          <w:rStyle w:val="FootnoteReference"/>
        </w:rPr>
        <w:footnoteRef/>
      </w:r>
      <w:r>
        <w:t xml:space="preserve"> </w:t>
      </w:r>
      <w:r>
        <w:t xml:space="preserve">NCT07129759.</w:t>
      </w:r>
    </w:p>
  </w:footnote>
  <w:footnote w:id="1599">
    <w:p>
      <w:pPr>
        <w:pStyle w:val="FootnoteText"/>
      </w:pPr>
      <w:r>
        <w:rPr>
          <w:rStyle w:val="FootnoteReference"/>
        </w:rPr>
        <w:footnoteRef/>
      </w:r>
      <w:r>
        <w:t xml:space="preserve"> </w:t>
      </w:r>
      <w:r>
        <w:t xml:space="preserve">NCT07754045.</w:t>
      </w:r>
    </w:p>
  </w:footnote>
  <w:footnote w:id="1610">
    <w:p>
      <w:pPr>
        <w:pStyle w:val="FootnoteText"/>
      </w:pPr>
      <w:r>
        <w:rPr>
          <w:rStyle w:val="FootnoteReference"/>
        </w:rPr>
        <w:footnoteRef/>
      </w:r>
      <w:r>
        <w:t xml:space="preserve"> </w:t>
      </w:r>
      <w:r>
        <w:t xml:space="preserve">Dolotov 2006, PMID 16635254.</w:t>
      </w:r>
    </w:p>
  </w:footnote>
  <w:footnote w:id="1611">
    <w:p>
      <w:pPr>
        <w:pStyle w:val="FootnoteText"/>
      </w:pPr>
      <w:r>
        <w:rPr>
          <w:rStyle w:val="FootnoteReference"/>
        </w:rPr>
        <w:footnoteRef/>
      </w:r>
      <w:r>
        <w:t xml:space="preserve"> </w:t>
      </w:r>
      <w:r>
        <w:t xml:space="preserve">Medvedeva 2014, PMID 24661604.</w:t>
      </w:r>
    </w:p>
  </w:footnote>
  <w:footnote w:id="1613">
    <w:p>
      <w:pPr>
        <w:pStyle w:val="FootnoteText"/>
      </w:pPr>
      <w:r>
        <w:rPr>
          <w:rStyle w:val="FootnoteReference"/>
        </w:rPr>
        <w:footnoteRef/>
      </w:r>
      <w:r>
        <w:t xml:space="preserve"> </w:t>
      </w:r>
      <w:r>
        <w:t xml:space="preserve">Gusev 1997, PMID 11517472.</w:t>
      </w:r>
    </w:p>
  </w:footnote>
  <w:footnote w:id="1614">
    <w:p>
      <w:pPr>
        <w:pStyle w:val="FootnoteText"/>
      </w:pPr>
      <w:r>
        <w:rPr>
          <w:rStyle w:val="FootnoteReference"/>
        </w:rPr>
        <w:footnoteRef/>
      </w:r>
      <w:r>
        <w:t xml:space="preserve"> </w:t>
      </w:r>
      <w:r>
        <w:t xml:space="preserve">Miasoedova 1999, PMID 10358912.</w:t>
      </w:r>
    </w:p>
  </w:footnote>
  <w:footnote w:id="1615">
    <w:p>
      <w:pPr>
        <w:pStyle w:val="FootnoteText"/>
      </w:pPr>
      <w:r>
        <w:rPr>
          <w:rStyle w:val="FootnoteReference"/>
        </w:rPr>
        <w:footnoteRef/>
      </w:r>
      <w:r>
        <w:t xml:space="preserve"> </w:t>
      </w:r>
      <w:r>
        <w:t xml:space="preserve">Gusev 2018, PMID 29798983.</w:t>
      </w:r>
    </w:p>
  </w:footnote>
  <w:footnote w:id="1617">
    <w:p>
      <w:pPr>
        <w:pStyle w:val="FootnoteText"/>
      </w:pPr>
      <w:r>
        <w:rPr>
          <w:rStyle w:val="FootnoteReference"/>
        </w:rPr>
        <w:footnoteRef/>
      </w:r>
      <w:r>
        <w:t xml:space="preserve"> </w:t>
      </w:r>
      <w:r>
        <w:t xml:space="preserve">Serdiuk 2007, PMID 18379501.</w:t>
      </w:r>
    </w:p>
  </w:footnote>
  <w:footnote w:id="1618">
    <w:p>
      <w:pPr>
        <w:pStyle w:val="FootnoteText"/>
      </w:pPr>
      <w:r>
        <w:rPr>
          <w:rStyle w:val="FootnoteReference"/>
        </w:rPr>
        <w:footnoteRef/>
      </w:r>
      <w:r>
        <w:t xml:space="preserve"> </w:t>
      </w:r>
      <w:r>
        <w:t xml:space="preserve">Polunin 2000, PMID 10741256.</w:t>
      </w:r>
    </w:p>
  </w:footnote>
  <w:footnote w:id="1619">
    <w:p>
      <w:pPr>
        <w:pStyle w:val="FootnoteText"/>
      </w:pPr>
      <w:r>
        <w:rPr>
          <w:rStyle w:val="FootnoteReference"/>
        </w:rPr>
        <w:footnoteRef/>
      </w:r>
      <w:r>
        <w:t xml:space="preserve"> </w:t>
      </w:r>
      <w:r>
        <w:t xml:space="preserve">Alekseeva 1999, PMID 10199046.</w:t>
      </w:r>
    </w:p>
  </w:footnote>
  <w:footnote w:id="1620">
    <w:p>
      <w:pPr>
        <w:pStyle w:val="FootnoteText"/>
      </w:pPr>
      <w:r>
        <w:rPr>
          <w:rStyle w:val="FootnoteReference"/>
        </w:rPr>
        <w:footnoteRef/>
      </w:r>
      <w:r>
        <w:t xml:space="preserve"> </w:t>
      </w:r>
      <w:r>
        <w:t xml:space="preserve">Ivanikov 2002, PMID 12459874.</w:t>
      </w:r>
    </w:p>
  </w:footnote>
  <w:footnote w:id="1622">
    <w:p>
      <w:pPr>
        <w:pStyle w:val="FootnoteText"/>
      </w:pPr>
      <w:r>
        <w:rPr>
          <w:rStyle w:val="FootnoteReference"/>
        </w:rPr>
        <w:footnoteRef/>
      </w:r>
      <w:r>
        <w:t xml:space="preserve"> </w:t>
      </w:r>
      <w:r>
        <w:t xml:space="preserve">Asmarin 1997, PMID 9173745.</w:t>
      </w:r>
    </w:p>
  </w:footnote>
  <w:footnote w:id="1625">
    <w:p>
      <w:pPr>
        <w:pStyle w:val="FootnoteText"/>
      </w:pPr>
      <w:r>
        <w:rPr>
          <w:rStyle w:val="FootnoteReference"/>
        </w:rPr>
        <w:footnoteRef/>
      </w:r>
      <w:r>
        <w:t xml:space="preserve"> </w:t>
      </w:r>
      <w:r>
        <w:t xml:space="preserve">Medvedeva 2014, PMID 24661604.</w:t>
      </w:r>
    </w:p>
  </w:footnote>
  <w:footnote w:id="1626">
    <w:p>
      <w:pPr>
        <w:pStyle w:val="FootnoteText"/>
      </w:pPr>
      <w:r>
        <w:rPr>
          <w:rStyle w:val="FootnoteReference"/>
        </w:rPr>
        <w:footnoteRef/>
      </w:r>
      <w:r>
        <w:t xml:space="preserve"> </w:t>
      </w:r>
      <w:r>
        <w:t xml:space="preserve">Levitskaya 2004, PMID 15341218.</w:t>
      </w:r>
    </w:p>
  </w:footnote>
  <w:footnote w:id="1627">
    <w:p>
      <w:pPr>
        <w:pStyle w:val="FootnoteText"/>
      </w:pPr>
      <w:r>
        <w:rPr>
          <w:rStyle w:val="FootnoteReference"/>
        </w:rPr>
        <w:footnoteRef/>
      </w:r>
      <w:r>
        <w:t xml:space="preserve"> </w:t>
      </w:r>
      <w:r>
        <w:t xml:space="preserve">Radchenko 2025, PMID 41479572.</w:t>
      </w:r>
    </w:p>
  </w:footnote>
  <w:footnote w:id="1628">
    <w:p>
      <w:pPr>
        <w:pStyle w:val="FootnoteText"/>
      </w:pPr>
      <w:r>
        <w:rPr>
          <w:rStyle w:val="FootnoteReference"/>
        </w:rPr>
        <w:footnoteRef/>
      </w:r>
      <w:r>
        <w:t xml:space="preserve"> </w:t>
      </w:r>
      <w:r>
        <w:t xml:space="preserve">Tomasello 2025, PMID 40496623.</w:t>
      </w:r>
    </w:p>
  </w:footnote>
  <w:footnote w:id="1630">
    <w:p>
      <w:pPr>
        <w:pStyle w:val="FootnoteText"/>
      </w:pPr>
      <w:r>
        <w:rPr>
          <w:rStyle w:val="FootnoteReference"/>
        </w:rPr>
        <w:footnoteRef/>
      </w:r>
      <w:r>
        <w:t xml:space="preserve"> </w:t>
      </w:r>
      <w:r>
        <w:t xml:space="preserve">Gusev 2005, PMID 15792140.</w:t>
      </w:r>
    </w:p>
  </w:footnote>
  <w:footnote w:id="1631">
    <w:p>
      <w:pPr>
        <w:pStyle w:val="FootnoteText"/>
      </w:pPr>
      <w:r>
        <w:rPr>
          <w:rStyle w:val="FootnoteReference"/>
        </w:rPr>
        <w:footnoteRef/>
      </w:r>
      <w:r>
        <w:t xml:space="preserve"> </w:t>
      </w:r>
      <w:r>
        <w:t xml:space="preserve">Alekseeva 1999, PMID 10199046.</w:t>
      </w:r>
    </w:p>
  </w:footnote>
  <w:footnote w:id="1632">
    <w:p>
      <w:pPr>
        <w:pStyle w:val="FootnoteText"/>
      </w:pPr>
      <w:r>
        <w:rPr>
          <w:rStyle w:val="FootnoteReference"/>
        </w:rPr>
        <w:footnoteRef/>
      </w:r>
      <w:r>
        <w:t xml:space="preserve"> </w:t>
      </w:r>
      <w:r>
        <w:t xml:space="preserve">Vanhee 2020, PMID 31667971.</w:t>
      </w:r>
    </w:p>
  </w:footnote>
  <w:footnote w:id="1639">
    <w:p>
      <w:pPr>
        <w:pStyle w:val="FootnoteText"/>
      </w:pPr>
      <w:r>
        <w:rPr>
          <w:rStyle w:val="FootnoteReference"/>
        </w:rPr>
        <w:footnoteRef/>
      </w:r>
      <w:r>
        <w:t xml:space="preserve"> </w:t>
      </w:r>
      <w:r>
        <w:t xml:space="preserve">Zozulya 2001, PMID 11550013.</w:t>
      </w:r>
    </w:p>
  </w:footnote>
  <w:footnote w:id="1640">
    <w:p>
      <w:pPr>
        <w:pStyle w:val="FootnoteText"/>
      </w:pPr>
      <w:r>
        <w:rPr>
          <w:rStyle w:val="FootnoteReference"/>
        </w:rPr>
        <w:footnoteRef/>
      </w:r>
      <w:r>
        <w:t xml:space="preserve"> </w:t>
      </w:r>
      <w:r>
        <w:t xml:space="preserve">Volkova 2016, PMID 26924987.</w:t>
      </w:r>
    </w:p>
  </w:footnote>
  <w:footnote w:id="1641">
    <w:p>
      <w:pPr>
        <w:pStyle w:val="FootnoteText"/>
      </w:pPr>
      <w:r>
        <w:rPr>
          <w:rStyle w:val="FootnoteReference"/>
        </w:rPr>
        <w:footnoteRef/>
      </w:r>
      <w:r>
        <w:t xml:space="preserve"> </w:t>
      </w:r>
      <w:r>
        <w:t xml:space="preserve">Ershov 2009, PMID 19882898.</w:t>
      </w:r>
    </w:p>
  </w:footnote>
  <w:footnote w:id="1643">
    <w:p>
      <w:pPr>
        <w:pStyle w:val="FootnoteText"/>
      </w:pPr>
      <w:r>
        <w:rPr>
          <w:rStyle w:val="FootnoteReference"/>
        </w:rPr>
        <w:footnoteRef/>
      </w:r>
      <w:r>
        <w:t xml:space="preserve"> </w:t>
      </w:r>
      <w:r>
        <w:t xml:space="preserve">Zozulia 2008, PMID 18454096.</w:t>
      </w:r>
    </w:p>
  </w:footnote>
  <w:footnote w:id="1644">
    <w:p>
      <w:pPr>
        <w:pStyle w:val="FootnoteText"/>
      </w:pPr>
      <w:r>
        <w:rPr>
          <w:rStyle w:val="FootnoteReference"/>
        </w:rPr>
        <w:footnoteRef/>
      </w:r>
      <w:r>
        <w:t xml:space="preserve"> </w:t>
      </w:r>
      <w:r>
        <w:t xml:space="preserve">Medvedev 2014, PMID 25176261.</w:t>
      </w:r>
    </w:p>
  </w:footnote>
  <w:footnote w:id="1645">
    <w:p>
      <w:pPr>
        <w:pStyle w:val="FootnoteText"/>
      </w:pPr>
      <w:r>
        <w:rPr>
          <w:rStyle w:val="FootnoteReference"/>
        </w:rPr>
        <w:footnoteRef/>
      </w:r>
      <w:r>
        <w:t xml:space="preserve"> </w:t>
      </w:r>
      <w:r>
        <w:t xml:space="preserve">Medvedev 2015, PMID 26356395.</w:t>
      </w:r>
    </w:p>
  </w:footnote>
  <w:footnote w:id="1647">
    <w:p>
      <w:pPr>
        <w:pStyle w:val="FootnoteText"/>
      </w:pPr>
      <w:r>
        <w:rPr>
          <w:rStyle w:val="FootnoteReference"/>
        </w:rPr>
        <w:footnoteRef/>
      </w:r>
      <w:r>
        <w:t xml:space="preserve"> </w:t>
      </w:r>
      <w:r>
        <w:t xml:space="preserve">Uchakina 2008, PMID 18577961.</w:t>
      </w:r>
    </w:p>
  </w:footnote>
  <w:footnote w:id="1648">
    <w:p>
      <w:pPr>
        <w:pStyle w:val="FootnoteText"/>
      </w:pPr>
      <w:r>
        <w:rPr>
          <w:rStyle w:val="FootnoteReference"/>
        </w:rPr>
        <w:footnoteRef/>
      </w:r>
      <w:r>
        <w:t xml:space="preserve"> </w:t>
      </w:r>
      <w:r>
        <w:t xml:space="preserve">Panikratova 2020, PMID 32342318.</w:t>
      </w:r>
    </w:p>
  </w:footnote>
  <w:footnote w:id="1651">
    <w:p>
      <w:pPr>
        <w:pStyle w:val="FootnoteText"/>
      </w:pPr>
      <w:r>
        <w:rPr>
          <w:rStyle w:val="FootnoteReference"/>
        </w:rPr>
        <w:footnoteRef/>
      </w:r>
      <w:r>
        <w:t xml:space="preserve"> </w:t>
      </w:r>
      <w:r>
        <w:t xml:space="preserve">Kolik 2019, PMID 31625062.</w:t>
      </w:r>
    </w:p>
  </w:footnote>
  <w:footnote w:id="1652">
    <w:p>
      <w:pPr>
        <w:pStyle w:val="FootnoteText"/>
      </w:pPr>
      <w:r>
        <w:rPr>
          <w:rStyle w:val="FootnoteReference"/>
        </w:rPr>
        <w:footnoteRef/>
      </w:r>
      <w:r>
        <w:t xml:space="preserve"> </w:t>
      </w:r>
      <w:r>
        <w:t xml:space="preserve">Volkova 2016, PMID 26924987.</w:t>
      </w:r>
    </w:p>
  </w:footnote>
  <w:footnote w:id="1653">
    <w:p>
      <w:pPr>
        <w:pStyle w:val="FootnoteText"/>
      </w:pPr>
      <w:r>
        <w:rPr>
          <w:rStyle w:val="FootnoteReference"/>
        </w:rPr>
        <w:footnoteRef/>
      </w:r>
      <w:r>
        <w:t xml:space="preserve"> </w:t>
      </w:r>
      <w:r>
        <w:t xml:space="preserve">Ershov 2009, PMID 19882898.</w:t>
      </w:r>
    </w:p>
  </w:footnote>
  <w:footnote w:id="1655">
    <w:p>
      <w:pPr>
        <w:pStyle w:val="FootnoteText"/>
      </w:pPr>
      <w:r>
        <w:rPr>
          <w:rStyle w:val="FootnoteReference"/>
        </w:rPr>
        <w:footnoteRef/>
      </w:r>
      <w:r>
        <w:t xml:space="preserve"> </w:t>
      </w:r>
      <w:r>
        <w:t xml:space="preserve">Vanhee 2020, PMID 31667971.</w:t>
      </w:r>
    </w:p>
  </w:footnote>
  <w:footnote w:id="1663">
    <w:p>
      <w:pPr>
        <w:pStyle w:val="FootnoteText"/>
      </w:pPr>
      <w:r>
        <w:rPr>
          <w:rStyle w:val="FootnoteReference"/>
        </w:rPr>
        <w:footnoteRef/>
      </w:r>
      <w:r>
        <w:t xml:space="preserve"> </w:t>
      </w:r>
      <w:r>
        <w:t xml:space="preserve">Hong 2009, PMID 19765131.</w:t>
      </w:r>
    </w:p>
  </w:footnote>
  <w:footnote w:id="1664">
    <w:p>
      <w:pPr>
        <w:pStyle w:val="FootnoteText"/>
      </w:pPr>
      <w:r>
        <w:rPr>
          <w:rStyle w:val="FootnoteReference"/>
        </w:rPr>
        <w:footnoteRef/>
      </w:r>
      <w:r>
        <w:t xml:space="preserve"> </w:t>
      </w:r>
      <w:r>
        <w:t xml:space="preserve">NCT00868283.</w:t>
      </w:r>
    </w:p>
  </w:footnote>
  <w:footnote w:id="1665">
    <w:p>
      <w:pPr>
        <w:pStyle w:val="FootnoteText"/>
      </w:pPr>
      <w:r>
        <w:rPr>
          <w:rStyle w:val="FootnoteReference"/>
        </w:rPr>
        <w:footnoteRef/>
      </w:r>
      <w:r>
        <w:t xml:space="preserve"> </w:t>
      </w:r>
      <w:r>
        <w:t xml:space="preserve">Heiss 2012, PMID 22282884.</w:t>
      </w:r>
    </w:p>
  </w:footnote>
  <w:footnote w:id="1666">
    <w:p>
      <w:pPr>
        <w:pStyle w:val="FootnoteText"/>
      </w:pPr>
      <w:r>
        <w:rPr>
          <w:rStyle w:val="FootnoteReference"/>
        </w:rPr>
        <w:footnoteRef/>
      </w:r>
      <w:r>
        <w:t xml:space="preserve"> </w:t>
      </w:r>
      <w:r>
        <w:t xml:space="preserve">Lang 2013, PMID 23009193.</w:t>
      </w:r>
    </w:p>
  </w:footnote>
  <w:footnote w:id="1667">
    <w:p>
      <w:pPr>
        <w:pStyle w:val="FootnoteText"/>
      </w:pPr>
      <w:r>
        <w:rPr>
          <w:rStyle w:val="FootnoteReference"/>
        </w:rPr>
        <w:footnoteRef/>
      </w:r>
      <w:r>
        <w:t xml:space="preserve"> </w:t>
      </w:r>
      <w:r>
        <w:t xml:space="preserve">Khasanova 2023, PMID 36973684.</w:t>
      </w:r>
    </w:p>
  </w:footnote>
  <w:footnote w:id="1668">
    <w:p>
      <w:pPr>
        <w:pStyle w:val="FootnoteText"/>
      </w:pPr>
      <w:r>
        <w:rPr>
          <w:rStyle w:val="FootnoteReference"/>
        </w:rPr>
        <w:footnoteRef/>
      </w:r>
      <w:r>
        <w:t xml:space="preserve"> </w:t>
      </w:r>
      <w:r>
        <w:t xml:space="preserve">Staszewski 2025, PMID 40325343.</w:t>
      </w:r>
    </w:p>
  </w:footnote>
  <w:footnote w:id="1670">
    <w:p>
      <w:pPr>
        <w:pStyle w:val="FootnoteText"/>
      </w:pPr>
      <w:r>
        <w:rPr>
          <w:rStyle w:val="FootnoteReference"/>
        </w:rPr>
        <w:footnoteRef/>
      </w:r>
      <w:r>
        <w:t xml:space="preserve"> </w:t>
      </w:r>
      <w:r>
        <w:t xml:space="preserve">Muresanu 2016, PMID 26564102.</w:t>
      </w:r>
    </w:p>
  </w:footnote>
  <w:footnote w:id="1671">
    <w:p>
      <w:pPr>
        <w:pStyle w:val="FootnoteText"/>
      </w:pPr>
      <w:r>
        <w:rPr>
          <w:rStyle w:val="FootnoteReference"/>
        </w:rPr>
        <w:footnoteRef/>
      </w:r>
      <w:r>
        <w:t xml:space="preserve"> </w:t>
      </w:r>
      <w:r>
        <w:t xml:space="preserve">Guekht 2017, PMID 28707130.</w:t>
      </w:r>
    </w:p>
  </w:footnote>
  <w:footnote w:id="1672">
    <w:p>
      <w:pPr>
        <w:pStyle w:val="FootnoteText"/>
      </w:pPr>
      <w:r>
        <w:rPr>
          <w:rStyle w:val="FootnoteReference"/>
        </w:rPr>
        <w:footnoteRef/>
      </w:r>
      <w:r>
        <w:t xml:space="preserve"> </w:t>
      </w:r>
      <w:r>
        <w:t xml:space="preserve">Stan 2017, PMID 29362596.</w:t>
      </w:r>
    </w:p>
  </w:footnote>
  <w:footnote w:id="1673">
    <w:p>
      <w:pPr>
        <w:pStyle w:val="FootnoteText"/>
      </w:pPr>
      <w:r>
        <w:rPr>
          <w:rStyle w:val="FootnoteReference"/>
        </w:rPr>
        <w:footnoteRef/>
      </w:r>
      <w:r>
        <w:t xml:space="preserve"> </w:t>
      </w:r>
      <w:r>
        <w:t xml:space="preserve">Chang 2016, PMID 26934986.</w:t>
      </w:r>
    </w:p>
  </w:footnote>
  <w:footnote w:id="1674">
    <w:p>
      <w:pPr>
        <w:pStyle w:val="FootnoteText"/>
      </w:pPr>
      <w:r>
        <w:rPr>
          <w:rStyle w:val="FootnoteReference"/>
        </w:rPr>
        <w:footnoteRef/>
      </w:r>
      <w:r>
        <w:t xml:space="preserve"> </w:t>
      </w:r>
      <w:r>
        <w:t xml:space="preserve">Homberg 2025, PMID 39957612.</w:t>
      </w:r>
    </w:p>
  </w:footnote>
  <w:footnote w:id="1675">
    <w:p>
      <w:pPr>
        <w:pStyle w:val="FootnoteText"/>
      </w:pPr>
      <w:r>
        <w:rPr>
          <w:rStyle w:val="FootnoteReference"/>
        </w:rPr>
        <w:footnoteRef/>
      </w:r>
      <w:r>
        <w:t xml:space="preserve"> </w:t>
      </w:r>
      <w:r>
        <w:t xml:space="preserve">Beghi 2021, PMID 34152062.</w:t>
      </w:r>
    </w:p>
  </w:footnote>
  <w:footnote w:id="1677">
    <w:p>
      <w:pPr>
        <w:pStyle w:val="FootnoteText"/>
      </w:pPr>
      <w:r>
        <w:rPr>
          <w:rStyle w:val="FootnoteReference"/>
        </w:rPr>
        <w:footnoteRef/>
      </w:r>
      <w:r>
        <w:t xml:space="preserve"> </w:t>
      </w:r>
      <w:r>
        <w:t xml:space="preserve">Ziganshina 2020, PMID 32662068.</w:t>
      </w:r>
    </w:p>
  </w:footnote>
  <w:footnote w:id="1678">
    <w:p>
      <w:pPr>
        <w:pStyle w:val="FootnoteText"/>
      </w:pPr>
      <w:r>
        <w:rPr>
          <w:rStyle w:val="FootnoteReference"/>
        </w:rPr>
        <w:footnoteRef/>
      </w:r>
      <w:r>
        <w:t xml:space="preserve"> </w:t>
      </w:r>
      <w:r>
        <w:t xml:space="preserve">Ziganshina 2023, PMID 37818733.</w:t>
      </w:r>
    </w:p>
  </w:footnote>
  <w:footnote w:id="1679">
    <w:p>
      <w:pPr>
        <w:pStyle w:val="FootnoteText"/>
      </w:pPr>
      <w:r>
        <w:rPr>
          <w:rStyle w:val="FootnoteReference"/>
        </w:rPr>
        <w:footnoteRef/>
      </w:r>
      <w:r>
        <w:t xml:space="preserve"> </w:t>
      </w:r>
      <w:r>
        <w:t xml:space="preserve">Bornstein 2018, PMID 29248999.</w:t>
      </w:r>
    </w:p>
  </w:footnote>
  <w:footnote w:id="1680">
    <w:p>
      <w:pPr>
        <w:pStyle w:val="FootnoteText"/>
      </w:pPr>
      <w:r>
        <w:rPr>
          <w:rStyle w:val="FootnoteReference"/>
        </w:rPr>
        <w:footnoteRef/>
      </w:r>
      <w:r>
        <w:t xml:space="preserve"> </w:t>
      </w:r>
      <w:r>
        <w:t xml:space="preserve">Strilciuc 2021, PMID 34959697.</w:t>
      </w:r>
    </w:p>
  </w:footnote>
  <w:footnote w:id="1682">
    <w:p>
      <w:pPr>
        <w:pStyle w:val="FootnoteText"/>
      </w:pPr>
      <w:r>
        <w:rPr>
          <w:rStyle w:val="FootnoteReference"/>
        </w:rPr>
        <w:footnoteRef/>
      </w:r>
      <w:r>
        <w:t xml:space="preserve"> </w:t>
      </w:r>
      <w:r>
        <w:t xml:space="preserve">Vosko 2025, PMID 40851188; NCT03480698.</w:t>
      </w:r>
    </w:p>
  </w:footnote>
  <w:footnote w:id="1684">
    <w:p>
      <w:pPr>
        <w:pStyle w:val="FootnoteText"/>
      </w:pPr>
      <w:r>
        <w:rPr>
          <w:rStyle w:val="FootnoteReference"/>
        </w:rPr>
        <w:footnoteRef/>
      </w:r>
      <w:r>
        <w:t xml:space="preserve"> </w:t>
      </w:r>
      <w:r>
        <w:t xml:space="preserve">Bajenaru 2010, PMID 20968198.</w:t>
      </w:r>
    </w:p>
  </w:footnote>
  <w:footnote w:id="1685">
    <w:p>
      <w:pPr>
        <w:pStyle w:val="FootnoteText"/>
      </w:pPr>
      <w:r>
        <w:rPr>
          <w:rStyle w:val="FootnoteReference"/>
        </w:rPr>
        <w:footnoteRef/>
      </w:r>
      <w:r>
        <w:t xml:space="preserve"> </w:t>
      </w:r>
      <w:r>
        <w:t xml:space="preserve">Woo 2020, PMID 33143640; NCT01787123.</w:t>
      </w:r>
    </w:p>
  </w:footnote>
  <w:footnote w:id="1686">
    <w:p>
      <w:pPr>
        <w:pStyle w:val="FootnoteText"/>
      </w:pPr>
      <w:r>
        <w:rPr>
          <w:rStyle w:val="FootnoteReference"/>
        </w:rPr>
        <w:footnoteRef/>
      </w:r>
      <w:r>
        <w:t xml:space="preserve"> </w:t>
      </w:r>
      <w:r>
        <w:t xml:space="preserve">Kobayashi 2025, PMID 41180520.</w:t>
      </w:r>
    </w:p>
  </w:footnote>
  <w:footnote w:id="1688">
    <w:p>
      <w:pPr>
        <w:pStyle w:val="FootnoteText"/>
      </w:pPr>
      <w:r>
        <w:rPr>
          <w:rStyle w:val="FootnoteReference"/>
        </w:rPr>
        <w:footnoteRef/>
      </w:r>
      <w:r>
        <w:t xml:space="preserve"> </w:t>
      </w:r>
      <w:r>
        <w:t xml:space="preserve">Ghaffarpasand 2019, PMID 30643411; Jarosz 2023, PMID 36979317.</w:t>
      </w:r>
    </w:p>
  </w:footnote>
  <w:footnote w:id="1690">
    <w:p>
      <w:pPr>
        <w:pStyle w:val="FootnoteText"/>
      </w:pPr>
      <w:r>
        <w:rPr>
          <w:rStyle w:val="FootnoteReference"/>
        </w:rPr>
        <w:footnoteRef/>
      </w:r>
      <w:r>
        <w:t xml:space="preserve"> </w:t>
      </w:r>
      <w:r>
        <w:t xml:space="preserve">Panisset 2002, PMID 12111446.</w:t>
      </w:r>
    </w:p>
  </w:footnote>
  <w:footnote w:id="1691">
    <w:p>
      <w:pPr>
        <w:pStyle w:val="FootnoteText"/>
      </w:pPr>
      <w:r>
        <w:rPr>
          <w:rStyle w:val="FootnoteReference"/>
        </w:rPr>
        <w:footnoteRef/>
      </w:r>
      <w:r>
        <w:t xml:space="preserve"> </w:t>
      </w:r>
      <w:r>
        <w:t xml:space="preserve">Alvarez 2011, PMID 21679156.</w:t>
      </w:r>
    </w:p>
  </w:footnote>
  <w:footnote w:id="1692">
    <w:p>
      <w:pPr>
        <w:pStyle w:val="FootnoteText"/>
      </w:pPr>
      <w:r>
        <w:rPr>
          <w:rStyle w:val="FootnoteReference"/>
        </w:rPr>
        <w:footnoteRef/>
      </w:r>
      <w:r>
        <w:t xml:space="preserve"> </w:t>
      </w:r>
      <w:r>
        <w:t xml:space="preserve">Gauthier 2015, PMID 25832905.</w:t>
      </w:r>
    </w:p>
  </w:footnote>
  <w:footnote w:id="1693">
    <w:p>
      <w:pPr>
        <w:pStyle w:val="FootnoteText"/>
      </w:pPr>
      <w:r>
        <w:rPr>
          <w:rStyle w:val="FootnoteReference"/>
        </w:rPr>
        <w:footnoteRef/>
      </w:r>
      <w:r>
        <w:t xml:space="preserve"> </w:t>
      </w:r>
      <w:r>
        <w:t xml:space="preserve">Guekht 2011, PMID 20656516.</w:t>
      </w:r>
    </w:p>
  </w:footnote>
  <w:footnote w:id="1694">
    <w:p>
      <w:pPr>
        <w:pStyle w:val="FootnoteText"/>
      </w:pPr>
      <w:r>
        <w:rPr>
          <w:rStyle w:val="FootnoteReference"/>
        </w:rPr>
        <w:footnoteRef/>
      </w:r>
      <w:r>
        <w:t xml:space="preserve"> </w:t>
      </w:r>
      <w:r>
        <w:t xml:space="preserve">Cui 2019, PMID 31710397.</w:t>
      </w:r>
    </w:p>
  </w:footnote>
  <w:footnote w:id="1696">
    <w:p>
      <w:pPr>
        <w:pStyle w:val="FootnoteText"/>
      </w:pPr>
      <w:r>
        <w:rPr>
          <w:rStyle w:val="FootnoteReference"/>
        </w:rPr>
        <w:footnoteRef/>
      </w:r>
      <w:r>
        <w:t xml:space="preserve"> </w:t>
      </w:r>
      <w:r>
        <w:t xml:space="preserve">Funke 1998, PMID 9700674.</w:t>
      </w:r>
    </w:p>
  </w:footnote>
  <w:footnote w:id="1699">
    <w:p>
      <w:pPr>
        <w:pStyle w:val="FootnoteText"/>
      </w:pPr>
      <w:r>
        <w:rPr>
          <w:rStyle w:val="FootnoteReference"/>
        </w:rPr>
        <w:footnoteRef/>
      </w:r>
      <w:r>
        <w:t xml:space="preserve"> </w:t>
      </w:r>
      <w:r>
        <w:t xml:space="preserve">Zhang 2016, PMID 26763925.</w:t>
      </w:r>
    </w:p>
  </w:footnote>
  <w:footnote w:id="1700">
    <w:p>
      <w:pPr>
        <w:pStyle w:val="FootnoteText"/>
      </w:pPr>
      <w:r>
        <w:rPr>
          <w:rStyle w:val="FootnoteReference"/>
        </w:rPr>
        <w:footnoteRef/>
      </w:r>
      <w:r>
        <w:t xml:space="preserve"> </w:t>
      </w:r>
      <w:r>
        <w:t xml:space="preserve">Zhang 2019, PMID 30499355.</w:t>
      </w:r>
    </w:p>
  </w:footnote>
  <w:footnote w:id="1701">
    <w:p>
      <w:pPr>
        <w:pStyle w:val="FootnoteText"/>
      </w:pPr>
      <w:r>
        <w:rPr>
          <w:rStyle w:val="FootnoteReference"/>
        </w:rPr>
        <w:footnoteRef/>
      </w:r>
      <w:r>
        <w:t xml:space="preserve"> </w:t>
      </w:r>
      <w:r>
        <w:t xml:space="preserve">Kastberger 2024, PMID 38062874.</w:t>
      </w:r>
    </w:p>
  </w:footnote>
  <w:footnote w:id="1703">
    <w:p>
      <w:pPr>
        <w:pStyle w:val="FootnoteText"/>
      </w:pPr>
      <w:r>
        <w:rPr>
          <w:rStyle w:val="FootnoteReference"/>
        </w:rPr>
        <w:footnoteRef/>
      </w:r>
      <w:r>
        <w:t xml:space="preserve"> </w:t>
      </w:r>
      <w:r>
        <w:t xml:space="preserve">Panisset 2002, PMID 12111446.</w:t>
      </w:r>
    </w:p>
  </w:footnote>
  <w:footnote w:id="1704">
    <w:p>
      <w:pPr>
        <w:pStyle w:val="FootnoteText"/>
      </w:pPr>
      <w:r>
        <w:rPr>
          <w:rStyle w:val="FootnoteReference"/>
        </w:rPr>
        <w:footnoteRef/>
      </w:r>
      <w:r>
        <w:t xml:space="preserve"> </w:t>
      </w:r>
      <w:r>
        <w:t xml:space="preserve">Strilciuc 2021, PMID 34959697.</w:t>
      </w:r>
    </w:p>
  </w:footnote>
  <w:footnote w:id="1705">
    <w:p>
      <w:pPr>
        <w:pStyle w:val="FootnoteText"/>
      </w:pPr>
      <w:r>
        <w:rPr>
          <w:rStyle w:val="FootnoteReference"/>
        </w:rPr>
        <w:footnoteRef/>
      </w:r>
      <w:r>
        <w:t xml:space="preserve"> </w:t>
      </w:r>
      <w:r>
        <w:t xml:space="preserve">Trimmel 2024, PMID 39055722.</w:t>
      </w:r>
    </w:p>
  </w:footnote>
  <w:footnote w:id="1708">
    <w:p>
      <w:pPr>
        <w:pStyle w:val="FootnoteText"/>
      </w:pPr>
      <w:r>
        <w:rPr>
          <w:rStyle w:val="FootnoteReference"/>
        </w:rPr>
        <w:footnoteRef/>
      </w:r>
      <w:r>
        <w:t xml:space="preserve"> </w:t>
      </w:r>
      <w:r>
        <w:t xml:space="preserve">NCT05755997.</w:t>
      </w:r>
    </w:p>
  </w:footnote>
  <w:footnote w:id="1709">
    <w:p>
      <w:pPr>
        <w:pStyle w:val="FootnoteText"/>
      </w:pPr>
      <w:r>
        <w:rPr>
          <w:rStyle w:val="FootnoteReference"/>
        </w:rPr>
        <w:footnoteRef/>
      </w:r>
      <w:r>
        <w:t xml:space="preserve"> </w:t>
      </w:r>
      <w:r>
        <w:t xml:space="preserve">NCT06897176.</w:t>
      </w:r>
    </w:p>
  </w:footnote>
  <w:footnote w:id="1710">
    <w:p>
      <w:pPr>
        <w:pStyle w:val="FootnoteText"/>
      </w:pPr>
      <w:r>
        <w:rPr>
          <w:rStyle w:val="FootnoteReference"/>
        </w:rPr>
        <w:footnoteRef/>
      </w:r>
      <w:r>
        <w:t xml:space="preserve"> </w:t>
      </w:r>
      <w:r>
        <w:t xml:space="preserve">NCT06339411.</w:t>
      </w:r>
    </w:p>
  </w:footnote>
  <w:footnote w:id="1715">
    <w:p>
      <w:pPr>
        <w:pStyle w:val="FootnoteText"/>
      </w:pPr>
      <w:r>
        <w:rPr>
          <w:rStyle w:val="FootnoteReference"/>
        </w:rPr>
        <w:footnoteRef/>
      </w:r>
      <w:r>
        <w:t xml:space="preserve"> </w:t>
      </w:r>
      <w:r>
        <w:t xml:space="preserve">McCoy 2013, PMID 23055539.</w:t>
      </w:r>
    </w:p>
  </w:footnote>
  <w:footnote w:id="1716">
    <w:p>
      <w:pPr>
        <w:pStyle w:val="FootnoteText"/>
      </w:pPr>
      <w:r>
        <w:rPr>
          <w:rStyle w:val="FootnoteReference"/>
        </w:rPr>
        <w:footnoteRef/>
      </w:r>
      <w:r>
        <w:t xml:space="preserve"> </w:t>
      </w:r>
      <w:r>
        <w:t xml:space="preserve">Benoist 2014, PMID 25187433.</w:t>
      </w:r>
    </w:p>
  </w:footnote>
  <w:footnote w:id="1718">
    <w:p>
      <w:pPr>
        <w:pStyle w:val="FootnoteText"/>
      </w:pPr>
      <w:r>
        <w:rPr>
          <w:rStyle w:val="FootnoteReference"/>
        </w:rPr>
        <w:footnoteRef/>
      </w:r>
      <w:r>
        <w:t xml:space="preserve"> </w:t>
      </w:r>
      <w:r>
        <w:t xml:space="preserve">NCT04488419.</w:t>
      </w:r>
    </w:p>
  </w:footnote>
  <w:footnote w:id="1719">
    <w:p>
      <w:pPr>
        <w:pStyle w:val="FootnoteText"/>
      </w:pPr>
      <w:r>
        <w:rPr>
          <w:rStyle w:val="FootnoteReference"/>
        </w:rPr>
        <w:footnoteRef/>
      </w:r>
      <w:r>
        <w:t xml:space="preserve"> </w:t>
      </w:r>
      <w:r>
        <w:t xml:space="preserve">Porsteinsson 2025, PMID 41393340.</w:t>
      </w:r>
    </w:p>
  </w:footnote>
  <w:footnote w:id="1720">
    <w:p>
      <w:pPr>
        <w:pStyle w:val="FootnoteText"/>
      </w:pPr>
      <w:r>
        <w:rPr>
          <w:rStyle w:val="FootnoteReference"/>
        </w:rPr>
        <w:footnoteRef/>
      </w:r>
      <w:r>
        <w:t xml:space="preserve"> </w:t>
      </w:r>
      <w:r>
        <w:t xml:space="preserve">NCT04831281.</w:t>
      </w:r>
    </w:p>
  </w:footnote>
  <w:footnote w:id="1723">
    <w:p>
      <w:pPr>
        <w:pStyle w:val="FootnoteText"/>
      </w:pPr>
      <w:r>
        <w:rPr>
          <w:rStyle w:val="FootnoteReference"/>
        </w:rPr>
        <w:footnoteRef/>
      </w:r>
      <w:r>
        <w:t xml:space="preserve"> </w:t>
      </w:r>
      <w:r>
        <w:t xml:space="preserve">McCoy 2013, PMID 23055539.</w:t>
      </w:r>
    </w:p>
  </w:footnote>
  <w:footnote w:id="1724">
    <w:p>
      <w:pPr>
        <w:pStyle w:val="FootnoteText"/>
      </w:pPr>
      <w:r>
        <w:rPr>
          <w:rStyle w:val="FootnoteReference"/>
        </w:rPr>
        <w:footnoteRef/>
      </w:r>
      <w:r>
        <w:t xml:space="preserve"> </w:t>
      </w:r>
      <w:r>
        <w:t xml:space="preserve">Sun 2021, PMID 34827486.</w:t>
      </w:r>
    </w:p>
  </w:footnote>
  <w:footnote w:id="1725">
    <w:p>
      <w:pPr>
        <w:pStyle w:val="FootnoteText"/>
      </w:pPr>
      <w:r>
        <w:rPr>
          <w:rStyle w:val="FootnoteReference"/>
        </w:rPr>
        <w:footnoteRef/>
      </w:r>
      <w:r>
        <w:t xml:space="preserve"> </w:t>
      </w:r>
      <w:r>
        <w:t xml:space="preserve">Wells 2024, PMID 38489193.</w:t>
      </w:r>
    </w:p>
  </w:footnote>
  <w:footnote w:id="1726">
    <w:p>
      <w:pPr>
        <w:pStyle w:val="FootnoteText"/>
      </w:pPr>
      <w:r>
        <w:rPr>
          <w:rStyle w:val="FootnoteReference"/>
        </w:rPr>
        <w:footnoteRef/>
      </w:r>
      <w:r>
        <w:t xml:space="preserve"> </w:t>
      </w:r>
      <w:r>
        <w:t xml:space="preserve">Uribe 2015, PMID 25674052.</w:t>
      </w:r>
    </w:p>
  </w:footnote>
  <w:footnote w:id="1727">
    <w:p>
      <w:pPr>
        <w:pStyle w:val="FootnoteText"/>
      </w:pPr>
      <w:r>
        <w:rPr>
          <w:rStyle w:val="FootnoteReference"/>
        </w:rPr>
        <w:footnoteRef/>
      </w:r>
      <w:r>
        <w:t xml:space="preserve"> </w:t>
      </w:r>
      <w:r>
        <w:t xml:space="preserve">Pan 2022, PMID 35410439.</w:t>
      </w:r>
    </w:p>
  </w:footnote>
  <w:footnote w:id="1728">
    <w:p>
      <w:pPr>
        <w:pStyle w:val="FootnoteText"/>
      </w:pPr>
      <w:r>
        <w:rPr>
          <w:rStyle w:val="FootnoteReference"/>
        </w:rPr>
        <w:footnoteRef/>
      </w:r>
      <w:r>
        <w:t xml:space="preserve"> </w:t>
      </w:r>
      <w:r>
        <w:t xml:space="preserve">Ho 2018, PMID 29733881.</w:t>
      </w:r>
    </w:p>
  </w:footnote>
  <w:footnote w:id="1730">
    <w:p>
      <w:pPr>
        <w:pStyle w:val="FootnoteText"/>
      </w:pPr>
      <w:r>
        <w:rPr>
          <w:rStyle w:val="FootnoteReference"/>
        </w:rPr>
        <w:footnoteRef/>
      </w:r>
      <w:r>
        <w:t xml:space="preserve"> </w:t>
      </w:r>
      <w:r>
        <w:t xml:space="preserve">Wright 2015, PMID 25649658.</w:t>
      </w:r>
    </w:p>
  </w:footnote>
  <w:footnote w:id="1737">
    <w:p>
      <w:pPr>
        <w:pStyle w:val="FootnoteText"/>
      </w:pPr>
      <w:r>
        <w:rPr>
          <w:rStyle w:val="FootnoteReference"/>
        </w:rPr>
        <w:footnoteRef/>
      </w:r>
      <w:r>
        <w:t xml:space="preserve"> </w:t>
      </w:r>
      <w:r>
        <w:t xml:space="preserve">Monnier 1977, PMID 862769.</w:t>
      </w:r>
    </w:p>
  </w:footnote>
  <w:footnote w:id="1738">
    <w:p>
      <w:pPr>
        <w:pStyle w:val="FootnoteText"/>
      </w:pPr>
      <w:r>
        <w:rPr>
          <w:rStyle w:val="FootnoteReference"/>
        </w:rPr>
        <w:footnoteRef/>
      </w:r>
      <w:r>
        <w:t xml:space="preserve"> </w:t>
      </w:r>
      <w:r>
        <w:t xml:space="preserve">Kovalzon 2006, PMID 16539679.</w:t>
      </w:r>
    </w:p>
  </w:footnote>
  <w:footnote w:id="1739">
    <w:p>
      <w:pPr>
        <w:pStyle w:val="FootnoteText"/>
      </w:pPr>
      <w:r>
        <w:rPr>
          <w:rStyle w:val="FootnoteReference"/>
        </w:rPr>
        <w:footnoteRef/>
      </w:r>
      <w:r>
        <w:t xml:space="preserve"> </w:t>
      </w:r>
      <w:r>
        <w:t xml:space="preserve">Zlokovic 1988, PMID 3420012.</w:t>
      </w:r>
    </w:p>
  </w:footnote>
  <w:footnote w:id="1741">
    <w:p>
      <w:pPr>
        <w:pStyle w:val="FootnoteText"/>
      </w:pPr>
      <w:r>
        <w:rPr>
          <w:rStyle w:val="FootnoteReference"/>
        </w:rPr>
        <w:footnoteRef/>
      </w:r>
      <w:r>
        <w:t xml:space="preserve"> </w:t>
      </w:r>
      <w:r>
        <w:t xml:space="preserve">Schneider-Helmert 1981, PMID 6895513.</w:t>
      </w:r>
    </w:p>
  </w:footnote>
  <w:footnote w:id="1742">
    <w:p>
      <w:pPr>
        <w:pStyle w:val="FootnoteText"/>
      </w:pPr>
      <w:r>
        <w:rPr>
          <w:rStyle w:val="FootnoteReference"/>
        </w:rPr>
        <w:footnoteRef/>
      </w:r>
      <w:r>
        <w:t xml:space="preserve"> </w:t>
      </w:r>
      <w:r>
        <w:t xml:space="preserve">Schneider-Helmert 1987, PMID 3622582.</w:t>
      </w:r>
    </w:p>
  </w:footnote>
  <w:footnote w:id="1743">
    <w:p>
      <w:pPr>
        <w:pStyle w:val="FootnoteText"/>
      </w:pPr>
      <w:r>
        <w:rPr>
          <w:rStyle w:val="FootnoteReference"/>
        </w:rPr>
        <w:footnoteRef/>
      </w:r>
      <w:r>
        <w:t xml:space="preserve"> </w:t>
      </w:r>
      <w:r>
        <w:t xml:space="preserve">Monti 1987, PMID 3583493.</w:t>
      </w:r>
    </w:p>
  </w:footnote>
  <w:footnote w:id="1744">
    <w:p>
      <w:pPr>
        <w:pStyle w:val="FootnoteText"/>
      </w:pPr>
      <w:r>
        <w:rPr>
          <w:rStyle w:val="FootnoteReference"/>
        </w:rPr>
        <w:footnoteRef/>
      </w:r>
      <w:r>
        <w:t xml:space="preserve"> </w:t>
      </w:r>
      <w:r>
        <w:t xml:space="preserve">Bes 1992, PMID 1299794.</w:t>
      </w:r>
    </w:p>
  </w:footnote>
  <w:footnote w:id="1746">
    <w:p>
      <w:pPr>
        <w:pStyle w:val="FootnoteText"/>
      </w:pPr>
      <w:r>
        <w:rPr>
          <w:rStyle w:val="FootnoteReference"/>
        </w:rPr>
        <w:footnoteRef/>
      </w:r>
      <w:r>
        <w:t xml:space="preserve"> </w:t>
      </w:r>
      <w:r>
        <w:t xml:space="preserve">Dick 1984, PMID 6548969.</w:t>
      </w:r>
    </w:p>
  </w:footnote>
  <w:footnote w:id="1747">
    <w:p>
      <w:pPr>
        <w:pStyle w:val="FootnoteText"/>
      </w:pPr>
      <w:r>
        <w:rPr>
          <w:rStyle w:val="FootnoteReference"/>
        </w:rPr>
        <w:footnoteRef/>
      </w:r>
      <w:r>
        <w:t xml:space="preserve"> </w:t>
      </w:r>
      <w:r>
        <w:t xml:space="preserve">Backmund 1998, PMID 9617990.</w:t>
      </w:r>
    </w:p>
  </w:footnote>
  <w:footnote w:id="1748">
    <w:p>
      <w:pPr>
        <w:pStyle w:val="FootnoteText"/>
      </w:pPr>
      <w:r>
        <w:rPr>
          <w:rStyle w:val="FootnoteReference"/>
        </w:rPr>
        <w:footnoteRef/>
      </w:r>
      <w:r>
        <w:t xml:space="preserve"> </w:t>
      </w:r>
      <w:r>
        <w:t xml:space="preserve">Larbig 1984, PMID 6548970.</w:t>
      </w:r>
    </w:p>
  </w:footnote>
  <w:footnote w:id="1749">
    <w:p>
      <w:pPr>
        <w:pStyle w:val="FootnoteText"/>
      </w:pPr>
      <w:r>
        <w:rPr>
          <w:rStyle w:val="FootnoteReference"/>
        </w:rPr>
        <w:footnoteRef/>
      </w:r>
      <w:r>
        <w:t xml:space="preserve"> </w:t>
      </w:r>
      <w:r>
        <w:t xml:space="preserve">Schneider-Helmert 1984, PMID 6548968.</w:t>
      </w:r>
    </w:p>
  </w:footnote>
  <w:footnote w:id="1750">
    <w:p>
      <w:pPr>
        <w:pStyle w:val="FootnoteText"/>
      </w:pPr>
      <w:r>
        <w:rPr>
          <w:rStyle w:val="FootnoteReference"/>
        </w:rPr>
        <w:footnoteRef/>
      </w:r>
      <w:r>
        <w:t xml:space="preserve"> </w:t>
      </w:r>
      <w:r>
        <w:t xml:space="preserve">Kresiun 2014, PMID 25739189.</w:t>
      </w:r>
    </w:p>
  </w:footnote>
  <w:footnote w:id="1752">
    <w:p>
      <w:pPr>
        <w:pStyle w:val="FootnoteText"/>
      </w:pPr>
      <w:r>
        <w:rPr>
          <w:rStyle w:val="FootnoteReference"/>
        </w:rPr>
        <w:footnoteRef/>
      </w:r>
      <w:r>
        <w:t xml:space="preserve"> </w:t>
      </w:r>
      <w:r>
        <w:t xml:space="preserve">Bjartell 1989, PMID 2554357.</w:t>
      </w:r>
    </w:p>
  </w:footnote>
  <w:footnote w:id="1753">
    <w:p>
      <w:pPr>
        <w:pStyle w:val="FootnoteText"/>
      </w:pPr>
      <w:r>
        <w:rPr>
          <w:rStyle w:val="FootnoteReference"/>
        </w:rPr>
        <w:footnoteRef/>
      </w:r>
      <w:r>
        <w:t xml:space="preserve"> </w:t>
      </w:r>
      <w:r>
        <w:t xml:space="preserve">Späth-Schwalbe 1995, PMID 7777652.</w:t>
      </w:r>
    </w:p>
  </w:footnote>
  <w:footnote w:id="1754">
    <w:p>
      <w:pPr>
        <w:pStyle w:val="FootnoteText"/>
      </w:pPr>
      <w:r>
        <w:rPr>
          <w:rStyle w:val="FootnoteReference"/>
        </w:rPr>
        <w:footnoteRef/>
      </w:r>
      <w:r>
        <w:t xml:space="preserve"> </w:t>
      </w:r>
      <w:r>
        <w:t xml:space="preserve">Giusti 1993, PMID 8475226.</w:t>
      </w:r>
    </w:p>
  </w:footnote>
  <w:footnote w:id="1755">
    <w:p>
      <w:pPr>
        <w:pStyle w:val="FootnoteText"/>
      </w:pPr>
      <w:r>
        <w:rPr>
          <w:rStyle w:val="FootnoteReference"/>
        </w:rPr>
        <w:footnoteRef/>
      </w:r>
      <w:r>
        <w:t xml:space="preserve"> </w:t>
      </w:r>
      <w:r>
        <w:t xml:space="preserve">Pomfrett 2009, PMID 19142086.</w:t>
      </w:r>
    </w:p>
  </w:footnote>
  <w:footnote w:id="1758">
    <w:p>
      <w:pPr>
        <w:pStyle w:val="FootnoteText"/>
      </w:pPr>
      <w:r>
        <w:rPr>
          <w:rStyle w:val="FootnoteReference"/>
        </w:rPr>
        <w:footnoteRef/>
      </w:r>
      <w:r>
        <w:t xml:space="preserve"> </w:t>
      </w:r>
      <w:r>
        <w:t xml:space="preserve">Kovalzon 2006, PMID 16539679.</w:t>
      </w:r>
    </w:p>
  </w:footnote>
  <w:footnote w:id="1759">
    <w:p>
      <w:pPr>
        <w:pStyle w:val="FootnoteText"/>
      </w:pPr>
      <w:r>
        <w:rPr>
          <w:rStyle w:val="FootnoteReference"/>
        </w:rPr>
        <w:footnoteRef/>
      </w:r>
      <w:r>
        <w:t xml:space="preserve"> </w:t>
      </w:r>
      <w:r>
        <w:t xml:space="preserve">Voĭtenkov 2009, PMID 20405733.</w:t>
      </w:r>
    </w:p>
  </w:footnote>
  <w:footnote w:id="1761">
    <w:p>
      <w:pPr>
        <w:pStyle w:val="FootnoteText"/>
      </w:pPr>
      <w:r>
        <w:rPr>
          <w:rStyle w:val="FootnoteReference"/>
        </w:rPr>
        <w:footnoteRef/>
      </w:r>
      <w:r>
        <w:t xml:space="preserve"> </w:t>
      </w:r>
      <w:r>
        <w:t xml:space="preserve">Dick 1984, PMID 6548969.</w:t>
      </w:r>
    </w:p>
  </w:footnote>
  <w:footnote w:id="1762">
    <w:p>
      <w:pPr>
        <w:pStyle w:val="FootnoteText"/>
      </w:pPr>
      <w:r>
        <w:rPr>
          <w:rStyle w:val="FootnoteReference"/>
        </w:rPr>
        <w:footnoteRef/>
      </w:r>
      <w:r>
        <w:t xml:space="preserve"> </w:t>
      </w:r>
      <w:r>
        <w:t xml:space="preserve">Pomfrett 2009, PMID 19142086.</w:t>
      </w:r>
    </w:p>
  </w:footnote>
  <w:footnote w:id="1769">
    <w:p>
      <w:pPr>
        <w:pStyle w:val="FootnoteText"/>
      </w:pPr>
      <w:r>
        <w:rPr>
          <w:rStyle w:val="FootnoteReference"/>
        </w:rPr>
        <w:footnoteRef/>
      </w:r>
      <w:r>
        <w:t xml:space="preserve"> </w:t>
      </w:r>
      <w:r>
        <w:t xml:space="preserve">Khavinson 2003, PMID 12937682.</w:t>
      </w:r>
    </w:p>
  </w:footnote>
  <w:footnote w:id="1770">
    <w:p>
      <w:pPr>
        <w:pStyle w:val="FootnoteText"/>
      </w:pPr>
      <w:r>
        <w:rPr>
          <w:rStyle w:val="FootnoteReference"/>
        </w:rPr>
        <w:footnoteRef/>
      </w:r>
      <w:r>
        <w:t xml:space="preserve"> </w:t>
      </w:r>
      <w:r>
        <w:t xml:space="preserve">Khavinson 2003, PMID 14647006.</w:t>
      </w:r>
    </w:p>
  </w:footnote>
  <w:footnote w:id="1771">
    <w:p>
      <w:pPr>
        <w:pStyle w:val="FootnoteText"/>
      </w:pPr>
      <w:r>
        <w:rPr>
          <w:rStyle w:val="FootnoteReference"/>
        </w:rPr>
        <w:footnoteRef/>
      </w:r>
      <w:r>
        <w:t xml:space="preserve"> </w:t>
      </w:r>
      <w:r>
        <w:t xml:space="preserve">Araj 2025, PMID 40141333.</w:t>
      </w:r>
    </w:p>
  </w:footnote>
  <w:footnote w:id="1773">
    <w:p>
      <w:pPr>
        <w:pStyle w:val="FootnoteText"/>
      </w:pPr>
      <w:r>
        <w:rPr>
          <w:rStyle w:val="FootnoteReference"/>
        </w:rPr>
        <w:footnoteRef/>
      </w:r>
      <w:r>
        <w:t xml:space="preserve"> </w:t>
      </w:r>
      <w:r>
        <w:t xml:space="preserve">Jain 2026, PMID 42884164.</w:t>
      </w:r>
    </w:p>
  </w:footnote>
  <w:footnote w:id="1774">
    <w:p>
      <w:pPr>
        <w:pStyle w:val="FootnoteText"/>
      </w:pPr>
      <w:r>
        <w:rPr>
          <w:rStyle w:val="FootnoteReference"/>
        </w:rPr>
        <w:footnoteRef/>
      </w:r>
      <w:r>
        <w:t xml:space="preserve"> </w:t>
      </w:r>
      <w:r>
        <w:t xml:space="preserve">Khavinson 2002, PMID 12195242.</w:t>
      </w:r>
    </w:p>
  </w:footnote>
  <w:footnote w:id="1776">
    <w:p>
      <w:pPr>
        <w:pStyle w:val="FootnoteText"/>
      </w:pPr>
      <w:r>
        <w:rPr>
          <w:rStyle w:val="FootnoteReference"/>
        </w:rPr>
        <w:footnoteRef/>
      </w:r>
      <w:r>
        <w:t xml:space="preserve"> </w:t>
      </w:r>
      <w:r>
        <w:t xml:space="preserve">Khavinson 2003, PMID 14523363.</w:t>
      </w:r>
    </w:p>
  </w:footnote>
  <w:footnote w:id="1778">
    <w:p>
      <w:pPr>
        <w:pStyle w:val="FootnoteText"/>
      </w:pPr>
      <w:r>
        <w:rPr>
          <w:rStyle w:val="FootnoteReference"/>
        </w:rPr>
        <w:footnoteRef/>
      </w:r>
      <w:r>
        <w:t xml:space="preserve"> </w:t>
      </w:r>
      <w:r>
        <w:t xml:space="preserve">Khavinson 2003, PMID 12937682.</w:t>
      </w:r>
    </w:p>
  </w:footnote>
  <w:footnote w:id="1779">
    <w:p>
      <w:pPr>
        <w:pStyle w:val="FootnoteText"/>
      </w:pPr>
      <w:r>
        <w:rPr>
          <w:rStyle w:val="FootnoteReference"/>
        </w:rPr>
        <w:footnoteRef/>
      </w:r>
      <w:r>
        <w:t xml:space="preserve"> </w:t>
      </w:r>
      <w:r>
        <w:t xml:space="preserve">Khavinson 2004, PMID 15455129.</w:t>
      </w:r>
    </w:p>
  </w:footnote>
  <w:footnote w:id="1780">
    <w:p>
      <w:pPr>
        <w:pStyle w:val="FootnoteText"/>
      </w:pPr>
      <w:r>
        <w:rPr>
          <w:rStyle w:val="FootnoteReference"/>
        </w:rPr>
        <w:footnoteRef/>
      </w:r>
      <w:r>
        <w:t xml:space="preserve"> </w:t>
      </w:r>
      <w:r>
        <w:t xml:space="preserve">Al-Dulaimi 2025, PMID 40908429.</w:t>
      </w:r>
    </w:p>
  </w:footnote>
  <w:footnote w:id="1781">
    <w:p>
      <w:pPr>
        <w:pStyle w:val="FootnoteText"/>
      </w:pPr>
      <w:r>
        <w:rPr>
          <w:rStyle w:val="FootnoteReference"/>
        </w:rPr>
        <w:footnoteRef/>
      </w:r>
      <w:r>
        <w:t xml:space="preserve"> </w:t>
      </w:r>
      <w:r>
        <w:t xml:space="preserve">Khavinson 2019, PMID 31761987.</w:t>
      </w:r>
    </w:p>
  </w:footnote>
  <w:footnote w:id="1784">
    <w:p>
      <w:pPr>
        <w:pStyle w:val="FootnoteText"/>
      </w:pPr>
      <w:r>
        <w:rPr>
          <w:rStyle w:val="FootnoteReference"/>
        </w:rPr>
        <w:footnoteRef/>
      </w:r>
      <w:r>
        <w:t xml:space="preserve"> </w:t>
      </w:r>
      <w:r>
        <w:t xml:space="preserve">Anisimov 2003, PMID 14501183.</w:t>
      </w:r>
    </w:p>
  </w:footnote>
  <w:footnote w:id="1785">
    <w:p>
      <w:pPr>
        <w:pStyle w:val="FootnoteText"/>
      </w:pPr>
      <w:r>
        <w:rPr>
          <w:rStyle w:val="FootnoteReference"/>
        </w:rPr>
        <w:footnoteRef/>
      </w:r>
      <w:r>
        <w:t xml:space="preserve"> </w:t>
      </w:r>
      <w:r>
        <w:t xml:space="preserve">Khavinson 2000, PMID 11087911.</w:t>
      </w:r>
    </w:p>
  </w:footnote>
  <w:footnote w:id="1786">
    <w:p>
      <w:pPr>
        <w:pStyle w:val="FootnoteText"/>
      </w:pPr>
      <w:r>
        <w:rPr>
          <w:rStyle w:val="FootnoteReference"/>
        </w:rPr>
        <w:footnoteRef/>
      </w:r>
      <w:r>
        <w:t xml:space="preserve"> </w:t>
      </w:r>
      <w:r>
        <w:t xml:space="preserve">Khavinson 2003, PMID 12910293.</w:t>
      </w:r>
    </w:p>
  </w:footnote>
  <w:footnote w:id="1787">
    <w:p>
      <w:pPr>
        <w:pStyle w:val="FootnoteText"/>
      </w:pPr>
      <w:r>
        <w:rPr>
          <w:rStyle w:val="FootnoteReference"/>
        </w:rPr>
        <w:footnoteRef/>
      </w:r>
      <w:r>
        <w:t xml:space="preserve"> </w:t>
      </w:r>
      <w:r>
        <w:t xml:space="preserve">Yue 2022, PMID 35413689.</w:t>
      </w:r>
    </w:p>
  </w:footnote>
  <w:footnote w:id="1789">
    <w:p>
      <w:pPr>
        <w:pStyle w:val="FootnoteText"/>
      </w:pPr>
      <w:r>
        <w:rPr>
          <w:rStyle w:val="FootnoteReference"/>
        </w:rPr>
        <w:footnoteRef/>
      </w:r>
      <w:r>
        <w:t xml:space="preserve"> </w:t>
      </w:r>
      <w:r>
        <w:t xml:space="preserve">Al-Dulaimi 2025, PMID 40908429.</w:t>
      </w:r>
    </w:p>
  </w:footnote>
  <w:footnote w:id="1790">
    <w:p>
      <w:pPr>
        <w:pStyle w:val="FootnoteText"/>
      </w:pPr>
      <w:r>
        <w:rPr>
          <w:rStyle w:val="FootnoteReference"/>
        </w:rPr>
        <w:footnoteRef/>
      </w:r>
      <w:r>
        <w:t xml:space="preserve"> </w:t>
      </w:r>
      <w:r>
        <w:t xml:space="preserve">Anisimov 2003, PMID 14501183.</w:t>
      </w:r>
    </w:p>
  </w:footnote>
  <w:footnote w:id="1791">
    <w:p>
      <w:pPr>
        <w:pStyle w:val="FootnoteText"/>
      </w:pPr>
      <w:r>
        <w:rPr>
          <w:rStyle w:val="FootnoteReference"/>
        </w:rPr>
        <w:footnoteRef/>
      </w:r>
      <w:r>
        <w:t xml:space="preserve"> </w:t>
      </w:r>
      <w:r>
        <w:t xml:space="preserve">Jain 2026, PMID 42884164.</w:t>
      </w:r>
    </w:p>
  </w:footnote>
  <w:footnote w:id="1794">
    <w:p>
      <w:pPr>
        <w:pStyle w:val="FootnoteText"/>
      </w:pPr>
      <w:r>
        <w:rPr>
          <w:rStyle w:val="FootnoteReference"/>
        </w:rPr>
        <w:footnoteRef/>
      </w:r>
      <w:r>
        <w:t xml:space="preserve"> </w:t>
      </w:r>
      <w:r>
        <w:t xml:space="preserve">NCT07888595.</w:t>
      </w:r>
    </w:p>
  </w:footnote>
  <w:footnote w:id="1799">
    <w:p>
      <w:pPr>
        <w:pStyle w:val="FootnoteText"/>
      </w:pPr>
      <w:r>
        <w:rPr>
          <w:rStyle w:val="FootnoteReference"/>
        </w:rPr>
        <w:footnoteRef/>
      </w:r>
      <w:r>
        <w:t xml:space="preserve"> </w:t>
      </w:r>
      <w:r>
        <w:t xml:space="preserve">Fedoreyeva 2011, PMID 22117547.</w:t>
      </w:r>
    </w:p>
  </w:footnote>
  <w:footnote w:id="1800">
    <w:p>
      <w:pPr>
        <w:pStyle w:val="FootnoteText"/>
      </w:pPr>
      <w:r>
        <w:rPr>
          <w:rStyle w:val="FootnoteReference"/>
        </w:rPr>
        <w:footnoteRef/>
      </w:r>
      <w:r>
        <w:t xml:space="preserve"> </w:t>
      </w:r>
      <w:r>
        <w:t xml:space="preserve">Khavinson 2011, PMID 21978084.</w:t>
      </w:r>
    </w:p>
  </w:footnote>
  <w:footnote w:id="1801">
    <w:p>
      <w:pPr>
        <w:pStyle w:val="FootnoteText"/>
      </w:pPr>
      <w:r>
        <w:rPr>
          <w:rStyle w:val="FootnoteReference"/>
        </w:rPr>
        <w:footnoteRef/>
      </w:r>
      <w:r>
        <w:t xml:space="preserve"> </w:t>
      </w:r>
      <w:r>
        <w:t xml:space="preserve">Khavinson 2020, PMID 33396470.</w:t>
      </w:r>
    </w:p>
  </w:footnote>
  <w:footnote w:id="1803">
    <w:p>
      <w:pPr>
        <w:pStyle w:val="FootnoteText"/>
      </w:pPr>
      <w:r>
        <w:rPr>
          <w:rStyle w:val="FootnoteReference"/>
        </w:rPr>
        <w:footnoteRef/>
      </w:r>
      <w:r>
        <w:t xml:space="preserve"> </w:t>
      </w:r>
      <w:r>
        <w:t xml:space="preserve">Meshchaninov 2015, PMID 26390612.</w:t>
      </w:r>
    </w:p>
  </w:footnote>
  <w:footnote w:id="1805">
    <w:p>
      <w:pPr>
        <w:pStyle w:val="FootnoteText"/>
      </w:pPr>
      <w:r>
        <w:rPr>
          <w:rStyle w:val="FootnoteReference"/>
        </w:rPr>
        <w:footnoteRef/>
      </w:r>
      <w:r>
        <w:t xml:space="preserve"> </w:t>
      </w:r>
      <w:r>
        <w:t xml:space="preserve">Arutjunyan 2012, PMID 22567179.</w:t>
      </w:r>
    </w:p>
  </w:footnote>
  <w:footnote w:id="1806">
    <w:p>
      <w:pPr>
        <w:pStyle w:val="FootnoteText"/>
      </w:pPr>
      <w:r>
        <w:rPr>
          <w:rStyle w:val="FootnoteReference"/>
        </w:rPr>
        <w:footnoteRef/>
      </w:r>
      <w:r>
        <w:t xml:space="preserve"> </w:t>
      </w:r>
      <w:r>
        <w:t xml:space="preserve">Mendzheritsky 2015, PMID 28509493.</w:t>
      </w:r>
    </w:p>
  </w:footnote>
  <w:footnote w:id="1807">
    <w:p>
      <w:pPr>
        <w:pStyle w:val="FootnoteText"/>
      </w:pPr>
      <w:r>
        <w:rPr>
          <w:rStyle w:val="FootnoteReference"/>
        </w:rPr>
        <w:footnoteRef/>
      </w:r>
      <w:r>
        <w:t xml:space="preserve"> </w:t>
      </w:r>
      <w:r>
        <w:t xml:space="preserve">Khavinson 2011, PMID 21978084.</w:t>
      </w:r>
    </w:p>
  </w:footnote>
  <w:footnote w:id="1809">
    <w:p>
      <w:pPr>
        <w:pStyle w:val="FootnoteText"/>
      </w:pPr>
      <w:r>
        <w:rPr>
          <w:rStyle w:val="FootnoteReference"/>
        </w:rPr>
        <w:footnoteRef/>
      </w:r>
      <w:r>
        <w:t xml:space="preserve"> </w:t>
      </w:r>
      <w:r>
        <w:t xml:space="preserve">Meshchaninov 2015, PMID 26390612.</w:t>
      </w:r>
    </w:p>
  </w:footnote>
  <w:footnote w:id="1816">
    <w:p>
      <w:pPr>
        <w:pStyle w:val="FootnoteText"/>
      </w:pPr>
      <w:r>
        <w:rPr>
          <w:rStyle w:val="FootnoteReference"/>
        </w:rPr>
        <w:footnoteRef/>
      </w:r>
      <w:r>
        <w:t xml:space="preserve"> </w:t>
      </w:r>
      <w:r>
        <w:t xml:space="preserve">Lee 2015, PMID 25738459.</w:t>
      </w:r>
    </w:p>
  </w:footnote>
  <w:footnote w:id="1817">
    <w:p>
      <w:pPr>
        <w:pStyle w:val="FootnoteText"/>
      </w:pPr>
      <w:r>
        <w:rPr>
          <w:rStyle w:val="FootnoteReference"/>
        </w:rPr>
        <w:footnoteRef/>
      </w:r>
      <w:r>
        <w:t xml:space="preserve"> </w:t>
      </w:r>
      <w:r>
        <w:t xml:space="preserve">Kim 2018, PMID 29983246.</w:t>
      </w:r>
    </w:p>
  </w:footnote>
  <w:footnote w:id="1818">
    <w:p>
      <w:pPr>
        <w:pStyle w:val="FootnoteText"/>
      </w:pPr>
      <w:r>
        <w:rPr>
          <w:rStyle w:val="FootnoteReference"/>
        </w:rPr>
        <w:footnoteRef/>
      </w:r>
      <w:r>
        <w:t xml:space="preserve"> </w:t>
      </w:r>
      <w:r>
        <w:t xml:space="preserve">Reynolds 2021, PMID 33473109.</w:t>
      </w:r>
    </w:p>
  </w:footnote>
  <w:footnote w:id="1820">
    <w:p>
      <w:pPr>
        <w:pStyle w:val="FootnoteText"/>
      </w:pPr>
      <w:r>
        <w:rPr>
          <w:rStyle w:val="FootnoteReference"/>
        </w:rPr>
        <w:footnoteRef/>
      </w:r>
      <w:r>
        <w:t xml:space="preserve"> </w:t>
      </w:r>
      <w:r>
        <w:t xml:space="preserve">NCT03998514.</w:t>
      </w:r>
    </w:p>
  </w:footnote>
  <w:footnote w:id="1821">
    <w:p>
      <w:pPr>
        <w:pStyle w:val="FootnoteText"/>
      </w:pPr>
      <w:r>
        <w:rPr>
          <w:rStyle w:val="FootnoteReference"/>
        </w:rPr>
        <w:footnoteRef/>
      </w:r>
      <w:r>
        <w:t xml:space="preserve"> </w:t>
      </w:r>
      <w:r>
        <w:t xml:space="preserve">Du 2018, PMID 29691953; Kirik 2023, PMID 37750635; Qin 2018, PMID 29242099.</w:t>
      </w:r>
    </w:p>
  </w:footnote>
  <w:footnote w:id="1822">
    <w:p>
      <w:pPr>
        <w:pStyle w:val="FootnoteText"/>
      </w:pPr>
      <w:r>
        <w:rPr>
          <w:rStyle w:val="FootnoteReference"/>
        </w:rPr>
        <w:footnoteRef/>
      </w:r>
      <w:r>
        <w:t xml:space="preserve"> </w:t>
      </w:r>
      <w:r>
        <w:t xml:space="preserve">Du 2018, PMID 29691953.</w:t>
      </w:r>
    </w:p>
  </w:footnote>
  <w:footnote w:id="1823">
    <w:p>
      <w:pPr>
        <w:pStyle w:val="FootnoteText"/>
      </w:pPr>
      <w:r>
        <w:rPr>
          <w:rStyle w:val="FootnoteReference"/>
        </w:rPr>
        <w:footnoteRef/>
      </w:r>
      <w:r>
        <w:t xml:space="preserve"> </w:t>
      </w:r>
      <w:r>
        <w:t xml:space="preserve">Ikonomidis 2020, PMID 32052315.</w:t>
      </w:r>
    </w:p>
  </w:footnote>
  <w:footnote w:id="1824">
    <w:p>
      <w:pPr>
        <w:pStyle w:val="FootnoteText"/>
      </w:pPr>
      <w:r>
        <w:rPr>
          <w:rStyle w:val="FootnoteReference"/>
        </w:rPr>
        <w:footnoteRef/>
      </w:r>
      <w:r>
        <w:t xml:space="preserve"> </w:t>
      </w:r>
      <w:r>
        <w:t xml:space="preserve">Cuyàs 2022, PMID 36490309.</w:t>
      </w:r>
    </w:p>
  </w:footnote>
  <w:footnote w:id="1825">
    <w:p>
      <w:pPr>
        <w:pStyle w:val="FootnoteText"/>
      </w:pPr>
      <w:r>
        <w:rPr>
          <w:rStyle w:val="FootnoteReference"/>
        </w:rPr>
        <w:footnoteRef/>
      </w:r>
      <w:r>
        <w:t xml:space="preserve"> </w:t>
      </w:r>
      <w:r>
        <w:t xml:space="preserve">Zempo 2021, PMID 33468709.</w:t>
      </w:r>
    </w:p>
  </w:footnote>
  <w:footnote w:id="1827">
    <w:p>
      <w:pPr>
        <w:pStyle w:val="FootnoteText"/>
      </w:pPr>
      <w:r>
        <w:rPr>
          <w:rStyle w:val="FootnoteReference"/>
        </w:rPr>
        <w:footnoteRef/>
      </w:r>
      <w:r>
        <w:t xml:space="preserve"> </w:t>
      </w:r>
      <w:r>
        <w:t xml:space="preserve">NCT03998514.</w:t>
      </w:r>
    </w:p>
  </w:footnote>
  <w:footnote w:id="1830">
    <w:p>
      <w:pPr>
        <w:pStyle w:val="FootnoteText"/>
      </w:pPr>
      <w:r>
        <w:rPr>
          <w:rStyle w:val="FootnoteReference"/>
        </w:rPr>
        <w:footnoteRef/>
      </w:r>
      <w:r>
        <w:t xml:space="preserve"> </w:t>
      </w:r>
      <w:r>
        <w:t xml:space="preserve">Lee 2015, PMID 25738459.</w:t>
      </w:r>
    </w:p>
  </w:footnote>
  <w:footnote w:id="1831">
    <w:p>
      <w:pPr>
        <w:pStyle w:val="FootnoteText"/>
      </w:pPr>
      <w:r>
        <w:rPr>
          <w:rStyle w:val="FootnoteReference"/>
        </w:rPr>
        <w:footnoteRef/>
      </w:r>
      <w:r>
        <w:t xml:space="preserve"> </w:t>
      </w:r>
      <w:r>
        <w:t xml:space="preserve">Kumagai 2021, PMID 33554779.</w:t>
      </w:r>
    </w:p>
  </w:footnote>
  <w:footnote w:id="1832">
    <w:p>
      <w:pPr>
        <w:pStyle w:val="FootnoteText"/>
      </w:pPr>
      <w:r>
        <w:rPr>
          <w:rStyle w:val="FootnoteReference"/>
        </w:rPr>
        <w:footnoteRef/>
      </w:r>
      <w:r>
        <w:t xml:space="preserve"> </w:t>
      </w:r>
      <w:r>
        <w:t xml:space="preserve">Reynolds 2021, PMID 33473109.</w:t>
      </w:r>
    </w:p>
  </w:footnote>
  <w:footnote w:id="1833">
    <w:p>
      <w:pPr>
        <w:pStyle w:val="FootnoteText"/>
      </w:pPr>
      <w:r>
        <w:rPr>
          <w:rStyle w:val="FootnoteReference"/>
        </w:rPr>
        <w:footnoteRef/>
      </w:r>
      <w:r>
        <w:t xml:space="preserve"> </w:t>
      </w:r>
      <w:r>
        <w:t xml:space="preserve">Kong 2025, PMID 40855115.</w:t>
      </w:r>
    </w:p>
  </w:footnote>
  <w:footnote w:id="1835">
    <w:p>
      <w:pPr>
        <w:pStyle w:val="FootnoteText"/>
      </w:pPr>
      <w:r>
        <w:rPr>
          <w:rStyle w:val="FootnoteReference"/>
        </w:rPr>
        <w:footnoteRef/>
      </w:r>
      <w:r>
        <w:t xml:space="preserve"> </w:t>
      </w:r>
      <w:r>
        <w:t xml:space="preserve">Yin 2024, PMID 39321430.</w:t>
      </w:r>
    </w:p>
  </w:footnote>
  <w:footnote w:id="1836">
    <w:p>
      <w:pPr>
        <w:pStyle w:val="FootnoteText"/>
      </w:pPr>
      <w:r>
        <w:rPr>
          <w:rStyle w:val="FootnoteReference"/>
        </w:rPr>
        <w:footnoteRef/>
      </w:r>
      <w:r>
        <w:t xml:space="preserve"> </w:t>
      </w:r>
      <w:r>
        <w:t xml:space="preserve">Shen 2025, PMID 39581216.</w:t>
      </w:r>
    </w:p>
  </w:footnote>
  <w:footnote w:id="1839">
    <w:p>
      <w:pPr>
        <w:pStyle w:val="FootnoteText"/>
      </w:pPr>
      <w:r>
        <w:rPr>
          <w:rStyle w:val="FootnoteReference"/>
        </w:rPr>
        <w:footnoteRef/>
      </w:r>
      <w:r>
        <w:t xml:space="preserve"> </w:t>
      </w:r>
      <w:r>
        <w:t xml:space="preserve">NCT07678073.</w:t>
      </w:r>
    </w:p>
  </w:footnote>
  <w:footnote w:id="1840">
    <w:p>
      <w:pPr>
        <w:pStyle w:val="FootnoteText"/>
      </w:pPr>
      <w:r>
        <w:rPr>
          <w:rStyle w:val="FootnoteReference"/>
        </w:rPr>
        <w:footnoteRef/>
      </w:r>
      <w:r>
        <w:t xml:space="preserve"> </w:t>
      </w:r>
      <w:r>
        <w:t xml:space="preserve">NCT03878706.</w:t>
      </w:r>
    </w:p>
  </w:footnote>
  <w:footnote w:id="1845">
    <w:p>
      <w:pPr>
        <w:pStyle w:val="FootnoteText"/>
      </w:pPr>
      <w:r>
        <w:rPr>
          <w:rStyle w:val="FootnoteReference"/>
        </w:rPr>
        <w:footnoteRef/>
      </w:r>
      <w:r>
        <w:t xml:space="preserve"> </w:t>
      </w:r>
      <w:r>
        <w:t xml:space="preserve">Hashimoto 2001, PMID 11717357.</w:t>
      </w:r>
    </w:p>
  </w:footnote>
  <w:footnote w:id="1846">
    <w:p>
      <w:pPr>
        <w:pStyle w:val="FootnoteText"/>
      </w:pPr>
      <w:r>
        <w:rPr>
          <w:rStyle w:val="FootnoteReference"/>
        </w:rPr>
        <w:footnoteRef/>
      </w:r>
      <w:r>
        <w:t xml:space="preserve"> </w:t>
      </w:r>
      <w:r>
        <w:t xml:space="preserve">Hashimoto 2009, PMID 19386761.</w:t>
      </w:r>
    </w:p>
  </w:footnote>
  <w:footnote w:id="1847">
    <w:p>
      <w:pPr>
        <w:pStyle w:val="FootnoteText"/>
      </w:pPr>
      <w:r>
        <w:rPr>
          <w:rStyle w:val="FootnoteReference"/>
        </w:rPr>
        <w:footnoteRef/>
      </w:r>
      <w:r>
        <w:t xml:space="preserve"> </w:t>
      </w:r>
      <w:r>
        <w:t xml:space="preserve">Miller 2022, PMID 35499074.</w:t>
      </w:r>
    </w:p>
  </w:footnote>
  <w:footnote w:id="1849">
    <w:p>
      <w:pPr>
        <w:pStyle w:val="FootnoteText"/>
      </w:pPr>
      <w:r>
        <w:rPr>
          <w:rStyle w:val="FootnoteReference"/>
        </w:rPr>
        <w:footnoteRef/>
      </w:r>
      <w:r>
        <w:t xml:space="preserve"> </w:t>
      </w:r>
      <w:r>
        <w:t xml:space="preserve">Lee 2014, PMID 25040290.</w:t>
      </w:r>
    </w:p>
  </w:footnote>
  <w:footnote w:id="1853">
    <w:p>
      <w:pPr>
        <w:pStyle w:val="FootnoteText"/>
      </w:pPr>
      <w:r>
        <w:rPr>
          <w:rStyle w:val="FootnoteReference"/>
        </w:rPr>
        <w:footnoteRef/>
      </w:r>
      <w:r>
        <w:t xml:space="preserve"> </w:t>
      </w:r>
      <w:r>
        <w:t xml:space="preserve">Yen 2020, PMID 32575074.</w:t>
      </w:r>
    </w:p>
  </w:footnote>
  <w:footnote w:id="1854">
    <w:p>
      <w:pPr>
        <w:pStyle w:val="FootnoteText"/>
      </w:pPr>
      <w:r>
        <w:rPr>
          <w:rStyle w:val="FootnoteReference"/>
        </w:rPr>
        <w:footnoteRef/>
      </w:r>
      <w:r>
        <w:t xml:space="preserve"> </w:t>
      </w:r>
      <w:r>
        <w:t xml:space="preserve">Muzumdar 2010, PMID 20651283.</w:t>
      </w:r>
    </w:p>
  </w:footnote>
  <w:footnote w:id="1855">
    <w:p>
      <w:pPr>
        <w:pStyle w:val="FootnoteText"/>
      </w:pPr>
      <w:r>
        <w:rPr>
          <w:rStyle w:val="FootnoteReference"/>
        </w:rPr>
        <w:footnoteRef/>
      </w:r>
      <w:r>
        <w:t xml:space="preserve"> </w:t>
      </w:r>
      <w:r>
        <w:t xml:space="preserve">Qin 2018, PMID 30004252.</w:t>
      </w:r>
    </w:p>
  </w:footnote>
  <w:footnote w:id="1856">
    <w:p>
      <w:pPr>
        <w:pStyle w:val="FootnoteText"/>
      </w:pPr>
      <w:r>
        <w:rPr>
          <w:rStyle w:val="FootnoteReference"/>
        </w:rPr>
        <w:footnoteRef/>
      </w:r>
      <w:r>
        <w:t xml:space="preserve"> </w:t>
      </w:r>
      <w:r>
        <w:t xml:space="preserve">Miller 2024, PMID 38520065.</w:t>
      </w:r>
    </w:p>
  </w:footnote>
  <w:footnote w:id="1857">
    <w:p>
      <w:pPr>
        <w:pStyle w:val="FootnoteText"/>
      </w:pPr>
      <w:r>
        <w:rPr>
          <w:rStyle w:val="FootnoteReference"/>
        </w:rPr>
        <w:footnoteRef/>
      </w:r>
      <w:r>
        <w:t xml:space="preserve"> </w:t>
      </w:r>
      <w:r>
        <w:t xml:space="preserve">Nashine 2017, PMID 28726777.</w:t>
      </w:r>
    </w:p>
  </w:footnote>
  <w:footnote w:id="1859">
    <w:p>
      <w:pPr>
        <w:pStyle w:val="FootnoteText"/>
      </w:pPr>
      <w:r>
        <w:rPr>
          <w:rStyle w:val="FootnoteReference"/>
        </w:rPr>
        <w:footnoteRef/>
      </w:r>
      <w:r>
        <w:t xml:space="preserve"> </w:t>
      </w:r>
      <w:r>
        <w:t xml:space="preserve">Moreno Ayala 2020, PMID 32444831.</w:t>
      </w:r>
    </w:p>
  </w:footnote>
  <w:footnote w:id="1860">
    <w:p>
      <w:pPr>
        <w:pStyle w:val="FootnoteText"/>
      </w:pPr>
      <w:r>
        <w:rPr>
          <w:rStyle w:val="FootnoteReference"/>
        </w:rPr>
        <w:footnoteRef/>
      </w:r>
      <w:r>
        <w:t xml:space="preserve"> </w:t>
      </w:r>
      <w:r>
        <w:t xml:space="preserve">Mendelsohn 2018, PMID 30058454.</w:t>
      </w:r>
    </w:p>
  </w:footnote>
  <w:footnote w:id="1863">
    <w:p>
      <w:pPr>
        <w:pStyle w:val="FootnoteText"/>
      </w:pPr>
      <w:r>
        <w:rPr>
          <w:rStyle w:val="FootnoteReference"/>
        </w:rPr>
        <w:footnoteRef/>
      </w:r>
      <w:r>
        <w:t xml:space="preserve"> </w:t>
      </w:r>
      <w:r>
        <w:t xml:space="preserve">NCT07678073.</w:t>
      </w:r>
    </w:p>
  </w:footnote>
  <w:footnote w:id="1868">
    <w:p>
      <w:pPr>
        <w:pStyle w:val="FootnoteText"/>
      </w:pPr>
      <w:r>
        <w:rPr>
          <w:rStyle w:val="FootnoteReference"/>
        </w:rPr>
        <w:footnoteRef/>
      </w:r>
      <w:r>
        <w:t xml:space="preserve"> </w:t>
      </w:r>
      <w:r>
        <w:t xml:space="preserve">Szeto 2014, PMID 24117165.</w:t>
      </w:r>
    </w:p>
  </w:footnote>
  <w:footnote w:id="1870">
    <w:p>
      <w:pPr>
        <w:pStyle w:val="FootnoteText"/>
      </w:pPr>
      <w:r>
        <w:rPr>
          <w:rStyle w:val="FootnoteReference"/>
        </w:rPr>
        <w:footnoteRef/>
      </w:r>
      <w:r>
        <w:t xml:space="preserve"> </w:t>
      </w:r>
      <w:r>
        <w:t xml:space="preserve">NCT03098797.</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Reid Thompson 2021, PMID 33077895.</w:t>
      </w:r>
    </w:p>
  </w:footnote>
  <w:footnote w:id="1873">
    <w:p>
      <w:pPr>
        <w:pStyle w:val="FootnoteText"/>
      </w:pPr>
      <w:r>
        <w:rPr>
          <w:rStyle w:val="FootnoteReference"/>
        </w:rPr>
        <w:footnoteRef/>
      </w:r>
      <w:r>
        <w:t xml:space="preserve"> </w:t>
      </w:r>
      <w:r>
        <w:t xml:space="preserve">Thompson 2024, PMID 38602181.</w:t>
      </w:r>
    </w:p>
  </w:footnote>
  <w:footnote w:id="1874">
    <w:p>
      <w:pPr>
        <w:pStyle w:val="FootnoteText"/>
      </w:pPr>
      <w:r>
        <w:rPr>
          <w:rStyle w:val="FootnoteReference"/>
        </w:rPr>
        <w:footnoteRef/>
      </w:r>
      <w:r>
        <w:t xml:space="preserve"> </w:t>
      </w:r>
      <w:r>
        <w:t xml:space="preserve">Hornby 2022, PMID 36056411.</w:t>
      </w:r>
    </w:p>
  </w:footnote>
  <w:footnote w:id="1875">
    <w:p>
      <w:pPr>
        <w:pStyle w:val="FootnoteText"/>
      </w:pPr>
      <w:r>
        <w:rPr>
          <w:rStyle w:val="FootnoteReference"/>
        </w:rPr>
        <w:footnoteRef/>
      </w:r>
      <w:r>
        <w:t xml:space="preserve"> </w:t>
      </w:r>
      <w:r>
        <w:t xml:space="preserve">Shirley 2026, PMID 41335372.</w:t>
      </w:r>
    </w:p>
  </w:footnote>
  <w:footnote w:id="1876">
    <w:p>
      <w:pPr>
        <w:pStyle w:val="FootnoteText"/>
      </w:pPr>
      <w:r>
        <w:rPr>
          <w:rStyle w:val="FootnoteReference"/>
        </w:rPr>
        <w:footnoteRef/>
      </w:r>
      <w:r>
        <w:t xml:space="preserve"> </w:t>
      </w:r>
      <w:r>
        <w:t xml:space="preserve">NCT07531251.</w:t>
      </w:r>
    </w:p>
  </w:footnote>
  <w:footnote w:id="1878">
    <w:p>
      <w:pPr>
        <w:pStyle w:val="FootnoteText"/>
      </w:pPr>
      <w:r>
        <w:rPr>
          <w:rStyle w:val="FootnoteReference"/>
        </w:rPr>
        <w:footnoteRef/>
      </w:r>
      <w:r>
        <w:t xml:space="preserve"> </w:t>
      </w:r>
      <w:r>
        <w:t xml:space="preserve">NCT03323749.</w:t>
      </w:r>
    </w:p>
  </w:footnote>
  <w:footnote w:id="1879">
    <w:p>
      <w:pPr>
        <w:pStyle w:val="FootnoteText"/>
      </w:pPr>
      <w:r>
        <w:rPr>
          <w:rStyle w:val="FootnoteReference"/>
        </w:rPr>
        <w:footnoteRef/>
      </w:r>
      <w:r>
        <w:t xml:space="preserve"> </w:t>
      </w:r>
      <w:r>
        <w:t xml:space="preserve">Karaa 2023, PMID 37268435.</w:t>
      </w:r>
    </w:p>
  </w:footnote>
  <w:footnote w:id="1880">
    <w:p>
      <w:pPr>
        <w:pStyle w:val="FootnoteText"/>
      </w:pPr>
      <w:r>
        <w:rPr>
          <w:rStyle w:val="FootnoteReference"/>
        </w:rPr>
        <w:footnoteRef/>
      </w:r>
      <w:r>
        <w:t xml:space="preserve"> </w:t>
      </w:r>
      <w:r>
        <w:t xml:space="preserve">Karaa 2024, PMID 39574155.</w:t>
      </w:r>
    </w:p>
  </w:footnote>
  <w:footnote w:id="1881">
    <w:p>
      <w:pPr>
        <w:pStyle w:val="FootnoteText"/>
      </w:pPr>
      <w:r>
        <w:rPr>
          <w:rStyle w:val="FootnoteReference"/>
        </w:rPr>
        <w:footnoteRef/>
      </w:r>
      <w:r>
        <w:t xml:space="preserve"> </w:t>
      </w:r>
      <w:r>
        <w:t xml:space="preserve">NCT05162768.</w:t>
      </w:r>
    </w:p>
  </w:footnote>
  <w:footnote w:id="1883">
    <w:p>
      <w:pPr>
        <w:pStyle w:val="FootnoteText"/>
      </w:pPr>
      <w:r>
        <w:rPr>
          <w:rStyle w:val="FootnoteReference"/>
        </w:rPr>
        <w:footnoteRef/>
      </w:r>
      <w:r>
        <w:t xml:space="preserve"> </w:t>
      </w:r>
      <w:r>
        <w:t xml:space="preserve">Gibson 2016, PMID 26586786; Butler 2020, PMID 32068002.</w:t>
      </w:r>
    </w:p>
  </w:footnote>
  <w:footnote w:id="1884">
    <w:p>
      <w:pPr>
        <w:pStyle w:val="FootnoteText"/>
      </w:pPr>
      <w:r>
        <w:rPr>
          <w:rStyle w:val="FootnoteReference"/>
        </w:rPr>
        <w:footnoteRef/>
      </w:r>
      <w:r>
        <w:t xml:space="preserve"> </w:t>
      </w:r>
      <w:r>
        <w:t xml:space="preserve">Ehlers 2025, PMID 39605874.</w:t>
      </w:r>
    </w:p>
  </w:footnote>
  <w:footnote w:id="1885">
    <w:p>
      <w:pPr>
        <w:pStyle w:val="FootnoteText"/>
      </w:pPr>
      <w:r>
        <w:rPr>
          <w:rStyle w:val="FootnoteReference"/>
        </w:rPr>
        <w:footnoteRef/>
      </w:r>
      <w:r>
        <w:t xml:space="preserve"> </w:t>
      </w:r>
      <w:r>
        <w:t xml:space="preserve">NCT06373731.</w:t>
      </w:r>
    </w:p>
  </w:footnote>
  <w:footnote w:id="1886">
    <w:p>
      <w:pPr>
        <w:pStyle w:val="FootnoteText"/>
      </w:pPr>
      <w:r>
        <w:rPr>
          <w:rStyle w:val="FootnoteReference"/>
        </w:rPr>
        <w:footnoteRef/>
      </w:r>
      <w:r>
        <w:t xml:space="preserve"> </w:t>
      </w:r>
      <w:r>
        <w:t xml:space="preserve">Roshanravan 2021, PMID 34264994.</w:t>
      </w:r>
    </w:p>
  </w:footnote>
  <w:footnote w:id="1889">
    <w:p>
      <w:pPr>
        <w:pStyle w:val="FootnoteText"/>
      </w:pPr>
      <w:r>
        <w:rPr>
          <w:rStyle w:val="FootnoteReference"/>
        </w:rPr>
        <w:footnoteRef/>
      </w:r>
      <w:r>
        <w:t xml:space="preserve"> </w:t>
      </w:r>
      <w:r>
        <w:t xml:space="preserve">Szeto 2014, PMID 24117165.</w:t>
      </w:r>
    </w:p>
  </w:footnote>
  <w:footnote w:id="1890">
    <w:p>
      <w:pPr>
        <w:pStyle w:val="FootnoteText"/>
      </w:pPr>
      <w:r>
        <w:rPr>
          <w:rStyle w:val="FootnoteReference"/>
        </w:rPr>
        <w:footnoteRef/>
      </w:r>
      <w:r>
        <w:t xml:space="preserve"> </w:t>
      </w:r>
      <w:r>
        <w:t xml:space="preserve">Sabbah 2016, PMID 26839394.</w:t>
      </w:r>
    </w:p>
  </w:footnote>
  <w:footnote w:id="1891">
    <w:p>
      <w:pPr>
        <w:pStyle w:val="FootnoteText"/>
      </w:pPr>
      <w:r>
        <w:rPr>
          <w:rStyle w:val="FootnoteReference"/>
        </w:rPr>
        <w:footnoteRef/>
      </w:r>
      <w:r>
        <w:t xml:space="preserve"> </w:t>
      </w:r>
      <w:r>
        <w:t xml:space="preserve">Schauer 2026, PMID 41596703.</w:t>
      </w:r>
    </w:p>
  </w:footnote>
  <w:footnote w:id="1893">
    <w:p>
      <w:pPr>
        <w:pStyle w:val="FootnoteText"/>
      </w:pPr>
      <w:r>
        <w:rPr>
          <w:rStyle w:val="FootnoteReference"/>
        </w:rPr>
        <w:footnoteRef/>
      </w:r>
      <w:r>
        <w:t xml:space="preserve"> </w:t>
      </w:r>
      <w:r>
        <w:t xml:space="preserve">Karaa 2020, PMID 32096613.</w:t>
      </w:r>
    </w:p>
  </w:footnote>
  <w:footnote w:id="1894">
    <w:p>
      <w:pPr>
        <w:pStyle w:val="FootnoteText"/>
      </w:pPr>
      <w:r>
        <w:rPr>
          <w:rStyle w:val="FootnoteReference"/>
        </w:rPr>
        <w:footnoteRef/>
      </w:r>
      <w:r>
        <w:t xml:space="preserve"> </w:t>
      </w:r>
      <w:r>
        <w:t xml:space="preserve">Ehlers 2025, PMID 39605874.</w:t>
      </w:r>
    </w:p>
  </w:footnote>
  <w:footnote w:id="1895">
    <w:p>
      <w:pPr>
        <w:pStyle w:val="FootnoteText"/>
      </w:pPr>
      <w:r>
        <w:rPr>
          <w:rStyle w:val="FootnoteReference"/>
        </w:rPr>
        <w:footnoteRef/>
      </w:r>
      <w:r>
        <w:t xml:space="preserve"> </w:t>
      </w:r>
      <w:r>
        <w:t xml:space="preserve">Karaa 2023, PMID 37268435.</w:t>
      </w:r>
    </w:p>
  </w:footnote>
  <w:footnote w:id="1896">
    <w:p>
      <w:pPr>
        <w:pStyle w:val="FootnoteText"/>
      </w:pPr>
      <w:r>
        <w:rPr>
          <w:rStyle w:val="FootnoteReference"/>
        </w:rPr>
        <w:footnoteRef/>
      </w:r>
      <w:r>
        <w:t xml:space="preserve"> </w:t>
      </w:r>
      <w:r>
        <w:t xml:space="preserve">Thompson 2024, PMID 38602181.</w:t>
      </w:r>
    </w:p>
  </w:footnote>
  <w:footnote w:id="1898">
    <w:p>
      <w:pPr>
        <w:pStyle w:val="FootnoteText"/>
      </w:pPr>
      <w:r>
        <w:rPr>
          <w:rStyle w:val="FootnoteReference"/>
        </w:rPr>
        <w:footnoteRef/>
      </w:r>
      <w:r>
        <w:t xml:space="preserve"> </w:t>
      </w:r>
      <w:r>
        <w:t xml:space="preserve">NCT04689360.</w:t>
      </w:r>
    </w:p>
  </w:footnote>
  <w:footnote w:id="1900">
    <w:p>
      <w:pPr>
        <w:pStyle w:val="FootnoteText"/>
      </w:pPr>
      <w:r>
        <w:rPr>
          <w:rStyle w:val="FootnoteReference"/>
        </w:rPr>
        <w:footnoteRef/>
      </w:r>
      <w:r>
        <w:t xml:space="preserve"> </w:t>
      </w:r>
      <w:r>
        <w:t xml:space="preserve">NCT06373731.</w:t>
      </w:r>
    </w:p>
  </w:footnote>
  <w:footnote w:id="1901">
    <w:p>
      <w:pPr>
        <w:pStyle w:val="FootnoteText"/>
      </w:pPr>
      <w:r>
        <w:rPr>
          <w:rStyle w:val="FootnoteReference"/>
        </w:rPr>
        <w:footnoteRef/>
      </w:r>
      <w:r>
        <w:t xml:space="preserve"> </w:t>
      </w:r>
      <w:r>
        <w:t xml:space="preserve">NCT07531251.</w:t>
      </w:r>
    </w:p>
  </w:footnote>
  <w:footnote w:id="1902">
    <w:p>
      <w:pPr>
        <w:pStyle w:val="FootnoteText"/>
      </w:pPr>
      <w:r>
        <w:rPr>
          <w:rStyle w:val="FootnoteReference"/>
        </w:rPr>
        <w:footnoteRef/>
      </w:r>
      <w:r>
        <w:t xml:space="preserve"> </w:t>
      </w:r>
      <w:r>
        <w:t xml:space="preserve">NCT05162768.</w:t>
      </w:r>
    </w:p>
  </w:footnote>
  <w:footnote w:id="1903">
    <w:p>
      <w:pPr>
        <w:pStyle w:val="FootnoteText"/>
      </w:pPr>
      <w:r>
        <w:rPr>
          <w:rStyle w:val="FootnoteReference"/>
        </w:rPr>
        <w:footnoteRef/>
      </w:r>
      <w:r>
        <w:t xml:space="preserve"> </w:t>
      </w:r>
      <w:r>
        <w:t xml:space="preserve">NCT07275424.</w:t>
      </w:r>
    </w:p>
  </w:footnote>
  <w:footnote w:id="1908">
    <w:p>
      <w:pPr>
        <w:pStyle w:val="FootnoteText"/>
      </w:pPr>
      <w:r>
        <w:rPr>
          <w:rStyle w:val="FootnoteReference"/>
        </w:rPr>
        <w:footnoteRef/>
      </w:r>
      <w:r>
        <w:t xml:space="preserve"> </w:t>
      </w:r>
      <w:r>
        <w:t xml:space="preserve">Baar 2017, PMID 28340339.</w:t>
      </w:r>
    </w:p>
  </w:footnote>
  <w:footnote w:id="1909">
    <w:p>
      <w:pPr>
        <w:pStyle w:val="FootnoteText"/>
      </w:pPr>
      <w:r>
        <w:rPr>
          <w:rStyle w:val="FootnoteReference"/>
        </w:rPr>
        <w:footnoteRef/>
      </w:r>
      <w:r>
        <w:t xml:space="preserve"> </w:t>
      </w:r>
      <w:r>
        <w:t xml:space="preserve">Bourgeois 2025, PMID 40593617.</w:t>
      </w:r>
    </w:p>
  </w:footnote>
  <w:footnote w:id="1910">
    <w:p>
      <w:pPr>
        <w:pStyle w:val="FootnoteText"/>
      </w:pPr>
      <w:r>
        <w:rPr>
          <w:rStyle w:val="FootnoteReference"/>
        </w:rPr>
        <w:footnoteRef/>
      </w:r>
      <w:r>
        <w:t xml:space="preserve"> </w:t>
      </w:r>
      <w:r>
        <w:t xml:space="preserve">Justice 2019, PMID 30616998.</w:t>
      </w:r>
    </w:p>
  </w:footnote>
  <w:footnote w:id="1911">
    <w:p>
      <w:pPr>
        <w:pStyle w:val="FootnoteText"/>
      </w:pPr>
      <w:r>
        <w:rPr>
          <w:rStyle w:val="FootnoteReference"/>
        </w:rPr>
        <w:footnoteRef/>
      </w:r>
      <w:r>
        <w:t xml:space="preserve"> </w:t>
      </w:r>
      <w:r>
        <w:t xml:space="preserve">Farr 2024, PMID 38956196.</w:t>
      </w:r>
    </w:p>
  </w:footnote>
  <w:footnote w:id="1914">
    <w:p>
      <w:pPr>
        <w:pStyle w:val="FootnoteText"/>
      </w:pPr>
      <w:r>
        <w:rPr>
          <w:rStyle w:val="FootnoteReference"/>
        </w:rPr>
        <w:footnoteRef/>
      </w:r>
      <w:r>
        <w:t xml:space="preserve"> </w:t>
      </w:r>
      <w:r>
        <w:t xml:space="preserve">Huang 2021, PMID 33996787.</w:t>
      </w:r>
    </w:p>
  </w:footnote>
  <w:footnote w:id="1916">
    <w:p>
      <w:pPr>
        <w:pStyle w:val="FootnoteText"/>
      </w:pPr>
      <w:r>
        <w:rPr>
          <w:rStyle w:val="FootnoteReference"/>
        </w:rPr>
        <w:footnoteRef/>
      </w:r>
      <w:r>
        <w:t xml:space="preserve"> </w:t>
      </w:r>
      <w:r>
        <w:t xml:space="preserve">Baar 2017, PMID 28340339.</w:t>
      </w:r>
    </w:p>
  </w:footnote>
  <w:footnote w:id="1917">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Born 2023, PMID 36515093.</w:t>
      </w:r>
    </w:p>
  </w:footnote>
  <w:footnote w:id="1920">
    <w:p>
      <w:pPr>
        <w:pStyle w:val="FootnoteText"/>
      </w:pPr>
      <w:r>
        <w:rPr>
          <w:rStyle w:val="FootnoteReference"/>
        </w:rPr>
        <w:footnoteRef/>
      </w:r>
      <w:r>
        <w:t xml:space="preserve"> </w:t>
      </w:r>
      <w:r>
        <w:t xml:space="preserve">Bourgeois 2025, PMID 40593617.</w:t>
      </w:r>
    </w:p>
  </w:footnote>
  <w:footnote w:id="1928">
    <w:p>
      <w:pPr>
        <w:pStyle w:val="FootnoteText"/>
      </w:pPr>
      <w:r>
        <w:rPr>
          <w:rStyle w:val="FootnoteReference"/>
        </w:rPr>
        <w:footnoteRef/>
      </w:r>
      <w:r>
        <w:t xml:space="preserve"> </w:t>
      </w:r>
      <w:r>
        <w:t xml:space="preserve">Allen 2011, PMID 21875351.</w:t>
      </w:r>
    </w:p>
  </w:footnote>
  <w:footnote w:id="1929">
    <w:p>
      <w:pPr>
        <w:pStyle w:val="FootnoteText"/>
      </w:pPr>
      <w:r>
        <w:rPr>
          <w:rStyle w:val="FootnoteReference"/>
        </w:rPr>
        <w:footnoteRef/>
      </w:r>
      <w:r>
        <w:t xml:space="preserve"> </w:t>
      </w:r>
      <w:r>
        <w:t xml:space="preserve">Richie 2015, PMID 24791752.</w:t>
      </w:r>
    </w:p>
  </w:footnote>
  <w:footnote w:id="1930">
    <w:p>
      <w:pPr>
        <w:pStyle w:val="FootnoteText"/>
      </w:pPr>
      <w:r>
        <w:rPr>
          <w:rStyle w:val="FootnoteReference"/>
        </w:rPr>
        <w:footnoteRef/>
      </w:r>
      <w:r>
        <w:t xml:space="preserve"> </w:t>
      </w:r>
      <w:r>
        <w:t xml:space="preserve">Sinha 2018, PMID 28853742.</w:t>
      </w:r>
    </w:p>
  </w:footnote>
  <w:footnote w:id="1932">
    <w:p>
      <w:pPr>
        <w:pStyle w:val="FootnoteText"/>
      </w:pPr>
      <w:r>
        <w:rPr>
          <w:rStyle w:val="FootnoteReference"/>
        </w:rPr>
        <w:footnoteRef/>
      </w:r>
      <w:r>
        <w:t xml:space="preserve"> </w:t>
      </w:r>
      <w:r>
        <w:t xml:space="preserve">Leal 2014, PMID 24619793.</w:t>
      </w:r>
    </w:p>
  </w:footnote>
  <w:footnote w:id="1933">
    <w:p>
      <w:pPr>
        <w:pStyle w:val="FootnoteText"/>
      </w:pPr>
      <w:r>
        <w:rPr>
          <w:rStyle w:val="FootnoteReference"/>
        </w:rPr>
        <w:footnoteRef/>
      </w:r>
      <w:r>
        <w:t xml:space="preserve"> </w:t>
      </w:r>
      <w:r>
        <w:t xml:space="preserve">Hauser 2009, PMID 19230029.</w:t>
      </w:r>
    </w:p>
  </w:footnote>
  <w:footnote w:id="1934">
    <w:p>
      <w:pPr>
        <w:pStyle w:val="FootnoteText"/>
      </w:pPr>
      <w:r>
        <w:rPr>
          <w:rStyle w:val="FootnoteReference"/>
        </w:rPr>
        <w:footnoteRef/>
      </w:r>
      <w:r>
        <w:t xml:space="preserve"> </w:t>
      </w:r>
      <w:r>
        <w:t xml:space="preserve">Mischley 2017, PMID 28436395.</w:t>
      </w:r>
    </w:p>
  </w:footnote>
  <w:footnote w:id="1935">
    <w:p>
      <w:pPr>
        <w:pStyle w:val="FootnoteText"/>
      </w:pPr>
      <w:r>
        <w:rPr>
          <w:rStyle w:val="FootnoteReference"/>
        </w:rPr>
        <w:footnoteRef/>
      </w:r>
      <w:r>
        <w:t xml:space="preserve"> </w:t>
      </w:r>
      <w:r>
        <w:t xml:space="preserve">Bozic 2020, PMID 32960827.</w:t>
      </w:r>
    </w:p>
  </w:footnote>
  <w:footnote w:id="1936">
    <w:p>
      <w:pPr>
        <w:pStyle w:val="FootnoteText"/>
      </w:pPr>
      <w:r>
        <w:rPr>
          <w:rStyle w:val="FootnoteReference"/>
        </w:rPr>
        <w:footnoteRef/>
      </w:r>
      <w:r>
        <w:t xml:space="preserve"> </w:t>
      </w:r>
      <w:r>
        <w:t xml:space="preserve">Søndergård 2021, PMID 33740389.</w:t>
      </w:r>
    </w:p>
  </w:footnote>
  <w:footnote w:id="1937">
    <w:p>
      <w:pPr>
        <w:pStyle w:val="FootnoteText"/>
      </w:pPr>
      <w:r>
        <w:rPr>
          <w:rStyle w:val="FootnoteReference"/>
        </w:rPr>
        <w:footnoteRef/>
      </w:r>
      <w:r>
        <w:t xml:space="preserve"> </w:t>
      </w:r>
      <w:r>
        <w:t xml:space="preserve">Honda 2017, PMID 28789631.</w:t>
      </w:r>
    </w:p>
  </w:footnote>
  <w:footnote w:id="1938">
    <w:p>
      <w:pPr>
        <w:pStyle w:val="FootnoteText"/>
      </w:pPr>
      <w:r>
        <w:rPr>
          <w:rStyle w:val="FootnoteReference"/>
        </w:rPr>
        <w:footnoteRef/>
      </w:r>
      <w:r>
        <w:t xml:space="preserve"> </w:t>
      </w:r>
      <w:r>
        <w:t xml:space="preserve">Arrivi 2023, PMID 36083043.</w:t>
      </w:r>
    </w:p>
  </w:footnote>
  <w:footnote w:id="1940">
    <w:p>
      <w:pPr>
        <w:pStyle w:val="FootnoteText"/>
      </w:pPr>
      <w:r>
        <w:rPr>
          <w:rStyle w:val="FootnoteReference"/>
        </w:rPr>
        <w:footnoteRef/>
      </w:r>
      <w:r>
        <w:t xml:space="preserve"> </w:t>
      </w:r>
      <w:r>
        <w:t xml:space="preserve">Arjinpathana 2012, PMID 20524875.</w:t>
      </w:r>
    </w:p>
  </w:footnote>
  <w:footnote w:id="1941">
    <w:p>
      <w:pPr>
        <w:pStyle w:val="FootnoteText"/>
      </w:pPr>
      <w:r>
        <w:rPr>
          <w:rStyle w:val="FootnoteReference"/>
        </w:rPr>
        <w:footnoteRef/>
      </w:r>
      <w:r>
        <w:t xml:space="preserve"> </w:t>
      </w:r>
      <w:r>
        <w:t xml:space="preserve">Dilokthornsakul 2019, PMID 30895708.</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Sarkar 2025, PMID 39444151.</w:t>
      </w:r>
    </w:p>
  </w:footnote>
  <w:footnote w:id="1944">
    <w:p>
      <w:pPr>
        <w:pStyle w:val="FootnoteText"/>
      </w:pPr>
      <w:r>
        <w:rPr>
          <w:rStyle w:val="FootnoteReference"/>
        </w:rPr>
        <w:footnoteRef/>
      </w:r>
      <w:r>
        <w:t xml:space="preserve"> </w:t>
      </w:r>
      <w:r>
        <w:t xml:space="preserve">Davids 2016, PMID 27499402.</w:t>
      </w:r>
    </w:p>
  </w:footnote>
  <w:footnote w:id="1945">
    <w:p>
      <w:pPr>
        <w:pStyle w:val="FootnoteText"/>
      </w:pPr>
      <w:r>
        <w:rPr>
          <w:rStyle w:val="FootnoteReference"/>
        </w:rPr>
        <w:footnoteRef/>
      </w:r>
      <w:r>
        <w:t xml:space="preserve"> </w:t>
      </w:r>
      <w:r>
        <w:t xml:space="preserve">Dadzie 2016, PMID 27581922.</w:t>
      </w:r>
    </w:p>
  </w:footnote>
  <w:footnote w:id="1949">
    <w:p>
      <w:pPr>
        <w:pStyle w:val="FootnoteText"/>
      </w:pPr>
      <w:r>
        <w:rPr>
          <w:rStyle w:val="FootnoteReference"/>
        </w:rPr>
        <w:footnoteRef/>
      </w:r>
      <w:r>
        <w:t xml:space="preserve"> </w:t>
      </w:r>
      <w:r>
        <w:t xml:space="preserve">Mischley 2017, PMID 28436395.</w:t>
      </w:r>
    </w:p>
  </w:footnote>
  <w:footnote w:id="1950">
    <w:p>
      <w:pPr>
        <w:pStyle w:val="FootnoteText"/>
      </w:pPr>
      <w:r>
        <w:rPr>
          <w:rStyle w:val="FootnoteReference"/>
        </w:rPr>
        <w:footnoteRef/>
      </w:r>
      <w:r>
        <w:t xml:space="preserve"> </w:t>
      </w:r>
      <w:r>
        <w:t xml:space="preserve">Davids 2016, PMID 27499402.</w:t>
      </w:r>
    </w:p>
  </w:footnote>
  <w:footnote w:id="1951">
    <w:p>
      <w:pPr>
        <w:pStyle w:val="FootnoteText"/>
      </w:pPr>
      <w:r>
        <w:rPr>
          <w:rStyle w:val="FootnoteReference"/>
        </w:rPr>
        <w:footnoteRef/>
      </w:r>
      <w:r>
        <w:t xml:space="preserve"> </w:t>
      </w:r>
      <w:r>
        <w:t xml:space="preserve">Leal 2014, PMID 24619793.</w:t>
      </w:r>
    </w:p>
  </w:footnote>
  <w:footnote w:id="1954">
    <w:p>
      <w:pPr>
        <w:pStyle w:val="FootnoteText"/>
      </w:pPr>
      <w:r>
        <w:rPr>
          <w:rStyle w:val="FootnoteReference"/>
        </w:rPr>
        <w:footnoteRef/>
      </w:r>
      <w:r>
        <w:t xml:space="preserve"> </w:t>
      </w:r>
      <w:r>
        <w:t xml:space="preserve">NCT07448415.</w:t>
      </w:r>
    </w:p>
  </w:footnote>
  <w:footnote w:id="1959">
    <w:p>
      <w:pPr>
        <w:pStyle w:val="FootnoteText"/>
      </w:pPr>
      <w:r>
        <w:rPr>
          <w:rStyle w:val="FootnoteReference"/>
        </w:rPr>
        <w:footnoteRef/>
      </w:r>
      <w:r>
        <w:t xml:space="preserve"> </w:t>
      </w:r>
      <w:r>
        <w:t xml:space="preserve">Hadley 2006, PMID 16412534.</w:t>
      </w:r>
    </w:p>
  </w:footnote>
  <w:footnote w:id="1960">
    <w:p>
      <w:pPr>
        <w:pStyle w:val="FootnoteText"/>
      </w:pPr>
      <w:r>
        <w:rPr>
          <w:rStyle w:val="FootnoteReference"/>
        </w:rPr>
        <w:footnoteRef/>
      </w:r>
      <w:r>
        <w:t xml:space="preserve"> </w:t>
      </w:r>
      <w:r>
        <w:t xml:space="preserve">Hadley 2005, PMID 15996790.</w:t>
      </w:r>
    </w:p>
  </w:footnote>
  <w:footnote w:id="1965">
    <w:p>
      <w:pPr>
        <w:pStyle w:val="FootnoteText"/>
      </w:pPr>
      <w:r>
        <w:rPr>
          <w:rStyle w:val="FootnoteReference"/>
        </w:rPr>
        <w:footnoteRef/>
      </w:r>
      <w:r>
        <w:t xml:space="preserve"> </w:t>
      </w:r>
      <w:r>
        <w:t xml:space="preserve">Hadley 2006, PMID 16412534.</w:t>
      </w:r>
    </w:p>
  </w:footnote>
  <w:footnote w:id="1966">
    <w:p>
      <w:pPr>
        <w:pStyle w:val="FootnoteText"/>
      </w:pPr>
      <w:r>
        <w:rPr>
          <w:rStyle w:val="FootnoteReference"/>
        </w:rPr>
        <w:footnoteRef/>
      </w:r>
      <w:r>
        <w:t xml:space="preserve"> </w:t>
      </w:r>
      <w:r>
        <w:t xml:space="preserve">Dhillon 2019, PMID 31429064.</w:t>
      </w:r>
    </w:p>
  </w:footnote>
  <w:footnote w:id="1968">
    <w:p>
      <w:pPr>
        <w:pStyle w:val="FootnoteText"/>
      </w:pPr>
      <w:r>
        <w:rPr>
          <w:rStyle w:val="FootnoteReference"/>
        </w:rPr>
        <w:footnoteRef/>
      </w:r>
      <w:r>
        <w:t xml:space="preserve"> </w:t>
      </w:r>
      <w:r>
        <w:t xml:space="preserve">Hadley 2005, PMID 15996790.</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Pfaus 2022, PMID 33455598.</w:t>
      </w:r>
    </w:p>
  </w:footnote>
  <w:footnote w:id="1971">
    <w:p>
      <w:pPr>
        <w:pStyle w:val="FootnoteText"/>
      </w:pPr>
      <w:r>
        <w:rPr>
          <w:rStyle w:val="FootnoteReference"/>
        </w:rPr>
        <w:footnoteRef/>
      </w:r>
      <w:r>
        <w:t xml:space="preserve"> </w:t>
      </w:r>
      <w:r>
        <w:t xml:space="preserve">Thurston 2022, PMID 36189794.</w:t>
      </w:r>
    </w:p>
  </w:footnote>
  <w:footnote w:id="1973">
    <w:p>
      <w:pPr>
        <w:pStyle w:val="FootnoteText"/>
      </w:pPr>
      <w:r>
        <w:rPr>
          <w:rStyle w:val="FootnoteReference"/>
        </w:rPr>
        <w:footnoteRef/>
      </w:r>
      <w:r>
        <w:t xml:space="preserve"> </w:t>
      </w:r>
      <w:r>
        <w:t xml:space="preserve">Diamond 2004, PMID 14963471.</w:t>
      </w:r>
    </w:p>
  </w:footnote>
  <w:footnote w:id="1974">
    <w:p>
      <w:pPr>
        <w:pStyle w:val="FootnoteText"/>
      </w:pPr>
      <w:r>
        <w:rPr>
          <w:rStyle w:val="FootnoteReference"/>
        </w:rPr>
        <w:footnoteRef/>
      </w:r>
      <w:r>
        <w:t xml:space="preserve"> </w:t>
      </w:r>
      <w:r>
        <w:t xml:space="preserve">Rosen 2004, PMID 14999221.</w:t>
      </w:r>
    </w:p>
  </w:footnote>
  <w:footnote w:id="1975">
    <w:p>
      <w:pPr>
        <w:pStyle w:val="FootnoteText"/>
      </w:pPr>
      <w:r>
        <w:rPr>
          <w:rStyle w:val="FootnoteReference"/>
        </w:rPr>
        <w:footnoteRef/>
      </w:r>
      <w:r>
        <w:t xml:space="preserve"> </w:t>
      </w:r>
      <w:r>
        <w:t xml:space="preserve">Diamond 2005, PMID 15833522.</w:t>
      </w:r>
    </w:p>
  </w:footnote>
  <w:footnote w:id="1976">
    <w:p>
      <w:pPr>
        <w:pStyle w:val="FootnoteText"/>
      </w:pPr>
      <w:r>
        <w:rPr>
          <w:rStyle w:val="FootnoteReference"/>
        </w:rPr>
        <w:footnoteRef/>
      </w:r>
      <w:r>
        <w:t xml:space="preserve"> </w:t>
      </w:r>
      <w:r>
        <w:t xml:space="preserve">Safarinejad 2008, PMID 18206919.</w:t>
      </w:r>
    </w:p>
  </w:footnote>
  <w:footnote w:id="1977">
    <w:p>
      <w:pPr>
        <w:pStyle w:val="FootnoteText"/>
      </w:pPr>
      <w:r>
        <w:rPr>
          <w:rStyle w:val="FootnoteReference"/>
        </w:rPr>
        <w:footnoteRef/>
      </w:r>
      <w:r>
        <w:t xml:space="preserve"> </w:t>
      </w:r>
      <w:r>
        <w:t xml:space="preserve">Safarinejad 2008, PMID 18179455.</w:t>
      </w:r>
    </w:p>
  </w:footnote>
  <w:footnote w:id="1979">
    <w:p>
      <w:pPr>
        <w:pStyle w:val="FootnoteText"/>
      </w:pPr>
      <w:r>
        <w:rPr>
          <w:rStyle w:val="FootnoteReference"/>
        </w:rPr>
        <w:footnoteRef/>
      </w:r>
      <w:r>
        <w:t xml:space="preserve"> </w:t>
      </w:r>
      <w:r>
        <w:t xml:space="preserve">Diamond 2006, PMID 16839319.</w:t>
      </w:r>
    </w:p>
  </w:footnote>
  <w:footnote w:id="1980">
    <w:p>
      <w:pPr>
        <w:pStyle w:val="FootnoteText"/>
      </w:pPr>
      <w:r>
        <w:rPr>
          <w:rStyle w:val="FootnoteReference"/>
        </w:rPr>
        <w:footnoteRef/>
      </w:r>
      <w:r>
        <w:t xml:space="preserve"> </w:t>
      </w:r>
      <w:r>
        <w:t xml:space="preserve">Clayton 2016, PMID 27181790; NCT01382719.</w:t>
      </w:r>
    </w:p>
  </w:footnote>
  <w:footnote w:id="1981">
    <w:p>
      <w:pPr>
        <w:pStyle w:val="FootnoteText"/>
      </w:pPr>
      <w:r>
        <w:rPr>
          <w:rStyle w:val="FootnoteReference"/>
        </w:rPr>
        <w:footnoteRef/>
      </w:r>
      <w:r>
        <w:t xml:space="preserve"> </w:t>
      </w:r>
      <w:r>
        <w:t xml:space="preserve">Althof 2019, PMID 31277966.</w:t>
      </w:r>
    </w:p>
  </w:footnote>
  <w:footnote w:id="1983">
    <w:p>
      <w:pPr>
        <w:pStyle w:val="FootnoteText"/>
      </w:pPr>
      <w:r>
        <w:rPr>
          <w:rStyle w:val="FootnoteReference"/>
        </w:rPr>
        <w:footnoteRef/>
      </w:r>
      <w:r>
        <w:t xml:space="preserve"> </w:t>
      </w:r>
      <w:r>
        <w:t xml:space="preserve">NCT02333071, NCT02338960.</w:t>
      </w:r>
    </w:p>
  </w:footnote>
  <w:footnote w:id="1984">
    <w:p>
      <w:pPr>
        <w:pStyle w:val="FootnoteText"/>
      </w:pPr>
      <w:r>
        <w:rPr>
          <w:rStyle w:val="FootnoteReference"/>
        </w:rPr>
        <w:footnoteRef/>
      </w:r>
      <w:r>
        <w:t xml:space="preserve"> </w:t>
      </w:r>
      <w:r>
        <w:t xml:space="preserve">Kingsberg 2019, PMID 31599840.</w:t>
      </w:r>
    </w:p>
  </w:footnote>
  <w:footnote w:id="1985">
    <w:p>
      <w:pPr>
        <w:pStyle w:val="FootnoteText"/>
      </w:pPr>
      <w:r>
        <w:rPr>
          <w:rStyle w:val="FootnoteReference"/>
        </w:rPr>
        <w:footnoteRef/>
      </w:r>
      <w:r>
        <w:t xml:space="preserve"> </w:t>
      </w:r>
      <w:r>
        <w:t xml:space="preserve">Koochaki 2021, PMID 33538638.</w:t>
      </w:r>
    </w:p>
  </w:footnote>
  <w:footnote w:id="1987">
    <w:p>
      <w:pPr>
        <w:pStyle w:val="FootnoteText"/>
      </w:pPr>
      <w:r>
        <w:rPr>
          <w:rStyle w:val="FootnoteReference"/>
        </w:rPr>
        <w:footnoteRef/>
      </w:r>
      <w:r>
        <w:t xml:space="preserve"> </w:t>
      </w:r>
      <w:r>
        <w:t xml:space="preserve">Spielmans 2021, PMID 33678061.</w:t>
      </w:r>
    </w:p>
  </w:footnote>
  <w:footnote w:id="1988">
    <w:p>
      <w:pPr>
        <w:pStyle w:val="FootnoteText"/>
      </w:pPr>
      <w:r>
        <w:rPr>
          <w:rStyle w:val="FootnoteReference"/>
        </w:rPr>
        <w:footnoteRef/>
      </w:r>
      <w:r>
        <w:t xml:space="preserve"> </w:t>
      </w:r>
      <w:r>
        <w:t xml:space="preserve">Clayton 2022, PMID 35147466.</w:t>
      </w:r>
    </w:p>
  </w:footnote>
  <w:footnote w:id="1990">
    <w:p>
      <w:pPr>
        <w:pStyle w:val="FootnoteText"/>
      </w:pPr>
      <w:r>
        <w:rPr>
          <w:rStyle w:val="FootnoteReference"/>
        </w:rPr>
        <w:footnoteRef/>
      </w:r>
      <w:r>
        <w:t xml:space="preserve"> </w:t>
      </w:r>
      <w:r>
        <w:t xml:space="preserve">Weinberger 2018, PMID 29995725.</w:t>
      </w:r>
    </w:p>
  </w:footnote>
  <w:footnote w:id="1991">
    <w:p>
      <w:pPr>
        <w:pStyle w:val="FootnoteText"/>
      </w:pPr>
      <w:r>
        <w:rPr>
          <w:rStyle w:val="FootnoteReference"/>
        </w:rPr>
        <w:footnoteRef/>
      </w:r>
      <w:r>
        <w:t xml:space="preserve"> </w:t>
      </w:r>
      <w:r>
        <w:t xml:space="preserve">Toledo 2026, PMID 40543759.</w:t>
      </w:r>
    </w:p>
  </w:footnote>
  <w:footnote w:id="1992">
    <w:p>
      <w:pPr>
        <w:pStyle w:val="FootnoteText"/>
      </w:pPr>
      <w:r>
        <w:rPr>
          <w:rStyle w:val="FootnoteReference"/>
        </w:rPr>
        <w:footnoteRef/>
      </w:r>
      <w:r>
        <w:t xml:space="preserve"> </w:t>
      </w:r>
      <w:r>
        <w:t xml:space="preserve">Ashour 2026, PMID 42254382.</w:t>
      </w:r>
    </w:p>
  </w:footnote>
  <w:footnote w:id="1994">
    <w:p>
      <w:pPr>
        <w:pStyle w:val="FootnoteText"/>
      </w:pPr>
      <w:r>
        <w:rPr>
          <w:rStyle w:val="FootnoteReference"/>
        </w:rPr>
        <w:footnoteRef/>
      </w:r>
      <w:r>
        <w:t xml:space="preserve"> </w:t>
      </w:r>
      <w:r>
        <w:t xml:space="preserve">Clayton 2017, PMID 28189361.</w:t>
      </w:r>
    </w:p>
  </w:footnote>
  <w:footnote w:id="1995">
    <w:p>
      <w:pPr>
        <w:pStyle w:val="FootnoteText"/>
      </w:pPr>
      <w:r>
        <w:rPr>
          <w:rStyle w:val="FootnoteReference"/>
        </w:rPr>
        <w:footnoteRef/>
      </w:r>
      <w:r>
        <w:t xml:space="preserve"> </w:t>
      </w:r>
      <w:r>
        <w:t xml:space="preserve">Spana 2022, PMID 35170192.</w:t>
      </w:r>
    </w:p>
  </w:footnote>
  <w:footnote w:id="1996">
    <w:p>
      <w:pPr>
        <w:pStyle w:val="FootnoteText"/>
      </w:pPr>
      <w:r>
        <w:rPr>
          <w:rStyle w:val="FootnoteReference"/>
        </w:rPr>
        <w:footnoteRef/>
      </w:r>
      <w:r>
        <w:t xml:space="preserve"> </w:t>
      </w:r>
      <w:r>
        <w:t xml:space="preserve">Thurston 2022, PMID 36189794; NCT04179734.</w:t>
      </w:r>
    </w:p>
  </w:footnote>
  <w:footnote w:id="1999">
    <w:p>
      <w:pPr>
        <w:pStyle w:val="FootnoteText"/>
      </w:pPr>
      <w:r>
        <w:rPr>
          <w:rStyle w:val="FootnoteReference"/>
        </w:rPr>
        <w:footnoteRef/>
      </w:r>
      <w:r>
        <w:t xml:space="preserve"> </w:t>
      </w:r>
      <w:r>
        <w:t xml:space="preserve">Pfaus 2022, PMID 33455598.</w:t>
      </w:r>
    </w:p>
  </w:footnote>
  <w:footnote w:id="2000">
    <w:p>
      <w:pPr>
        <w:pStyle w:val="FootnoteText"/>
      </w:pPr>
      <w:r>
        <w:rPr>
          <w:rStyle w:val="FootnoteReference"/>
        </w:rPr>
        <w:footnoteRef/>
      </w:r>
      <w:r>
        <w:t xml:space="preserve"> </w:t>
      </w:r>
      <w:r>
        <w:t xml:space="preserve">Borland 2025, PMID 39793696.</w:t>
      </w:r>
    </w:p>
  </w:footnote>
  <w:footnote w:id="2001">
    <w:p>
      <w:pPr>
        <w:pStyle w:val="FootnoteText"/>
      </w:pPr>
      <w:r>
        <w:rPr>
          <w:rStyle w:val="FootnoteReference"/>
        </w:rPr>
        <w:footnoteRef/>
      </w:r>
      <w:r>
        <w:t xml:space="preserve"> </w:t>
      </w:r>
      <w:r>
        <w:t xml:space="preserve">Suzuki 2024, PMID 39197897.</w:t>
      </w:r>
    </w:p>
  </w:footnote>
  <w:footnote w:id="2003">
    <w:p>
      <w:pPr>
        <w:pStyle w:val="FootnoteText"/>
      </w:pPr>
      <w:r>
        <w:rPr>
          <w:rStyle w:val="FootnoteReference"/>
        </w:rPr>
        <w:footnoteRef/>
      </w:r>
      <w:r>
        <w:t xml:space="preserve"> </w:t>
      </w:r>
      <w:r>
        <w:t xml:space="preserve">Clayton 2022, PMID 35147466.</w:t>
      </w:r>
    </w:p>
  </w:footnote>
  <w:footnote w:id="2004">
    <w:p>
      <w:pPr>
        <w:pStyle w:val="FootnoteText"/>
      </w:pPr>
      <w:r>
        <w:rPr>
          <w:rStyle w:val="FootnoteReference"/>
        </w:rPr>
        <w:footnoteRef/>
      </w:r>
      <w:r>
        <w:t xml:space="preserve"> </w:t>
      </w:r>
      <w:r>
        <w:t xml:space="preserve">NCT03973047.</w:t>
      </w:r>
    </w:p>
  </w:footnote>
  <w:footnote w:id="2005">
    <w:p>
      <w:pPr>
        <w:pStyle w:val="FootnoteText"/>
      </w:pPr>
      <w:r>
        <w:rPr>
          <w:rStyle w:val="FootnoteReference"/>
        </w:rPr>
        <w:footnoteRef/>
      </w:r>
      <w:r>
        <w:t xml:space="preserve"> </w:t>
      </w:r>
      <w:r>
        <w:t xml:space="preserve">White 2017, PMID 27977473.</w:t>
      </w:r>
    </w:p>
  </w:footnote>
  <w:footnote w:id="2006">
    <w:p>
      <w:pPr>
        <w:pStyle w:val="FootnoteText"/>
      </w:pPr>
      <w:r>
        <w:rPr>
          <w:rStyle w:val="FootnoteReference"/>
        </w:rPr>
        <w:footnoteRef/>
      </w:r>
      <w:r>
        <w:t xml:space="preserve"> </w:t>
      </w:r>
      <w:r>
        <w:t xml:space="preserve">Clayton 2022, PMID 35147466.</w:t>
      </w:r>
    </w:p>
  </w:footnote>
  <w:footnote w:id="2007">
    <w:p>
      <w:pPr>
        <w:pStyle w:val="FootnoteText"/>
      </w:pPr>
      <w:r>
        <w:rPr>
          <w:rStyle w:val="FootnoteReference"/>
        </w:rPr>
        <w:footnoteRef/>
      </w:r>
      <w:r>
        <w:t xml:space="preserve"> </w:t>
      </w:r>
      <w:r>
        <w:t xml:space="preserve">Clayton 2022, PMID 35147466.</w:t>
      </w:r>
    </w:p>
  </w:footnote>
  <w:footnote w:id="2009">
    <w:p>
      <w:pPr>
        <w:pStyle w:val="FootnoteText"/>
      </w:pPr>
      <w:r>
        <w:rPr>
          <w:rStyle w:val="FootnoteReference"/>
        </w:rPr>
        <w:footnoteRef/>
      </w:r>
      <w:r>
        <w:t xml:space="preserve"> </w:t>
      </w:r>
      <w:r>
        <w:t xml:space="preserve">NCT06867835.</w:t>
      </w:r>
    </w:p>
  </w:footnote>
  <w:footnote w:id="2011">
    <w:p>
      <w:pPr>
        <w:pStyle w:val="FootnoteText"/>
      </w:pPr>
      <w:r>
        <w:rPr>
          <w:rStyle w:val="FootnoteReference"/>
        </w:rPr>
        <w:footnoteRef/>
      </w:r>
      <w:r>
        <w:t xml:space="preserve"> </w:t>
      </w:r>
      <w:r>
        <w:t xml:space="preserve">Mestria 2021, PMID 33245851.</w:t>
      </w:r>
    </w:p>
  </w:footnote>
  <w:footnote w:id="2014">
    <w:p>
      <w:pPr>
        <w:pStyle w:val="FootnoteText"/>
      </w:pPr>
      <w:r>
        <w:rPr>
          <w:rStyle w:val="FootnoteReference"/>
        </w:rPr>
        <w:footnoteRef/>
      </w:r>
      <w:r>
        <w:t xml:space="preserve"> </w:t>
      </w:r>
      <w:r>
        <w:t xml:space="preserve">NCT04943068.</w:t>
      </w:r>
    </w:p>
  </w:footnote>
  <w:footnote w:id="2016">
    <w:p>
      <w:pPr>
        <w:pStyle w:val="FootnoteText"/>
      </w:pPr>
      <w:r>
        <w:rPr>
          <w:rStyle w:val="FootnoteReference"/>
        </w:rPr>
        <w:footnoteRef/>
      </w:r>
      <w:r>
        <w:t xml:space="preserve"> </w:t>
      </w:r>
      <w:r>
        <w:t xml:space="preserve">NCT06565611.</w:t>
      </w:r>
    </w:p>
  </w:footnote>
  <w:footnote w:id="2017">
    <w:p>
      <w:pPr>
        <w:pStyle w:val="FootnoteText"/>
      </w:pPr>
      <w:r>
        <w:rPr>
          <w:rStyle w:val="FootnoteReference"/>
        </w:rPr>
        <w:footnoteRef/>
      </w:r>
      <w:r>
        <w:t xml:space="preserve"> </w:t>
      </w:r>
      <w:r>
        <w:t xml:space="preserve">NCT05709444.</w:t>
      </w:r>
    </w:p>
  </w:footnote>
  <w:footnote w:id="2018">
    <w:p>
      <w:pPr>
        <w:pStyle w:val="FootnoteText"/>
      </w:pPr>
      <w:r>
        <w:rPr>
          <w:rStyle w:val="FootnoteReference"/>
        </w:rPr>
        <w:footnoteRef/>
      </w:r>
      <w:r>
        <w:t xml:space="preserve"> </w:t>
      </w:r>
      <w:r>
        <w:t xml:space="preserve">NCT06867835.</w:t>
      </w:r>
    </w:p>
  </w:footnote>
  <w:footnote w:id="2022">
    <w:p>
      <w:pPr>
        <w:pStyle w:val="FootnoteText"/>
      </w:pPr>
      <w:r>
        <w:rPr>
          <w:rStyle w:val="FootnoteReference"/>
        </w:rPr>
        <w:footnoteRef/>
      </w:r>
      <w:r>
        <w:t xml:space="preserve"> </w:t>
      </w:r>
      <w:r>
        <w:t xml:space="preserve">Dorr 1996, PMID 8637402.</w:t>
      </w:r>
    </w:p>
  </w:footnote>
  <w:footnote w:id="2023">
    <w:p>
      <w:pPr>
        <w:pStyle w:val="FootnoteText"/>
      </w:pPr>
      <w:r>
        <w:rPr>
          <w:rStyle w:val="FootnoteReference"/>
        </w:rPr>
        <w:footnoteRef/>
      </w:r>
      <w:r>
        <w:t xml:space="preserve"> </w:t>
      </w:r>
      <w:r>
        <w:t xml:space="preserve">Hadley 2006, PMID 16412534.</w:t>
      </w:r>
    </w:p>
  </w:footnote>
  <w:footnote w:id="2025">
    <w:p>
      <w:pPr>
        <w:pStyle w:val="FootnoteText"/>
      </w:pPr>
      <w:r>
        <w:rPr>
          <w:rStyle w:val="FootnoteReference"/>
        </w:rPr>
        <w:footnoteRef/>
      </w:r>
      <w:r>
        <w:t xml:space="preserve"> </w:t>
      </w:r>
      <w:r>
        <w:t xml:space="preserve">Langan 2011, PMID 21547334.</w:t>
      </w:r>
    </w:p>
  </w:footnote>
  <w:footnote w:id="2027">
    <w:p>
      <w:pPr>
        <w:pStyle w:val="FootnoteText"/>
      </w:pPr>
      <w:r>
        <w:rPr>
          <w:rStyle w:val="FootnoteReference"/>
        </w:rPr>
        <w:footnoteRef/>
      </w:r>
      <w:r>
        <w:t xml:space="preserve"> </w:t>
      </w:r>
      <w:r>
        <w:t xml:space="preserve">Dorr 1996, PMID 8637402.</w:t>
      </w:r>
    </w:p>
  </w:footnote>
  <w:footnote w:id="2028">
    <w:p>
      <w:pPr>
        <w:pStyle w:val="FootnoteText"/>
      </w:pPr>
      <w:r>
        <w:rPr>
          <w:rStyle w:val="FootnoteReference"/>
        </w:rPr>
        <w:footnoteRef/>
      </w:r>
      <w:r>
        <w:t xml:space="preserve"> </w:t>
      </w:r>
      <w:r>
        <w:t xml:space="preserve">Wessells 1998, PMID 9679884; Wessells 2000, PMID 11018622.</w:t>
      </w:r>
    </w:p>
  </w:footnote>
  <w:footnote w:id="2029">
    <w:p>
      <w:pPr>
        <w:pStyle w:val="FootnoteText"/>
      </w:pPr>
      <w:r>
        <w:rPr>
          <w:rStyle w:val="FootnoteReference"/>
        </w:rPr>
        <w:footnoteRef/>
      </w:r>
      <w:r>
        <w:t xml:space="preserve"> </w:t>
      </w:r>
      <w:r>
        <w:t xml:space="preserve">Wessells 2000, PMID 11035391.</w:t>
      </w:r>
    </w:p>
  </w:footnote>
  <w:footnote w:id="2031">
    <w:p>
      <w:pPr>
        <w:pStyle w:val="FootnoteText"/>
      </w:pPr>
      <w:r>
        <w:rPr>
          <w:rStyle w:val="FootnoteReference"/>
        </w:rPr>
        <w:footnoteRef/>
      </w:r>
      <w:r>
        <w:t xml:space="preserve"> </w:t>
      </w:r>
      <w:r>
        <w:t xml:space="preserve">Dorr 2000, PMID 11045725.</w:t>
      </w:r>
    </w:p>
  </w:footnote>
  <w:footnote w:id="2032">
    <w:p>
      <w:pPr>
        <w:pStyle w:val="FootnoteText"/>
      </w:pPr>
      <w:r>
        <w:rPr>
          <w:rStyle w:val="FootnoteReference"/>
        </w:rPr>
        <w:footnoteRef/>
      </w:r>
      <w:r>
        <w:t xml:space="preserve"> </w:t>
      </w:r>
      <w:r>
        <w:t xml:space="preserve">Dorr 2004, PMID 15262693.</w:t>
      </w:r>
    </w:p>
  </w:footnote>
  <w:footnote w:id="2034">
    <w:p>
      <w:pPr>
        <w:pStyle w:val="FootnoteText"/>
      </w:pPr>
      <w:r>
        <w:rPr>
          <w:rStyle w:val="FootnoteReference"/>
        </w:rPr>
        <w:footnoteRef/>
      </w:r>
      <w:r>
        <w:t xml:space="preserve"> </w:t>
      </w:r>
      <w:r>
        <w:t xml:space="preserve">Evans-Brown 2009, PMID 19224885.</w:t>
      </w:r>
    </w:p>
  </w:footnote>
  <w:footnote w:id="2035">
    <w:p>
      <w:pPr>
        <w:pStyle w:val="FootnoteText"/>
      </w:pPr>
      <w:r>
        <w:rPr>
          <w:rStyle w:val="FootnoteReference"/>
        </w:rPr>
        <w:footnoteRef/>
      </w:r>
      <w:r>
        <w:t xml:space="preserve"> </w:t>
      </w:r>
      <w:r>
        <w:t xml:space="preserve">Brennan 2017, PMID 26806443.</w:t>
      </w:r>
    </w:p>
  </w:footnote>
  <w:footnote w:id="2036">
    <w:p>
      <w:pPr>
        <w:pStyle w:val="FootnoteText"/>
      </w:pPr>
      <w:r>
        <w:rPr>
          <w:rStyle w:val="FootnoteReference"/>
        </w:rPr>
        <w:footnoteRef/>
      </w:r>
      <w:r>
        <w:t xml:space="preserve"> </w:t>
      </w:r>
      <w:r>
        <w:t xml:space="preserve">Gilhooley 2021, PMID 34464955.</w:t>
      </w:r>
    </w:p>
  </w:footnote>
  <w:footnote w:id="2037">
    <w:p>
      <w:pPr>
        <w:pStyle w:val="FootnoteText"/>
      </w:pPr>
      <w:r>
        <w:rPr>
          <w:rStyle w:val="FootnoteReference"/>
        </w:rPr>
        <w:footnoteRef/>
      </w:r>
      <w:r>
        <w:t xml:space="preserve"> </w:t>
      </w:r>
      <w:r>
        <w:t xml:space="preserve">Callaghan 2018, PMID 30142729.</w:t>
      </w:r>
    </w:p>
  </w:footnote>
  <w:footnote w:id="2038">
    <w:p>
      <w:pPr>
        <w:pStyle w:val="FootnoteText"/>
      </w:pPr>
      <w:r>
        <w:rPr>
          <w:rStyle w:val="FootnoteReference"/>
        </w:rPr>
        <w:footnoteRef/>
      </w:r>
      <w:r>
        <w:t xml:space="preserve"> </w:t>
      </w:r>
      <w:r>
        <w:t xml:space="preserve">Orr 2025, PMID 38808957; Herlihy 2025, PMID 39148422; Sidhu 2026, PMID 41559011.</w:t>
      </w:r>
    </w:p>
  </w:footnote>
  <w:footnote w:id="2041">
    <w:p>
      <w:pPr>
        <w:pStyle w:val="FootnoteText"/>
      </w:pPr>
      <w:r>
        <w:rPr>
          <w:rStyle w:val="FootnoteReference"/>
        </w:rPr>
        <w:footnoteRef/>
      </w:r>
      <w:r>
        <w:t xml:space="preserve"> </w:t>
      </w:r>
      <w:r>
        <w:t xml:space="preserve">Strader 2007, PMID 17567964.</w:t>
      </w:r>
    </w:p>
  </w:footnote>
  <w:footnote w:id="2042">
    <w:p>
      <w:pPr>
        <w:pStyle w:val="FootnoteText"/>
      </w:pPr>
      <w:r>
        <w:rPr>
          <w:rStyle w:val="FootnoteReference"/>
        </w:rPr>
        <w:footnoteRef/>
      </w:r>
      <w:r>
        <w:t xml:space="preserve"> </w:t>
      </w:r>
      <w:r>
        <w:t xml:space="preserve">Jain 2018, PMID 29812984.</w:t>
      </w:r>
    </w:p>
  </w:footnote>
  <w:footnote w:id="2043">
    <w:p>
      <w:pPr>
        <w:pStyle w:val="FootnoteText"/>
      </w:pPr>
      <w:r>
        <w:rPr>
          <w:rStyle w:val="FootnoteReference"/>
        </w:rPr>
        <w:footnoteRef/>
      </w:r>
      <w:r>
        <w:t xml:space="preserve"> </w:t>
      </w:r>
      <w:r>
        <w:t xml:space="preserve">Minakova 2019, PMID 30629642.</w:t>
      </w:r>
    </w:p>
  </w:footnote>
  <w:footnote w:id="2045">
    <w:p>
      <w:pPr>
        <w:pStyle w:val="FootnoteText"/>
      </w:pPr>
      <w:r>
        <w:rPr>
          <w:rStyle w:val="FootnoteReference"/>
        </w:rPr>
        <w:footnoteRef/>
      </w:r>
      <w:r>
        <w:t xml:space="preserve"> </w:t>
      </w:r>
      <w:r>
        <w:t xml:space="preserve">Dorr 1996, PMID 8637402; Wessells 2000, PMID 11035391.</w:t>
      </w:r>
    </w:p>
  </w:footnote>
  <w:footnote w:id="2046">
    <w:p>
      <w:pPr>
        <w:pStyle w:val="FootnoteText"/>
      </w:pPr>
      <w:r>
        <w:rPr>
          <w:rStyle w:val="FootnoteReference"/>
        </w:rPr>
        <w:footnoteRef/>
      </w:r>
      <w:r>
        <w:t xml:space="preserve"> </w:t>
      </w:r>
      <w:r>
        <w:t xml:space="preserve">Paurobally 2013, PMID 22182016.</w:t>
      </w:r>
    </w:p>
  </w:footnote>
  <w:footnote w:id="2047">
    <w:p>
      <w:pPr>
        <w:pStyle w:val="FootnoteText"/>
      </w:pPr>
      <w:r>
        <w:rPr>
          <w:rStyle w:val="FootnoteReference"/>
        </w:rPr>
        <w:footnoteRef/>
      </w:r>
      <w:r>
        <w:t xml:space="preserve"> </w:t>
      </w:r>
      <w:r>
        <w:t xml:space="preserve">Bonchev 2026, PMID 41752902.</w:t>
      </w:r>
    </w:p>
  </w:footnote>
  <w:footnote w:id="2048">
    <w:p>
      <w:pPr>
        <w:pStyle w:val="FootnoteText"/>
      </w:pPr>
      <w:r>
        <w:rPr>
          <w:rStyle w:val="FootnoteReference"/>
        </w:rPr>
        <w:footnoteRef/>
      </w:r>
      <w:r>
        <w:t xml:space="preserve"> </w:t>
      </w:r>
      <w:r>
        <w:t xml:space="preserve">Ume 2026, PMID 42212476.</w:t>
      </w:r>
    </w:p>
  </w:footnote>
  <w:footnote w:id="2050">
    <w:p>
      <w:pPr>
        <w:pStyle w:val="FootnoteText"/>
      </w:pPr>
      <w:r>
        <w:rPr>
          <w:rStyle w:val="FootnoteReference"/>
        </w:rPr>
        <w:footnoteRef/>
      </w:r>
      <w:r>
        <w:t xml:space="preserve"> </w:t>
      </w:r>
      <w:r>
        <w:t xml:space="preserve">Cousen 2009, PMID 19575725; Thestrup-Pedersen 2011, PMID 21453640.</w:t>
      </w:r>
    </w:p>
  </w:footnote>
  <w:footnote w:id="2051">
    <w:p>
      <w:pPr>
        <w:pStyle w:val="FootnoteText"/>
      </w:pPr>
      <w:r>
        <w:rPr>
          <w:rStyle w:val="FootnoteReference"/>
        </w:rPr>
        <w:footnoteRef/>
      </w:r>
      <w:r>
        <w:t xml:space="preserve"> </w:t>
      </w:r>
      <w:r>
        <w:t xml:space="preserve">Reid 2013, PMID 23914578.</w:t>
      </w:r>
    </w:p>
  </w:footnote>
  <w:footnote w:id="2052">
    <w:p>
      <w:pPr>
        <w:pStyle w:val="FootnoteText"/>
      </w:pPr>
      <w:r>
        <w:rPr>
          <w:rStyle w:val="FootnoteReference"/>
        </w:rPr>
        <w:footnoteRef/>
      </w:r>
      <w:r>
        <w:t xml:space="preserve"> </w:t>
      </w:r>
      <w:r>
        <w:t xml:space="preserve">Paurobally 2011, PMID 21564053; Ong 2012, PMID 22724573.</w:t>
      </w:r>
    </w:p>
  </w:footnote>
  <w:footnote w:id="2053">
    <w:p>
      <w:pPr>
        <w:pStyle w:val="FootnoteText"/>
      </w:pPr>
      <w:r>
        <w:rPr>
          <w:rStyle w:val="FootnoteReference"/>
        </w:rPr>
        <w:footnoteRef/>
      </w:r>
      <w:r>
        <w:t xml:space="preserve"> </w:t>
      </w:r>
      <w:r>
        <w:t xml:space="preserve">Hjuler 2014, PMID 24355990.</w:t>
      </w:r>
    </w:p>
  </w:footnote>
  <w:footnote w:id="2054">
    <w:p>
      <w:pPr>
        <w:pStyle w:val="FootnoteText"/>
      </w:pPr>
      <w:r>
        <w:rPr>
          <w:rStyle w:val="FootnoteReference"/>
        </w:rPr>
        <w:footnoteRef/>
      </w:r>
      <w:r>
        <w:t xml:space="preserve"> </w:t>
      </w:r>
      <w:r>
        <w:t xml:space="preserve">Yassin Alsabbagh 2025, PMID 40210573.</w:t>
      </w:r>
    </w:p>
  </w:footnote>
  <w:footnote w:id="2055">
    <w:p>
      <w:pPr>
        <w:pStyle w:val="FootnoteText"/>
      </w:pPr>
      <w:r>
        <w:rPr>
          <w:rStyle w:val="FootnoteReference"/>
        </w:rPr>
        <w:footnoteRef/>
      </w:r>
      <w:r>
        <w:t xml:space="preserve"> </w:t>
      </w:r>
      <w:r>
        <w:t xml:space="preserve">Burian 2019, PMID 31119650.</w:t>
      </w:r>
    </w:p>
  </w:footnote>
  <w:footnote w:id="2056">
    <w:p>
      <w:pPr>
        <w:pStyle w:val="FootnoteText"/>
      </w:pPr>
      <w:r>
        <w:rPr>
          <w:rStyle w:val="FootnoteReference"/>
        </w:rPr>
        <w:footnoteRef/>
      </w:r>
      <w:r>
        <w:t xml:space="preserve"> </w:t>
      </w:r>
      <w:r>
        <w:t xml:space="preserve">Habbema 2017, PMID 28266027.</w:t>
      </w:r>
    </w:p>
  </w:footnote>
  <w:footnote w:id="2058">
    <w:p>
      <w:pPr>
        <w:pStyle w:val="FootnoteText"/>
      </w:pPr>
      <w:r>
        <w:rPr>
          <w:rStyle w:val="FootnoteReference"/>
        </w:rPr>
        <w:footnoteRef/>
      </w:r>
      <w:r>
        <w:t xml:space="preserve"> </w:t>
      </w:r>
      <w:r>
        <w:t xml:space="preserve">Devlin 2013, PMID 23537392; Dreyer 2019, PMID 30796078.</w:t>
      </w:r>
    </w:p>
  </w:footnote>
  <w:footnote w:id="2059">
    <w:p>
      <w:pPr>
        <w:pStyle w:val="FootnoteText"/>
      </w:pPr>
      <w:r>
        <w:rPr>
          <w:rStyle w:val="FootnoteReference"/>
        </w:rPr>
        <w:footnoteRef/>
      </w:r>
      <w:r>
        <w:t xml:space="preserve"> </w:t>
      </w:r>
      <w:r>
        <w:t xml:space="preserve">Mallory 2021, PMID 33460908.</w:t>
      </w:r>
    </w:p>
  </w:footnote>
  <w:footnote w:id="2060">
    <w:p>
      <w:pPr>
        <w:pStyle w:val="FootnoteText"/>
      </w:pPr>
      <w:r>
        <w:rPr>
          <w:rStyle w:val="FootnoteReference"/>
        </w:rPr>
        <w:footnoteRef/>
      </w:r>
      <w:r>
        <w:t xml:space="preserve"> </w:t>
      </w:r>
      <w:r>
        <w:t xml:space="preserve">Dreyer 2019, PMID 30796078.</w:t>
      </w:r>
    </w:p>
  </w:footnote>
  <w:footnote w:id="2061">
    <w:p>
      <w:pPr>
        <w:pStyle w:val="FootnoteText"/>
      </w:pPr>
      <w:r>
        <w:rPr>
          <w:rStyle w:val="FootnoteReference"/>
        </w:rPr>
        <w:footnoteRef/>
      </w:r>
      <w:r>
        <w:t xml:space="preserve"> </w:t>
      </w:r>
      <w:r>
        <w:t xml:space="preserve">Nelson 2012, PMID 23121206.</w:t>
      </w:r>
    </w:p>
  </w:footnote>
  <w:footnote w:id="2062">
    <w:p>
      <w:pPr>
        <w:pStyle w:val="FootnoteText"/>
      </w:pPr>
      <w:r>
        <w:rPr>
          <w:rStyle w:val="FootnoteReference"/>
        </w:rPr>
        <w:footnoteRef/>
      </w:r>
      <w:r>
        <w:t xml:space="preserve"> </w:t>
      </w:r>
      <w:r>
        <w:t xml:space="preserve">Peters 2020, PMID 31953620.</w:t>
      </w:r>
    </w:p>
  </w:footnote>
  <w:footnote w:id="2063">
    <w:p>
      <w:pPr>
        <w:pStyle w:val="FootnoteText"/>
      </w:pPr>
      <w:r>
        <w:rPr>
          <w:rStyle w:val="FootnoteReference"/>
        </w:rPr>
        <w:footnoteRef/>
      </w:r>
      <w:r>
        <w:t xml:space="preserve"> </w:t>
      </w:r>
      <w:r>
        <w:t xml:space="preserve">Kaski 2013, PMID 23648958.</w:t>
      </w:r>
    </w:p>
  </w:footnote>
  <w:footnote w:id="2064">
    <w:p>
      <w:pPr>
        <w:pStyle w:val="FootnoteText"/>
      </w:pPr>
      <w:r>
        <w:rPr>
          <w:rStyle w:val="FootnoteReference"/>
        </w:rPr>
        <w:footnoteRef/>
      </w:r>
      <w:r>
        <w:t xml:space="preserve"> </w:t>
      </w:r>
      <w:r>
        <w:t xml:space="preserve">Dickson 2025, PMID 41487785.</w:t>
      </w:r>
    </w:p>
  </w:footnote>
  <w:footnote w:id="2066">
    <w:p>
      <w:pPr>
        <w:pStyle w:val="FootnoteText"/>
      </w:pPr>
      <w:r>
        <w:rPr>
          <w:rStyle w:val="FootnoteReference"/>
        </w:rPr>
        <w:footnoteRef/>
      </w:r>
      <w:r>
        <w:t xml:space="preserve"> </w:t>
      </w:r>
      <w:r>
        <w:t xml:space="preserve">Breindahl 2015, PMID 24771717.</w:t>
      </w:r>
    </w:p>
  </w:footnote>
  <w:footnote w:id="2067">
    <w:p>
      <w:pPr>
        <w:pStyle w:val="FootnoteText"/>
      </w:pPr>
      <w:r>
        <w:rPr>
          <w:rStyle w:val="FootnoteReference"/>
        </w:rPr>
        <w:footnoteRef/>
      </w:r>
      <w:r>
        <w:t xml:space="preserve"> </w:t>
      </w:r>
      <w:r>
        <w:t xml:space="preserve">Deville 2024, PMID 39302005.</w:t>
      </w:r>
    </w:p>
  </w:footnote>
  <w:footnote w:id="2068">
    <w:p>
      <w:pPr>
        <w:pStyle w:val="FootnoteText"/>
      </w:pPr>
      <w:r>
        <w:rPr>
          <w:rStyle w:val="FootnoteReference"/>
        </w:rPr>
        <w:footnoteRef/>
      </w:r>
      <w:r>
        <w:t xml:space="preserve"> </w:t>
      </w:r>
      <w:r>
        <w:t xml:space="preserve">Gilhooley 2021, PMID 34464955.</w:t>
      </w:r>
    </w:p>
  </w:footnote>
  <w:footnote w:id="2071">
    <w:p>
      <w:pPr>
        <w:pStyle w:val="FootnoteText"/>
      </w:pPr>
      <w:r>
        <w:rPr>
          <w:rStyle w:val="FootnoteReference"/>
        </w:rPr>
        <w:footnoteRef/>
      </w:r>
      <w:r>
        <w:t xml:space="preserve"> </w:t>
      </w:r>
      <w:r>
        <w:t xml:space="preserve">Habbema 2017, PMID 28266027.</w:t>
      </w:r>
    </w:p>
  </w:footnote>
  <w:footnote w:id="2072">
    <w:p>
      <w:pPr>
        <w:pStyle w:val="FootnoteText"/>
      </w:pPr>
      <w:r>
        <w:rPr>
          <w:rStyle w:val="FootnoteReference"/>
        </w:rPr>
        <w:footnoteRef/>
      </w:r>
      <w:r>
        <w:t xml:space="preserve"> </w:t>
      </w:r>
      <w:r>
        <w:t xml:space="preserve">Yassin Alsabbagh 2025, PMID 40210573.</w:t>
      </w:r>
    </w:p>
  </w:footnote>
  <w:footnote w:id="2077">
    <w:p>
      <w:pPr>
        <w:pStyle w:val="FootnoteText"/>
      </w:pPr>
      <w:r>
        <w:rPr>
          <w:rStyle w:val="FootnoteReference"/>
        </w:rPr>
        <w:footnoteRef/>
      </w:r>
      <w:r>
        <w:t xml:space="preserve"> </w:t>
      </w:r>
      <w:r>
        <w:t xml:space="preserve">Hadley 2006, PMID 16412534.</w:t>
      </w:r>
    </w:p>
  </w:footnote>
  <w:footnote w:id="2078">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Homey 2025, PMID 40082741.</w:t>
      </w:r>
    </w:p>
  </w:footnote>
  <w:footnote w:id="2081">
    <w:p>
      <w:pPr>
        <w:pStyle w:val="FootnoteText"/>
      </w:pPr>
      <w:r>
        <w:rPr>
          <w:rStyle w:val="FootnoteReference"/>
        </w:rPr>
        <w:footnoteRef/>
      </w:r>
      <w:r>
        <w:t xml:space="preserve"> </w:t>
      </w:r>
      <w:r>
        <w:t xml:space="preserve">Minder 2023, PMID 37109595.</w:t>
      </w:r>
    </w:p>
  </w:footnote>
  <w:footnote w:id="2083">
    <w:p>
      <w:pPr>
        <w:pStyle w:val="FootnoteText"/>
      </w:pPr>
      <w:r>
        <w:rPr>
          <w:rStyle w:val="FootnoteReference"/>
        </w:rPr>
        <w:footnoteRef/>
      </w:r>
      <w:r>
        <w:t xml:space="preserve"> </w:t>
      </w:r>
      <w:r>
        <w:t xml:space="preserve">Dorr 2000, PMID 11045725.</w:t>
      </w:r>
    </w:p>
  </w:footnote>
  <w:footnote w:id="2084">
    <w:p>
      <w:pPr>
        <w:pStyle w:val="FootnoteText"/>
      </w:pPr>
      <w:r>
        <w:rPr>
          <w:rStyle w:val="FootnoteReference"/>
        </w:rPr>
        <w:footnoteRef/>
      </w:r>
      <w:r>
        <w:t xml:space="preserve"> </w:t>
      </w:r>
      <w:r>
        <w:t xml:space="preserve">Dorr 2004, PMID 15262693.</w:t>
      </w:r>
    </w:p>
  </w:footnote>
  <w:footnote w:id="2085">
    <w:p>
      <w:pPr>
        <w:pStyle w:val="FootnoteText"/>
      </w:pPr>
      <w:r>
        <w:rPr>
          <w:rStyle w:val="FootnoteReference"/>
        </w:rPr>
        <w:footnoteRef/>
      </w:r>
      <w:r>
        <w:t xml:space="preserve"> </w:t>
      </w:r>
      <w:r>
        <w:t xml:space="preserve">Fitzgerald 2006, PMID 16293341.</w:t>
      </w:r>
    </w:p>
  </w:footnote>
  <w:footnote w:id="2087">
    <w:p>
      <w:pPr>
        <w:pStyle w:val="FootnoteText"/>
      </w:pPr>
      <w:r>
        <w:rPr>
          <w:rStyle w:val="FootnoteReference"/>
        </w:rPr>
        <w:footnoteRef/>
      </w:r>
      <w:r>
        <w:t xml:space="preserve"> </w:t>
      </w:r>
      <w:r>
        <w:t xml:space="preserve">Harms 2009, PMID 19656325.</w:t>
      </w:r>
    </w:p>
  </w:footnote>
  <w:footnote w:id="2088">
    <w:p>
      <w:pPr>
        <w:pStyle w:val="FootnoteText"/>
      </w:pPr>
      <w:r>
        <w:rPr>
          <w:rStyle w:val="FootnoteReference"/>
        </w:rPr>
        <w:footnoteRef/>
      </w:r>
      <w:r>
        <w:t xml:space="preserve"> </w:t>
      </w:r>
      <w:r>
        <w:t xml:space="preserve">Langendonk 2015, PMID 26132941; NCT00979745, NCT01605136.</w:t>
      </w:r>
    </w:p>
  </w:footnote>
  <w:footnote w:id="2089">
    <w:p>
      <w:pPr>
        <w:pStyle w:val="FootnoteText"/>
      </w:pPr>
      <w:r>
        <w:rPr>
          <w:rStyle w:val="FootnoteReference"/>
        </w:rPr>
        <w:footnoteRef/>
      </w:r>
      <w:r>
        <w:t xml:space="preserve"> </w:t>
      </w:r>
      <w:r>
        <w:t xml:space="preserve">Heerfordt 2023, PMID 36525819.</w:t>
      </w:r>
    </w:p>
  </w:footnote>
  <w:footnote w:id="2091">
    <w:p>
      <w:pPr>
        <w:pStyle w:val="FootnoteText"/>
      </w:pPr>
      <w:r>
        <w:rPr>
          <w:rStyle w:val="FootnoteReference"/>
        </w:rPr>
        <w:footnoteRef/>
      </w:r>
      <w:r>
        <w:t xml:space="preserve"> </w:t>
      </w:r>
      <w:r>
        <w:t xml:space="preserve">Biolcati 2015, PMID 25494545.</w:t>
      </w:r>
    </w:p>
  </w:footnote>
  <w:footnote w:id="2092">
    <w:p>
      <w:pPr>
        <w:pStyle w:val="FootnoteText"/>
      </w:pPr>
      <w:r>
        <w:rPr>
          <w:rStyle w:val="FootnoteReference"/>
        </w:rPr>
        <w:footnoteRef/>
      </w:r>
      <w:r>
        <w:t xml:space="preserve"> </w:t>
      </w:r>
      <w:r>
        <w:t xml:space="preserve">Wensink 2020, PMID 32186677.</w:t>
      </w:r>
    </w:p>
  </w:footnote>
  <w:footnote w:id="2093">
    <w:p>
      <w:pPr>
        <w:pStyle w:val="FootnoteText"/>
      </w:pPr>
      <w:r>
        <w:rPr>
          <w:rStyle w:val="FootnoteReference"/>
        </w:rPr>
        <w:footnoteRef/>
      </w:r>
      <w:r>
        <w:t xml:space="preserve"> </w:t>
      </w:r>
      <w:r>
        <w:t xml:space="preserve">Seidl-Philipp 2026, PMID 41793078.</w:t>
      </w:r>
    </w:p>
  </w:footnote>
  <w:footnote w:id="2095">
    <w:p>
      <w:pPr>
        <w:pStyle w:val="FootnoteText"/>
      </w:pPr>
      <w:r>
        <w:rPr>
          <w:rStyle w:val="FootnoteReference"/>
        </w:rPr>
        <w:footnoteRef/>
      </w:r>
      <w:r>
        <w:t xml:space="preserve"> </w:t>
      </w:r>
      <w:r>
        <w:t xml:space="preserve">Minder 2023, PMID 37109595.</w:t>
      </w:r>
    </w:p>
  </w:footnote>
  <w:footnote w:id="2096">
    <w:p>
      <w:pPr>
        <w:pStyle w:val="FootnoteText"/>
      </w:pPr>
      <w:r>
        <w:rPr>
          <w:rStyle w:val="FootnoteReference"/>
        </w:rPr>
        <w:footnoteRef/>
      </w:r>
      <w:r>
        <w:t xml:space="preserve"> </w:t>
      </w:r>
      <w:r>
        <w:t xml:space="preserve">Kluijver 2024, PMID 38634774.</w:t>
      </w:r>
    </w:p>
  </w:footnote>
  <w:footnote w:id="2097">
    <w:p>
      <w:pPr>
        <w:pStyle w:val="FootnoteText"/>
      </w:pPr>
      <w:r>
        <w:rPr>
          <w:rStyle w:val="FootnoteReference"/>
        </w:rPr>
        <w:footnoteRef/>
      </w:r>
      <w:r>
        <w:t xml:space="preserve"> </w:t>
      </w:r>
      <w:r>
        <w:t xml:space="preserve">Lengweiler 2015, PMID 25402764.</w:t>
      </w:r>
    </w:p>
  </w:footnote>
  <w:footnote w:id="2099">
    <w:p>
      <w:pPr>
        <w:pStyle w:val="FootnoteText"/>
      </w:pPr>
      <w:r>
        <w:rPr>
          <w:rStyle w:val="FootnoteReference"/>
        </w:rPr>
        <w:footnoteRef/>
      </w:r>
      <w:r>
        <w:t xml:space="preserve"> </w:t>
      </w:r>
      <w:r>
        <w:t xml:space="preserve">Grimes 2013, PMID 23407924.</w:t>
      </w:r>
    </w:p>
  </w:footnote>
  <w:footnote w:id="2100">
    <w:p>
      <w:pPr>
        <w:pStyle w:val="FootnoteText"/>
      </w:pPr>
      <w:r>
        <w:rPr>
          <w:rStyle w:val="FootnoteReference"/>
        </w:rPr>
        <w:footnoteRef/>
      </w:r>
      <w:r>
        <w:t xml:space="preserve"> </w:t>
      </w:r>
      <w:r>
        <w:t xml:space="preserve">Lim 2015, PMID 25230094; NCT01430195.</w:t>
      </w:r>
    </w:p>
  </w:footnote>
  <w:footnote w:id="2101">
    <w:p>
      <w:pPr>
        <w:pStyle w:val="FootnoteText"/>
      </w:pPr>
      <w:r>
        <w:rPr>
          <w:rStyle w:val="FootnoteReference"/>
        </w:rPr>
        <w:footnoteRef/>
      </w:r>
      <w:r>
        <w:t xml:space="preserve"> </w:t>
      </w:r>
      <w:r>
        <w:t xml:space="preserve">Passeron 2015, PMID 25607635.</w:t>
      </w:r>
    </w:p>
  </w:footnote>
  <w:footnote w:id="2102">
    <w:p>
      <w:pPr>
        <w:pStyle w:val="FootnoteText"/>
      </w:pPr>
      <w:r>
        <w:rPr>
          <w:rStyle w:val="FootnoteReference"/>
        </w:rPr>
        <w:footnoteRef/>
      </w:r>
      <w:r>
        <w:t xml:space="preserve"> </w:t>
      </w:r>
      <w:r>
        <w:t xml:space="preserve">Toh 2020, PMID 31987791.</w:t>
      </w:r>
    </w:p>
  </w:footnote>
  <w:footnote w:id="2104">
    <w:p>
      <w:pPr>
        <w:pStyle w:val="FootnoteText"/>
      </w:pPr>
      <w:r>
        <w:rPr>
          <w:rStyle w:val="FootnoteReference"/>
        </w:rPr>
        <w:footnoteRef/>
      </w:r>
      <w:r>
        <w:t xml:space="preserve"> </w:t>
      </w:r>
      <w:r>
        <w:t xml:space="preserve">Haylett 2011, PMID 20969564.</w:t>
      </w:r>
    </w:p>
  </w:footnote>
  <w:footnote w:id="2105">
    <w:p>
      <w:pPr>
        <w:pStyle w:val="FootnoteText"/>
      </w:pPr>
      <w:r>
        <w:rPr>
          <w:rStyle w:val="FootnoteReference"/>
        </w:rPr>
        <w:footnoteRef/>
      </w:r>
      <w:r>
        <w:t xml:space="preserve"> </w:t>
      </w:r>
      <w:r>
        <w:t xml:space="preserve">Böhm 2014, PMID 22845050.</w:t>
      </w:r>
    </w:p>
  </w:footnote>
  <w:footnote w:id="2106">
    <w:p>
      <w:pPr>
        <w:pStyle w:val="FootnoteText"/>
      </w:pPr>
      <w:r>
        <w:rPr>
          <w:rStyle w:val="FootnoteReference"/>
        </w:rPr>
        <w:footnoteRef/>
      </w:r>
      <w:r>
        <w:t xml:space="preserve"> </w:t>
      </w:r>
      <w:r>
        <w:t xml:space="preserve">Biolcati 2014, PMID 24256215.</w:t>
      </w:r>
    </w:p>
  </w:footnote>
  <w:footnote w:id="2107">
    <w:p>
      <w:pPr>
        <w:pStyle w:val="FootnoteText"/>
      </w:pPr>
      <w:r>
        <w:rPr>
          <w:rStyle w:val="FootnoteReference"/>
        </w:rPr>
        <w:footnoteRef/>
      </w:r>
      <w:r>
        <w:t xml:space="preserve"> </w:t>
      </w:r>
      <w:r>
        <w:t xml:space="preserve">Stanislaus 2023, PMID 37496004.</w:t>
      </w:r>
    </w:p>
  </w:footnote>
  <w:footnote w:id="2108">
    <w:p>
      <w:pPr>
        <w:pStyle w:val="FootnoteText"/>
      </w:pPr>
      <w:r>
        <w:rPr>
          <w:rStyle w:val="FootnoteReference"/>
        </w:rPr>
        <w:footnoteRef/>
      </w:r>
      <w:r>
        <w:t xml:space="preserve"> </w:t>
      </w:r>
      <w:r>
        <w:t xml:space="preserve">Griffin 2026, PMID 42678656.</w:t>
      </w:r>
    </w:p>
  </w:footnote>
  <w:footnote w:id="2111">
    <w:p>
      <w:pPr>
        <w:pStyle w:val="FootnoteText"/>
      </w:pPr>
      <w:r>
        <w:rPr>
          <w:rStyle w:val="FootnoteReference"/>
        </w:rPr>
        <w:footnoteRef/>
      </w:r>
      <w:r>
        <w:t xml:space="preserve"> </w:t>
      </w:r>
      <w:r>
        <w:t xml:space="preserve">Biolcati 2014, PMID 24256215.</w:t>
      </w:r>
    </w:p>
  </w:footnote>
  <w:footnote w:id="2112">
    <w:p>
      <w:pPr>
        <w:pStyle w:val="FootnoteText"/>
      </w:pPr>
      <w:r>
        <w:rPr>
          <w:rStyle w:val="FootnoteReference"/>
        </w:rPr>
        <w:footnoteRef/>
      </w:r>
      <w:r>
        <w:t xml:space="preserve"> </w:t>
      </w:r>
      <w:r>
        <w:t xml:space="preserve">Chawathe 2026, PMID 41547183.</w:t>
      </w:r>
    </w:p>
  </w:footnote>
  <w:footnote w:id="2114">
    <w:p>
      <w:pPr>
        <w:pStyle w:val="FootnoteText"/>
      </w:pPr>
      <w:r>
        <w:rPr>
          <w:rStyle w:val="FootnoteReference"/>
        </w:rPr>
        <w:footnoteRef/>
      </w:r>
      <w:r>
        <w:t xml:space="preserve"> </w:t>
      </w:r>
      <w:r>
        <w:t xml:space="preserve">Langendonk 2015, PMID 26132941; Wensink 2020, PMID 32186677; Biolcati 2015, PMID 25494545.</w:t>
      </w:r>
    </w:p>
  </w:footnote>
  <w:footnote w:id="2115">
    <w:p>
      <w:pPr>
        <w:pStyle w:val="FootnoteText"/>
      </w:pPr>
      <w:r>
        <w:rPr>
          <w:rStyle w:val="FootnoteReference"/>
        </w:rPr>
        <w:footnoteRef/>
      </w:r>
      <w:r>
        <w:t xml:space="preserve"> </w:t>
      </w:r>
      <w:r>
        <w:t xml:space="preserve">Arisi 2021, PMID 33721252.</w:t>
      </w:r>
    </w:p>
  </w:footnote>
  <w:footnote w:id="2116">
    <w:p>
      <w:pPr>
        <w:pStyle w:val="FootnoteText"/>
      </w:pPr>
      <w:r>
        <w:rPr>
          <w:rStyle w:val="FootnoteReference"/>
        </w:rPr>
        <w:footnoteRef/>
      </w:r>
      <w:r>
        <w:t xml:space="preserve"> </w:t>
      </w:r>
      <w:r>
        <w:t xml:space="preserve">von Bartenwerffer 2011, PMID 21597671.</w:t>
      </w:r>
    </w:p>
  </w:footnote>
  <w:footnote w:id="2117">
    <w:p>
      <w:pPr>
        <w:pStyle w:val="FootnoteText"/>
      </w:pPr>
      <w:r>
        <w:rPr>
          <w:rStyle w:val="FootnoteReference"/>
        </w:rPr>
        <w:footnoteRef/>
      </w:r>
      <w:r>
        <w:t xml:space="preserve"> </w:t>
      </w:r>
      <w:r>
        <w:t xml:space="preserve">Kluijver 2024, PMID 38634774.</w:t>
      </w:r>
    </w:p>
  </w:footnote>
  <w:footnote w:id="2119">
    <w:p>
      <w:pPr>
        <w:pStyle w:val="FootnoteText"/>
      </w:pPr>
      <w:r>
        <w:rPr>
          <w:rStyle w:val="FootnoteReference"/>
        </w:rPr>
        <w:footnoteRef/>
      </w:r>
      <w:r>
        <w:t xml:space="preserve"> </w:t>
      </w:r>
      <w:r>
        <w:t xml:space="preserve">Barman-Aksözen 2026, PMID 41885813.</w:t>
      </w:r>
    </w:p>
  </w:footnote>
  <w:footnote w:id="2120">
    <w:p>
      <w:pPr>
        <w:pStyle w:val="FootnoteText"/>
      </w:pPr>
      <w:r>
        <w:rPr>
          <w:rStyle w:val="FootnoteReference"/>
        </w:rPr>
        <w:footnoteRef/>
      </w:r>
      <w:r>
        <w:t xml:space="preserve"> </w:t>
      </w:r>
      <w:r>
        <w:t xml:space="preserve">Minder 2026, PMID 41542313.</w:t>
      </w:r>
    </w:p>
  </w:footnote>
  <w:footnote w:id="2122">
    <w:p>
      <w:pPr>
        <w:pStyle w:val="FootnoteText"/>
      </w:pPr>
      <w:r>
        <w:rPr>
          <w:rStyle w:val="FootnoteReference"/>
        </w:rPr>
        <w:footnoteRef/>
      </w:r>
      <w:r>
        <w:t xml:space="preserve"> </w:t>
      </w:r>
      <w:r>
        <w:t xml:space="preserve">Habbema 2017, PMID 28266027.</w:t>
      </w:r>
    </w:p>
  </w:footnote>
  <w:footnote w:id="2125">
    <w:p>
      <w:pPr>
        <w:pStyle w:val="FootnoteText"/>
      </w:pPr>
      <w:r>
        <w:rPr>
          <w:rStyle w:val="FootnoteReference"/>
        </w:rPr>
        <w:footnoteRef/>
      </w:r>
      <w:r>
        <w:t xml:space="preserve"> </w:t>
      </w:r>
      <w:r>
        <w:t xml:space="preserve">Homey 2025, PMID 40082741.</w:t>
      </w:r>
    </w:p>
  </w:footnote>
  <w:footnote w:id="2126">
    <w:p>
      <w:pPr>
        <w:pStyle w:val="FootnoteText"/>
      </w:pPr>
      <w:r>
        <w:rPr>
          <w:rStyle w:val="FootnoteReference"/>
        </w:rPr>
        <w:footnoteRef/>
      </w:r>
      <w:r>
        <w:t xml:space="preserve"> </w:t>
      </w:r>
      <w:r>
        <w:t xml:space="preserve">Homey 2025, PMID 40082741; Seidl-Philipp 2026, PMID 41793078.</w:t>
      </w:r>
    </w:p>
  </w:footnote>
  <w:footnote w:id="2127">
    <w:p>
      <w:pPr>
        <w:pStyle w:val="FootnoteText"/>
      </w:pPr>
      <w:r>
        <w:rPr>
          <w:rStyle w:val="FootnoteReference"/>
        </w:rPr>
        <w:footnoteRef/>
      </w:r>
      <w:r>
        <w:t xml:space="preserve"> </w:t>
      </w:r>
      <w:r>
        <w:t xml:space="preserve">Barman-Aksözen 2024, PMID 38791830.</w:t>
      </w:r>
    </w:p>
  </w:footnote>
  <w:footnote w:id="2129">
    <w:p>
      <w:pPr>
        <w:pStyle w:val="FootnoteText"/>
      </w:pPr>
      <w:r>
        <w:rPr>
          <w:rStyle w:val="FootnoteReference"/>
        </w:rPr>
        <w:footnoteRef/>
      </w:r>
      <w:r>
        <w:t xml:space="preserve"> </w:t>
      </w:r>
      <w:r>
        <w:t xml:space="preserve">NCT06109649.</w:t>
      </w:r>
    </w:p>
  </w:footnote>
  <w:footnote w:id="2130">
    <w:p>
      <w:pPr>
        <w:pStyle w:val="FootnoteText"/>
      </w:pPr>
      <w:r>
        <w:rPr>
          <w:rStyle w:val="FootnoteReference"/>
        </w:rPr>
        <w:footnoteRef/>
      </w:r>
      <w:r>
        <w:t xml:space="preserve"> </w:t>
      </w:r>
      <w:r>
        <w:t xml:space="preserve">NCT05210582.</w:t>
      </w:r>
    </w:p>
  </w:footnote>
  <w:footnote w:id="2131">
    <w:p>
      <w:pPr>
        <w:pStyle w:val="FootnoteText"/>
      </w:pPr>
      <w:r>
        <w:rPr>
          <w:rStyle w:val="FootnoteReference"/>
        </w:rPr>
        <w:footnoteRef/>
      </w:r>
      <w:r>
        <w:t xml:space="preserve"> </w:t>
      </w:r>
      <w:r>
        <w:t xml:space="preserve">NCT05370235, NCT05159752.</w:t>
      </w:r>
    </w:p>
  </w:footnote>
  <w:footnote w:id="2132">
    <w:p>
      <w:pPr>
        <w:pStyle w:val="FootnoteText"/>
      </w:pPr>
      <w:r>
        <w:rPr>
          <w:rStyle w:val="FootnoteReference"/>
        </w:rPr>
        <w:footnoteRef/>
      </w:r>
      <w:r>
        <w:t xml:space="preserve"> </w:t>
      </w:r>
      <w:r>
        <w:t xml:space="preserve">NCT06388642.</w:t>
      </w:r>
    </w:p>
  </w:footnote>
  <w:footnote w:id="2133">
    <w:p>
      <w:pPr>
        <w:pStyle w:val="FootnoteText"/>
      </w:pPr>
      <w:r>
        <w:rPr>
          <w:rStyle w:val="FootnoteReference"/>
        </w:rPr>
        <w:footnoteRef/>
      </w:r>
      <w:r>
        <w:t xml:space="preserve"> </w:t>
      </w:r>
      <w:r>
        <w:t xml:space="preserve">Barman-Aksözen 2026, PMID 41885813.</w:t>
      </w:r>
    </w:p>
  </w:footnote>
  <w:footnote w:id="2137">
    <w:p>
      <w:pPr>
        <w:pStyle w:val="FootnoteText"/>
      </w:pPr>
      <w:r>
        <w:rPr>
          <w:rStyle w:val="FootnoteReference"/>
        </w:rPr>
        <w:footnoteRef/>
      </w:r>
      <w:r>
        <w:t xml:space="preserve"> </w:t>
      </w:r>
      <w:r>
        <w:t xml:space="preserve">Lee 1996, PMID 8944003.</w:t>
      </w:r>
    </w:p>
  </w:footnote>
  <w:footnote w:id="2138">
    <w:p>
      <w:pPr>
        <w:pStyle w:val="FootnoteText"/>
      </w:pPr>
      <w:r>
        <w:rPr>
          <w:rStyle w:val="FootnoteReference"/>
        </w:rPr>
        <w:footnoteRef/>
      </w:r>
      <w:r>
        <w:t xml:space="preserve"> </w:t>
      </w:r>
      <w:r>
        <w:t xml:space="preserve">Ohtaki 2001, PMID 11385580.</w:t>
      </w:r>
    </w:p>
  </w:footnote>
  <w:footnote w:id="2140">
    <w:p>
      <w:pPr>
        <w:pStyle w:val="FootnoteText"/>
      </w:pPr>
      <w:r>
        <w:rPr>
          <w:rStyle w:val="FootnoteReference"/>
        </w:rPr>
        <w:footnoteRef/>
      </w:r>
      <w:r>
        <w:t xml:space="preserve"> </w:t>
      </w:r>
      <w:r>
        <w:t xml:space="preserve">de Roux 2003, PMID 12944565; Seminara 2003, PMID 14573733.</w:t>
      </w:r>
    </w:p>
  </w:footnote>
  <w:footnote w:id="2142">
    <w:p>
      <w:pPr>
        <w:pStyle w:val="FootnoteText"/>
      </w:pPr>
      <w:r>
        <w:rPr>
          <w:rStyle w:val="FootnoteReference"/>
        </w:rPr>
        <w:footnoteRef/>
      </w:r>
      <w:r>
        <w:t xml:space="preserve"> </w:t>
      </w:r>
      <w:r>
        <w:t xml:space="preserve">Dhillo 2005, PMID 16174713.</w:t>
      </w:r>
    </w:p>
  </w:footnote>
  <w:footnote w:id="2143">
    <w:p>
      <w:pPr>
        <w:pStyle w:val="FootnoteText"/>
      </w:pPr>
      <w:r>
        <w:rPr>
          <w:rStyle w:val="FootnoteReference"/>
        </w:rPr>
        <w:footnoteRef/>
      </w:r>
      <w:r>
        <w:t xml:space="preserve"> </w:t>
      </w:r>
      <w:r>
        <w:t xml:space="preserve">Dhillo 2007, PMID 17635940.</w:t>
      </w:r>
    </w:p>
  </w:footnote>
  <w:footnote w:id="2144">
    <w:p>
      <w:pPr>
        <w:pStyle w:val="FootnoteText"/>
      </w:pPr>
      <w:r>
        <w:rPr>
          <w:rStyle w:val="FootnoteReference"/>
        </w:rPr>
        <w:footnoteRef/>
      </w:r>
      <w:r>
        <w:t xml:space="preserve"> </w:t>
      </w:r>
      <w:r>
        <w:t xml:space="preserve">George 2011, PMID 21632807.</w:t>
      </w:r>
    </w:p>
  </w:footnote>
  <w:footnote w:id="2145">
    <w:p>
      <w:pPr>
        <w:pStyle w:val="FootnoteText"/>
      </w:pPr>
      <w:r>
        <w:rPr>
          <w:rStyle w:val="FootnoteReference"/>
        </w:rPr>
        <w:footnoteRef/>
      </w:r>
      <w:r>
        <w:t xml:space="preserve"> </w:t>
      </w:r>
      <w:r>
        <w:t xml:space="preserve">Chan 2018, PMID 29669934.</w:t>
      </w:r>
    </w:p>
  </w:footnote>
  <w:footnote w:id="2147">
    <w:p>
      <w:pPr>
        <w:pStyle w:val="FootnoteText"/>
      </w:pPr>
      <w:r>
        <w:rPr>
          <w:rStyle w:val="FootnoteReference"/>
        </w:rPr>
        <w:footnoteRef/>
      </w:r>
      <w:r>
        <w:t xml:space="preserve"> </w:t>
      </w:r>
      <w:r>
        <w:t xml:space="preserve">Jayasena 2014, PMID 25036713; NCT01667406.</w:t>
      </w:r>
    </w:p>
  </w:footnote>
  <w:footnote w:id="2148">
    <w:p>
      <w:pPr>
        <w:pStyle w:val="FootnoteText"/>
      </w:pPr>
      <w:r>
        <w:rPr>
          <w:rStyle w:val="FootnoteReference"/>
        </w:rPr>
        <w:footnoteRef/>
      </w:r>
      <w:r>
        <w:t xml:space="preserve"> </w:t>
      </w:r>
      <w:r>
        <w:t xml:space="preserve">Abbara 2015, PMID 26192876.</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2017, PMID 28854728.</w:t>
      </w:r>
    </w:p>
  </w:footnote>
  <w:footnote w:id="2151">
    <w:p>
      <w:pPr>
        <w:pStyle w:val="FootnoteText"/>
      </w:pPr>
      <w:r>
        <w:rPr>
          <w:rStyle w:val="FootnoteReference"/>
        </w:rPr>
        <w:footnoteRef/>
      </w:r>
      <w:r>
        <w:t xml:space="preserve"> </w:t>
      </w:r>
      <w:r>
        <w:t xml:space="preserve">Abbara 2020, PMID 33196464.</w:t>
      </w:r>
    </w:p>
  </w:footnote>
  <w:footnote w:id="2152">
    <w:p>
      <w:pPr>
        <w:pStyle w:val="FootnoteText"/>
      </w:pPr>
      <w:r>
        <w:rPr>
          <w:rStyle w:val="FootnoteReference"/>
        </w:rPr>
        <w:footnoteRef/>
      </w:r>
      <w:r>
        <w:t xml:space="preserve"> </w:t>
      </w:r>
      <w:r>
        <w:t xml:space="preserve">Abbara 2024, PMID 37925096.</w:t>
      </w:r>
    </w:p>
  </w:footnote>
  <w:footnote w:id="2154">
    <w:p>
      <w:pPr>
        <w:pStyle w:val="FootnoteText"/>
      </w:pPr>
      <w:r>
        <w:rPr>
          <w:rStyle w:val="FootnoteReference"/>
        </w:rPr>
        <w:footnoteRef/>
      </w:r>
      <w:r>
        <w:t xml:space="preserve"> </w:t>
      </w:r>
      <w:r>
        <w:t xml:space="preserve">Jayasena 2009, PMID 19820030.</w:t>
      </w:r>
    </w:p>
  </w:footnote>
  <w:footnote w:id="2155">
    <w:p>
      <w:pPr>
        <w:pStyle w:val="FootnoteText"/>
      </w:pPr>
      <w:r>
        <w:rPr>
          <w:rStyle w:val="FootnoteReference"/>
        </w:rPr>
        <w:footnoteRef/>
      </w:r>
      <w:r>
        <w:t xml:space="preserve"> </w:t>
      </w:r>
      <w:r>
        <w:t xml:space="preserve">Jayasena 2010, PMID 20980998.</w:t>
      </w:r>
    </w:p>
  </w:footnote>
  <w:footnote w:id="2156">
    <w:p>
      <w:pPr>
        <w:pStyle w:val="FootnoteText"/>
      </w:pPr>
      <w:r>
        <w:rPr>
          <w:rStyle w:val="FootnoteReference"/>
        </w:rPr>
        <w:footnoteRef/>
      </w:r>
      <w:r>
        <w:t xml:space="preserve"> </w:t>
      </w:r>
      <w:r>
        <w:t xml:space="preserve">Jayasena 2014, PMID 24517142.</w:t>
      </w:r>
    </w:p>
  </w:footnote>
  <w:footnote w:id="2157">
    <w:p>
      <w:pPr>
        <w:pStyle w:val="FootnoteText"/>
      </w:pPr>
      <w:r>
        <w:rPr>
          <w:rStyle w:val="FootnoteReference"/>
        </w:rPr>
        <w:footnoteRef/>
      </w:r>
      <w:r>
        <w:t xml:space="preserve"> </w:t>
      </w:r>
      <w:r>
        <w:t xml:space="preserve">Young 2013, PMID 22377698.</w:t>
      </w:r>
    </w:p>
  </w:footnote>
  <w:footnote w:id="2158">
    <w:p>
      <w:pPr>
        <w:pStyle w:val="FootnoteText"/>
      </w:pPr>
      <w:r>
        <w:rPr>
          <w:rStyle w:val="FootnoteReference"/>
        </w:rPr>
        <w:footnoteRef/>
      </w:r>
      <w:r>
        <w:t xml:space="preserve"> </w:t>
      </w:r>
      <w:r>
        <w:t xml:space="preserve">Romero-Ruiz 2019, PMID 31820802.</w:t>
      </w:r>
    </w:p>
  </w:footnote>
  <w:footnote w:id="2160">
    <w:p>
      <w:pPr>
        <w:pStyle w:val="FootnoteText"/>
      </w:pPr>
      <w:r>
        <w:rPr>
          <w:rStyle w:val="FootnoteReference"/>
        </w:rPr>
        <w:footnoteRef/>
      </w:r>
      <w:r>
        <w:t xml:space="preserve"> </w:t>
      </w:r>
      <w:r>
        <w:t xml:space="preserve">George 2013, PMID 23153270.</w:t>
      </w:r>
    </w:p>
  </w:footnote>
  <w:footnote w:id="2161">
    <w:p>
      <w:pPr>
        <w:pStyle w:val="FootnoteText"/>
      </w:pPr>
      <w:r>
        <w:rPr>
          <w:rStyle w:val="FootnoteReference"/>
        </w:rPr>
        <w:footnoteRef/>
      </w:r>
      <w:r>
        <w:t xml:space="preserve"> </w:t>
      </w:r>
      <w:r>
        <w:t xml:space="preserve">Yeung 2026, PMID 42549827.</w:t>
      </w:r>
    </w:p>
  </w:footnote>
  <w:footnote w:id="2163">
    <w:p>
      <w:pPr>
        <w:pStyle w:val="FootnoteText"/>
      </w:pPr>
      <w:r>
        <w:rPr>
          <w:rStyle w:val="FootnoteReference"/>
        </w:rPr>
        <w:footnoteRef/>
      </w:r>
      <w:r>
        <w:t xml:space="preserve"> </w:t>
      </w:r>
      <w:r>
        <w:t xml:space="preserve">Mills 2023, PMID 36735255.</w:t>
      </w:r>
    </w:p>
  </w:footnote>
  <w:footnote w:id="2164">
    <w:p>
      <w:pPr>
        <w:pStyle w:val="FootnoteText"/>
      </w:pPr>
      <w:r>
        <w:rPr>
          <w:rStyle w:val="FootnoteReference"/>
        </w:rPr>
        <w:footnoteRef/>
      </w:r>
      <w:r>
        <w:t xml:space="preserve"> </w:t>
      </w:r>
      <w:r>
        <w:t xml:space="preserve">Thurston 2022, PMID 36287566.</w:t>
      </w:r>
    </w:p>
  </w:footnote>
  <w:footnote w:id="2165">
    <w:p>
      <w:pPr>
        <w:pStyle w:val="FootnoteText"/>
      </w:pPr>
      <w:r>
        <w:rPr>
          <w:rStyle w:val="FootnoteReference"/>
        </w:rPr>
        <w:footnoteRef/>
      </w:r>
      <w:r>
        <w:t xml:space="preserve"> </w:t>
      </w:r>
      <w:r>
        <w:t xml:space="preserve">Mills 2025, PMID 40036336.</w:t>
      </w:r>
    </w:p>
  </w:footnote>
  <w:footnote w:id="2167">
    <w:p>
      <w:pPr>
        <w:pStyle w:val="FootnoteText"/>
      </w:pPr>
      <w:r>
        <w:rPr>
          <w:rStyle w:val="FootnoteReference"/>
        </w:rPr>
        <w:footnoteRef/>
      </w:r>
      <w:r>
        <w:t xml:space="preserve"> </w:t>
      </w:r>
      <w:r>
        <w:t xml:space="preserve">Mills 2025, PMID 40215751.</w:t>
      </w:r>
    </w:p>
  </w:footnote>
  <w:footnote w:id="2169">
    <w:p>
      <w:pPr>
        <w:pStyle w:val="FootnoteText"/>
      </w:pPr>
      <w:r>
        <w:rPr>
          <w:rStyle w:val="FootnoteReference"/>
        </w:rPr>
        <w:footnoteRef/>
      </w:r>
      <w:r>
        <w:t xml:space="preserve"> </w:t>
      </w:r>
      <w:r>
        <w:t xml:space="preserve">Comninos 2022, PMID 35244717.</w:t>
      </w:r>
    </w:p>
  </w:footnote>
  <w:footnote w:id="2170">
    <w:p>
      <w:pPr>
        <w:pStyle w:val="FootnoteText"/>
      </w:pPr>
      <w:r>
        <w:rPr>
          <w:rStyle w:val="FootnoteReference"/>
        </w:rPr>
        <w:footnoteRef/>
      </w:r>
      <w:r>
        <w:t xml:space="preserve"> </w:t>
      </w:r>
      <w:r>
        <w:t xml:space="preserve">Izzi-Engbeaya 2018, PMID 29974637.</w:t>
      </w:r>
    </w:p>
  </w:footnote>
  <w:footnote w:id="2171">
    <w:p>
      <w:pPr>
        <w:pStyle w:val="FootnoteText"/>
      </w:pPr>
      <w:r>
        <w:rPr>
          <w:rStyle w:val="FootnoteReference"/>
        </w:rPr>
        <w:footnoteRef/>
      </w:r>
      <w:r>
        <w:t xml:space="preserve"> </w:t>
      </w:r>
      <w:r>
        <w:t xml:space="preserve">Galbiati 2025, PMID 39965102.</w:t>
      </w:r>
    </w:p>
  </w:footnote>
  <w:footnote w:id="2173">
    <w:p>
      <w:pPr>
        <w:pStyle w:val="FootnoteText"/>
      </w:pPr>
      <w:r>
        <w:rPr>
          <w:rStyle w:val="FootnoteReference"/>
        </w:rPr>
        <w:footnoteRef/>
      </w:r>
      <w:r>
        <w:t xml:space="preserve"> </w:t>
      </w:r>
      <w:r>
        <w:t xml:space="preserve">MacLean 2014, PMID 24762108.</w:t>
      </w:r>
    </w:p>
  </w:footnote>
  <w:footnote w:id="2174">
    <w:p>
      <w:pPr>
        <w:pStyle w:val="FootnoteText"/>
      </w:pPr>
      <w:r>
        <w:rPr>
          <w:rStyle w:val="FootnoteReference"/>
        </w:rPr>
        <w:footnoteRef/>
      </w:r>
      <w:r>
        <w:t xml:space="preserve"> </w:t>
      </w:r>
      <w:r>
        <w:t xml:space="preserve">NCT02369796, NCT02381288.</w:t>
      </w:r>
    </w:p>
  </w:footnote>
  <w:footnote w:id="2177">
    <w:p>
      <w:pPr>
        <w:pStyle w:val="FootnoteText"/>
      </w:pPr>
      <w:r>
        <w:rPr>
          <w:rStyle w:val="FootnoteReference"/>
        </w:rPr>
        <w:footnoteRef/>
      </w:r>
      <w:r>
        <w:t xml:space="preserve"> </w:t>
      </w:r>
      <w:r>
        <w:t xml:space="preserve">Seminara 2003, PMID 14573733.</w:t>
      </w:r>
    </w:p>
  </w:footnote>
  <w:footnote w:id="2178">
    <w:p>
      <w:pPr>
        <w:pStyle w:val="FootnoteText"/>
      </w:pPr>
      <w:r>
        <w:rPr>
          <w:rStyle w:val="FootnoteReference"/>
        </w:rPr>
        <w:footnoteRef/>
      </w:r>
      <w:r>
        <w:t xml:space="preserve"> </w:t>
      </w:r>
      <w:r>
        <w:t xml:space="preserve">Lee 1996, PMID 8944003; Ohtaki 2001, PMID 11385580.</w:t>
      </w:r>
    </w:p>
  </w:footnote>
  <w:footnote w:id="2179">
    <w:p>
      <w:pPr>
        <w:pStyle w:val="FootnoteText"/>
      </w:pPr>
      <w:r>
        <w:rPr>
          <w:rStyle w:val="FootnoteReference"/>
        </w:rPr>
        <w:footnoteRef/>
      </w:r>
      <w:r>
        <w:t xml:space="preserve"> </w:t>
      </w:r>
      <w:r>
        <w:t xml:space="preserve">Romero-Ruiz 2019, PMID 31820802.</w:t>
      </w:r>
    </w:p>
  </w:footnote>
  <w:footnote w:id="2180">
    <w:p>
      <w:pPr>
        <w:pStyle w:val="FootnoteText"/>
      </w:pPr>
      <w:r>
        <w:rPr>
          <w:rStyle w:val="FootnoteReference"/>
        </w:rPr>
        <w:footnoteRef/>
      </w:r>
      <w:r>
        <w:t xml:space="preserve"> </w:t>
      </w:r>
      <w:r>
        <w:t xml:space="preserve">Koysombat 2025, PMID 39813600.</w:t>
      </w:r>
    </w:p>
  </w:footnote>
  <w:footnote w:id="2182">
    <w:p>
      <w:pPr>
        <w:pStyle w:val="FootnoteText"/>
      </w:pPr>
      <w:r>
        <w:rPr>
          <w:rStyle w:val="FootnoteReference"/>
        </w:rPr>
        <w:footnoteRef/>
      </w:r>
      <w:r>
        <w:t xml:space="preserve"> </w:t>
      </w:r>
      <w:r>
        <w:t xml:space="preserve">Jayasena 2010, PMID 20980998; Thurston 2022, PMID 36287566; Mills 2025, PMID 40215751.</w:t>
      </w:r>
    </w:p>
  </w:footnote>
  <w:footnote w:id="2183">
    <w:p>
      <w:pPr>
        <w:pStyle w:val="FootnoteText"/>
      </w:pPr>
      <w:r>
        <w:rPr>
          <w:rStyle w:val="FootnoteReference"/>
        </w:rPr>
        <w:footnoteRef/>
      </w:r>
      <w:r>
        <w:t xml:space="preserve"> </w:t>
      </w:r>
      <w:r>
        <w:t xml:space="preserve">Jayasena 2014, PMID 24863252.</w:t>
      </w:r>
    </w:p>
  </w:footnote>
  <w:footnote w:id="2184">
    <w:p>
      <w:pPr>
        <w:pStyle w:val="FootnoteText"/>
      </w:pPr>
      <w:r>
        <w:rPr>
          <w:rStyle w:val="FootnoteReference"/>
        </w:rPr>
        <w:footnoteRef/>
      </w:r>
      <w:r>
        <w:t xml:space="preserve"> </w:t>
      </w:r>
      <w:r>
        <w:t xml:space="preserve">Mills 2025, PMID 40036336.</w:t>
      </w:r>
    </w:p>
  </w:footnote>
  <w:footnote w:id="2185">
    <w:p>
      <w:pPr>
        <w:pStyle w:val="FootnoteText"/>
      </w:pPr>
      <w:r>
        <w:rPr>
          <w:rStyle w:val="FootnoteReference"/>
        </w:rPr>
        <w:footnoteRef/>
      </w:r>
      <w:r>
        <w:t xml:space="preserve"> </w:t>
      </w:r>
      <w:r>
        <w:t xml:space="preserve">MacLean 2014, PMID 24762108.</w:t>
      </w:r>
    </w:p>
  </w:footnote>
  <w:footnote w:id="2191">
    <w:p>
      <w:pPr>
        <w:pStyle w:val="FootnoteText"/>
      </w:pPr>
      <w:r>
        <w:rPr>
          <w:rStyle w:val="FootnoteReference"/>
        </w:rPr>
        <w:footnoteRef/>
      </w:r>
      <w:r>
        <w:t xml:space="preserve"> </w:t>
      </w:r>
      <w:r>
        <w:t xml:space="preserve">NCT07224490.</w:t>
      </w:r>
    </w:p>
  </w:footnote>
  <w:footnote w:id="2192">
    <w:p>
      <w:pPr>
        <w:pStyle w:val="FootnoteText"/>
      </w:pPr>
      <w:r>
        <w:rPr>
          <w:rStyle w:val="FootnoteReference"/>
        </w:rPr>
        <w:footnoteRef/>
      </w:r>
      <w:r>
        <w:t xml:space="preserve"> </w:t>
      </w:r>
      <w:r>
        <w:t xml:space="preserve">NCT04648969.</w:t>
      </w:r>
    </w:p>
  </w:footnote>
  <w:footnote w:id="2198">
    <w:p>
      <w:pPr>
        <w:pStyle w:val="FootnoteText"/>
      </w:pPr>
      <w:r>
        <w:rPr>
          <w:rStyle w:val="FootnoteReference"/>
        </w:rPr>
        <w:footnoteRef/>
      </w:r>
      <w:r>
        <w:t xml:space="preserve"> </w:t>
      </w:r>
      <w:r>
        <w:t xml:space="preserve">Leng 2016, PMID 26049207.</w:t>
      </w:r>
    </w:p>
  </w:footnote>
  <w:footnote w:id="2199">
    <w:p>
      <w:pPr>
        <w:pStyle w:val="FootnoteText"/>
      </w:pPr>
      <w:r>
        <w:rPr>
          <w:rStyle w:val="FootnoteReference"/>
        </w:rPr>
        <w:footnoteRef/>
      </w:r>
      <w:r>
        <w:t xml:space="preserve"> </w:t>
      </w:r>
      <w:r>
        <w:t xml:space="preserve">Lee 2018, PMID 28289281.</w:t>
      </w:r>
    </w:p>
  </w:footnote>
  <w:footnote w:id="2200">
    <w:p>
      <w:pPr>
        <w:pStyle w:val="FootnoteText"/>
      </w:pPr>
      <w:r>
        <w:rPr>
          <w:rStyle w:val="FootnoteReference"/>
        </w:rPr>
        <w:footnoteRef/>
      </w:r>
      <w:r>
        <w:t xml:space="preserve"> </w:t>
      </w:r>
      <w:r>
        <w:t xml:space="preserve">Lee 2020, PMID 32494001.</w:t>
      </w:r>
    </w:p>
  </w:footnote>
  <w:footnote w:id="2201">
    <w:p>
      <w:pPr>
        <w:pStyle w:val="FootnoteText"/>
      </w:pPr>
      <w:r>
        <w:rPr>
          <w:rStyle w:val="FootnoteReference"/>
        </w:rPr>
        <w:footnoteRef/>
      </w:r>
      <w:r>
        <w:t xml:space="preserve"> </w:t>
      </w:r>
      <w:r>
        <w:t xml:space="preserve">Martins 2020, PMID 32127545.</w:t>
      </w:r>
    </w:p>
  </w:footnote>
  <w:footnote w:id="2202">
    <w:p>
      <w:pPr>
        <w:pStyle w:val="FootnoteText"/>
      </w:pPr>
      <w:r>
        <w:rPr>
          <w:rStyle w:val="FootnoteReference"/>
        </w:rPr>
        <w:footnoteRef/>
      </w:r>
      <w:r>
        <w:t xml:space="preserve"> </w:t>
      </w:r>
      <w:r>
        <w:t xml:space="preserve">Valstad 2017, PMID 28442403.</w:t>
      </w:r>
    </w:p>
  </w:footnote>
  <w:footnote w:id="2203">
    <w:p>
      <w:pPr>
        <w:pStyle w:val="FootnoteText"/>
      </w:pPr>
      <w:r>
        <w:rPr>
          <w:rStyle w:val="FootnoteReference"/>
        </w:rPr>
        <w:footnoteRef/>
      </w:r>
      <w:r>
        <w:t xml:space="preserve"> </w:t>
      </w:r>
      <w:r>
        <w:t xml:space="preserve">Leng 2016, PMID 26049207.</w:t>
      </w:r>
    </w:p>
  </w:footnote>
  <w:footnote w:id="2204">
    <w:p>
      <w:pPr>
        <w:pStyle w:val="FootnoteText"/>
      </w:pPr>
      <w:r>
        <w:rPr>
          <w:rStyle w:val="FootnoteReference"/>
        </w:rPr>
        <w:footnoteRef/>
      </w:r>
      <w:r>
        <w:t xml:space="preserve"> </w:t>
      </w:r>
      <w:r>
        <w:t xml:space="preserve">Quintana 2021, PMID 32807845.</w:t>
      </w:r>
    </w:p>
  </w:footnote>
  <w:footnote w:id="2206">
    <w:p>
      <w:pPr>
        <w:pStyle w:val="FootnoteText"/>
      </w:pPr>
      <w:r>
        <w:rPr>
          <w:rStyle w:val="FootnoteReference"/>
        </w:rPr>
        <w:footnoteRef/>
      </w:r>
      <w:r>
        <w:t xml:space="preserve"> </w:t>
      </w:r>
      <w:r>
        <w:t xml:space="preserve">Salati 2019, PMID 31032882.</w:t>
      </w:r>
    </w:p>
  </w:footnote>
  <w:footnote w:id="2209">
    <w:p>
      <w:pPr>
        <w:pStyle w:val="FootnoteText"/>
      </w:pPr>
      <w:r>
        <w:rPr>
          <w:rStyle w:val="FootnoteReference"/>
        </w:rPr>
        <w:footnoteRef/>
      </w:r>
      <w:r>
        <w:t xml:space="preserve"> </w:t>
      </w:r>
      <w:r>
        <w:t xml:space="preserve">Kosfeld 2005, PMID 15931222.</w:t>
      </w:r>
    </w:p>
  </w:footnote>
  <w:footnote w:id="2210">
    <w:p>
      <w:pPr>
        <w:pStyle w:val="FootnoteText"/>
      </w:pPr>
      <w:r>
        <w:rPr>
          <w:rStyle w:val="FootnoteReference"/>
        </w:rPr>
        <w:footnoteRef/>
      </w:r>
      <w:r>
        <w:t xml:space="preserve"> </w:t>
      </w:r>
      <w:r>
        <w:t xml:space="preserve">Heinrichs 2003, PMID 14675803.</w:t>
      </w:r>
    </w:p>
  </w:footnote>
  <w:footnote w:id="2211">
    <w:p>
      <w:pPr>
        <w:pStyle w:val="FootnoteText"/>
      </w:pPr>
      <w:r>
        <w:rPr>
          <w:rStyle w:val="FootnoteReference"/>
        </w:rPr>
        <w:footnoteRef/>
      </w:r>
      <w:r>
        <w:t xml:space="preserve"> </w:t>
      </w:r>
      <w:r>
        <w:t xml:space="preserve">Leppanen 2017, PMID 28467893.</w:t>
      </w:r>
    </w:p>
  </w:footnote>
  <w:footnote w:id="2213">
    <w:p>
      <w:pPr>
        <w:pStyle w:val="FootnoteText"/>
      </w:pPr>
      <w:r>
        <w:rPr>
          <w:rStyle w:val="FootnoteReference"/>
        </w:rPr>
        <w:footnoteRef/>
      </w:r>
      <w:r>
        <w:t xml:space="preserve"> </w:t>
      </w:r>
      <w:r>
        <w:t xml:space="preserve">Nave 2015, PMID 26581735.</w:t>
      </w:r>
    </w:p>
  </w:footnote>
  <w:footnote w:id="2214">
    <w:p>
      <w:pPr>
        <w:pStyle w:val="FootnoteText"/>
      </w:pPr>
      <w:r>
        <w:rPr>
          <w:rStyle w:val="FootnoteReference"/>
        </w:rPr>
        <w:footnoteRef/>
      </w:r>
      <w:r>
        <w:t xml:space="preserve"> </w:t>
      </w:r>
      <w:r>
        <w:t xml:space="preserve">Walum 2016, PMID 26210057.</w:t>
      </w:r>
    </w:p>
  </w:footnote>
  <w:footnote w:id="2215">
    <w:p>
      <w:pPr>
        <w:pStyle w:val="FootnoteText"/>
      </w:pPr>
      <w:r>
        <w:rPr>
          <w:rStyle w:val="FootnoteReference"/>
        </w:rPr>
        <w:footnoteRef/>
      </w:r>
      <w:r>
        <w:t xml:space="preserve"> </w:t>
      </w:r>
      <w:r>
        <w:t xml:space="preserve">Declerck 2020, PMID 32514040.</w:t>
      </w:r>
    </w:p>
  </w:footnote>
  <w:footnote w:id="2216">
    <w:p>
      <w:pPr>
        <w:pStyle w:val="FootnoteText"/>
      </w:pPr>
      <w:r>
        <w:rPr>
          <w:rStyle w:val="FootnoteReference"/>
        </w:rPr>
        <w:footnoteRef/>
      </w:r>
      <w:r>
        <w:t xml:space="preserve"> </w:t>
      </w:r>
      <w:r>
        <w:t xml:space="preserve">Vogt 2026, PMID 42561025.</w:t>
      </w:r>
    </w:p>
  </w:footnote>
  <w:footnote w:id="2217">
    <w:p>
      <w:pPr>
        <w:pStyle w:val="FootnoteText"/>
      </w:pPr>
      <w:r>
        <w:rPr>
          <w:rStyle w:val="FootnoteReference"/>
        </w:rPr>
        <w:footnoteRef/>
      </w:r>
      <w:r>
        <w:t xml:space="preserve"> </w:t>
      </w:r>
      <w:r>
        <w:t xml:space="preserve">Iversen 2026, PMID 41389446.</w:t>
      </w:r>
    </w:p>
  </w:footnote>
  <w:footnote w:id="2219">
    <w:p>
      <w:pPr>
        <w:pStyle w:val="FootnoteText"/>
      </w:pPr>
      <w:r>
        <w:rPr>
          <w:rStyle w:val="FootnoteReference"/>
        </w:rPr>
        <w:footnoteRef/>
      </w:r>
      <w:r>
        <w:t xml:space="preserve"> </w:t>
      </w:r>
      <w:r>
        <w:t xml:space="preserve">Sikich 2021, PMID 34644471.</w:t>
      </w:r>
    </w:p>
  </w:footnote>
  <w:footnote w:id="2220">
    <w:p>
      <w:pPr>
        <w:pStyle w:val="FootnoteText"/>
      </w:pPr>
      <w:r>
        <w:rPr>
          <w:rStyle w:val="FootnoteReference"/>
        </w:rPr>
        <w:footnoteRef/>
      </w:r>
      <w:r>
        <w:t xml:space="preserve"> </w:t>
      </w:r>
      <w:r>
        <w:t xml:space="preserve">Preti 2014, PMID 24679173.</w:t>
      </w:r>
    </w:p>
  </w:footnote>
  <w:footnote w:id="2221">
    <w:p>
      <w:pPr>
        <w:pStyle w:val="FootnoteText"/>
      </w:pPr>
      <w:r>
        <w:rPr>
          <w:rStyle w:val="FootnoteReference"/>
        </w:rPr>
        <w:footnoteRef/>
      </w:r>
      <w:r>
        <w:t xml:space="preserve"> </w:t>
      </w:r>
      <w:r>
        <w:t xml:space="preserve">Sikich 2021, PMID 34644471; NCT01944046.</w:t>
      </w:r>
    </w:p>
  </w:footnote>
  <w:footnote w:id="2222">
    <w:p>
      <w:pPr>
        <w:pStyle w:val="FootnoteText"/>
      </w:pPr>
      <w:r>
        <w:rPr>
          <w:rStyle w:val="FootnoteReference"/>
        </w:rPr>
        <w:footnoteRef/>
      </w:r>
      <w:r>
        <w:t xml:space="preserve"> </w:t>
      </w:r>
      <w:r>
        <w:t xml:space="preserve">Yatawara 2016, PMID 26503762.</w:t>
      </w:r>
    </w:p>
  </w:footnote>
  <w:footnote w:id="2223">
    <w:p>
      <w:pPr>
        <w:pStyle w:val="FootnoteText"/>
      </w:pPr>
      <w:r>
        <w:rPr>
          <w:rStyle w:val="FootnoteReference"/>
        </w:rPr>
        <w:footnoteRef/>
      </w:r>
      <w:r>
        <w:t xml:space="preserve"> </w:t>
      </w:r>
      <w:r>
        <w:t xml:space="preserve">Guastella 2023, PMID 36302965.</w:t>
      </w:r>
    </w:p>
  </w:footnote>
  <w:footnote w:id="2224">
    <w:p>
      <w:pPr>
        <w:pStyle w:val="FootnoteText"/>
      </w:pPr>
      <w:r>
        <w:rPr>
          <w:rStyle w:val="FootnoteReference"/>
        </w:rPr>
        <w:footnoteRef/>
      </w:r>
      <w:r>
        <w:t xml:space="preserve"> </w:t>
      </w:r>
      <w:r>
        <w:t xml:space="preserve">Guastella 2015, PMID 25087908.</w:t>
      </w:r>
    </w:p>
  </w:footnote>
  <w:footnote w:id="2225">
    <w:p>
      <w:pPr>
        <w:pStyle w:val="FootnoteText"/>
      </w:pPr>
      <w:r>
        <w:rPr>
          <w:rStyle w:val="FootnoteReference"/>
        </w:rPr>
        <w:footnoteRef/>
      </w:r>
      <w:r>
        <w:t xml:space="preserve"> </w:t>
      </w:r>
      <w:r>
        <w:t xml:space="preserve">Moerkerke 2024, PMID 38167302.</w:t>
      </w:r>
    </w:p>
  </w:footnote>
  <w:footnote w:id="2226">
    <w:p>
      <w:pPr>
        <w:pStyle w:val="FootnoteText"/>
      </w:pPr>
      <w:r>
        <w:rPr>
          <w:rStyle w:val="FootnoteReference"/>
        </w:rPr>
        <w:footnoteRef/>
      </w:r>
      <w:r>
        <w:t xml:space="preserve"> </w:t>
      </w:r>
      <w:r>
        <w:t xml:space="preserve">Moerkerke 2024, PMID 39709442.</w:t>
      </w:r>
    </w:p>
  </w:footnote>
  <w:footnote w:id="2227">
    <w:p>
      <w:pPr>
        <w:pStyle w:val="FootnoteText"/>
      </w:pPr>
      <w:r>
        <w:rPr>
          <w:rStyle w:val="FootnoteReference"/>
        </w:rPr>
        <w:footnoteRef/>
      </w:r>
      <w:r>
        <w:t xml:space="preserve"> </w:t>
      </w:r>
      <w:r>
        <w:t xml:space="preserve">Keech 2018, PMID 29032324.</w:t>
      </w:r>
    </w:p>
  </w:footnote>
  <w:footnote w:id="2228">
    <w:p>
      <w:pPr>
        <w:pStyle w:val="FootnoteText"/>
      </w:pPr>
      <w:r>
        <w:rPr>
          <w:rStyle w:val="FootnoteReference"/>
        </w:rPr>
        <w:footnoteRef/>
      </w:r>
      <w:r>
        <w:t xml:space="preserve"> </w:t>
      </w:r>
      <w:r>
        <w:t xml:space="preserve">Huang 2021, PMID 33400920.</w:t>
      </w:r>
    </w:p>
  </w:footnote>
  <w:footnote w:id="2229">
    <w:p>
      <w:pPr>
        <w:pStyle w:val="FootnoteText"/>
      </w:pPr>
      <w:r>
        <w:rPr>
          <w:rStyle w:val="FootnoteReference"/>
        </w:rPr>
        <w:footnoteRef/>
      </w:r>
      <w:r>
        <w:t xml:space="preserve"> </w:t>
      </w:r>
      <w:r>
        <w:t xml:space="preserve">Bonnieux 2026, PMID 42134427.</w:t>
      </w:r>
    </w:p>
  </w:footnote>
  <w:footnote w:id="2230">
    <w:p>
      <w:pPr>
        <w:pStyle w:val="FootnoteText"/>
      </w:pPr>
      <w:r>
        <w:rPr>
          <w:rStyle w:val="FootnoteReference"/>
        </w:rPr>
        <w:footnoteRef/>
      </w:r>
      <w:r>
        <w:t xml:space="preserve"> </w:t>
      </w:r>
      <w:r>
        <w:t xml:space="preserve">Boulton 2026, PMID 42144048.</w:t>
      </w:r>
    </w:p>
  </w:footnote>
  <w:footnote w:id="2232">
    <w:p>
      <w:pPr>
        <w:pStyle w:val="FootnoteText"/>
      </w:pPr>
      <w:r>
        <w:rPr>
          <w:rStyle w:val="FootnoteReference"/>
        </w:rPr>
        <w:footnoteRef/>
      </w:r>
      <w:r>
        <w:t xml:space="preserve"> </w:t>
      </w:r>
      <w:r>
        <w:t xml:space="preserve">Jarskog 2017, PMID 28094169.</w:t>
      </w:r>
    </w:p>
  </w:footnote>
  <w:footnote w:id="2233">
    <w:p>
      <w:pPr>
        <w:pStyle w:val="FootnoteText"/>
      </w:pPr>
      <w:r>
        <w:rPr>
          <w:rStyle w:val="FootnoteReference"/>
        </w:rPr>
        <w:footnoteRef/>
      </w:r>
      <w:r>
        <w:t xml:space="preserve"> </w:t>
      </w:r>
      <w:r>
        <w:t xml:space="preserve">Sabe 2021, PMID 33890987.</w:t>
      </w:r>
    </w:p>
  </w:footnote>
  <w:footnote w:id="2234">
    <w:p>
      <w:pPr>
        <w:pStyle w:val="FootnoteText"/>
      </w:pPr>
      <w:r>
        <w:rPr>
          <w:rStyle w:val="FootnoteReference"/>
        </w:rPr>
        <w:footnoteRef/>
      </w:r>
      <w:r>
        <w:t xml:space="preserve"> </w:t>
      </w:r>
      <w:r>
        <w:t xml:space="preserve">Bonnieux 2026, PMID 42134427.</w:t>
      </w:r>
    </w:p>
  </w:footnote>
  <w:footnote w:id="2235">
    <w:p>
      <w:pPr>
        <w:pStyle w:val="FootnoteText"/>
      </w:pPr>
      <w:r>
        <w:rPr>
          <w:rStyle w:val="FootnoteReference"/>
        </w:rPr>
        <w:footnoteRef/>
      </w:r>
      <w:r>
        <w:t xml:space="preserve"> </w:t>
      </w:r>
      <w:r>
        <w:t xml:space="preserve">Melby 2019, PMID 30784955.</w:t>
      </w:r>
    </w:p>
  </w:footnote>
  <w:footnote w:id="2236">
    <w:p>
      <w:pPr>
        <w:pStyle w:val="FootnoteText"/>
      </w:pPr>
      <w:r>
        <w:rPr>
          <w:rStyle w:val="FootnoteReference"/>
        </w:rPr>
        <w:footnoteRef/>
      </w:r>
      <w:r>
        <w:t xml:space="preserve"> </w:t>
      </w:r>
      <w:r>
        <w:t xml:space="preserve">Santos 2026, PMID 42335670.</w:t>
      </w:r>
    </w:p>
  </w:footnote>
  <w:footnote w:id="2237">
    <w:p>
      <w:pPr>
        <w:pStyle w:val="FootnoteText"/>
      </w:pPr>
      <w:r>
        <w:rPr>
          <w:rStyle w:val="FootnoteReference"/>
        </w:rPr>
        <w:footnoteRef/>
      </w:r>
      <w:r>
        <w:t xml:space="preserve"> </w:t>
      </w:r>
      <w:r>
        <w:t xml:space="preserve">Pérez-Arqueros 2025, PMID 39366103.</w:t>
      </w:r>
    </w:p>
  </w:footnote>
  <w:footnote w:id="2238">
    <w:p>
      <w:pPr>
        <w:pStyle w:val="FootnoteText"/>
      </w:pPr>
      <w:r>
        <w:rPr>
          <w:rStyle w:val="FootnoteReference"/>
        </w:rPr>
        <w:footnoteRef/>
      </w:r>
      <w:r>
        <w:t xml:space="preserve"> </w:t>
      </w:r>
      <w:r>
        <w:t xml:space="preserve">Riem 2025, PMID 40614394.</w:t>
      </w:r>
    </w:p>
  </w:footnote>
  <w:footnote w:id="2240">
    <w:p>
      <w:pPr>
        <w:pStyle w:val="FootnoteText"/>
      </w:pPr>
      <w:r>
        <w:rPr>
          <w:rStyle w:val="FootnoteReference"/>
        </w:rPr>
        <w:footnoteRef/>
      </w:r>
      <w:r>
        <w:t xml:space="preserve"> </w:t>
      </w:r>
      <w:r>
        <w:t xml:space="preserve">Chen 2021, PMID 34600216.</w:t>
      </w:r>
    </w:p>
  </w:footnote>
  <w:footnote w:id="2241">
    <w:p>
      <w:pPr>
        <w:pStyle w:val="FootnoteText"/>
      </w:pPr>
      <w:r>
        <w:rPr>
          <w:rStyle w:val="FootnoteReference"/>
        </w:rPr>
        <w:footnoteRef/>
      </w:r>
      <w:r>
        <w:t xml:space="preserve"> </w:t>
      </w:r>
      <w:r>
        <w:t xml:space="preserve">Plessow 2024, PMID 38815173.</w:t>
      </w:r>
    </w:p>
  </w:footnote>
  <w:footnote w:id="2242">
    <w:p>
      <w:pPr>
        <w:pStyle w:val="FootnoteText"/>
      </w:pPr>
      <w:r>
        <w:rPr>
          <w:rStyle w:val="FootnoteReference"/>
        </w:rPr>
        <w:footnoteRef/>
      </w:r>
      <w:r>
        <w:t xml:space="preserve"> </w:t>
      </w:r>
      <w:r>
        <w:t xml:space="preserve">Espinoza 2021, PMID 34029521.</w:t>
      </w:r>
    </w:p>
  </w:footnote>
  <w:footnote w:id="2243">
    <w:p>
      <w:pPr>
        <w:pStyle w:val="FootnoteText"/>
      </w:pPr>
      <w:r>
        <w:rPr>
          <w:rStyle w:val="FootnoteReference"/>
        </w:rPr>
        <w:footnoteRef/>
      </w:r>
      <w:r>
        <w:t xml:space="preserve"> </w:t>
      </w:r>
      <w:r>
        <w:t xml:space="preserve">Shalma 2023, PMID 36774885.</w:t>
      </w:r>
    </w:p>
  </w:footnote>
  <w:footnote w:id="2244">
    <w:p>
      <w:pPr>
        <w:pStyle w:val="FootnoteText"/>
      </w:pPr>
      <w:r>
        <w:rPr>
          <w:rStyle w:val="FootnoteReference"/>
        </w:rPr>
        <w:footnoteRef/>
      </w:r>
      <w:r>
        <w:t xml:space="preserve"> </w:t>
      </w:r>
      <w:r>
        <w:t xml:space="preserve">Hollander 2021, PMID 33190843.</w:t>
      </w:r>
    </w:p>
  </w:footnote>
  <w:footnote w:id="2245">
    <w:p>
      <w:pPr>
        <w:pStyle w:val="FootnoteText"/>
      </w:pPr>
      <w:r>
        <w:rPr>
          <w:rStyle w:val="FootnoteReference"/>
        </w:rPr>
        <w:footnoteRef/>
      </w:r>
      <w:r>
        <w:t xml:space="preserve"> </w:t>
      </w:r>
      <w:r>
        <w:t xml:space="preserve">Lopes 2023, PMID 36463692.</w:t>
      </w:r>
    </w:p>
  </w:footnote>
  <w:footnote w:id="2247">
    <w:p>
      <w:pPr>
        <w:pStyle w:val="FootnoteText"/>
      </w:pPr>
      <w:r>
        <w:rPr>
          <w:rStyle w:val="FootnoteReference"/>
        </w:rPr>
        <w:footnoteRef/>
      </w:r>
      <w:r>
        <w:t xml:space="preserve"> </w:t>
      </w:r>
      <w:r>
        <w:t xml:space="preserve">Burri 2008, PMID 18375074.</w:t>
      </w:r>
    </w:p>
  </w:footnote>
  <w:footnote w:id="2248">
    <w:p>
      <w:pPr>
        <w:pStyle w:val="FootnoteText"/>
      </w:pPr>
      <w:r>
        <w:rPr>
          <w:rStyle w:val="FootnoteReference"/>
        </w:rPr>
        <w:footnoteRef/>
      </w:r>
      <w:r>
        <w:t xml:space="preserve"> </w:t>
      </w:r>
      <w:r>
        <w:t xml:space="preserve">Weinberger 2018, PMID 29995725.</w:t>
      </w:r>
    </w:p>
  </w:footnote>
  <w:footnote w:id="2250">
    <w:p>
      <w:pPr>
        <w:pStyle w:val="FootnoteText"/>
      </w:pPr>
      <w:r>
        <w:rPr>
          <w:rStyle w:val="FootnoteReference"/>
        </w:rPr>
        <w:footnoteRef/>
      </w:r>
      <w:r>
        <w:t xml:space="preserve"> </w:t>
      </w:r>
      <w:r>
        <w:t xml:space="preserve">Atila 2023, PMID 37192642.</w:t>
      </w:r>
    </w:p>
  </w:footnote>
  <w:footnote w:id="2251">
    <w:p>
      <w:pPr>
        <w:pStyle w:val="FootnoteText"/>
      </w:pPr>
      <w:r>
        <w:rPr>
          <w:rStyle w:val="FootnoteReference"/>
        </w:rPr>
        <w:footnoteRef/>
      </w:r>
      <w:r>
        <w:t xml:space="preserve"> </w:t>
      </w:r>
      <w:r>
        <w:t xml:space="preserve">NCT06036004.</w:t>
      </w:r>
    </w:p>
  </w:footnote>
  <w:footnote w:id="2254">
    <w:p>
      <w:pPr>
        <w:pStyle w:val="FootnoteText"/>
      </w:pPr>
      <w:r>
        <w:rPr>
          <w:rStyle w:val="FootnoteReference"/>
        </w:rPr>
        <w:footnoteRef/>
      </w:r>
      <w:r>
        <w:t xml:space="preserve"> </w:t>
      </w:r>
      <w:r>
        <w:t xml:space="preserve">Minakova 2019, PMID 30629642.</w:t>
      </w:r>
    </w:p>
  </w:footnote>
  <w:footnote w:id="2255">
    <w:p>
      <w:pPr>
        <w:pStyle w:val="FootnoteText"/>
      </w:pPr>
      <w:r>
        <w:rPr>
          <w:rStyle w:val="FootnoteReference"/>
        </w:rPr>
        <w:footnoteRef/>
      </w:r>
      <w:r>
        <w:t xml:space="preserve"> </w:t>
      </w:r>
      <w:r>
        <w:t xml:space="preserve">Lee 2020, PMID 32494001.</w:t>
      </w:r>
    </w:p>
  </w:footnote>
  <w:footnote w:id="2257">
    <w:p>
      <w:pPr>
        <w:pStyle w:val="FootnoteText"/>
      </w:pPr>
      <w:r>
        <w:rPr>
          <w:rStyle w:val="FootnoteReference"/>
        </w:rPr>
        <w:footnoteRef/>
      </w:r>
      <w:r>
        <w:t xml:space="preserve"> </w:t>
      </w:r>
      <w:r>
        <w:t xml:space="preserve">MacDonald 2011, PMID 21429671.</w:t>
      </w:r>
    </w:p>
  </w:footnote>
  <w:footnote w:id="2258">
    <w:p>
      <w:pPr>
        <w:pStyle w:val="FootnoteText"/>
      </w:pPr>
      <w:r>
        <w:rPr>
          <w:rStyle w:val="FootnoteReference"/>
        </w:rPr>
        <w:footnoteRef/>
      </w:r>
      <w:r>
        <w:t xml:space="preserve"> </w:t>
      </w:r>
      <w:r>
        <w:t xml:space="preserve">Sikich 2021, PMID 34644471.</w:t>
      </w:r>
    </w:p>
  </w:footnote>
  <w:footnote w:id="2259">
    <w:p>
      <w:pPr>
        <w:pStyle w:val="FootnoteText"/>
      </w:pPr>
      <w:r>
        <w:rPr>
          <w:rStyle w:val="FootnoteReference"/>
        </w:rPr>
        <w:footnoteRef/>
      </w:r>
      <w:r>
        <w:t xml:space="preserve"> </w:t>
      </w:r>
      <w:r>
        <w:t xml:space="preserve">Rung 2021, PMID 33982141.</w:t>
      </w:r>
    </w:p>
  </w:footnote>
  <w:footnote w:id="2260">
    <w:p>
      <w:pPr>
        <w:pStyle w:val="FootnoteText"/>
      </w:pPr>
      <w:r>
        <w:rPr>
          <w:rStyle w:val="FootnoteReference"/>
        </w:rPr>
        <w:footnoteRef/>
      </w:r>
      <w:r>
        <w:t xml:space="preserve"> </w:t>
      </w:r>
      <w:r>
        <w:t xml:space="preserve">Yatawara 2016, PMID 26503762.</w:t>
      </w:r>
    </w:p>
  </w:footnote>
  <w:footnote w:id="2262">
    <w:p>
      <w:pPr>
        <w:pStyle w:val="FootnoteText"/>
      </w:pPr>
      <w:r>
        <w:rPr>
          <w:rStyle w:val="FootnoteReference"/>
        </w:rPr>
        <w:footnoteRef/>
      </w:r>
      <w:r>
        <w:t xml:space="preserve"> </w:t>
      </w:r>
      <w:r>
        <w:t xml:space="preserve">Mayer-Hubner 1996, PMID 8596357.</w:t>
      </w:r>
    </w:p>
  </w:footnote>
  <w:footnote w:id="2263">
    <w:p>
      <w:pPr>
        <w:pStyle w:val="FootnoteText"/>
      </w:pPr>
      <w:r>
        <w:rPr>
          <w:rStyle w:val="FootnoteReference"/>
        </w:rPr>
        <w:footnoteRef/>
      </w:r>
      <w:r>
        <w:t xml:space="preserve"> </w:t>
      </w:r>
      <w:r>
        <w:t xml:space="preserve">Meusel 2021, PMID 33296278.</w:t>
      </w:r>
    </w:p>
  </w:footnote>
  <w:footnote w:id="2268">
    <w:p>
      <w:pPr>
        <w:pStyle w:val="FootnoteText"/>
      </w:pPr>
      <w:r>
        <w:rPr>
          <w:rStyle w:val="FootnoteReference"/>
        </w:rPr>
        <w:footnoteRef/>
      </w:r>
      <w:r>
        <w:t xml:space="preserve"> </w:t>
      </w:r>
      <w:r>
        <w:t xml:space="preserve">NCT04903002.</w:t>
      </w:r>
    </w:p>
  </w:footnote>
  <w:footnote w:id="2269">
    <w:p>
      <w:pPr>
        <w:pStyle w:val="FootnoteText"/>
      </w:pPr>
      <w:r>
        <w:rPr>
          <w:rStyle w:val="FootnoteReference"/>
        </w:rPr>
        <w:footnoteRef/>
      </w:r>
      <w:r>
        <w:t xml:space="preserve"> </w:t>
      </w:r>
      <w:r>
        <w:t xml:space="preserve">NCT06036004.</w:t>
      </w:r>
    </w:p>
  </w:footnote>
  <w:footnote w:id="2270">
    <w:p>
      <w:pPr>
        <w:pStyle w:val="FootnoteText"/>
      </w:pPr>
      <w:r>
        <w:rPr>
          <w:rStyle w:val="FootnoteReference"/>
        </w:rPr>
        <w:footnoteRef/>
      </w:r>
      <w:r>
        <w:t xml:space="preserve"> </w:t>
      </w:r>
      <w:r>
        <w:t xml:space="preserve">NCT05754073.</w:t>
      </w:r>
    </w:p>
  </w:footnote>
  <w:footnote w:id="2271">
    <w:p>
      <w:pPr>
        <w:pStyle w:val="FootnoteText"/>
      </w:pPr>
      <w:r>
        <w:rPr>
          <w:rStyle w:val="FootnoteReference"/>
        </w:rPr>
        <w:footnoteRef/>
      </w:r>
      <w:r>
        <w:t xml:space="preserve"> </w:t>
      </w:r>
      <w:r>
        <w:t xml:space="preserve">NCT05664516.</w:t>
      </w:r>
    </w:p>
  </w:footnote>
  <w:footnote w:id="2272">
    <w:p>
      <w:pPr>
        <w:pStyle w:val="FootnoteText"/>
      </w:pPr>
      <w:r>
        <w:rPr>
          <w:rStyle w:val="FootnoteReference"/>
        </w:rPr>
        <w:footnoteRef/>
      </w:r>
      <w:r>
        <w:t xml:space="preserve"> </w:t>
      </w:r>
      <w:r>
        <w:t xml:space="preserve">NCT07730294.</w:t>
      </w:r>
    </w:p>
  </w:footnote>
  <w:footnote w:id="2278">
    <w:p>
      <w:pPr>
        <w:pStyle w:val="FootnoteText"/>
      </w:pPr>
      <w:r>
        <w:rPr>
          <w:rStyle w:val="FootnoteReference"/>
        </w:rPr>
        <w:footnoteRef/>
      </w:r>
      <w:r>
        <w:t xml:space="preserve"> </w:t>
      </w:r>
      <w:r>
        <w:t xml:space="preserve">Steg 1985, PMID 2934695.</w:t>
      </w:r>
    </w:p>
  </w:footnote>
  <w:footnote w:id="2279">
    <w:p>
      <w:pPr>
        <w:pStyle w:val="FootnoteText"/>
      </w:pPr>
      <w:r>
        <w:rPr>
          <w:rStyle w:val="FootnoteReference"/>
        </w:rPr>
        <w:footnoteRef/>
      </w:r>
      <w:r>
        <w:t xml:space="preserve"> </w:t>
      </w:r>
      <w:r>
        <w:t xml:space="preserve">Segarra 1996, PMID 8773342; Falkenbach 1997, PMID 9189734.</w:t>
      </w:r>
    </w:p>
  </w:footnote>
  <w:footnote w:id="2280">
    <w:p>
      <w:pPr>
        <w:pStyle w:val="FootnoteText"/>
      </w:pPr>
      <w:r>
        <w:rPr>
          <w:rStyle w:val="FootnoteReference"/>
        </w:rPr>
        <w:footnoteRef/>
      </w:r>
      <w:r>
        <w:t xml:space="preserve"> </w:t>
      </w:r>
      <w:r>
        <w:t xml:space="preserve">Kandemir 2011, PMID 21448328.</w:t>
      </w:r>
    </w:p>
  </w:footnote>
  <w:footnote w:id="2281">
    <w:p>
      <w:pPr>
        <w:pStyle w:val="FootnoteText"/>
      </w:pPr>
      <w:r>
        <w:rPr>
          <w:rStyle w:val="FootnoteReference"/>
        </w:rPr>
        <w:footnoteRef/>
      </w:r>
      <w:r>
        <w:t xml:space="preserve"> </w:t>
      </w:r>
      <w:r>
        <w:t xml:space="preserve">Ab Rahim 2020, PMID 32871650.</w:t>
      </w:r>
    </w:p>
  </w:footnote>
  <w:footnote w:id="2282">
    <w:p>
      <w:pPr>
        <w:pStyle w:val="FootnoteText"/>
      </w:pPr>
      <w:r>
        <w:rPr>
          <w:rStyle w:val="FootnoteReference"/>
        </w:rPr>
        <w:footnoteRef/>
      </w:r>
      <w:r>
        <w:t xml:space="preserve"> </w:t>
      </w:r>
      <w:r>
        <w:t xml:space="preserve">Chioma 2025, PMID 41384863.</w:t>
      </w:r>
    </w:p>
  </w:footnote>
  <w:footnote w:id="2284">
    <w:p>
      <w:pPr>
        <w:pStyle w:val="FootnoteText"/>
      </w:pPr>
      <w:r>
        <w:rPr>
          <w:rStyle w:val="FootnoteReference"/>
        </w:rPr>
        <w:footnoteRef/>
      </w:r>
      <w:r>
        <w:t xml:space="preserve"> </w:t>
      </w:r>
      <w:r>
        <w:t xml:space="preserve">Quaas 2022, PMID 36378460.</w:t>
      </w:r>
    </w:p>
  </w:footnote>
  <w:footnote w:id="2285">
    <w:p>
      <w:pPr>
        <w:pStyle w:val="FootnoteText"/>
      </w:pPr>
      <w:r>
        <w:rPr>
          <w:rStyle w:val="FootnoteReference"/>
        </w:rPr>
        <w:footnoteRef/>
      </w:r>
      <w:r>
        <w:t xml:space="preserve"> </w:t>
      </w:r>
      <w:r>
        <w:t xml:space="preserve">Filicori 1994, PMID 7962297.</w:t>
      </w:r>
    </w:p>
  </w:footnote>
  <w:footnote w:id="2286">
    <w:p>
      <w:pPr>
        <w:pStyle w:val="FootnoteText"/>
      </w:pPr>
      <w:r>
        <w:rPr>
          <w:rStyle w:val="FootnoteReference"/>
        </w:rPr>
        <w:footnoteRef/>
      </w:r>
      <w:r>
        <w:t xml:space="preserve"> </w:t>
      </w:r>
      <w:r>
        <w:t xml:space="preserve">Santoro 1990, PMID 2122733.</w:t>
      </w:r>
    </w:p>
  </w:footnote>
  <w:footnote w:id="2287">
    <w:p>
      <w:pPr>
        <w:pStyle w:val="FootnoteText"/>
      </w:pPr>
      <w:r>
        <w:rPr>
          <w:rStyle w:val="FootnoteReference"/>
        </w:rPr>
        <w:footnoteRef/>
      </w:r>
      <w:r>
        <w:t xml:space="preserve"> </w:t>
      </w:r>
      <w:r>
        <w:t xml:space="preserve">Christin-Maitre 2007, PMID 17293247.</w:t>
      </w:r>
    </w:p>
  </w:footnote>
  <w:footnote w:id="2288">
    <w:p>
      <w:pPr>
        <w:pStyle w:val="FootnoteText"/>
      </w:pPr>
      <w:r>
        <w:rPr>
          <w:rStyle w:val="FootnoteReference"/>
        </w:rPr>
        <w:footnoteRef/>
      </w:r>
      <w:r>
        <w:t xml:space="preserve"> </w:t>
      </w:r>
      <w:r>
        <w:t xml:space="preserve">Quaas 2022, PMID 36378460.</w:t>
      </w:r>
    </w:p>
  </w:footnote>
  <w:footnote w:id="2290">
    <w:p>
      <w:pPr>
        <w:pStyle w:val="FootnoteText"/>
      </w:pPr>
      <w:r>
        <w:rPr>
          <w:rStyle w:val="FootnoteReference"/>
        </w:rPr>
        <w:footnoteRef/>
      </w:r>
      <w:r>
        <w:t xml:space="preserve"> </w:t>
      </w:r>
      <w:r>
        <w:t xml:space="preserve">Kliesch 1994, PMID 7921222.</w:t>
      </w:r>
    </w:p>
  </w:footnote>
  <w:footnote w:id="2291">
    <w:p>
      <w:pPr>
        <w:pStyle w:val="FootnoteText"/>
      </w:pPr>
      <w:r>
        <w:rPr>
          <w:rStyle w:val="FootnoteReference"/>
        </w:rPr>
        <w:footnoteRef/>
      </w:r>
      <w:r>
        <w:t xml:space="preserve"> </w:t>
      </w:r>
      <w:r>
        <w:t xml:space="preserve">Gong 2015, PMID 25978110.</w:t>
      </w:r>
    </w:p>
  </w:footnote>
  <w:footnote w:id="2292">
    <w:p>
      <w:pPr>
        <w:pStyle w:val="FootnoteText"/>
      </w:pPr>
      <w:r>
        <w:rPr>
          <w:rStyle w:val="FootnoteReference"/>
        </w:rPr>
        <w:footnoteRef/>
      </w:r>
      <w:r>
        <w:t xml:space="preserve"> </w:t>
      </w:r>
      <w:r>
        <w:t xml:space="preserve">Dwyer 2013, PMID 24037890.</w:t>
      </w:r>
    </w:p>
  </w:footnote>
  <w:footnote w:id="2294">
    <w:p>
      <w:pPr>
        <w:pStyle w:val="FootnoteText"/>
      </w:pPr>
      <w:r>
        <w:rPr>
          <w:rStyle w:val="FootnoteReference"/>
        </w:rPr>
        <w:footnoteRef/>
      </w:r>
      <w:r>
        <w:t xml:space="preserve"> </w:t>
      </w:r>
      <w:r>
        <w:t xml:space="preserve">Spinelli 2014, PMID 25106891.</w:t>
      </w:r>
    </w:p>
  </w:footnote>
  <w:footnote w:id="2295">
    <w:p>
      <w:pPr>
        <w:pStyle w:val="FootnoteText"/>
      </w:pPr>
      <w:r>
        <w:rPr>
          <w:rStyle w:val="FootnoteReference"/>
        </w:rPr>
        <w:footnoteRef/>
      </w:r>
      <w:r>
        <w:t xml:space="preserve"> </w:t>
      </w:r>
      <w:r>
        <w:t xml:space="preserve">Fiala 2022, PMID 35691791.</w:t>
      </w:r>
    </w:p>
  </w:footnote>
  <w:footnote w:id="2299">
    <w:p>
      <w:pPr>
        <w:pStyle w:val="FootnoteText"/>
      </w:pPr>
      <w:r>
        <w:rPr>
          <w:rStyle w:val="FootnoteReference"/>
        </w:rPr>
        <w:footnoteRef/>
      </w:r>
      <w:r>
        <w:t xml:space="preserve"> </w:t>
      </w:r>
      <w:r>
        <w:t xml:space="preserve">Santoro 1990, PMID 2122733; Christin-Maitre 2007, PMID 17293247.</w:t>
      </w:r>
    </w:p>
  </w:footnote>
  <w:footnote w:id="2303">
    <w:p>
      <w:pPr>
        <w:pStyle w:val="FootnoteText"/>
      </w:pPr>
      <w:r>
        <w:rPr>
          <w:rStyle w:val="FootnoteReference"/>
        </w:rPr>
        <w:footnoteRef/>
      </w:r>
      <w:r>
        <w:t xml:space="preserve"> </w:t>
      </w:r>
      <w:r>
        <w:t xml:space="preserve">Smit 2026, PMID 42644333.</w:t>
      </w:r>
    </w:p>
  </w:footnote>
  <w:footnote w:id="2304">
    <w:p>
      <w:pPr>
        <w:pStyle w:val="FootnoteText"/>
      </w:pPr>
      <w:r>
        <w:rPr>
          <w:rStyle w:val="FootnoteReference"/>
        </w:rPr>
        <w:footnoteRef/>
      </w:r>
      <w:r>
        <w:t xml:space="preserve"> </w:t>
      </w:r>
      <w:r>
        <w:t xml:space="preserve">Smit 2021, PMID 33550376.</w:t>
      </w:r>
    </w:p>
  </w:footnote>
  <w:footnote w:id="2305">
    <w:p>
      <w:pPr>
        <w:pStyle w:val="FootnoteText"/>
      </w:pPr>
      <w:r>
        <w:rPr>
          <w:rStyle w:val="FootnoteReference"/>
        </w:rPr>
        <w:footnoteRef/>
      </w:r>
      <w:r>
        <w:t xml:space="preserve"> </w:t>
      </w:r>
      <w:r>
        <w:t xml:space="preserve">Torrini 2023, PMID 36858006.</w:t>
      </w:r>
    </w:p>
  </w:footnote>
  <w:footnote w:id="2308">
    <w:p>
      <w:pPr>
        <w:pStyle w:val="FootnoteText"/>
      </w:pPr>
      <w:r>
        <w:rPr>
          <w:rStyle w:val="FootnoteReference"/>
        </w:rPr>
        <w:footnoteRef/>
      </w:r>
      <w:r>
        <w:t xml:space="preserve"> </w:t>
      </w:r>
      <w:r>
        <w:t xml:space="preserve">NCT07152730.</w:t>
      </w:r>
    </w:p>
  </w:footnote>
  <w:footnote w:id="2309">
    <w:p>
      <w:pPr>
        <w:pStyle w:val="FootnoteText"/>
      </w:pPr>
      <w:r>
        <w:rPr>
          <w:rStyle w:val="FootnoteReference"/>
        </w:rPr>
        <w:footnoteRef/>
      </w:r>
      <w:r>
        <w:t xml:space="preserve"> </w:t>
      </w:r>
      <w:r>
        <w:t xml:space="preserve">NCT02310074.</w:t>
      </w:r>
    </w:p>
  </w:footnote>
  <w:footnote w:id="2310">
    <w:p>
      <w:pPr>
        <w:pStyle w:val="FootnoteText"/>
      </w:pPr>
      <w:r>
        <w:rPr>
          <w:rStyle w:val="FootnoteReference"/>
        </w:rPr>
        <w:footnoteRef/>
      </w:r>
      <w:r>
        <w:t xml:space="preserve"> </w:t>
      </w:r>
      <w:r>
        <w:t xml:space="preserve">NCT03989024.</w:t>
      </w:r>
    </w:p>
  </w:footnote>
  <w:footnote w:id="2315">
    <w:p>
      <w:pPr>
        <w:pStyle w:val="FootnoteText"/>
      </w:pPr>
      <w:r>
        <w:rPr>
          <w:rStyle w:val="FootnoteReference"/>
        </w:rPr>
        <w:footnoteRef/>
      </w:r>
      <w:r>
        <w:t xml:space="preserve"> </w:t>
      </w:r>
      <w:r>
        <w:t xml:space="preserve">Myung 2025, PMID 40324552.</w:t>
      </w:r>
    </w:p>
  </w:footnote>
  <w:footnote w:id="2321">
    <w:p>
      <w:pPr>
        <w:pStyle w:val="FootnoteText"/>
      </w:pPr>
      <w:r>
        <w:rPr>
          <w:rStyle w:val="FootnoteReference"/>
        </w:rPr>
        <w:footnoteRef/>
      </w:r>
      <w:r>
        <w:t xml:space="preserve"> </w:t>
      </w:r>
      <w:r>
        <w:t xml:space="preserve">Iwai 2005, PMID 16076145.</w:t>
      </w:r>
    </w:p>
  </w:footnote>
  <w:footnote w:id="2322">
    <w:p>
      <w:pPr>
        <w:pStyle w:val="FootnoteText"/>
      </w:pPr>
      <w:r>
        <w:rPr>
          <w:rStyle w:val="FootnoteReference"/>
        </w:rPr>
        <w:footnoteRef/>
      </w:r>
      <w:r>
        <w:t xml:space="preserve"> </w:t>
      </w:r>
      <w:r>
        <w:t xml:space="preserve">Yamamoto 2016, PMID 26934933.</w:t>
      </w:r>
    </w:p>
  </w:footnote>
  <w:footnote w:id="2323">
    <w:p>
      <w:pPr>
        <w:pStyle w:val="FootnoteText"/>
      </w:pPr>
      <w:r>
        <w:rPr>
          <w:rStyle w:val="FootnoteReference"/>
        </w:rPr>
        <w:footnoteRef/>
      </w:r>
      <w:r>
        <w:t xml:space="preserve"> </w:t>
      </w:r>
      <w:r>
        <w:t xml:space="preserve">Shaw 2017, PMID 27852613.</w:t>
      </w:r>
    </w:p>
  </w:footnote>
  <w:footnote w:id="2324">
    <w:p>
      <w:pPr>
        <w:pStyle w:val="FootnoteText"/>
      </w:pPr>
      <w:r>
        <w:rPr>
          <w:rStyle w:val="FootnoteReference"/>
        </w:rPr>
        <w:footnoteRef/>
      </w:r>
      <w:r>
        <w:t xml:space="preserve"> </w:t>
      </w:r>
      <w:r>
        <w:t xml:space="preserve">Stenbæk 2016, PMID 26655163.</w:t>
      </w:r>
    </w:p>
  </w:footnote>
  <w:footnote w:id="2326">
    <w:p>
      <w:pPr>
        <w:pStyle w:val="FootnoteText"/>
      </w:pPr>
      <w:r>
        <w:rPr>
          <w:rStyle w:val="FootnoteReference"/>
        </w:rPr>
        <w:footnoteRef/>
      </w:r>
      <w:r>
        <w:t xml:space="preserve"> </w:t>
      </w:r>
      <w:r>
        <w:t xml:space="preserve">Hexsel 2017, PMID 28786550.</w:t>
      </w:r>
    </w:p>
  </w:footnote>
  <w:footnote w:id="2327">
    <w:p>
      <w:pPr>
        <w:pStyle w:val="FootnoteText"/>
      </w:pPr>
      <w:r>
        <w:rPr>
          <w:rStyle w:val="FootnoteReference"/>
        </w:rPr>
        <w:footnoteRef/>
      </w:r>
      <w:r>
        <w:t xml:space="preserve"> </w:t>
      </w:r>
      <w:r>
        <w:t xml:space="preserve">Sugihara 2018, PMID 30061579.</w:t>
      </w:r>
    </w:p>
  </w:footnote>
  <w:footnote w:id="2329">
    <w:p>
      <w:pPr>
        <w:pStyle w:val="FootnoteText"/>
      </w:pPr>
      <w:r>
        <w:rPr>
          <w:rStyle w:val="FootnoteReference"/>
        </w:rPr>
        <w:footnoteRef/>
      </w:r>
      <w:r>
        <w:t xml:space="preserve"> </w:t>
      </w:r>
      <w:r>
        <w:t xml:space="preserve">de Miranda 2021, PMID 33742704.</w:t>
      </w:r>
    </w:p>
  </w:footnote>
  <w:footnote w:id="2330">
    <w:p>
      <w:pPr>
        <w:pStyle w:val="FootnoteText"/>
      </w:pPr>
      <w:r>
        <w:rPr>
          <w:rStyle w:val="FootnoteReference"/>
        </w:rPr>
        <w:footnoteRef/>
      </w:r>
      <w:r>
        <w:t xml:space="preserve"> </w:t>
      </w:r>
      <w:r>
        <w:t xml:space="preserve">Pu 2023, PMID 37432180.</w:t>
      </w:r>
    </w:p>
  </w:footnote>
  <w:footnote w:id="2331">
    <w:p>
      <w:pPr>
        <w:pStyle w:val="FootnoteText"/>
      </w:pPr>
      <w:r>
        <w:rPr>
          <w:rStyle w:val="FootnoteReference"/>
        </w:rPr>
        <w:footnoteRef/>
      </w:r>
      <w:r>
        <w:t xml:space="preserve"> </w:t>
      </w:r>
      <w:r>
        <w:t xml:space="preserve">Danessa 2025, PMID 40826844.</w:t>
      </w:r>
    </w:p>
  </w:footnote>
  <w:footnote w:id="2332">
    <w:p>
      <w:pPr>
        <w:pStyle w:val="FootnoteText"/>
      </w:pPr>
      <w:r>
        <w:rPr>
          <w:rStyle w:val="FootnoteReference"/>
        </w:rPr>
        <w:footnoteRef/>
      </w:r>
      <w:r>
        <w:t xml:space="preserve"> </w:t>
      </w:r>
      <w:r>
        <w:t xml:space="preserve">Myung 2025, PMID 40324552.</w:t>
      </w:r>
    </w:p>
  </w:footnote>
  <w:footnote w:id="2334">
    <w:p>
      <w:pPr>
        <w:pStyle w:val="FootnoteText"/>
      </w:pPr>
      <w:r>
        <w:rPr>
          <w:rStyle w:val="FootnoteReference"/>
        </w:rPr>
        <w:footnoteRef/>
      </w:r>
      <w:r>
        <w:t xml:space="preserve"> </w:t>
      </w:r>
      <w:r>
        <w:t xml:space="preserve">García-Coronado 2019, PMID 30368550.</w:t>
      </w:r>
    </w:p>
  </w:footnote>
  <w:footnote w:id="2335">
    <w:p>
      <w:pPr>
        <w:pStyle w:val="FootnoteText"/>
      </w:pPr>
      <w:r>
        <w:rPr>
          <w:rStyle w:val="FootnoteReference"/>
        </w:rPr>
        <w:footnoteRef/>
      </w:r>
      <w:r>
        <w:t xml:space="preserve"> </w:t>
      </w:r>
      <w:r>
        <w:t xml:space="preserve">Liang 2024, PMID 38218227.</w:t>
      </w:r>
    </w:p>
  </w:footnote>
  <w:footnote w:id="2336">
    <w:p>
      <w:pPr>
        <w:pStyle w:val="FootnoteText"/>
      </w:pPr>
      <w:r>
        <w:rPr>
          <w:rStyle w:val="FootnoteReference"/>
        </w:rPr>
        <w:footnoteRef/>
      </w:r>
      <w:r>
        <w:t xml:space="preserve"> </w:t>
      </w:r>
      <w:r>
        <w:t xml:space="preserve">Lin 2023, PMID 37717022.</w:t>
      </w:r>
    </w:p>
  </w:footnote>
  <w:footnote w:id="2337">
    <w:p>
      <w:pPr>
        <w:pStyle w:val="FootnoteText"/>
      </w:pPr>
      <w:r>
        <w:rPr>
          <w:rStyle w:val="FootnoteReference"/>
        </w:rPr>
        <w:footnoteRef/>
      </w:r>
      <w:r>
        <w:t xml:space="preserve"> </w:t>
      </w:r>
      <w:r>
        <w:t xml:space="preserve">Simental-Mendía 2025, PMID 39212129.</w:t>
      </w:r>
    </w:p>
  </w:footnote>
  <w:footnote w:id="2338">
    <w:p>
      <w:pPr>
        <w:pStyle w:val="FootnoteText"/>
      </w:pPr>
      <w:r>
        <w:rPr>
          <w:rStyle w:val="FootnoteReference"/>
        </w:rPr>
        <w:footnoteRef/>
      </w:r>
      <w:r>
        <w:t xml:space="preserve"> </w:t>
      </w:r>
      <w:r>
        <w:t xml:space="preserve">Liu 2018, PMID 29018060.</w:t>
      </w:r>
    </w:p>
  </w:footnote>
  <w:footnote w:id="2340">
    <w:p>
      <w:pPr>
        <w:pStyle w:val="FootnoteText"/>
      </w:pPr>
      <w:r>
        <w:rPr>
          <w:rStyle w:val="FootnoteReference"/>
        </w:rPr>
        <w:footnoteRef/>
      </w:r>
      <w:r>
        <w:t xml:space="preserve"> </w:t>
      </w:r>
      <w:r>
        <w:t xml:space="preserve">Trentham 1993, PMID 8378772.</w:t>
      </w:r>
    </w:p>
  </w:footnote>
  <w:footnote w:id="2341">
    <w:p>
      <w:pPr>
        <w:pStyle w:val="FootnoteText"/>
      </w:pPr>
      <w:r>
        <w:rPr>
          <w:rStyle w:val="FootnoteReference"/>
        </w:rPr>
        <w:footnoteRef/>
      </w:r>
      <w:r>
        <w:t xml:space="preserve"> </w:t>
      </w:r>
      <w:r>
        <w:t xml:space="preserve">Barnett 1998, PMID 9485087.</w:t>
      </w:r>
    </w:p>
  </w:footnote>
  <w:footnote w:id="2344">
    <w:p>
      <w:pPr>
        <w:pStyle w:val="FootnoteText"/>
      </w:pPr>
      <w:r>
        <w:rPr>
          <w:rStyle w:val="FootnoteReference"/>
        </w:rPr>
        <w:footnoteRef/>
      </w:r>
      <w:r>
        <w:t xml:space="preserve"> </w:t>
      </w:r>
      <w:r>
        <w:t xml:space="preserve">Zdzieblik 2015, PMID 26353786.</w:t>
      </w:r>
    </w:p>
  </w:footnote>
  <w:footnote w:id="2345">
    <w:p>
      <w:pPr>
        <w:pStyle w:val="FootnoteText"/>
      </w:pPr>
      <w:r>
        <w:rPr>
          <w:rStyle w:val="FootnoteReference"/>
        </w:rPr>
        <w:footnoteRef/>
      </w:r>
      <w:r>
        <w:t xml:space="preserve"> </w:t>
      </w:r>
      <w:r>
        <w:t xml:space="preserve">Oikawa 2020, PMID 31919527.</w:t>
      </w:r>
    </w:p>
  </w:footnote>
  <w:footnote w:id="2346">
    <w:p>
      <w:pPr>
        <w:pStyle w:val="FootnoteText"/>
      </w:pPr>
      <w:r>
        <w:rPr>
          <w:rStyle w:val="FootnoteReference"/>
        </w:rPr>
        <w:footnoteRef/>
      </w:r>
      <w:r>
        <w:t xml:space="preserve"> </w:t>
      </w:r>
      <w:r>
        <w:t xml:space="preserve">Jacinto 2022, PMID 35042187.</w:t>
      </w:r>
    </w:p>
  </w:footnote>
  <w:footnote w:id="2347">
    <w:p>
      <w:pPr>
        <w:pStyle w:val="FootnoteText"/>
      </w:pPr>
      <w:r>
        <w:rPr>
          <w:rStyle w:val="FootnoteReference"/>
        </w:rPr>
        <w:footnoteRef/>
      </w:r>
      <w:r>
        <w:t xml:space="preserve"> </w:t>
      </w:r>
      <w:r>
        <w:t xml:space="preserve">Kirmse 2024, PMID 39086044.</w:t>
      </w:r>
    </w:p>
  </w:footnote>
  <w:footnote w:id="2348">
    <w:p>
      <w:pPr>
        <w:pStyle w:val="FootnoteText"/>
      </w:pPr>
      <w:r>
        <w:rPr>
          <w:rStyle w:val="FootnoteReference"/>
        </w:rPr>
        <w:footnoteRef/>
      </w:r>
      <w:r>
        <w:t xml:space="preserve"> </w:t>
      </w:r>
      <w:r>
        <w:t xml:space="preserve">Bischof 2024, PMID 39060741.</w:t>
      </w:r>
    </w:p>
  </w:footnote>
  <w:footnote w:id="2349">
    <w:p>
      <w:pPr>
        <w:pStyle w:val="FootnoteText"/>
      </w:pPr>
      <w:r>
        <w:rPr>
          <w:rStyle w:val="FootnoteReference"/>
        </w:rPr>
        <w:footnoteRef/>
      </w:r>
      <w:r>
        <w:t xml:space="preserve"> </w:t>
      </w:r>
      <w:r>
        <w:t xml:space="preserve">Khatri 2021, PMID 34491424.</w:t>
      </w:r>
    </w:p>
  </w:footnote>
  <w:footnote w:id="2351">
    <w:p>
      <w:pPr>
        <w:pStyle w:val="FootnoteText"/>
      </w:pPr>
      <w:r>
        <w:rPr>
          <w:rStyle w:val="FootnoteReference"/>
        </w:rPr>
        <w:footnoteRef/>
      </w:r>
      <w:r>
        <w:t xml:space="preserve"> </w:t>
      </w:r>
      <w:r>
        <w:t xml:space="preserve">Jalili 2023, PMID 35658958.</w:t>
      </w:r>
    </w:p>
  </w:footnote>
  <w:footnote w:id="2354">
    <w:p>
      <w:pPr>
        <w:pStyle w:val="FootnoteText"/>
      </w:pPr>
      <w:r>
        <w:rPr>
          <w:rStyle w:val="FootnoteReference"/>
        </w:rPr>
        <w:footnoteRef/>
      </w:r>
      <w:r>
        <w:t xml:space="preserve"> </w:t>
      </w:r>
      <w:r>
        <w:t xml:space="preserve">Asserin 2015, PMID 26362110.</w:t>
      </w:r>
    </w:p>
  </w:footnote>
  <w:footnote w:id="2355">
    <w:p>
      <w:pPr>
        <w:pStyle w:val="FootnoteText"/>
      </w:pPr>
      <w:r>
        <w:rPr>
          <w:rStyle w:val="FootnoteReference"/>
        </w:rPr>
        <w:footnoteRef/>
      </w:r>
      <w:r>
        <w:t xml:space="preserve"> </w:t>
      </w:r>
      <w:r>
        <w:t xml:space="preserve">Inacio 2024, PMID 38892477.</w:t>
      </w:r>
    </w:p>
  </w:footnote>
  <w:footnote w:id="2356">
    <w:p>
      <w:pPr>
        <w:pStyle w:val="FootnoteText"/>
      </w:pPr>
      <w:r>
        <w:rPr>
          <w:rStyle w:val="FootnoteReference"/>
        </w:rPr>
        <w:footnoteRef/>
      </w:r>
      <w:r>
        <w:t xml:space="preserve"> </w:t>
      </w:r>
      <w:r>
        <w:t xml:space="preserve">Bischof 2026, PMID 41168365.</w:t>
      </w:r>
    </w:p>
  </w:footnote>
  <w:footnote w:id="2358">
    <w:p>
      <w:pPr>
        <w:pStyle w:val="FootnoteText"/>
      </w:pPr>
      <w:r>
        <w:rPr>
          <w:rStyle w:val="FootnoteReference"/>
        </w:rPr>
        <w:footnoteRef/>
      </w:r>
      <w:r>
        <w:t xml:space="preserve"> </w:t>
      </w:r>
      <w:r>
        <w:t xml:space="preserve">Liang 2024, PMID 38218227.</w:t>
      </w:r>
    </w:p>
  </w:footnote>
  <w:footnote w:id="2359">
    <w:p>
      <w:pPr>
        <w:pStyle w:val="FootnoteText"/>
      </w:pPr>
      <w:r>
        <w:rPr>
          <w:rStyle w:val="FootnoteReference"/>
        </w:rPr>
        <w:footnoteRef/>
      </w:r>
      <w:r>
        <w:t xml:space="preserve"> </w:t>
      </w:r>
      <w:r>
        <w:t xml:space="preserve">Knight 2006, PMID 17021603.</w:t>
      </w:r>
    </w:p>
  </w:footnote>
  <w:footnote w:id="2362">
    <w:p>
      <w:pPr>
        <w:pStyle w:val="FootnoteText"/>
      </w:pPr>
      <w:r>
        <w:rPr>
          <w:rStyle w:val="FootnoteReference"/>
        </w:rPr>
        <w:footnoteRef/>
      </w:r>
      <w:r>
        <w:t xml:space="preserve"> </w:t>
      </w:r>
      <w:r>
        <w:t xml:space="preserve">NCT04998188.</w:t>
      </w:r>
    </w:p>
  </w:footnote>
  <w:footnote w:id="2363">
    <w:p>
      <w:pPr>
        <w:pStyle w:val="FootnoteText"/>
      </w:pPr>
      <w:r>
        <w:rPr>
          <w:rStyle w:val="FootnoteReference"/>
        </w:rPr>
        <w:footnoteRef/>
      </w:r>
      <w:r>
        <w:t xml:space="preserve"> </w:t>
      </w:r>
      <w:r>
        <w:t xml:space="preserve">NCT07800780.</w:t>
      </w:r>
    </w:p>
  </w:footnote>
  <w:footnote w:id="2364">
    <w:p>
      <w:pPr>
        <w:pStyle w:val="FootnoteText"/>
      </w:pPr>
      <w:r>
        <w:rPr>
          <w:rStyle w:val="FootnoteReference"/>
        </w:rPr>
        <w:footnoteRef/>
      </w:r>
      <w:r>
        <w:t xml:space="preserve"> </w:t>
      </w:r>
      <w:r>
        <w:t xml:space="preserve">NCT05823727.</w:t>
      </w:r>
    </w:p>
  </w:footnote>
  <w:footnote w:id="2365">
    <w:p>
      <w:pPr>
        <w:pStyle w:val="FootnoteText"/>
      </w:pPr>
      <w:r>
        <w:rPr>
          <w:rStyle w:val="FootnoteReference"/>
        </w:rPr>
        <w:footnoteRef/>
      </w:r>
      <w:r>
        <w:t xml:space="preserve"> </w:t>
      </w:r>
      <w:r>
        <w:t xml:space="preserve">NCT07473037.</w:t>
      </w:r>
    </w:p>
  </w:footnote>
  <w:footnote w:id="2366">
    <w:p>
      <w:pPr>
        <w:pStyle w:val="FootnoteText"/>
      </w:pPr>
      <w:r>
        <w:rPr>
          <w:rStyle w:val="FootnoteReference"/>
        </w:rPr>
        <w:footnoteRef/>
      </w:r>
      <w:r>
        <w:t xml:space="preserve"> </w:t>
      </w:r>
      <w:r>
        <w:t xml:space="preserve">NCT07456449.</w:t>
      </w:r>
    </w:p>
  </w:footnote>
  <w:footnote w:id="2367">
    <w:p>
      <w:pPr>
        <w:pStyle w:val="FootnoteText"/>
      </w:pPr>
      <w:r>
        <w:rPr>
          <w:rStyle w:val="FootnoteReference"/>
        </w:rPr>
        <w:footnoteRef/>
      </w:r>
      <w:r>
        <w:t xml:space="preserve"> </w:t>
      </w:r>
      <w:r>
        <w:t xml:space="preserve">NCT07229014.</w:t>
      </w:r>
    </w:p>
  </w:footnote>
  <w:footnote w:id="2368">
    <w:p>
      <w:pPr>
        <w:pStyle w:val="FootnoteText"/>
      </w:pPr>
      <w:r>
        <w:rPr>
          <w:rStyle w:val="FootnoteReference"/>
        </w:rPr>
        <w:footnoteRef/>
      </w:r>
      <w:r>
        <w:t xml:space="preserve"> </w:t>
      </w:r>
      <w:r>
        <w:t xml:space="preserve">Myung 2025, PMID 40324552.</w:t>
      </w:r>
    </w:p>
  </w:footnote>
  <w:footnote w:id="2373">
    <w:p>
      <w:pPr>
        <w:pStyle w:val="FootnoteText"/>
      </w:pPr>
      <w:r>
        <w:rPr>
          <w:rStyle w:val="FootnoteReference"/>
        </w:rPr>
        <w:footnoteRef/>
      </w:r>
      <w:r>
        <w:t xml:space="preserve"> </w:t>
      </w:r>
      <w:r>
        <w:t xml:space="preserve">Nakamura 1995, PMID 7673515.</w:t>
      </w:r>
    </w:p>
  </w:footnote>
  <w:footnote w:id="2374">
    <w:p>
      <w:pPr>
        <w:pStyle w:val="FootnoteText"/>
      </w:pPr>
      <w:r>
        <w:rPr>
          <w:rStyle w:val="FootnoteReference"/>
        </w:rPr>
        <w:footnoteRef/>
      </w:r>
      <w:r>
        <w:t xml:space="preserve"> </w:t>
      </w:r>
      <w:r>
        <w:t xml:space="preserve">Foltz 2007, PMID 17374660.</w:t>
      </w:r>
    </w:p>
  </w:footnote>
  <w:footnote w:id="2375">
    <w:p>
      <w:pPr>
        <w:pStyle w:val="FootnoteText"/>
      </w:pPr>
      <w:r>
        <w:rPr>
          <w:rStyle w:val="FootnoteReference"/>
        </w:rPr>
        <w:footnoteRef/>
      </w:r>
      <w:r>
        <w:t xml:space="preserve"> </w:t>
      </w:r>
      <w:r>
        <w:t xml:space="preserve">Wuerzner 2009, PMID 19506528.</w:t>
      </w:r>
    </w:p>
  </w:footnote>
  <w:footnote w:id="2378">
    <w:p>
      <w:pPr>
        <w:pStyle w:val="FootnoteText"/>
      </w:pPr>
      <w:r>
        <w:rPr>
          <w:rStyle w:val="FootnoteReference"/>
        </w:rPr>
        <w:footnoteRef/>
      </w:r>
      <w:r>
        <w:t xml:space="preserve"> </w:t>
      </w:r>
      <w:r>
        <w:t xml:space="preserve">Geleijnse 2010, PMID 19884823.</w:t>
      </w:r>
    </w:p>
  </w:footnote>
  <w:footnote w:id="2380">
    <w:p>
      <w:pPr>
        <w:pStyle w:val="FootnoteText"/>
      </w:pPr>
      <w:r>
        <w:rPr>
          <w:rStyle w:val="FootnoteReference"/>
        </w:rPr>
        <w:footnoteRef/>
      </w:r>
      <w:r>
        <w:t xml:space="preserve"> </w:t>
      </w:r>
      <w:r>
        <w:t xml:space="preserve">Jauhiainen 2012, PMID 22617279.</w:t>
      </w:r>
    </w:p>
  </w:footnote>
  <w:footnote w:id="2381">
    <w:p>
      <w:pPr>
        <w:pStyle w:val="FootnoteText"/>
      </w:pPr>
      <w:r>
        <w:rPr>
          <w:rStyle w:val="FootnoteReference"/>
        </w:rPr>
        <w:footnoteRef/>
      </w:r>
      <w:r>
        <w:t xml:space="preserve"> </w:t>
      </w:r>
      <w:r>
        <w:t xml:space="preserve">Turpeinen 2012, PMID 22398753.</w:t>
      </w:r>
    </w:p>
  </w:footnote>
  <w:footnote w:id="2382">
    <w:p>
      <w:pPr>
        <w:pStyle w:val="FootnoteText"/>
      </w:pPr>
      <w:r>
        <w:rPr>
          <w:rStyle w:val="FootnoteReference"/>
        </w:rPr>
        <w:footnoteRef/>
      </w:r>
      <w:r>
        <w:t xml:space="preserve"> </w:t>
      </w:r>
      <w:r>
        <w:t xml:space="preserve">Cicero 2011, PMID 21753776; Cicero 2016, PMID 26683986.</w:t>
      </w:r>
    </w:p>
  </w:footnote>
  <w:footnote w:id="2383">
    <w:p>
      <w:pPr>
        <w:pStyle w:val="FootnoteText"/>
      </w:pPr>
      <w:r>
        <w:rPr>
          <w:rStyle w:val="FootnoteReference"/>
        </w:rPr>
        <w:footnoteRef/>
      </w:r>
      <w:r>
        <w:t xml:space="preserve"> </w:t>
      </w:r>
      <w:r>
        <w:t xml:space="preserve">Germino 2010, PMID 20433527.</w:t>
      </w:r>
    </w:p>
  </w:footnote>
  <w:footnote w:id="2384">
    <w:p>
      <w:pPr>
        <w:pStyle w:val="FootnoteText"/>
      </w:pPr>
      <w:r>
        <w:rPr>
          <w:rStyle w:val="FootnoteReference"/>
        </w:rPr>
        <w:footnoteRef/>
      </w:r>
      <w:r>
        <w:t xml:space="preserve"> </w:t>
      </w:r>
      <w:r>
        <w:t xml:space="preserve">e.g. Akazawa 2018, PMID 29703414.</w:t>
      </w:r>
    </w:p>
  </w:footnote>
  <w:footnote w:id="2386">
    <w:p>
      <w:pPr>
        <w:pStyle w:val="FootnoteText"/>
      </w:pPr>
      <w:r>
        <w:rPr>
          <w:rStyle w:val="FootnoteReference"/>
        </w:rPr>
        <w:footnoteRef/>
      </w:r>
      <w:r>
        <w:t xml:space="preserve"> </w:t>
      </w:r>
      <w:r>
        <w:t xml:space="preserve">Fekete 2015, PMID 25608938.</w:t>
      </w:r>
    </w:p>
  </w:footnote>
  <w:footnote w:id="2389">
    <w:p>
      <w:pPr>
        <w:pStyle w:val="FootnoteText"/>
      </w:pPr>
      <w:r>
        <w:rPr>
          <w:rStyle w:val="FootnoteReference"/>
        </w:rPr>
        <w:footnoteRef/>
      </w:r>
      <w:r>
        <w:t xml:space="preserve"> </w:t>
      </w:r>
      <w:r>
        <w:t xml:space="preserve">Nakamura 1995, PMID 7673515.</w:t>
      </w:r>
    </w:p>
  </w:footnote>
  <w:footnote w:id="2390">
    <w:p>
      <w:pPr>
        <w:pStyle w:val="FootnoteText"/>
      </w:pPr>
      <w:r>
        <w:rPr>
          <w:rStyle w:val="FootnoteReference"/>
        </w:rPr>
        <w:footnoteRef/>
      </w:r>
      <w:r>
        <w:t xml:space="preserve"> </w:t>
      </w:r>
      <w:r>
        <w:t xml:space="preserve">Hirota 2011, PMID 21221598.</w:t>
      </w:r>
    </w:p>
  </w:footnote>
  <w:footnote w:id="2391">
    <w:p>
      <w:pPr>
        <w:pStyle w:val="FootnoteText"/>
      </w:pPr>
      <w:r>
        <w:rPr>
          <w:rStyle w:val="FootnoteReference"/>
        </w:rPr>
        <w:footnoteRef/>
      </w:r>
      <w:r>
        <w:t xml:space="preserve"> </w:t>
      </w:r>
      <w:r>
        <w:t xml:space="preserve">Foltz 2007, PMID 17374660.</w:t>
      </w:r>
    </w:p>
  </w:footnote>
  <w:footnote w:id="2392">
    <w:p>
      <w:pPr>
        <w:pStyle w:val="FootnoteText"/>
      </w:pPr>
      <w:r>
        <w:rPr>
          <w:rStyle w:val="FootnoteReference"/>
        </w:rPr>
        <w:footnoteRef/>
      </w:r>
      <w:r>
        <w:t xml:space="preserve"> </w:t>
      </w:r>
      <w:r>
        <w:t xml:space="preserve">Gregory 2024, PMID 37904282.</w:t>
      </w:r>
    </w:p>
  </w:footnote>
  <w:footnote w:id="2393">
    <w:p>
      <w:pPr>
        <w:pStyle w:val="FootnoteText"/>
      </w:pPr>
      <w:r>
        <w:rPr>
          <w:rStyle w:val="FootnoteReference"/>
        </w:rPr>
        <w:footnoteRef/>
      </w:r>
      <w:r>
        <w:t xml:space="preserve"> </w:t>
      </w:r>
      <w:r>
        <w:t xml:space="preserve">Dent 2007, PMID 17383063.</w:t>
      </w:r>
    </w:p>
  </w:footnote>
  <w:footnote w:id="2394">
    <w:p>
      <w:pPr>
        <w:pStyle w:val="FootnoteText"/>
      </w:pPr>
      <w:r>
        <w:rPr>
          <w:rStyle w:val="FootnoteReference"/>
        </w:rPr>
        <w:footnoteRef/>
      </w:r>
      <w:r>
        <w:t xml:space="preserve"> </w:t>
      </w:r>
      <w:r>
        <w:t xml:space="preserve">Ponstein-Simarro Doorten 2009, PMID 18955104.</w:t>
      </w:r>
    </w:p>
  </w:footnote>
  <w:footnote w:id="2396">
    <w:p>
      <w:pPr>
        <w:pStyle w:val="FootnoteText"/>
      </w:pPr>
      <w:r>
        <w:rPr>
          <w:rStyle w:val="FootnoteReference"/>
        </w:rPr>
        <w:footnoteRef/>
      </w:r>
      <w:r>
        <w:t xml:space="preserve"> </w:t>
      </w:r>
      <w:r>
        <w:t xml:space="preserve">e.g. Jauhiainen 2005, PMID 16364832.</w:t>
      </w:r>
    </w:p>
  </w:footnote>
  <w:footnote w:id="2399">
    <w:p>
      <w:pPr>
        <w:pStyle w:val="FootnoteText"/>
      </w:pPr>
      <w:r>
        <w:rPr>
          <w:rStyle w:val="FootnoteReference"/>
        </w:rPr>
        <w:footnoteRef/>
      </w:r>
      <w:r>
        <w:t xml:space="preserve"> </w:t>
      </w:r>
      <w:r>
        <w:t xml:space="preserve">NCT00924157.</w:t>
      </w:r>
    </w:p>
  </w:footnote>
  <w:footnote w:id="2404">
    <w:p>
      <w:pPr>
        <w:pStyle w:val="FootnoteText"/>
      </w:pPr>
      <w:r>
        <w:rPr>
          <w:rStyle w:val="FootnoteReference"/>
        </w:rPr>
        <w:footnoteRef/>
      </w:r>
      <w:r>
        <w:t xml:space="preserve"> </w:t>
      </w:r>
      <w:r>
        <w:t xml:space="preserve">Baguet 2010, PMID 20671038.</w:t>
      </w:r>
    </w:p>
  </w:footnote>
  <w:footnote w:id="2405">
    <w:p>
      <w:pPr>
        <w:pStyle w:val="FootnoteText"/>
      </w:pPr>
      <w:r>
        <w:rPr>
          <w:rStyle w:val="FootnoteReference"/>
        </w:rPr>
        <w:footnoteRef/>
      </w:r>
      <w:r>
        <w:t xml:space="preserve"> </w:t>
      </w:r>
      <w:r>
        <w:t xml:space="preserve">Gardner 1991, PMID 1910085.</w:t>
      </w:r>
    </w:p>
  </w:footnote>
  <w:footnote w:id="2406">
    <w:p>
      <w:pPr>
        <w:pStyle w:val="FootnoteText"/>
      </w:pPr>
      <w:r>
        <w:rPr>
          <w:rStyle w:val="FootnoteReference"/>
        </w:rPr>
        <w:footnoteRef/>
      </w:r>
      <w:r>
        <w:t xml:space="preserve"> </w:t>
      </w:r>
      <w:r>
        <w:t xml:space="preserve">Baba 2024, PMID 39215872.</w:t>
      </w:r>
    </w:p>
  </w:footnote>
  <w:footnote w:id="2408">
    <w:p>
      <w:pPr>
        <w:pStyle w:val="FootnoteText"/>
      </w:pPr>
      <w:r>
        <w:rPr>
          <w:rStyle w:val="FootnoteReference"/>
        </w:rPr>
        <w:footnoteRef/>
      </w:r>
      <w:r>
        <w:t xml:space="preserve"> </w:t>
      </w:r>
      <w:r>
        <w:t xml:space="preserve">Harris 2006, PMID 16554972.</w:t>
      </w:r>
    </w:p>
  </w:footnote>
  <w:footnote w:id="2409">
    <w:p>
      <w:pPr>
        <w:pStyle w:val="FootnoteText"/>
      </w:pPr>
      <w:r>
        <w:rPr>
          <w:rStyle w:val="FootnoteReference"/>
        </w:rPr>
        <w:footnoteRef/>
      </w:r>
      <w:r>
        <w:t xml:space="preserve"> </w:t>
      </w:r>
      <w:r>
        <w:t xml:space="preserve">Yamaguchi 2021, PMID 33148972.</w:t>
      </w:r>
    </w:p>
  </w:footnote>
  <w:footnote w:id="2410">
    <w:p>
      <w:pPr>
        <w:pStyle w:val="FootnoteText"/>
      </w:pPr>
      <w:r>
        <w:rPr>
          <w:rStyle w:val="FootnoteReference"/>
        </w:rPr>
        <w:footnoteRef/>
      </w:r>
      <w:r>
        <w:t xml:space="preserve"> </w:t>
      </w:r>
      <w:r>
        <w:t xml:space="preserve">Rezende 2020, PMID 32922303.</w:t>
      </w:r>
    </w:p>
  </w:footnote>
  <w:footnote w:id="2413">
    <w:p>
      <w:pPr>
        <w:pStyle w:val="FootnoteText"/>
      </w:pPr>
      <w:r>
        <w:rPr>
          <w:rStyle w:val="FootnoteReference"/>
        </w:rPr>
        <w:footnoteRef/>
      </w:r>
      <w:r>
        <w:t xml:space="preserve"> </w:t>
      </w:r>
      <w:r>
        <w:t xml:space="preserve">Saunders 2017, PMID 27797728.</w:t>
      </w:r>
    </w:p>
  </w:footnote>
  <w:footnote w:id="2414">
    <w:p>
      <w:pPr>
        <w:pStyle w:val="FootnoteText"/>
      </w:pPr>
      <w:r>
        <w:rPr>
          <w:rStyle w:val="FootnoteReference"/>
        </w:rPr>
        <w:footnoteRef/>
      </w:r>
      <w:r>
        <w:t xml:space="preserve"> </w:t>
      </w:r>
      <w:r>
        <w:t xml:space="preserve">Derave 2007, PMID 17690198.</w:t>
      </w:r>
    </w:p>
  </w:footnote>
  <w:footnote w:id="2415">
    <w:p>
      <w:pPr>
        <w:pStyle w:val="FootnoteText"/>
      </w:pPr>
      <w:r>
        <w:rPr>
          <w:rStyle w:val="FootnoteReference"/>
        </w:rPr>
        <w:footnoteRef/>
      </w:r>
      <w:r>
        <w:t xml:space="preserve"> </w:t>
      </w:r>
      <w:r>
        <w:t xml:space="preserve">Chung 2014, PMID 24457999.</w:t>
      </w:r>
    </w:p>
  </w:footnote>
  <w:footnote w:id="2416">
    <w:p>
      <w:pPr>
        <w:pStyle w:val="FootnoteText"/>
      </w:pPr>
      <w:r>
        <w:rPr>
          <w:rStyle w:val="FootnoteReference"/>
        </w:rPr>
        <w:footnoteRef/>
      </w:r>
      <w:r>
        <w:t xml:space="preserve"> </w:t>
      </w:r>
      <w:r>
        <w:t xml:space="preserve">O’Toole 2026, PMID 42308284.</w:t>
      </w:r>
    </w:p>
  </w:footnote>
  <w:footnote w:id="2418">
    <w:p>
      <w:pPr>
        <w:pStyle w:val="FootnoteText"/>
      </w:pPr>
      <w:r>
        <w:rPr>
          <w:rStyle w:val="FootnoteReference"/>
        </w:rPr>
        <w:footnoteRef/>
      </w:r>
      <w:r>
        <w:t xml:space="preserve"> </w:t>
      </w:r>
      <w:r>
        <w:t xml:space="preserve">Peng 2020, PMID 31987255.</w:t>
      </w:r>
    </w:p>
  </w:footnote>
  <w:footnote w:id="2419">
    <w:p>
      <w:pPr>
        <w:pStyle w:val="FootnoteText"/>
      </w:pPr>
      <w:r>
        <w:rPr>
          <w:rStyle w:val="FootnoteReference"/>
        </w:rPr>
        <w:footnoteRef/>
      </w:r>
      <w:r>
        <w:t xml:space="preserve"> </w:t>
      </w:r>
      <w:r>
        <w:t xml:space="preserve">Matthews 2021, PMID 34333586.</w:t>
      </w:r>
    </w:p>
  </w:footnote>
  <w:footnote w:id="2420">
    <w:p>
      <w:pPr>
        <w:pStyle w:val="FootnoteText"/>
      </w:pPr>
      <w:r>
        <w:rPr>
          <w:rStyle w:val="FootnoteReference"/>
        </w:rPr>
        <w:footnoteRef/>
      </w:r>
      <w:r>
        <w:t xml:space="preserve"> </w:t>
      </w:r>
      <w:r>
        <w:t xml:space="preserve">Li 2025, PMID 40999397.</w:t>
      </w:r>
    </w:p>
  </w:footnote>
  <w:footnote w:id="2422">
    <w:p>
      <w:pPr>
        <w:pStyle w:val="FootnoteText"/>
      </w:pPr>
      <w:r>
        <w:rPr>
          <w:rStyle w:val="FootnoteReference"/>
        </w:rPr>
        <w:footnoteRef/>
      </w:r>
      <w:r>
        <w:t xml:space="preserve"> </w:t>
      </w:r>
      <w:r>
        <w:t xml:space="preserve">Saadati 2024, PMID 38086332.</w:t>
      </w:r>
    </w:p>
  </w:footnote>
  <w:footnote w:id="2424">
    <w:p>
      <w:pPr>
        <w:pStyle w:val="FootnoteText"/>
      </w:pPr>
      <w:r>
        <w:rPr>
          <w:rStyle w:val="FootnoteReference"/>
        </w:rPr>
        <w:footnoteRef/>
      </w:r>
      <w:r>
        <w:t xml:space="preserve"> </w:t>
      </w:r>
      <w:r>
        <w:t xml:space="preserve">Hisatsune 2016, PMID 26682691.</w:t>
      </w:r>
    </w:p>
  </w:footnote>
  <w:footnote w:id="2425">
    <w:p>
      <w:pPr>
        <w:pStyle w:val="FootnoteText"/>
      </w:pPr>
      <w:r>
        <w:rPr>
          <w:rStyle w:val="FootnoteReference"/>
        </w:rPr>
        <w:footnoteRef/>
      </w:r>
      <w:r>
        <w:t xml:space="preserve"> </w:t>
      </w:r>
      <w:r>
        <w:t xml:space="preserve">Masuoka 2019, PMID 31319510.</w:t>
      </w:r>
    </w:p>
  </w:footnote>
  <w:footnote w:id="2426">
    <w:p>
      <w:pPr>
        <w:pStyle w:val="FootnoteText"/>
      </w:pPr>
      <w:r>
        <w:rPr>
          <w:rStyle w:val="FootnoteReference"/>
        </w:rPr>
        <w:footnoteRef/>
      </w:r>
      <w:r>
        <w:t xml:space="preserve"> </w:t>
      </w:r>
      <w:r>
        <w:t xml:space="preserve">O’Toole 2025, PMID 39919936.</w:t>
      </w:r>
    </w:p>
  </w:footnote>
  <w:footnote w:id="2427">
    <w:p>
      <w:pPr>
        <w:pStyle w:val="FootnoteText"/>
      </w:pPr>
      <w:r>
        <w:rPr>
          <w:rStyle w:val="FootnoteReference"/>
        </w:rPr>
        <w:footnoteRef/>
      </w:r>
      <w:r>
        <w:t xml:space="preserve"> </w:t>
      </w:r>
      <w:r>
        <w:t xml:space="preserve">Hsiao 2026, PMID 42123986.</w:t>
      </w:r>
    </w:p>
  </w:footnote>
  <w:footnote w:id="2428">
    <w:p>
      <w:pPr>
        <w:pStyle w:val="FootnoteText"/>
      </w:pPr>
      <w:r>
        <w:rPr>
          <w:rStyle w:val="FootnoteReference"/>
        </w:rPr>
        <w:footnoteRef/>
      </w:r>
      <w:r>
        <w:t xml:space="preserve"> </w:t>
      </w:r>
      <w:r>
        <w:t xml:space="preserve">Kabthymer 2025, PMID 38545720.</w:t>
      </w:r>
    </w:p>
  </w:footnote>
  <w:footnote w:id="2429">
    <w:p>
      <w:pPr>
        <w:pStyle w:val="FootnoteText"/>
      </w:pPr>
      <w:r>
        <w:rPr>
          <w:rStyle w:val="FootnoteReference"/>
        </w:rPr>
        <w:footnoteRef/>
      </w:r>
      <w:r>
        <w:t xml:space="preserve"> </w:t>
      </w:r>
      <w:r>
        <w:t xml:space="preserve">Chez 2002, PMID 12585724.</w:t>
      </w:r>
    </w:p>
  </w:footnote>
  <w:footnote w:id="2430">
    <w:p>
      <w:pPr>
        <w:pStyle w:val="FootnoteText"/>
      </w:pPr>
      <w:r>
        <w:rPr>
          <w:rStyle w:val="FootnoteReference"/>
        </w:rPr>
        <w:footnoteRef/>
      </w:r>
      <w:r>
        <w:t xml:space="preserve"> </w:t>
      </w:r>
      <w:r>
        <w:t xml:space="preserve">Abraham 2020, PMID 33170378.</w:t>
      </w:r>
    </w:p>
  </w:footnote>
  <w:footnote w:id="2432">
    <w:p>
      <w:pPr>
        <w:pStyle w:val="FootnoteText"/>
      </w:pPr>
      <w:r>
        <w:rPr>
          <w:rStyle w:val="FootnoteReference"/>
        </w:rPr>
        <w:footnoteRef/>
      </w:r>
      <w:r>
        <w:t xml:space="preserve"> </w:t>
      </w:r>
      <w:r>
        <w:t xml:space="preserve">Yehia 2019, PMID 30592963.</w:t>
      </w:r>
    </w:p>
  </w:footnote>
  <w:footnote w:id="2433">
    <w:p>
      <w:pPr>
        <w:pStyle w:val="FootnoteText"/>
      </w:pPr>
      <w:r>
        <w:rPr>
          <w:rStyle w:val="FootnoteReference"/>
        </w:rPr>
        <w:footnoteRef/>
      </w:r>
      <w:r>
        <w:t xml:space="preserve"> </w:t>
      </w:r>
      <w:r>
        <w:t xml:space="preserve">Lombardi 2015, PMID 25287762.</w:t>
      </w:r>
    </w:p>
  </w:footnote>
  <w:footnote w:id="2434">
    <w:p>
      <w:pPr>
        <w:pStyle w:val="FootnoteText"/>
      </w:pPr>
      <w:r>
        <w:rPr>
          <w:rStyle w:val="FootnoteReference"/>
        </w:rPr>
        <w:footnoteRef/>
      </w:r>
      <w:r>
        <w:t xml:space="preserve"> </w:t>
      </w:r>
      <w:r>
        <w:t xml:space="preserve">Baraniuk 2013, PMID 23618477.</w:t>
      </w:r>
    </w:p>
  </w:footnote>
  <w:footnote w:id="2435">
    <w:p>
      <w:pPr>
        <w:pStyle w:val="FootnoteText"/>
      </w:pPr>
      <w:r>
        <w:rPr>
          <w:rStyle w:val="FootnoteReference"/>
        </w:rPr>
        <w:footnoteRef/>
      </w:r>
      <w:r>
        <w:t xml:space="preserve"> </w:t>
      </w:r>
      <w:r>
        <w:t xml:space="preserve">Babizhayev 2012, PMID 21756141.</w:t>
      </w:r>
    </w:p>
  </w:footnote>
  <w:footnote w:id="2437">
    <w:p>
      <w:pPr>
        <w:pStyle w:val="FootnoteText"/>
      </w:pPr>
      <w:r>
        <w:rPr>
          <w:rStyle w:val="FootnoteReference"/>
        </w:rPr>
        <w:footnoteRef/>
      </w:r>
      <w:r>
        <w:t xml:space="preserve"> </w:t>
      </w:r>
      <w:r>
        <w:t xml:space="preserve">Shen 2022, PMID 35999163.</w:t>
      </w:r>
    </w:p>
  </w:footnote>
  <w:footnote w:id="2438">
    <w:p>
      <w:pPr>
        <w:pStyle w:val="FootnoteText"/>
      </w:pPr>
      <w:r>
        <w:rPr>
          <w:rStyle w:val="FootnoteReference"/>
        </w:rPr>
        <w:footnoteRef/>
      </w:r>
      <w:r>
        <w:t xml:space="preserve"> </w:t>
      </w:r>
      <w:r>
        <w:t xml:space="preserve">Dubois 2017, PMID 28245346.</w:t>
      </w:r>
    </w:p>
  </w:footnote>
  <w:footnote w:id="2441">
    <w:p>
      <w:pPr>
        <w:pStyle w:val="FootnoteText"/>
      </w:pPr>
      <w:r>
        <w:rPr>
          <w:rStyle w:val="FootnoteReference"/>
        </w:rPr>
        <w:footnoteRef/>
      </w:r>
      <w:r>
        <w:t xml:space="preserve"> </w:t>
      </w:r>
      <w:r>
        <w:t xml:space="preserve">Matthews 2021, PMID 34333586.</w:t>
      </w:r>
    </w:p>
  </w:footnote>
  <w:footnote w:id="2442">
    <w:p>
      <w:pPr>
        <w:pStyle w:val="FootnoteText"/>
      </w:pPr>
      <w:r>
        <w:rPr>
          <w:rStyle w:val="FootnoteReference"/>
        </w:rPr>
        <w:footnoteRef/>
      </w:r>
      <w:r>
        <w:t xml:space="preserve"> </w:t>
      </w:r>
      <w:r>
        <w:t xml:space="preserve">Qiu 2020, PMID 32803273.</w:t>
      </w:r>
    </w:p>
  </w:footnote>
  <w:footnote w:id="2444">
    <w:p>
      <w:pPr>
        <w:pStyle w:val="FootnoteText"/>
      </w:pPr>
      <w:r>
        <w:rPr>
          <w:rStyle w:val="FootnoteReference"/>
        </w:rPr>
        <w:footnoteRef/>
      </w:r>
      <w:r>
        <w:t xml:space="preserve"> </w:t>
      </w:r>
      <w:r>
        <w:t xml:space="preserve">Baba 2024, PMID 39215872.</w:t>
      </w:r>
    </w:p>
  </w:footnote>
  <w:footnote w:id="2445">
    <w:p>
      <w:pPr>
        <w:pStyle w:val="FootnoteText"/>
      </w:pPr>
      <w:r>
        <w:rPr>
          <w:rStyle w:val="FootnoteReference"/>
        </w:rPr>
        <w:footnoteRef/>
      </w:r>
      <w:r>
        <w:t xml:space="preserve"> </w:t>
      </w:r>
      <w:r>
        <w:t xml:space="preserve">Dolan 2019, PMID 30980076.</w:t>
      </w:r>
    </w:p>
  </w:footnote>
  <w:footnote w:id="2448">
    <w:p>
      <w:pPr>
        <w:pStyle w:val="FootnoteText"/>
      </w:pPr>
      <w:r>
        <w:rPr>
          <w:rStyle w:val="FootnoteReference"/>
        </w:rPr>
        <w:footnoteRef/>
      </w:r>
      <w:r>
        <w:t xml:space="preserve"> </w:t>
      </w:r>
      <w:r>
        <w:t xml:space="preserve">NCT06480760.</w:t>
      </w:r>
    </w:p>
  </w:footnote>
  <w:footnote w:id="2449">
    <w:p>
      <w:pPr>
        <w:pStyle w:val="FootnoteText"/>
      </w:pPr>
      <w:r>
        <w:rPr>
          <w:rStyle w:val="FootnoteReference"/>
        </w:rPr>
        <w:footnoteRef/>
      </w:r>
      <w:r>
        <w:t xml:space="preserve"> </w:t>
      </w:r>
      <w:r>
        <w:t xml:space="preserve">NCT07475546.</w:t>
      </w:r>
    </w:p>
  </w:footnote>
  <w:footnote w:id="2450">
    <w:p>
      <w:pPr>
        <w:pStyle w:val="FootnoteText"/>
      </w:pPr>
      <w:r>
        <w:rPr>
          <w:rStyle w:val="FootnoteReference"/>
        </w:rPr>
        <w:footnoteRef/>
      </w:r>
      <w:r>
        <w:t xml:space="preserve"> </w:t>
      </w:r>
      <w:r>
        <w:t xml:space="preserve">NCT03314987.</w:t>
      </w:r>
    </w:p>
  </w:footnote>
  <w:footnote w:id="2454">
    <w:p>
      <w:pPr>
        <w:pStyle w:val="FootnoteText"/>
      </w:pPr>
      <w:r>
        <w:rPr>
          <w:rStyle w:val="FootnoteReference"/>
        </w:rPr>
        <w:footnoteRef/>
      </w:r>
      <w:r>
        <w:t xml:space="preserve"> </w:t>
      </w:r>
      <w:r>
        <w:t xml:space="preserve">Pickart 1973, PMID 4349963.</w:t>
      </w:r>
    </w:p>
  </w:footnote>
  <w:footnote w:id="2456">
    <w:p>
      <w:pPr>
        <w:pStyle w:val="FootnoteText"/>
      </w:pPr>
      <w:r>
        <w:rPr>
          <w:rStyle w:val="FootnoteReference"/>
        </w:rPr>
        <w:footnoteRef/>
      </w:r>
      <w:r>
        <w:t xml:space="preserve"> </w:t>
      </w:r>
      <w:r>
        <w:t xml:space="preserve">Pickart 1980, PMID 7453802.</w:t>
      </w:r>
    </w:p>
  </w:footnote>
  <w:footnote w:id="2457">
    <w:p>
      <w:pPr>
        <w:pStyle w:val="FootnoteText"/>
      </w:pPr>
      <w:r>
        <w:rPr>
          <w:rStyle w:val="FootnoteReference"/>
        </w:rPr>
        <w:footnoteRef/>
      </w:r>
      <w:r>
        <w:t xml:space="preserve"> </w:t>
      </w:r>
      <w:r>
        <w:t xml:space="preserve">Maquart 1988, PMID 3169264.</w:t>
      </w:r>
    </w:p>
  </w:footnote>
  <w:footnote w:id="2458">
    <w:p>
      <w:pPr>
        <w:pStyle w:val="FootnoteText"/>
      </w:pPr>
      <w:r>
        <w:rPr>
          <w:rStyle w:val="FootnoteReference"/>
        </w:rPr>
        <w:footnoteRef/>
      </w:r>
      <w:r>
        <w:t xml:space="preserve"> </w:t>
      </w:r>
      <w:r>
        <w:t xml:space="preserve">Pickart 2015, PMID 26236730; Pickart 2018, PMID 29986520.</w:t>
      </w:r>
    </w:p>
  </w:footnote>
  <w:footnote w:id="2459">
    <w:p>
      <w:pPr>
        <w:pStyle w:val="FootnoteText"/>
      </w:pPr>
      <w:r>
        <w:rPr>
          <w:rStyle w:val="FootnoteReference"/>
        </w:rPr>
        <w:footnoteRef/>
      </w:r>
      <w:r>
        <w:t xml:space="preserve"> </w:t>
      </w:r>
      <w:r>
        <w:t xml:space="preserve">Mortazavi 2025, PMID 39963574.</w:t>
      </w:r>
    </w:p>
  </w:footnote>
  <w:footnote w:id="2460">
    <w:p>
      <w:pPr>
        <w:pStyle w:val="FootnoteText"/>
      </w:pPr>
      <w:r>
        <w:rPr>
          <w:rStyle w:val="FootnoteReference"/>
        </w:rPr>
        <w:footnoteRef/>
      </w:r>
      <w:r>
        <w:t xml:space="preserve"> </w:t>
      </w:r>
      <w:r>
        <w:t xml:space="preserve">Trzaska 2026, PMID 42790608.</w:t>
      </w:r>
    </w:p>
  </w:footnote>
  <w:footnote w:id="2463">
    <w:p>
      <w:pPr>
        <w:pStyle w:val="FootnoteText"/>
      </w:pPr>
      <w:r>
        <w:rPr>
          <w:rStyle w:val="FootnoteReference"/>
        </w:rPr>
        <w:footnoteRef/>
      </w:r>
      <w:r>
        <w:t xml:space="preserve"> </w:t>
      </w:r>
      <w:r>
        <w:t xml:space="preserve">Nukaly 2026, PMID 41924746.</w:t>
      </w:r>
    </w:p>
  </w:footnote>
  <w:footnote w:id="2464">
    <w:p>
      <w:pPr>
        <w:pStyle w:val="FootnoteText"/>
      </w:pPr>
      <w:r>
        <w:rPr>
          <w:rStyle w:val="FootnoteReference"/>
        </w:rPr>
        <w:footnoteRef/>
      </w:r>
      <w:r>
        <w:t xml:space="preserve"> </w:t>
      </w:r>
      <w:r>
        <w:t xml:space="preserve">Mayfield 2026, PMID 41476424.</w:t>
      </w:r>
    </w:p>
  </w:footnote>
  <w:footnote w:id="2465">
    <w:p>
      <w:pPr>
        <w:pStyle w:val="FootnoteText"/>
      </w:pPr>
      <w:r>
        <w:rPr>
          <w:rStyle w:val="FootnoteReference"/>
        </w:rPr>
        <w:footnoteRef/>
      </w:r>
      <w:r>
        <w:t xml:space="preserve"> </w:t>
      </w:r>
      <w:r>
        <w:t xml:space="preserve">Mendias 2026, PMID 41966639.</w:t>
      </w:r>
    </w:p>
  </w:footnote>
  <w:footnote w:id="2467">
    <w:p>
      <w:pPr>
        <w:pStyle w:val="FootnoteText"/>
      </w:pPr>
      <w:r>
        <w:rPr>
          <w:rStyle w:val="FootnoteReference"/>
        </w:rPr>
        <w:footnoteRef/>
      </w:r>
      <w:r>
        <w:t xml:space="preserve"> </w:t>
      </w:r>
      <w:r>
        <w:t xml:space="preserve">Maquart 1988, PMID 3169264.</w:t>
      </w:r>
    </w:p>
  </w:footnote>
  <w:footnote w:id="2468">
    <w:p>
      <w:pPr>
        <w:pStyle w:val="FootnoteText"/>
      </w:pPr>
      <w:r>
        <w:rPr>
          <w:rStyle w:val="FootnoteReference"/>
        </w:rPr>
        <w:footnoteRef/>
      </w:r>
      <w:r>
        <w:t xml:space="preserve"> </w:t>
      </w:r>
      <w:r>
        <w:t xml:space="preserve">Canapp 2003, PMID 14648529.</w:t>
      </w:r>
    </w:p>
  </w:footnote>
  <w:footnote w:id="2469">
    <w:p>
      <w:pPr>
        <w:pStyle w:val="FootnoteText"/>
      </w:pPr>
      <w:r>
        <w:rPr>
          <w:rStyle w:val="FootnoteReference"/>
        </w:rPr>
        <w:footnoteRef/>
      </w:r>
      <w:r>
        <w:t xml:space="preserve"> </w:t>
      </w:r>
      <w:r>
        <w:t xml:space="preserve">Wang 2017, PMID 28370978.</w:t>
      </w:r>
    </w:p>
  </w:footnote>
  <w:footnote w:id="2470">
    <w:p>
      <w:pPr>
        <w:pStyle w:val="FootnoteText"/>
      </w:pPr>
      <w:r>
        <w:rPr>
          <w:rStyle w:val="FootnoteReference"/>
        </w:rPr>
        <w:footnoteRef/>
      </w:r>
      <w:r>
        <w:t xml:space="preserve"> </w:t>
      </w:r>
      <w:r>
        <w:t xml:space="preserve">Ma 2020, PMID 31809714.</w:t>
      </w:r>
    </w:p>
  </w:footnote>
  <w:footnote w:id="2471">
    <w:p>
      <w:pPr>
        <w:pStyle w:val="FootnoteText"/>
      </w:pPr>
      <w:r>
        <w:rPr>
          <w:rStyle w:val="FootnoteReference"/>
        </w:rPr>
        <w:footnoteRef/>
      </w:r>
      <w:r>
        <w:t xml:space="preserve"> </w:t>
      </w:r>
      <w:r>
        <w:t xml:space="preserve">Fu 2015, PMID 25731775.</w:t>
      </w:r>
    </w:p>
  </w:footnote>
  <w:footnote w:id="2472">
    <w:p>
      <w:pPr>
        <w:pStyle w:val="FootnoteText"/>
      </w:pPr>
      <w:r>
        <w:rPr>
          <w:rStyle w:val="FootnoteReference"/>
        </w:rPr>
        <w:footnoteRef/>
      </w:r>
      <w:r>
        <w:t xml:space="preserve"> </w:t>
      </w:r>
      <w:r>
        <w:t xml:space="preserve">Mazzola 2026, PMID 42245779.</w:t>
      </w:r>
    </w:p>
  </w:footnote>
  <w:footnote w:id="2474">
    <w:p>
      <w:pPr>
        <w:pStyle w:val="FootnoteText"/>
      </w:pPr>
      <w:r>
        <w:rPr>
          <w:rStyle w:val="FootnoteReference"/>
        </w:rPr>
        <w:footnoteRef/>
      </w:r>
      <w:r>
        <w:t xml:space="preserve"> </w:t>
      </w:r>
      <w:r>
        <w:t xml:space="preserve">Pickart 1980, PMID 7453802.</w:t>
      </w:r>
    </w:p>
  </w:footnote>
  <w:footnote w:id="2475">
    <w:p>
      <w:pPr>
        <w:pStyle w:val="FootnoteText"/>
      </w:pPr>
      <w:r>
        <w:rPr>
          <w:rStyle w:val="FootnoteReference"/>
        </w:rPr>
        <w:footnoteRef/>
      </w:r>
      <w:r>
        <w:t xml:space="preserve"> </w:t>
      </w:r>
      <w:r>
        <w:t xml:space="preserve">Moiz 2026, PMID 42757290.</w:t>
      </w:r>
    </w:p>
  </w:footnote>
  <w:footnote w:id="2478">
    <w:p>
      <w:pPr>
        <w:pStyle w:val="FootnoteText"/>
      </w:pPr>
      <w:r>
        <w:rPr>
          <w:rStyle w:val="FootnoteReference"/>
        </w:rPr>
        <w:footnoteRef/>
      </w:r>
      <w:r>
        <w:t xml:space="preserve"> </w:t>
      </w:r>
      <w:r>
        <w:t xml:space="preserve">NCT07706361.</w:t>
      </w:r>
    </w:p>
  </w:footnote>
  <w:footnote w:id="2483">
    <w:p>
      <w:pPr>
        <w:pStyle w:val="FootnoteText"/>
      </w:pPr>
      <w:r>
        <w:rPr>
          <w:rStyle w:val="FootnoteReference"/>
        </w:rPr>
        <w:footnoteRef/>
      </w:r>
      <w:r>
        <w:t xml:space="preserve"> </w:t>
      </w:r>
      <w:r>
        <w:t xml:space="preserve">Katayama 1993, PMID 8486721.</w:t>
      </w:r>
    </w:p>
  </w:footnote>
  <w:footnote w:id="2484">
    <w:p>
      <w:pPr>
        <w:pStyle w:val="FootnoteText"/>
      </w:pPr>
      <w:r>
        <w:rPr>
          <w:rStyle w:val="FootnoteReference"/>
        </w:rPr>
        <w:footnoteRef/>
      </w:r>
      <w:r>
        <w:t xml:space="preserve"> </w:t>
      </w:r>
      <w:r>
        <w:t xml:space="preserve">Jones 2013, PMID 23320752.</w:t>
      </w:r>
    </w:p>
  </w:footnote>
  <w:footnote w:id="2485">
    <w:p>
      <w:pPr>
        <w:pStyle w:val="FootnoteText"/>
      </w:pPr>
      <w:r>
        <w:rPr>
          <w:rStyle w:val="FootnoteReference"/>
        </w:rPr>
        <w:footnoteRef/>
      </w:r>
      <w:r>
        <w:t xml:space="preserve"> </w:t>
      </w:r>
      <w:r>
        <w:t xml:space="preserve">Trzaska 2026, PMID 42790608.</w:t>
      </w:r>
    </w:p>
  </w:footnote>
  <w:footnote w:id="2487">
    <w:p>
      <w:pPr>
        <w:pStyle w:val="FootnoteText"/>
      </w:pPr>
      <w:r>
        <w:rPr>
          <w:rStyle w:val="FootnoteReference"/>
        </w:rPr>
        <w:footnoteRef/>
      </w:r>
      <w:r>
        <w:t xml:space="preserve"> </w:t>
      </w:r>
      <w:r>
        <w:t xml:space="preserve">Kaczvinsky 2009, PMID 19735523.</w:t>
      </w:r>
    </w:p>
  </w:footnote>
  <w:footnote w:id="2488">
    <w:p>
      <w:pPr>
        <w:pStyle w:val="FootnoteText"/>
      </w:pPr>
      <w:r>
        <w:rPr>
          <w:rStyle w:val="FootnoteReference"/>
        </w:rPr>
        <w:footnoteRef/>
      </w:r>
      <w:r>
        <w:t xml:space="preserve"> </w:t>
      </w:r>
      <w:r>
        <w:t xml:space="preserve">Nukaly 2026, PMID 41924746.</w:t>
      </w:r>
    </w:p>
  </w:footnote>
  <w:footnote w:id="2490">
    <w:p>
      <w:pPr>
        <w:pStyle w:val="FootnoteText"/>
      </w:pPr>
      <w:r>
        <w:rPr>
          <w:rStyle w:val="FootnoteReference"/>
        </w:rPr>
        <w:footnoteRef/>
      </w:r>
      <w:r>
        <w:t xml:space="preserve"> </w:t>
      </w:r>
      <w:r>
        <w:t xml:space="preserve">Katayama 1993, PMID 8486721; Jones 2013, PMID 23320752.</w:t>
      </w:r>
    </w:p>
  </w:footnote>
  <w:footnote w:id="2491">
    <w:p>
      <w:pPr>
        <w:pStyle w:val="FootnoteText"/>
      </w:pPr>
      <w:r>
        <w:rPr>
          <w:rStyle w:val="FootnoteReference"/>
        </w:rPr>
        <w:footnoteRef/>
      </w:r>
      <w:r>
        <w:t xml:space="preserve"> </w:t>
      </w:r>
      <w:r>
        <w:t xml:space="preserve">Park 2017, PMID 30603464.</w:t>
      </w:r>
    </w:p>
  </w:footnote>
  <w:footnote w:id="2492">
    <w:p>
      <w:pPr>
        <w:pStyle w:val="FootnoteText"/>
      </w:pPr>
      <w:r>
        <w:rPr>
          <w:rStyle w:val="FootnoteReference"/>
        </w:rPr>
        <w:footnoteRef/>
      </w:r>
      <w:r>
        <w:t xml:space="preserve"> </w:t>
      </w:r>
      <w:r>
        <w:t xml:space="preserve">Kachooeian 2022, PMID 35874243.</w:t>
      </w:r>
    </w:p>
  </w:footnote>
  <w:footnote w:id="2494">
    <w:p>
      <w:pPr>
        <w:pStyle w:val="FootnoteText"/>
      </w:pPr>
      <w:r>
        <w:rPr>
          <w:rStyle w:val="FootnoteReference"/>
        </w:rPr>
        <w:footnoteRef/>
      </w:r>
      <w:r>
        <w:t xml:space="preserve"> </w:t>
      </w:r>
      <w:r>
        <w:t xml:space="preserve">Röper 2004, PMID 15127162.</w:t>
      </w:r>
    </w:p>
  </w:footnote>
  <w:footnote w:id="2495">
    <w:p>
      <w:pPr>
        <w:pStyle w:val="FootnoteText"/>
      </w:pPr>
      <w:r>
        <w:rPr>
          <w:rStyle w:val="FootnoteReference"/>
        </w:rPr>
        <w:footnoteRef/>
      </w:r>
      <w:r>
        <w:t xml:space="preserve"> </w:t>
      </w:r>
      <w:r>
        <w:t xml:space="preserve">Bjerke 2026, PMID 41953401.</w:t>
      </w:r>
    </w:p>
  </w:footnote>
  <w:footnote w:id="2502">
    <w:p>
      <w:pPr>
        <w:pStyle w:val="FootnoteText"/>
      </w:pPr>
      <w:r>
        <w:rPr>
          <w:rStyle w:val="FootnoteReference"/>
        </w:rPr>
        <w:footnoteRef/>
      </w:r>
      <w:r>
        <w:t xml:space="preserve"> </w:t>
      </w:r>
      <w:r>
        <w:t xml:space="preserve">Blanes-Mira 2002, PMID 18498523.</w:t>
      </w:r>
    </w:p>
  </w:footnote>
  <w:footnote w:id="2503">
    <w:p>
      <w:pPr>
        <w:pStyle w:val="FootnoteText"/>
      </w:pPr>
      <w:r>
        <w:rPr>
          <w:rStyle w:val="FootnoteReference"/>
        </w:rPr>
        <w:footnoteRef/>
      </w:r>
      <w:r>
        <w:t xml:space="preserve"> </w:t>
      </w:r>
      <w:r>
        <w:t xml:space="preserve">Kraeling 2015, PMID 24754410.</w:t>
      </w:r>
    </w:p>
  </w:footnote>
  <w:footnote w:id="2504">
    <w:p>
      <w:pPr>
        <w:pStyle w:val="FootnoteText"/>
      </w:pPr>
      <w:r>
        <w:rPr>
          <w:rStyle w:val="FootnoteReference"/>
        </w:rPr>
        <w:footnoteRef/>
      </w:r>
      <w:r>
        <w:t xml:space="preserve"> </w:t>
      </w:r>
      <w:r>
        <w:t xml:space="preserve">Zdrada-Nowak 2025, PMID 40565185.</w:t>
      </w:r>
    </w:p>
  </w:footnote>
  <w:footnote w:id="2506">
    <w:p>
      <w:pPr>
        <w:pStyle w:val="FootnoteText"/>
      </w:pPr>
      <w:r>
        <w:rPr>
          <w:rStyle w:val="FootnoteReference"/>
        </w:rPr>
        <w:footnoteRef/>
      </w:r>
      <w:r>
        <w:t xml:space="preserve"> </w:t>
      </w:r>
      <w:r>
        <w:t xml:space="preserve">Wang 2013, PMID 23607739.</w:t>
      </w:r>
    </w:p>
  </w:footnote>
  <w:footnote w:id="2507">
    <w:p>
      <w:pPr>
        <w:pStyle w:val="FootnoteText"/>
      </w:pPr>
      <w:r>
        <w:rPr>
          <w:rStyle w:val="FootnoteReference"/>
        </w:rPr>
        <w:footnoteRef/>
      </w:r>
      <w:r>
        <w:t xml:space="preserve"> </w:t>
      </w:r>
      <w:r>
        <w:t xml:space="preserve">NCT01750346.</w:t>
      </w:r>
    </w:p>
  </w:footnote>
  <w:footnote w:id="2508">
    <w:p>
      <w:pPr>
        <w:pStyle w:val="FootnoteText"/>
      </w:pPr>
      <w:r>
        <w:rPr>
          <w:rStyle w:val="FootnoteReference"/>
        </w:rPr>
        <w:footnoteRef/>
      </w:r>
      <w:r>
        <w:t xml:space="preserve"> </w:t>
      </w:r>
      <w:r>
        <w:t xml:space="preserve">An 2019, PMID 33911590.</w:t>
      </w:r>
    </w:p>
  </w:footnote>
  <w:footnote w:id="2509">
    <w:p>
      <w:pPr>
        <w:pStyle w:val="FootnoteText"/>
      </w:pPr>
      <w:r>
        <w:rPr>
          <w:rStyle w:val="FootnoteReference"/>
        </w:rPr>
        <w:footnoteRef/>
      </w:r>
      <w:r>
        <w:t xml:space="preserve"> </w:t>
      </w:r>
      <w:r>
        <w:t xml:space="preserve">NCT02597777.</w:t>
      </w:r>
    </w:p>
  </w:footnote>
  <w:footnote w:id="2510">
    <w:p>
      <w:pPr>
        <w:pStyle w:val="FootnoteText"/>
      </w:pPr>
      <w:r>
        <w:rPr>
          <w:rStyle w:val="FootnoteReference"/>
        </w:rPr>
        <w:footnoteRef/>
      </w:r>
      <w:r>
        <w:t xml:space="preserve"> </w:t>
      </w:r>
      <w:r>
        <w:t xml:space="preserve">NCT01381484.</w:t>
      </w:r>
    </w:p>
  </w:footnote>
  <w:footnote w:id="2513">
    <w:p>
      <w:pPr>
        <w:pStyle w:val="FootnoteText"/>
      </w:pPr>
      <w:r>
        <w:rPr>
          <w:rStyle w:val="FootnoteReference"/>
        </w:rPr>
        <w:footnoteRef/>
      </w:r>
      <w:r>
        <w:t xml:space="preserve"> </w:t>
      </w:r>
      <w:r>
        <w:t xml:space="preserve">Blanes-Mira 2002, PMID 18498523.</w:t>
      </w:r>
    </w:p>
  </w:footnote>
  <w:footnote w:id="2514">
    <w:p>
      <w:pPr>
        <w:pStyle w:val="FootnoteText"/>
      </w:pPr>
      <w:r>
        <w:rPr>
          <w:rStyle w:val="FootnoteReference"/>
        </w:rPr>
        <w:footnoteRef/>
      </w:r>
      <w:r>
        <w:t xml:space="preserve"> </w:t>
      </w:r>
      <w:r>
        <w:t xml:space="preserve">Grosicki 2014, PMID 24644551.</w:t>
      </w:r>
    </w:p>
  </w:footnote>
  <w:footnote w:id="2515">
    <w:p>
      <w:pPr>
        <w:pStyle w:val="FootnoteText"/>
      </w:pPr>
      <w:r>
        <w:rPr>
          <w:rStyle w:val="FootnoteReference"/>
        </w:rPr>
        <w:footnoteRef/>
      </w:r>
      <w:r>
        <w:t xml:space="preserve"> </w:t>
      </w:r>
      <w:r>
        <w:t xml:space="preserve">Wang 2013, PMID 23464592.</w:t>
      </w:r>
    </w:p>
  </w:footnote>
  <w:footnote w:id="2516">
    <w:p>
      <w:pPr>
        <w:pStyle w:val="FootnoteText"/>
      </w:pPr>
      <w:r>
        <w:rPr>
          <w:rStyle w:val="FootnoteReference"/>
        </w:rPr>
        <w:footnoteRef/>
      </w:r>
      <w:r>
        <w:t xml:space="preserve"> </w:t>
      </w:r>
      <w:r>
        <w:t xml:space="preserve">Kraeling 2015, PMID 24754410.</w:t>
      </w:r>
    </w:p>
  </w:footnote>
  <w:footnote w:id="2518">
    <w:p>
      <w:pPr>
        <w:pStyle w:val="FootnoteText"/>
      </w:pPr>
      <w:r>
        <w:rPr>
          <w:rStyle w:val="FootnoteReference"/>
        </w:rPr>
        <w:footnoteRef/>
      </w:r>
      <w:r>
        <w:t xml:space="preserve"> </w:t>
      </w:r>
      <w:r>
        <w:t xml:space="preserve">Johnson 2025, PMID 40673537.</w:t>
      </w:r>
    </w:p>
  </w:footnote>
  <w:footnote w:id="2519">
    <w:p>
      <w:pPr>
        <w:pStyle w:val="FootnoteText"/>
      </w:pPr>
      <w:r>
        <w:rPr>
          <w:rStyle w:val="FootnoteReference"/>
        </w:rPr>
        <w:footnoteRef/>
      </w:r>
      <w:r>
        <w:t xml:space="preserve"> </w:t>
      </w:r>
      <w:r>
        <w:t xml:space="preserve">Chen 2021, PMID 33748252.</w:t>
      </w:r>
    </w:p>
  </w:footnote>
  <w:footnote w:id="2540">
    <w:p>
      <w:pPr>
        <w:pStyle w:val="FootnoteText"/>
      </w:pPr>
      <w:r>
        <w:rPr>
          <w:rStyle w:val="FootnoteReference"/>
        </w:rPr>
        <w:footnoteRef/>
      </w:r>
      <w:r>
        <w:t xml:space="preserve"> </w:t>
      </w:r>
      <w:r>
        <w:t xml:space="preserve">Gao 2026, PMID 42251595.</w:t>
      </w:r>
    </w:p>
  </w:footnote>
  <w:footnote w:id="2541">
    <w:p>
      <w:pPr>
        <w:pStyle w:val="FootnoteText"/>
      </w:pPr>
      <w:r>
        <w:rPr>
          <w:rStyle w:val="FootnoteReference"/>
        </w:rPr>
        <w:footnoteRef/>
      </w:r>
      <w:r>
        <w:t xml:space="preserve"> </w:t>
      </w:r>
      <w:r>
        <w:t xml:space="preserve">NCT06662383.</w:t>
      </w:r>
    </w:p>
  </w:footnote>
  <w:footnote w:id="2543">
    <w:p>
      <w:pPr>
        <w:pStyle w:val="FootnoteText"/>
      </w:pPr>
      <w:r>
        <w:rPr>
          <w:rStyle w:val="FootnoteReference"/>
        </w:rPr>
        <w:footnoteRef/>
      </w:r>
      <w:r>
        <w:t xml:space="preserve"> </w:t>
      </w:r>
      <w:r>
        <w:t xml:space="preserve">Rubino 2021, PMID 33755728.</w:t>
      </w:r>
    </w:p>
  </w:footnote>
  <w:footnote w:id="2544">
    <w:p>
      <w:pPr>
        <w:pStyle w:val="FootnoteText"/>
      </w:pPr>
      <w:r>
        <w:rPr>
          <w:rStyle w:val="FootnoteReference"/>
        </w:rPr>
        <w:footnoteRef/>
      </w:r>
      <w:r>
        <w:t xml:space="preserve"> </w:t>
      </w:r>
      <w:r>
        <w:t xml:space="preserve">Aronne 2024, PMID 38078870.</w:t>
      </w:r>
    </w:p>
  </w:footnote>
  <w:footnote w:id="2547">
    <w:p>
      <w:pPr>
        <w:pStyle w:val="FootnoteText"/>
      </w:pPr>
      <w:r>
        <w:rPr>
          <w:rStyle w:val="FootnoteReference"/>
        </w:rPr>
        <w:footnoteRef/>
      </w:r>
      <w:r>
        <w:t xml:space="preserve"> </w:t>
      </w:r>
      <w:r>
        <w:t xml:space="preserve">Edelman 2006, PMID 17003291.</w:t>
      </w:r>
    </w:p>
  </w:footnote>
  <w:footnote w:id="2549">
    <w:p>
      <w:pPr>
        <w:pStyle w:val="FootnoteText"/>
      </w:pPr>
      <w:r>
        <w:rPr>
          <w:rStyle w:val="FootnoteReference"/>
        </w:rPr>
        <w:footnoteRef/>
      </w:r>
      <w:r>
        <w:t xml:space="preserve"> </w:t>
      </w:r>
      <w:r>
        <w:t xml:space="preserve">Kristensen 2019, PMID 31422062.</w:t>
      </w:r>
    </w:p>
  </w:footnote>
  <w:footnote w:id="2550">
    <w:p>
      <w:pPr>
        <w:pStyle w:val="FootnoteText"/>
      </w:pPr>
      <w:r>
        <w:rPr>
          <w:rStyle w:val="FootnoteReference"/>
        </w:rPr>
        <w:footnoteRef/>
      </w:r>
      <w:r>
        <w:t xml:space="preserve"> </w:t>
      </w:r>
      <w:r>
        <w:t xml:space="preserve">Kosiborod 2023, PMID 37622681.</w:t>
      </w:r>
    </w:p>
  </w:footnote>
  <w:footnote w:id="2551">
    <w:p>
      <w:pPr>
        <w:pStyle w:val="FootnoteText"/>
      </w:pPr>
      <w:r>
        <w:rPr>
          <w:rStyle w:val="FootnoteReference"/>
        </w:rPr>
        <w:footnoteRef/>
      </w:r>
      <w:r>
        <w:t xml:space="preserve"> </w:t>
      </w:r>
      <w:r>
        <w:t xml:space="preserve">NCT05556512.</w:t>
      </w:r>
    </w:p>
  </w:footnote>
  <w:footnote w:id="2552">
    <w:p>
      <w:pPr>
        <w:pStyle w:val="FootnoteText"/>
      </w:pPr>
      <w:r>
        <w:rPr>
          <w:rStyle w:val="FootnoteReference"/>
        </w:rPr>
        <w:footnoteRef/>
      </w:r>
      <w:r>
        <w:t xml:space="preserve"> </w:t>
      </w:r>
      <w:r>
        <w:t xml:space="preserve">NCT06383390.</w:t>
      </w:r>
    </w:p>
  </w:footnote>
  <w:footnote w:id="2553">
    <w:p>
      <w:pPr>
        <w:pStyle w:val="FootnoteText"/>
      </w:pPr>
      <w:r>
        <w:rPr>
          <w:rStyle w:val="FootnoteReference"/>
        </w:rPr>
        <w:footnoteRef/>
      </w:r>
      <w:r>
        <w:t xml:space="preserve"> </w:t>
      </w:r>
      <w:r>
        <w:t xml:space="preserve">NCT05669755.</w:t>
      </w:r>
    </w:p>
  </w:footnote>
  <w:footnote w:id="2554">
    <w:p>
      <w:pPr>
        <w:pStyle w:val="FootnoteText"/>
      </w:pPr>
      <w:r>
        <w:rPr>
          <w:rStyle w:val="FootnoteReference"/>
        </w:rPr>
        <w:footnoteRef/>
      </w:r>
      <w:r>
        <w:t xml:space="preserve"> </w:t>
      </w:r>
      <w:r>
        <w:t xml:space="preserve">NCT07037433.</w:t>
      </w:r>
    </w:p>
  </w:footnote>
  <w:footnote w:id="2555">
    <w:p>
      <w:pPr>
        <w:pStyle w:val="FootnoteText"/>
      </w:pPr>
      <w:r>
        <w:rPr>
          <w:rStyle w:val="FootnoteReference"/>
        </w:rPr>
        <w:footnoteRef/>
      </w:r>
      <w:r>
        <w:t xml:space="preserve"> </w:t>
      </w:r>
      <w:r>
        <w:t xml:space="preserve">NCT07241390.</w:t>
      </w:r>
    </w:p>
  </w:footnote>
  <w:footnote w:id="2557">
    <w:p>
      <w:pPr>
        <w:pStyle w:val="FootnoteText"/>
      </w:pPr>
      <w:r>
        <w:rPr>
          <w:rStyle w:val="FootnoteReference"/>
        </w:rPr>
        <w:footnoteRef/>
      </w:r>
      <w:r>
        <w:t xml:space="preserve"> </w:t>
      </w:r>
      <w:r>
        <w:t xml:space="preserve">Perkovic 2024, PMID 38785209.</w:t>
      </w:r>
    </w:p>
  </w:footnote>
  <w:footnote w:id="2558">
    <w:p>
      <w:pPr>
        <w:pStyle w:val="FootnoteText"/>
      </w:pPr>
      <w:r>
        <w:rPr>
          <w:rStyle w:val="FootnoteReference"/>
        </w:rPr>
        <w:footnoteRef/>
      </w:r>
      <w:r>
        <w:t xml:space="preserve"> </w:t>
      </w:r>
      <w:r>
        <w:t xml:space="preserve">Mann 2017, PMID 28854085.</w:t>
      </w:r>
    </w:p>
  </w:footnote>
  <w:footnote w:id="2559">
    <w:p>
      <w:pPr>
        <w:pStyle w:val="FootnoteText"/>
      </w:pPr>
      <w:r>
        <w:rPr>
          <w:rStyle w:val="FootnoteReference"/>
        </w:rPr>
        <w:footnoteRef/>
      </w:r>
      <w:r>
        <w:t xml:space="preserve"> </w:t>
      </w:r>
      <w:r>
        <w:t xml:space="preserve">Gerstein 2019, PMID 31189509.</w:t>
      </w:r>
    </w:p>
  </w:footnote>
  <w:footnote w:id="2560">
    <w:p>
      <w:pPr>
        <w:pStyle w:val="FootnoteText"/>
      </w:pPr>
      <w:r>
        <w:rPr>
          <w:rStyle w:val="FootnoteReference"/>
        </w:rPr>
        <w:footnoteRef/>
      </w:r>
      <w:r>
        <w:t xml:space="preserve"> </w:t>
      </w:r>
      <w:r>
        <w:t xml:space="preserve">Kristensen 2019, PMID 31422062.</w:t>
      </w:r>
    </w:p>
  </w:footnote>
  <w:footnote w:id="2561">
    <w:p>
      <w:pPr>
        <w:pStyle w:val="FootnoteText"/>
      </w:pPr>
      <w:r>
        <w:rPr>
          <w:rStyle w:val="FootnoteReference"/>
        </w:rPr>
        <w:footnoteRef/>
      </w:r>
      <w:r>
        <w:t xml:space="preserve"> </w:t>
      </w:r>
      <w:r>
        <w:t xml:space="preserve">McGuire 2025, PMID 40162642.</w:t>
      </w:r>
    </w:p>
  </w:footnote>
  <w:footnote w:id="2562">
    <w:p>
      <w:pPr>
        <w:pStyle w:val="FootnoteText"/>
      </w:pPr>
      <w:r>
        <w:rPr>
          <w:rStyle w:val="FootnoteReference"/>
        </w:rPr>
        <w:footnoteRef/>
      </w:r>
      <w:r>
        <w:t xml:space="preserve"> </w:t>
      </w:r>
      <w:r>
        <w:t xml:space="preserve">NCT06632444.</w:t>
      </w:r>
    </w:p>
  </w:footnote>
  <w:footnote w:id="2563">
    <w:p>
      <w:pPr>
        <w:pStyle w:val="FootnoteText"/>
      </w:pPr>
      <w:r>
        <w:rPr>
          <w:rStyle w:val="FootnoteReference"/>
        </w:rPr>
        <w:footnoteRef/>
      </w:r>
      <w:r>
        <w:t xml:space="preserve"> </w:t>
      </w:r>
      <w:r>
        <w:t xml:space="preserve">NCT06632457.</w:t>
      </w:r>
    </w:p>
  </w:footnote>
  <w:footnote w:id="2565">
    <w:p>
      <w:pPr>
        <w:pStyle w:val="FootnoteText"/>
      </w:pPr>
      <w:r>
        <w:rPr>
          <w:rStyle w:val="FootnoteReference"/>
        </w:rPr>
        <w:footnoteRef/>
      </w:r>
      <w:r>
        <w:t xml:space="preserve"> </w:t>
      </w:r>
      <w:r>
        <w:t xml:space="preserve">Buse 2013, PMID 23141817.</w:t>
      </w:r>
    </w:p>
  </w:footnote>
  <w:footnote w:id="2566">
    <w:p>
      <w:pPr>
        <w:pStyle w:val="FootnoteText"/>
      </w:pPr>
      <w:r>
        <w:rPr>
          <w:rStyle w:val="FootnoteReference"/>
        </w:rPr>
        <w:footnoteRef/>
      </w:r>
      <w:r>
        <w:t xml:space="preserve"> </w:t>
      </w:r>
      <w:r>
        <w:t xml:space="preserve">Rubino 2022, PMID 35015037.</w:t>
      </w:r>
    </w:p>
  </w:footnote>
  <w:footnote w:id="2567">
    <w:p>
      <w:pPr>
        <w:pStyle w:val="FootnoteText"/>
      </w:pPr>
      <w:r>
        <w:rPr>
          <w:rStyle w:val="FootnoteReference"/>
        </w:rPr>
        <w:footnoteRef/>
      </w:r>
      <w:r>
        <w:t xml:space="preserve"> </w:t>
      </w:r>
      <w:r>
        <w:t xml:space="preserve">Frías 2021, PMID 34170647.</w:t>
      </w:r>
    </w:p>
  </w:footnote>
  <w:footnote w:id="2568">
    <w:p>
      <w:pPr>
        <w:pStyle w:val="FootnoteText"/>
      </w:pPr>
      <w:r>
        <w:rPr>
          <w:rStyle w:val="FootnoteReference"/>
        </w:rPr>
        <w:footnoteRef/>
      </w:r>
      <w:r>
        <w:t xml:space="preserve"> </w:t>
      </w:r>
      <w:r>
        <w:t xml:space="preserve">Yamauchi 2026, PMID 42009015.</w:t>
      </w:r>
    </w:p>
  </w:footnote>
  <w:footnote w:id="2569">
    <w:p>
      <w:pPr>
        <w:pStyle w:val="FootnoteText"/>
      </w:pPr>
      <w:r>
        <w:rPr>
          <w:rStyle w:val="FootnoteReference"/>
        </w:rPr>
        <w:footnoteRef/>
      </w:r>
      <w:r>
        <w:t xml:space="preserve"> </w:t>
      </w:r>
      <w:r>
        <w:t xml:space="preserve">Hsia 2026, PMID 42628555.</w:t>
      </w:r>
    </w:p>
  </w:footnote>
  <w:footnote w:id="2570">
    <w:p>
      <w:pPr>
        <w:pStyle w:val="FootnoteText"/>
      </w:pPr>
      <w:r>
        <w:rPr>
          <w:rStyle w:val="FootnoteReference"/>
        </w:rPr>
        <w:footnoteRef/>
      </w:r>
      <w:r>
        <w:t xml:space="preserve"> </w:t>
      </w:r>
      <w:r>
        <w:t xml:space="preserve">Kristensen 2019, PMID 31422062.</w:t>
      </w:r>
    </w:p>
  </w:footnote>
  <w:footnote w:id="2571">
    <w:p>
      <w:pPr>
        <w:pStyle w:val="FootnoteText"/>
      </w:pPr>
      <w:r>
        <w:rPr>
          <w:rStyle w:val="FootnoteReference"/>
        </w:rPr>
        <w:footnoteRef/>
      </w:r>
      <w:r>
        <w:t xml:space="preserve"> </w:t>
      </w:r>
      <w:r>
        <w:t xml:space="preserve">Sodhi 2023, PMID 37796527.</w:t>
      </w:r>
    </w:p>
  </w:footnote>
  <w:footnote w:id="2572">
    <w:p>
      <w:pPr>
        <w:pStyle w:val="FootnoteText"/>
      </w:pPr>
      <w:r>
        <w:rPr>
          <w:rStyle w:val="FootnoteReference"/>
        </w:rPr>
        <w:footnoteRef/>
      </w:r>
      <w:r>
        <w:t xml:space="preserve"> </w:t>
      </w:r>
      <w:r>
        <w:t xml:space="preserve">Silverii 2025, PMID 40437949.</w:t>
      </w:r>
    </w:p>
  </w:footnote>
  <w:footnote w:id="2573">
    <w:p>
      <w:pPr>
        <w:pStyle w:val="FootnoteText"/>
      </w:pPr>
      <w:r>
        <w:rPr>
          <w:rStyle w:val="FootnoteReference"/>
        </w:rPr>
        <w:footnoteRef/>
      </w:r>
      <w:r>
        <w:t xml:space="preserve"> </w:t>
      </w:r>
      <w:r>
        <w:t xml:space="preserve">Simonsen 2025, PMID 40098249.</w:t>
      </w:r>
    </w:p>
  </w:footnote>
  <w:footnote w:id="2574">
    <w:p>
      <w:pPr>
        <w:pStyle w:val="FootnoteText"/>
      </w:pPr>
      <w:r>
        <w:rPr>
          <w:rStyle w:val="FootnoteReference"/>
        </w:rPr>
        <w:footnoteRef/>
      </w:r>
      <w:r>
        <w:t xml:space="preserve"> </w:t>
      </w:r>
      <w:r>
        <w:t xml:space="preserve">Look 2025, PMID 39996356.</w:t>
      </w:r>
    </w:p>
  </w:footnote>
  <w:footnote w:id="2576">
    <w:p>
      <w:pPr>
        <w:pStyle w:val="FootnoteText"/>
      </w:pPr>
      <w:r>
        <w:rPr>
          <w:rStyle w:val="FootnoteReference"/>
        </w:rPr>
        <w:footnoteRef/>
      </w:r>
      <w:r>
        <w:t xml:space="preserve"> </w:t>
      </w:r>
      <w:r>
        <w:t xml:space="preserve">NCT06662383.</w:t>
      </w:r>
    </w:p>
  </w:footnote>
  <w:footnote w:id="2577">
    <w:p>
      <w:pPr>
        <w:pStyle w:val="FootnoteText"/>
      </w:pPr>
      <w:r>
        <w:rPr>
          <w:rStyle w:val="FootnoteReference"/>
        </w:rPr>
        <w:footnoteRef/>
      </w:r>
      <w:r>
        <w:t xml:space="preserve"> </w:t>
      </w:r>
      <w:r>
        <w:t xml:space="preserve">NCT06184568, NCT06884293.</w:t>
      </w:r>
    </w:p>
  </w:footnote>
  <w:footnote w:id="2582">
    <w:p>
      <w:pPr>
        <w:pStyle w:val="FootnoteText"/>
      </w:pPr>
      <w:r>
        <w:rPr>
          <w:rStyle w:val="FootnoteReference"/>
        </w:rPr>
        <w:footnoteRef/>
      </w:r>
      <w:r>
        <w:t xml:space="preserve"> </w:t>
      </w:r>
      <w:r>
        <w:t xml:space="preserve">Porsteinsson 2025, PMID 41393340.</w:t>
      </w:r>
    </w:p>
  </w:footnote>
  <w:footnote w:id="2584">
    <w:p>
      <w:pPr>
        <w:pStyle w:val="FootnoteText"/>
      </w:pPr>
      <w:r>
        <w:rPr>
          <w:rStyle w:val="FootnoteReference"/>
        </w:rPr>
        <w:footnoteRef/>
      </w:r>
      <w:r>
        <w:t xml:space="preserve"> </w:t>
      </w:r>
      <w:r>
        <w:t xml:space="preserve">Nass 2008, PMID 18981485.</w:t>
      </w:r>
    </w:p>
  </w:footnote>
  <w:footnote w:id="2586">
    <w:p>
      <w:pPr>
        <w:pStyle w:val="FootnoteText"/>
      </w:pPr>
      <w:r>
        <w:rPr>
          <w:rStyle w:val="FootnoteReference"/>
        </w:rPr>
        <w:footnoteRef/>
      </w:r>
      <w:r>
        <w:t xml:space="preserve"> </w:t>
      </w:r>
      <w:r>
        <w:t xml:space="preserve">Gajda 2019, PMID 30136411.</w:t>
      </w:r>
    </w:p>
  </w:footnote>
  <w:footnote w:id="2588">
    <w:p>
      <w:pPr>
        <w:pStyle w:val="FootnoteText"/>
      </w:pPr>
      <w:r>
        <w:rPr>
          <w:rStyle w:val="FootnoteReference"/>
        </w:rPr>
        <w:footnoteRef/>
      </w:r>
      <w:r>
        <w:t xml:space="preserve"> </w:t>
      </w:r>
      <w:r>
        <w:t xml:space="preserve">Beck 2014, PMID 25331030.</w:t>
      </w:r>
    </w:p>
  </w:footnote>
  <w:footnote w:id="2589">
    <w:p>
      <w:pPr>
        <w:pStyle w:val="FootnoteText"/>
      </w:pPr>
      <w:r>
        <w:rPr>
          <w:rStyle w:val="FootnoteReference"/>
        </w:rPr>
        <w:footnoteRef/>
      </w:r>
      <w:r>
        <w:t xml:space="preserve"> </w:t>
      </w:r>
      <w:r>
        <w:t xml:space="preserve">Leal 2014, PMID 24619793.</w:t>
      </w:r>
    </w:p>
  </w:footnote>
  <w:footnote w:id="2590">
    <w:p>
      <w:pPr>
        <w:pStyle w:val="FootnoteText"/>
      </w:pPr>
      <w:r>
        <w:rPr>
          <w:rStyle w:val="FootnoteReference"/>
        </w:rPr>
        <w:footnoteRef/>
      </w:r>
      <w:r>
        <w:t xml:space="preserve"> </w:t>
      </w:r>
      <w:r>
        <w:t xml:space="preserve">Myung 2025, PMID 40324552.</w:t>
      </w:r>
    </w:p>
  </w:footnote>
  <w:footnote w:id="2593">
    <w:p>
      <w:pPr>
        <w:pStyle w:val="FootnoteText"/>
      </w:pPr>
      <w:r>
        <w:rPr>
          <w:rStyle w:val="FootnoteReference"/>
        </w:rPr>
        <w:footnoteRef/>
      </w:r>
      <w:r>
        <w:t xml:space="preserve"> </w:t>
      </w:r>
      <w:r>
        <w:t xml:space="preserve">Breindahl 2015, PMID 24771717.</w:t>
      </w:r>
    </w:p>
  </w:footnote>
  <w:footnote w:id="2605">
    <w:p>
      <w:pPr>
        <w:pStyle w:val="FootnoteText"/>
      </w:pPr>
      <w:r>
        <w:rPr>
          <w:rStyle w:val="FootnoteReference"/>
        </w:rPr>
        <w:footnoteRef/>
      </w:r>
      <w:r>
        <w:t xml:space="preserve"> </w:t>
      </w:r>
      <w:r>
        <w:t xml:space="preserve">Simonsen 2025, PMID 40098249.</w:t>
      </w:r>
    </w:p>
  </w:footnote>
  <w:footnote w:id="2606">
    <w:p>
      <w:pPr>
        <w:pStyle w:val="FootnoteText"/>
      </w:pPr>
      <w:r>
        <w:rPr>
          <w:rStyle w:val="FootnoteReference"/>
        </w:rPr>
        <w:footnoteRef/>
      </w:r>
      <w:r>
        <w:t xml:space="preserve"> </w:t>
      </w:r>
      <w:r>
        <w:t xml:space="preserve">Yang 2026, PMID 41915388.</w:t>
      </w:r>
    </w:p>
  </w:footnote>
  <w:footnote w:id="2607">
    <w:p>
      <w:pPr>
        <w:pStyle w:val="FootnoteText"/>
      </w:pPr>
      <w:r>
        <w:rPr>
          <w:rStyle w:val="FootnoteReference"/>
        </w:rPr>
        <w:footnoteRef/>
      </w:r>
      <w:r>
        <w:t xml:space="preserve"> </w:t>
      </w:r>
      <w:r>
        <w:t xml:space="preserve">Ismaiel 2025, PMID 40804463.</w:t>
      </w:r>
    </w:p>
  </w:footnote>
  <w:footnote w:id="2608">
    <w:p>
      <w:pPr>
        <w:pStyle w:val="FootnoteText"/>
      </w:pPr>
      <w:r>
        <w:rPr>
          <w:rStyle w:val="FootnoteReference"/>
        </w:rPr>
        <w:footnoteRef/>
      </w:r>
      <w:r>
        <w:t xml:space="preserve"> </w:t>
      </w:r>
      <w:r>
        <w:t xml:space="preserve">Sanyal 2024, PMID 38847460.</w:t>
      </w:r>
    </w:p>
  </w:footnote>
  <w:footnote w:id="2609">
    <w:p>
      <w:pPr>
        <w:pStyle w:val="FootnoteText"/>
      </w:pPr>
      <w:r>
        <w:rPr>
          <w:rStyle w:val="FootnoteReference"/>
        </w:rPr>
        <w:footnoteRef/>
      </w:r>
      <w:r>
        <w:t xml:space="preserve"> </w:t>
      </w:r>
      <w:r>
        <w:t xml:space="preserve">Clayton 2022, PMID 35147466.</w:t>
      </w:r>
    </w:p>
  </w:footnote>
  <w:footnote w:id="2610">
    <w:p>
      <w:pPr>
        <w:pStyle w:val="FootnoteText"/>
      </w:pPr>
      <w:r>
        <w:rPr>
          <w:rStyle w:val="FootnoteReference"/>
        </w:rPr>
        <w:footnoteRef/>
      </w:r>
      <w:r>
        <w:t xml:space="preserve"> </w:t>
      </w:r>
      <w:r>
        <w:t xml:space="preserve">Edelman 2006, PMID 17003291.</w:t>
      </w:r>
    </w:p>
  </w:footnote>
  <w:footnote w:id="2611">
    <w:p>
      <w:pPr>
        <w:pStyle w:val="FootnoteText"/>
      </w:pPr>
      <w:r>
        <w:rPr>
          <w:rStyle w:val="FootnoteReference"/>
        </w:rPr>
        <w:footnoteRef/>
      </w:r>
      <w:r>
        <w:t xml:space="preserve"> </w:t>
      </w:r>
      <w:r>
        <w:t xml:space="preserve">Sridharan 2026, PMID 39924461.</w:t>
      </w:r>
    </w:p>
  </w:footnote>
  <w:footnote w:id="2612">
    <w:p>
      <w:pPr>
        <w:pStyle w:val="FootnoteText"/>
      </w:pPr>
      <w:r>
        <w:rPr>
          <w:rStyle w:val="FootnoteReference"/>
        </w:rPr>
        <w:footnoteRef/>
      </w:r>
      <w:r>
        <w:t xml:space="preserve"> </w:t>
      </w:r>
      <w:r>
        <w:t xml:space="preserve">Sodhi 2023, PMID 37796527.</w:t>
      </w:r>
    </w:p>
  </w:footnote>
  <w:footnote w:id="2613">
    <w:p>
      <w:pPr>
        <w:pStyle w:val="FootnoteText"/>
      </w:pPr>
      <w:r>
        <w:rPr>
          <w:rStyle w:val="FootnoteReference"/>
        </w:rPr>
        <w:footnoteRef/>
      </w:r>
      <w:r>
        <w:t xml:space="preserve"> </w:t>
      </w:r>
      <w:r>
        <w:t xml:space="preserve">Chiang 2025, PMID 40499738.</w:t>
      </w:r>
    </w:p>
  </w:footnote>
  <w:footnote w:id="2614">
    <w:p>
      <w:pPr>
        <w:pStyle w:val="FootnoteText"/>
      </w:pPr>
      <w:r>
        <w:rPr>
          <w:rStyle w:val="FootnoteReference"/>
        </w:rPr>
        <w:footnoteRef/>
      </w:r>
      <w:r>
        <w:t xml:space="preserve"> </w:t>
      </w:r>
      <w:r>
        <w:t xml:space="preserve">Crisafulli 2026, PMID 41183330.</w:t>
      </w:r>
    </w:p>
  </w:footnote>
  <w:footnote w:id="2616">
    <w:p>
      <w:pPr>
        <w:pStyle w:val="FootnoteText"/>
      </w:pPr>
      <w:r>
        <w:rPr>
          <w:rStyle w:val="FootnoteReference"/>
        </w:rPr>
        <w:footnoteRef/>
      </w:r>
      <w:r>
        <w:t xml:space="preserve"> </w:t>
      </w:r>
      <w:r>
        <w:t xml:space="preserve">He 2022, PMID 35344001.</w:t>
      </w:r>
    </w:p>
  </w:footnote>
  <w:footnote w:id="2617">
    <w:p>
      <w:pPr>
        <w:pStyle w:val="FootnoteText"/>
      </w:pPr>
      <w:r>
        <w:rPr>
          <w:rStyle w:val="FootnoteReference"/>
        </w:rPr>
        <w:footnoteRef/>
      </w:r>
      <w:r>
        <w:t xml:space="preserve"> </w:t>
      </w:r>
      <w:r>
        <w:t xml:space="preserve">Weghuber 2022, PMID 36322838.</w:t>
      </w:r>
    </w:p>
  </w:footnote>
  <w:footnote w:id="2618">
    <w:p>
      <w:pPr>
        <w:pStyle w:val="FootnoteText"/>
      </w:pPr>
      <w:r>
        <w:rPr>
          <w:rStyle w:val="FootnoteReference"/>
        </w:rPr>
        <w:footnoteRef/>
      </w:r>
      <w:r>
        <w:t xml:space="preserve"> </w:t>
      </w:r>
      <w:r>
        <w:t xml:space="preserve">Wen 2025, PMID 40988099.</w:t>
      </w:r>
    </w:p>
  </w:footnote>
  <w:footnote w:id="2620">
    <w:p>
      <w:pPr>
        <w:pStyle w:val="FootnoteText"/>
      </w:pPr>
      <w:r>
        <w:rPr>
          <w:rStyle w:val="FootnoteReference"/>
        </w:rPr>
        <w:footnoteRef/>
      </w:r>
      <w:r>
        <w:t xml:space="preserve"> </w:t>
      </w:r>
      <w:r>
        <w:t xml:space="preserve">Hegedüs 2018, PMID 29279300.</w:t>
      </w:r>
    </w:p>
  </w:footnote>
  <w:footnote w:id="2622">
    <w:p>
      <w:pPr>
        <w:pStyle w:val="FootnoteText"/>
      </w:pPr>
      <w:r>
        <w:rPr>
          <w:rStyle w:val="FootnoteReference"/>
        </w:rPr>
        <w:footnoteRef/>
      </w:r>
      <w:r>
        <w:t xml:space="preserve"> </w:t>
      </w:r>
      <w:r>
        <w:t xml:space="preserve">Marso 2016, PMID 27633186.</w:t>
      </w:r>
    </w:p>
  </w:footnote>
  <w:footnote w:id="2623">
    <w:p>
      <w:pPr>
        <w:pStyle w:val="FootnoteText"/>
      </w:pPr>
      <w:r>
        <w:rPr>
          <w:rStyle w:val="FootnoteReference"/>
        </w:rPr>
        <w:footnoteRef/>
      </w:r>
      <w:r>
        <w:t xml:space="preserve"> </w:t>
      </w:r>
      <w:r>
        <w:t xml:space="preserve">Natividade 2025, PMID 40810985.</w:t>
      </w:r>
    </w:p>
  </w:footnote>
  <w:footnote w:id="2624">
    <w:p>
      <w:pPr>
        <w:pStyle w:val="FootnoteText"/>
      </w:pPr>
      <w:r>
        <w:rPr>
          <w:rStyle w:val="FootnoteReference"/>
        </w:rPr>
        <w:footnoteRef/>
      </w:r>
      <w:r>
        <w:t xml:space="preserve"> </w:t>
      </w:r>
      <w:r>
        <w:t xml:space="preserve">Hathaway 2024, PMID 38958939.</w:t>
      </w:r>
    </w:p>
  </w:footnote>
  <w:footnote w:id="2625">
    <w:p>
      <w:pPr>
        <w:pStyle w:val="FootnoteText"/>
      </w:pPr>
      <w:r>
        <w:rPr>
          <w:rStyle w:val="FootnoteReference"/>
        </w:rPr>
        <w:footnoteRef/>
      </w:r>
      <w:r>
        <w:t xml:space="preserve"> </w:t>
      </w:r>
      <w:r>
        <w:t xml:space="preserve">Simonsen 2025, PMID 40098249.</w:t>
      </w:r>
    </w:p>
  </w:footnote>
  <w:footnote w:id="2626">
    <w:p>
      <w:pPr>
        <w:pStyle w:val="FootnoteText"/>
      </w:pPr>
      <w:r>
        <w:rPr>
          <w:rStyle w:val="FootnoteReference"/>
        </w:rPr>
        <w:footnoteRef/>
      </w:r>
      <w:r>
        <w:t xml:space="preserve"> </w:t>
      </w:r>
      <w:r>
        <w:t xml:space="preserve">Wang 2025, PMID 40788646.</w:t>
      </w:r>
    </w:p>
  </w:footnote>
  <w:footnote w:id="2627">
    <w:p>
      <w:pPr>
        <w:pStyle w:val="FootnoteText"/>
      </w:pPr>
      <w:r>
        <w:rPr>
          <w:rStyle w:val="FootnoteReference"/>
        </w:rPr>
        <w:footnoteRef/>
      </w:r>
      <w:r>
        <w:t xml:space="preserve"> </w:t>
      </w:r>
      <w:r>
        <w:t xml:space="preserve">Chou 2025, PMID 39491755.</w:t>
      </w:r>
    </w:p>
  </w:footnote>
  <w:footnote w:id="2628">
    <w:p>
      <w:pPr>
        <w:pStyle w:val="FootnoteText"/>
      </w:pPr>
      <w:r>
        <w:rPr>
          <w:rStyle w:val="FootnoteReference"/>
        </w:rPr>
        <w:footnoteRef/>
      </w:r>
      <w:r>
        <w:t xml:space="preserve"> </w:t>
      </w:r>
      <w:r>
        <w:t xml:space="preserve">Liu 2026, PMID 41475544.</w:t>
      </w:r>
    </w:p>
  </w:footnote>
  <w:footnote w:id="2630">
    <w:p>
      <w:pPr>
        <w:pStyle w:val="FootnoteText"/>
      </w:pPr>
      <w:r>
        <w:rPr>
          <w:rStyle w:val="FootnoteReference"/>
        </w:rPr>
        <w:footnoteRef/>
      </w:r>
      <w:r>
        <w:t xml:space="preserve"> </w:t>
      </w:r>
      <w:r>
        <w:t xml:space="preserve">Marso 2016, PMID 27633186.</w:t>
      </w:r>
    </w:p>
  </w:footnote>
  <w:footnote w:id="2631">
    <w:p>
      <w:pPr>
        <w:pStyle w:val="FootnoteText"/>
      </w:pPr>
      <w:r>
        <w:rPr>
          <w:rStyle w:val="FootnoteReference"/>
        </w:rPr>
        <w:footnoteRef/>
      </w:r>
      <w:r>
        <w:t xml:space="preserve"> </w:t>
      </w:r>
      <w:r>
        <w:t xml:space="preserve">Bellido 2026, PMID 42810372.</w:t>
      </w:r>
    </w:p>
  </w:footnote>
  <w:footnote w:id="2632">
    <w:p>
      <w:pPr>
        <w:pStyle w:val="FootnoteText"/>
      </w:pPr>
      <w:r>
        <w:rPr>
          <w:rStyle w:val="FootnoteReference"/>
        </w:rPr>
        <w:footnoteRef/>
      </w:r>
      <w:r>
        <w:t xml:space="preserve"> </w:t>
      </w:r>
      <w:r>
        <w:t xml:space="preserve">Liu 2007, PMID 17227934.</w:t>
      </w:r>
    </w:p>
  </w:footnote>
  <w:footnote w:id="2633">
    <w:p>
      <w:pPr>
        <w:pStyle w:val="FootnoteText"/>
      </w:pPr>
      <w:r>
        <w:rPr>
          <w:rStyle w:val="FootnoteReference"/>
        </w:rPr>
        <w:footnoteRef/>
      </w:r>
      <w:r>
        <w:t xml:space="preserve"> </w:t>
      </w:r>
      <w:r>
        <w:t xml:space="preserve">Adunsky 2011, PMID 21067829.</w:t>
      </w:r>
    </w:p>
  </w:footnote>
  <w:footnote w:id="2634">
    <w:p>
      <w:pPr>
        <w:pStyle w:val="FootnoteText"/>
      </w:pPr>
      <w:r>
        <w:rPr>
          <w:rStyle w:val="FootnoteReference"/>
        </w:rPr>
        <w:footnoteRef/>
      </w:r>
      <w:r>
        <w:t xml:space="preserve"> </w:t>
      </w:r>
      <w:r>
        <w:t xml:space="preserve">White 2017, PMID 27977473.</w:t>
      </w:r>
    </w:p>
  </w:footnote>
  <w:footnote w:id="2635">
    <w:p>
      <w:pPr>
        <w:pStyle w:val="FootnoteText"/>
      </w:pPr>
      <w:r>
        <w:rPr>
          <w:rStyle w:val="FootnoteReference"/>
        </w:rPr>
        <w:footnoteRef/>
      </w:r>
      <w:r>
        <w:t xml:space="preserve"> </w:t>
      </w:r>
      <w:r>
        <w:t xml:space="preserve">Lissy 2021, PMID 32961034.</w:t>
      </w:r>
    </w:p>
  </w:footnote>
  <w:footnote w:id="2636">
    <w:p>
      <w:pPr>
        <w:pStyle w:val="FootnoteText"/>
      </w:pPr>
      <w:r>
        <w:rPr>
          <w:rStyle w:val="FootnoteReference"/>
        </w:rPr>
        <w:footnoteRef/>
      </w:r>
      <w:r>
        <w:t xml:space="preserve"> </w:t>
      </w:r>
      <w:r>
        <w:t xml:space="preserve">Mayer-Hubner 1996, PMID 8596357.</w:t>
      </w:r>
    </w:p>
  </w:footnote>
  <w:footnote w:id="2637">
    <w:p>
      <w:pPr>
        <w:pStyle w:val="FootnoteText"/>
      </w:pPr>
      <w:r>
        <w:rPr>
          <w:rStyle w:val="FootnoteReference"/>
        </w:rPr>
        <w:footnoteRef/>
      </w:r>
      <w:r>
        <w:t xml:space="preserve"> </w:t>
      </w:r>
      <w:r>
        <w:t xml:space="preserve">Nelson 2012, PMID 23121206.</w:t>
      </w:r>
    </w:p>
  </w:footnote>
  <w:footnote w:id="2639">
    <w:p>
      <w:pPr>
        <w:pStyle w:val="FootnoteText"/>
      </w:pPr>
      <w:r>
        <w:rPr>
          <w:rStyle w:val="FootnoteReference"/>
        </w:rPr>
        <w:footnoteRef/>
      </w:r>
      <w:r>
        <w:t xml:space="preserve"> </w:t>
      </w:r>
      <w:r>
        <w:t xml:space="preserve">Han 2026, PMID 41852258.</w:t>
      </w:r>
    </w:p>
  </w:footnote>
  <w:footnote w:id="2640">
    <w:p>
      <w:pPr>
        <w:pStyle w:val="FootnoteText"/>
      </w:pPr>
      <w:r>
        <w:rPr>
          <w:rStyle w:val="FootnoteReference"/>
        </w:rPr>
        <w:footnoteRef/>
      </w:r>
      <w:r>
        <w:t xml:space="preserve"> </w:t>
      </w:r>
      <w:r>
        <w:t xml:space="preserve">Ueda 2024, PMID 39226030.</w:t>
      </w:r>
    </w:p>
  </w:footnote>
  <w:footnote w:id="2641">
    <w:p>
      <w:pPr>
        <w:pStyle w:val="FootnoteText"/>
      </w:pPr>
      <w:r>
        <w:rPr>
          <w:rStyle w:val="FootnoteReference"/>
        </w:rPr>
        <w:footnoteRef/>
      </w:r>
      <w:r>
        <w:t xml:space="preserve"> </w:t>
      </w:r>
      <w:r>
        <w:t xml:space="preserve">Wadden 2026, PMID 41537305.</w:t>
      </w:r>
    </w:p>
  </w:footnote>
  <w:footnote w:id="2642">
    <w:p>
      <w:pPr>
        <w:pStyle w:val="FootnoteText"/>
      </w:pPr>
      <w:r>
        <w:rPr>
          <w:rStyle w:val="FootnoteReference"/>
        </w:rPr>
        <w:footnoteRef/>
      </w:r>
      <w:r>
        <w:t xml:space="preserve"> </w:t>
      </w:r>
      <w:r>
        <w:t xml:space="preserve">Silva 2026, PMID 42115753.</w:t>
      </w:r>
    </w:p>
  </w:footnote>
  <w:footnote w:id="2644">
    <w:p>
      <w:pPr>
        <w:pStyle w:val="FootnoteText"/>
      </w:pPr>
      <w:r>
        <w:rPr>
          <w:rStyle w:val="FootnoteReference"/>
        </w:rPr>
        <w:footnoteRef/>
      </w:r>
      <w:r>
        <w:t xml:space="preserve"> </w:t>
      </w:r>
      <w:r>
        <w:t xml:space="preserve">Sridharan 2026, PMID 39924461.</w:t>
      </w:r>
    </w:p>
  </w:footnote>
  <w:footnote w:id="2645">
    <w:p>
      <w:pPr>
        <w:pStyle w:val="FootnoteText"/>
      </w:pPr>
      <w:r>
        <w:rPr>
          <w:rStyle w:val="FootnoteReference"/>
        </w:rPr>
        <w:footnoteRef/>
      </w:r>
      <w:r>
        <w:t xml:space="preserve"> </w:t>
      </w:r>
      <w:r>
        <w:t xml:space="preserve">Kanti 2021, PMID 34058738.</w:t>
      </w:r>
    </w:p>
  </w:footnote>
  <w:footnote w:id="2646">
    <w:p>
      <w:pPr>
        <w:pStyle w:val="FootnoteText"/>
      </w:pPr>
      <w:r>
        <w:rPr>
          <w:rStyle w:val="FootnoteReference"/>
        </w:rPr>
        <w:footnoteRef/>
      </w:r>
      <w:r>
        <w:t xml:space="preserve"> </w:t>
      </w:r>
      <w:r>
        <w:t xml:space="preserve">Clayton 2022, PMID 35147466.</w:t>
      </w:r>
    </w:p>
  </w:footnote>
  <w:footnote w:id="2647">
    <w:p>
      <w:pPr>
        <w:pStyle w:val="FootnoteText"/>
      </w:pPr>
      <w:r>
        <w:rPr>
          <w:rStyle w:val="FootnoteReference"/>
        </w:rPr>
        <w:footnoteRef/>
      </w:r>
      <w:r>
        <w:t xml:space="preserve"> </w:t>
      </w:r>
      <w:r>
        <w:t xml:space="preserve">Burian 2019, PMID 31119650.</w:t>
      </w:r>
    </w:p>
  </w:footnote>
  <w:footnote w:id="2648">
    <w:p>
      <w:pPr>
        <w:pStyle w:val="FootnoteText"/>
      </w:pPr>
      <w:r>
        <w:rPr>
          <w:rStyle w:val="FootnoteReference"/>
        </w:rPr>
        <w:footnoteRef/>
      </w:r>
      <w:r>
        <w:t xml:space="preserve"> </w:t>
      </w:r>
      <w:r>
        <w:t xml:space="preserve">Gupta 2026, PMID 42930571.</w:t>
      </w:r>
    </w:p>
  </w:footnote>
  <w:footnote w:id="2649">
    <w:p>
      <w:pPr>
        <w:pStyle w:val="FootnoteText"/>
      </w:pPr>
      <w:r>
        <w:rPr>
          <w:rStyle w:val="FootnoteReference"/>
        </w:rPr>
        <w:footnoteRef/>
      </w:r>
      <w:r>
        <w:t xml:space="preserve"> </w:t>
      </w:r>
      <w:r>
        <w:t xml:space="preserve">Bellido 2026, PMID 42810372.</w:t>
      </w:r>
    </w:p>
  </w:footnote>
  <w:footnote w:id="2650">
    <w:p>
      <w:pPr>
        <w:pStyle w:val="FootnoteText"/>
      </w:pPr>
      <w:r>
        <w:rPr>
          <w:rStyle w:val="FootnoteReference"/>
        </w:rPr>
        <w:footnoteRef/>
      </w:r>
      <w:r>
        <w:t xml:space="preserve"> </w:t>
      </w:r>
      <w:r>
        <w:t xml:space="preserve">Dolkar 2018, PMID 29665030.</w:t>
      </w:r>
    </w:p>
  </w:footnote>
  <w:footnote w:id="2652">
    <w:p>
      <w:pPr>
        <w:pStyle w:val="FootnoteText"/>
      </w:pPr>
      <w:r>
        <w:rPr>
          <w:rStyle w:val="FootnoteReference"/>
        </w:rPr>
        <w:footnoteRef/>
      </w:r>
      <w:r>
        <w:t xml:space="preserve"> </w:t>
      </w:r>
      <w:r>
        <w:t xml:space="preserve">Arimura 2016, PMID 27020037.</w:t>
      </w:r>
    </w:p>
  </w:footnote>
  <w:footnote w:id="2653">
    <w:p>
      <w:pPr>
        <w:pStyle w:val="FootnoteText"/>
      </w:pPr>
      <w:r>
        <w:rPr>
          <w:rStyle w:val="FootnoteReference"/>
        </w:rPr>
        <w:footnoteRef/>
      </w:r>
      <w:r>
        <w:t xml:space="preserve"> </w:t>
      </w:r>
      <w:r>
        <w:t xml:space="preserve">MacLean 2014, PMID 24762108.</w:t>
      </w:r>
    </w:p>
  </w:footnote>
  <w:footnote w:id="2654">
    <w:p>
      <w:pPr>
        <w:pStyle w:val="FootnoteText"/>
      </w:pPr>
      <w:r>
        <w:rPr>
          <w:rStyle w:val="FootnoteReference"/>
        </w:rPr>
        <w:footnoteRef/>
      </w:r>
      <w:r>
        <w:t xml:space="preserve"> </w:t>
      </w:r>
      <w:r>
        <w:t xml:space="preserve">Liu 2007, PMID 17227934.</w:t>
      </w:r>
    </w:p>
  </w:footnote>
  <w:footnote w:id="2656">
    <w:p>
      <w:pPr>
        <w:pStyle w:val="FootnoteText"/>
      </w:pPr>
      <w:r>
        <w:rPr>
          <w:rStyle w:val="FootnoteReference"/>
        </w:rPr>
        <w:footnoteRef/>
      </w:r>
      <w:r>
        <w:t xml:space="preserve"> </w:t>
      </w:r>
      <w:r>
        <w:t xml:space="preserve">Chernausek 2007, PMID 17192294.</w:t>
      </w:r>
    </w:p>
  </w:footnote>
  <w:footnote w:id="2657">
    <w:p>
      <w:pPr>
        <w:pStyle w:val="FootnoteText"/>
      </w:pPr>
      <w:r>
        <w:rPr>
          <w:rStyle w:val="FootnoteReference"/>
        </w:rPr>
        <w:footnoteRef/>
      </w:r>
      <w:r>
        <w:t xml:space="preserve"> </w:t>
      </w:r>
      <w:r>
        <w:t xml:space="preserve">Edelman 2006, PMID 17003291.</w:t>
      </w:r>
    </w:p>
  </w:footnote>
  <w:footnote w:id="2658">
    <w:p>
      <w:pPr>
        <w:pStyle w:val="FootnoteText"/>
      </w:pPr>
      <w:r>
        <w:rPr>
          <w:rStyle w:val="FootnoteReference"/>
        </w:rPr>
        <w:footnoteRef/>
      </w:r>
      <w:r>
        <w:t xml:space="preserve"> </w:t>
      </w:r>
      <w:r>
        <w:t xml:space="preserve">Kendall 2005, PMID 15855571.</w:t>
      </w:r>
    </w:p>
  </w:footnote>
  <w:footnote w:id="2659">
    <w:p>
      <w:pPr>
        <w:pStyle w:val="FootnoteText"/>
      </w:pPr>
      <w:r>
        <w:rPr>
          <w:rStyle w:val="FootnoteReference"/>
        </w:rPr>
        <w:footnoteRef/>
      </w:r>
      <w:r>
        <w:t xml:space="preserve"> </w:t>
      </w:r>
      <w:r>
        <w:t xml:space="preserve">Nass 2008, PMID 18981485.</w:t>
      </w:r>
    </w:p>
  </w:footnote>
  <w:footnote w:id="2660">
    <w:p>
      <w:pPr>
        <w:pStyle w:val="FootnoteText"/>
      </w:pPr>
      <w:r>
        <w:rPr>
          <w:rStyle w:val="FootnoteReference"/>
        </w:rPr>
        <w:footnoteRef/>
      </w:r>
      <w:r>
        <w:t xml:space="preserve"> </w:t>
      </w:r>
      <w:r>
        <w:t xml:space="preserve">Liu 2007, PMID 17227934.</w:t>
      </w:r>
    </w:p>
  </w:footnote>
  <w:footnote w:id="2664">
    <w:p>
      <w:pPr>
        <w:pStyle w:val="FootnoteText"/>
      </w:pPr>
      <w:r>
        <w:rPr>
          <w:rStyle w:val="FootnoteReference"/>
        </w:rPr>
        <w:footnoteRef/>
      </w:r>
      <w:r>
        <w:t xml:space="preserve"> </w:t>
      </w:r>
      <w:r>
        <w:t xml:space="preserve">Silverii 2025, PMID 40437949.</w:t>
      </w:r>
    </w:p>
  </w:footnote>
  <w:footnote w:id="2666">
    <w:p>
      <w:pPr>
        <w:pStyle w:val="FootnoteText"/>
      </w:pPr>
      <w:r>
        <w:rPr>
          <w:rStyle w:val="FootnoteReference"/>
        </w:rPr>
        <w:footnoteRef/>
      </w:r>
      <w:r>
        <w:t xml:space="preserve"> </w:t>
      </w:r>
      <w:r>
        <w:t xml:space="preserve">Renehan 2004, PMID 15110491.</w:t>
      </w:r>
    </w:p>
  </w:footnote>
  <w:footnote w:id="2667">
    <w:p>
      <w:pPr>
        <w:pStyle w:val="FootnoteText"/>
      </w:pPr>
      <w:r>
        <w:rPr>
          <w:rStyle w:val="FootnoteReference"/>
        </w:rPr>
        <w:footnoteRef/>
      </w:r>
      <w:r>
        <w:t xml:space="preserve"> </w:t>
      </w:r>
      <w:r>
        <w:t xml:space="preserve">Murphy 2020, PMID 32169310.</w:t>
      </w:r>
    </w:p>
  </w:footnote>
  <w:footnote w:id="2668">
    <w:p>
      <w:pPr>
        <w:pStyle w:val="FootnoteText"/>
      </w:pPr>
      <w:r>
        <w:rPr>
          <w:rStyle w:val="FootnoteReference"/>
        </w:rPr>
        <w:footnoteRef/>
      </w:r>
      <w:r>
        <w:t xml:space="preserve"> </w:t>
      </w:r>
      <w:r>
        <w:t xml:space="preserve">Murphy 2020, PMID 31884074.</w:t>
      </w:r>
    </w:p>
  </w:footnote>
  <w:footnote w:id="2669">
    <w:p>
      <w:pPr>
        <w:pStyle w:val="FootnoteText"/>
      </w:pPr>
      <w:r>
        <w:rPr>
          <w:rStyle w:val="FootnoteReference"/>
        </w:rPr>
        <w:footnoteRef/>
      </w:r>
      <w:r>
        <w:t xml:space="preserve"> </w:t>
      </w:r>
      <w:r>
        <w:t xml:space="preserve">Murphy 2020, PMID 32169310.</w:t>
      </w:r>
    </w:p>
  </w:footnote>
  <w:footnote w:id="2670">
    <w:p>
      <w:pPr>
        <w:pStyle w:val="FootnoteText"/>
      </w:pPr>
      <w:r>
        <w:rPr>
          <w:rStyle w:val="FootnoteReference"/>
        </w:rPr>
        <w:footnoteRef/>
      </w:r>
      <w:r>
        <w:t xml:space="preserve"> </w:t>
      </w:r>
      <w:r>
        <w:t xml:space="preserve">Dal 2018, PMID 29590449.</w:t>
      </w:r>
    </w:p>
  </w:footnote>
  <w:footnote w:id="2671">
    <w:p>
      <w:pPr>
        <w:pStyle w:val="FootnoteText"/>
      </w:pPr>
      <w:r>
        <w:rPr>
          <w:rStyle w:val="FootnoteReference"/>
        </w:rPr>
        <w:footnoteRef/>
      </w:r>
      <w:r>
        <w:t xml:space="preserve"> </w:t>
      </w:r>
      <w:r>
        <w:t xml:space="preserve">Guevara-Aguirre 2011, PMID 21325617.</w:t>
      </w:r>
    </w:p>
  </w:footnote>
  <w:footnote w:id="2672">
    <w:p>
      <w:pPr>
        <w:pStyle w:val="FootnoteText"/>
      </w:pPr>
      <w:r>
        <w:rPr>
          <w:rStyle w:val="FootnoteReference"/>
        </w:rPr>
        <w:footnoteRef/>
      </w:r>
      <w:r>
        <w:t xml:space="preserve"> </w:t>
      </w:r>
      <w:r>
        <w:t xml:space="preserve">Swerdlow 2017, PMID 28187225.</w:t>
      </w:r>
    </w:p>
  </w:footnote>
  <w:footnote w:id="2673">
    <w:p>
      <w:pPr>
        <w:pStyle w:val="FootnoteText"/>
      </w:pPr>
      <w:r>
        <w:rPr>
          <w:rStyle w:val="FootnoteReference"/>
        </w:rPr>
        <w:footnoteRef/>
      </w:r>
      <w:r>
        <w:t xml:space="preserve"> </w:t>
      </w:r>
      <w:r>
        <w:t xml:space="preserve">Child 2015, PMID 25810462.</w:t>
      </w:r>
    </w:p>
  </w:footnote>
  <w:footnote w:id="2674">
    <w:p>
      <w:pPr>
        <w:pStyle w:val="FootnoteText"/>
      </w:pPr>
      <w:r>
        <w:rPr>
          <w:rStyle w:val="FootnoteReference"/>
        </w:rPr>
        <w:footnoteRef/>
      </w:r>
      <w:r>
        <w:t xml:space="preserve"> </w:t>
      </w:r>
      <w:r>
        <w:t xml:space="preserve">Nass 2008, PMID 18981485.</w:t>
      </w:r>
    </w:p>
  </w:footnote>
  <w:footnote w:id="2676">
    <w:p>
      <w:pPr>
        <w:pStyle w:val="FootnoteText"/>
      </w:pPr>
      <w:r>
        <w:rPr>
          <w:rStyle w:val="FootnoteReference"/>
        </w:rPr>
        <w:footnoteRef/>
      </w:r>
      <w:r>
        <w:t xml:space="preserve"> </w:t>
      </w:r>
      <w:r>
        <w:t xml:space="preserve">Hsieh 2017, PMID 27847966.</w:t>
      </w:r>
    </w:p>
  </w:footnote>
  <w:footnote w:id="2677">
    <w:p>
      <w:pPr>
        <w:pStyle w:val="FootnoteText"/>
      </w:pPr>
      <w:r>
        <w:rPr>
          <w:rStyle w:val="FootnoteReference"/>
        </w:rPr>
        <w:footnoteRef/>
      </w:r>
      <w:r>
        <w:t xml:space="preserve"> </w:t>
      </w:r>
      <w:r>
        <w:t xml:space="preserve">Sikiric 2025, PMID 40573323.</w:t>
      </w:r>
    </w:p>
  </w:footnote>
  <w:footnote w:id="2678">
    <w:p>
      <w:pPr>
        <w:pStyle w:val="FootnoteText"/>
      </w:pPr>
      <w:r>
        <w:rPr>
          <w:rStyle w:val="FootnoteReference"/>
        </w:rPr>
        <w:footnoteRef/>
      </w:r>
      <w:r>
        <w:t xml:space="preserve"> </w:t>
      </w:r>
      <w:r>
        <w:t xml:space="preserve">Wang 2016, PMID 27596300.</w:t>
      </w:r>
    </w:p>
  </w:footnote>
  <w:footnote w:id="2679">
    <w:p>
      <w:pPr>
        <w:pStyle w:val="FootnoteText"/>
      </w:pPr>
      <w:r>
        <w:rPr>
          <w:rStyle w:val="FootnoteReference"/>
        </w:rPr>
        <w:footnoteRef/>
      </w:r>
      <w:r>
        <w:t xml:space="preserve"> </w:t>
      </w:r>
      <w:r>
        <w:t xml:space="preserve">Larsson 2007, PMID 17495241.</w:t>
      </w:r>
    </w:p>
  </w:footnote>
  <w:footnote w:id="2680">
    <w:p>
      <w:pPr>
        <w:pStyle w:val="FootnoteText"/>
      </w:pPr>
      <w:r>
        <w:rPr>
          <w:rStyle w:val="FootnoteReference"/>
        </w:rPr>
        <w:footnoteRef/>
      </w:r>
      <w:r>
        <w:t xml:space="preserve"> </w:t>
      </w:r>
      <w:r>
        <w:t xml:space="preserve">Moreno Ayala 2020, PMID 32444831.</w:t>
      </w:r>
    </w:p>
  </w:footnote>
  <w:footnote w:id="2681">
    <w:p>
      <w:pPr>
        <w:pStyle w:val="FootnoteText"/>
      </w:pPr>
      <w:r>
        <w:rPr>
          <w:rStyle w:val="FootnoteReference"/>
        </w:rPr>
        <w:footnoteRef/>
      </w:r>
      <w:r>
        <w:t xml:space="preserve"> </w:t>
      </w:r>
      <w:r>
        <w:t xml:space="preserve">Al-Dulaimi 2025, PMID 40908429.</w:t>
      </w:r>
    </w:p>
  </w:footnote>
  <w:footnote w:id="2682">
    <w:p>
      <w:pPr>
        <w:pStyle w:val="FootnoteText"/>
      </w:pPr>
      <w:r>
        <w:rPr>
          <w:rStyle w:val="FootnoteReference"/>
        </w:rPr>
        <w:footnoteRef/>
      </w:r>
      <w:r>
        <w:t xml:space="preserve"> </w:t>
      </w:r>
      <w:r>
        <w:t xml:space="preserve">Anisimov 2003, PMID 14501183.</w:t>
      </w:r>
    </w:p>
  </w:footnote>
  <w:footnote w:id="2683">
    <w:p>
      <w:pPr>
        <w:pStyle w:val="FootnoteText"/>
      </w:pPr>
      <w:r>
        <w:rPr>
          <w:rStyle w:val="FootnoteReference"/>
        </w:rPr>
        <w:footnoteRef/>
      </w:r>
      <w:r>
        <w:t xml:space="preserve"> </w:t>
      </w:r>
      <w:r>
        <w:t xml:space="preserve">Chen 2018, PMID 29843147.</w:t>
      </w:r>
    </w:p>
  </w:footnote>
  <w:footnote w:id="2684">
    <w:p>
      <w:pPr>
        <w:pStyle w:val="FootnoteText"/>
      </w:pPr>
      <w:r>
        <w:rPr>
          <w:rStyle w:val="FootnoteReference"/>
        </w:rPr>
        <w:footnoteRef/>
      </w:r>
      <w:r>
        <w:t xml:space="preserve"> </w:t>
      </w:r>
      <w:r>
        <w:t xml:space="preserve">Wright 2015, PMID 25649658.</w:t>
      </w:r>
    </w:p>
  </w:footnote>
  <w:footnote w:id="2686">
    <w:p>
      <w:pPr>
        <w:pStyle w:val="FootnoteText"/>
      </w:pPr>
      <w:r>
        <w:rPr>
          <w:rStyle w:val="FootnoteReference"/>
        </w:rPr>
        <w:footnoteRef/>
      </w:r>
      <w:r>
        <w:t xml:space="preserve"> </w:t>
      </w:r>
      <w:r>
        <w:t xml:space="preserve">Habbema 2017, PMID 28266027.</w:t>
      </w:r>
    </w:p>
  </w:footnote>
  <w:footnote w:id="2687">
    <w:p>
      <w:pPr>
        <w:pStyle w:val="FootnoteText"/>
      </w:pPr>
      <w:r>
        <w:rPr>
          <w:rStyle w:val="FootnoteReference"/>
        </w:rPr>
        <w:footnoteRef/>
      </w:r>
      <w:r>
        <w:t xml:space="preserve"> </w:t>
      </w:r>
      <w:r>
        <w:t xml:space="preserve">Burian 2019, PMID 31119650.</w:t>
      </w:r>
    </w:p>
  </w:footnote>
  <w:footnote w:id="2688">
    <w:p>
      <w:pPr>
        <w:pStyle w:val="FootnoteText"/>
      </w:pPr>
      <w:r>
        <w:rPr>
          <w:rStyle w:val="FootnoteReference"/>
        </w:rPr>
        <w:footnoteRef/>
      </w:r>
      <w:r>
        <w:t xml:space="preserve"> </w:t>
      </w:r>
      <w:r>
        <w:t xml:space="preserve">Arisi 2021, PMID 33721252.</w:t>
      </w:r>
    </w:p>
  </w:footnote>
  <w:footnote w:id="2689">
    <w:p>
      <w:pPr>
        <w:pStyle w:val="FootnoteText"/>
      </w:pPr>
      <w:r>
        <w:rPr>
          <w:rStyle w:val="FootnoteReference"/>
        </w:rPr>
        <w:footnoteRef/>
      </w:r>
      <w:r>
        <w:t xml:space="preserve"> </w:t>
      </w:r>
      <w:r>
        <w:t xml:space="preserve">Kanti 2021, PMID 34058738.</w:t>
      </w:r>
    </w:p>
  </w:footnote>
  <w:footnote w:id="2691">
    <w:p>
      <w:pPr>
        <w:pStyle w:val="FootnoteText"/>
      </w:pPr>
      <w:r>
        <w:rPr>
          <w:rStyle w:val="FootnoteReference"/>
        </w:rPr>
        <w:footnoteRef/>
      </w:r>
      <w:r>
        <w:t xml:space="preserve"> </w:t>
      </w:r>
      <w:r>
        <w:t xml:space="preserve">Bjerre Knudsen 2010, PMID 20203154.</w:t>
      </w:r>
    </w:p>
  </w:footnote>
  <w:footnote w:id="2692">
    <w:p>
      <w:pPr>
        <w:pStyle w:val="FootnoteText"/>
      </w:pPr>
      <w:r>
        <w:rPr>
          <w:rStyle w:val="FootnoteReference"/>
        </w:rPr>
        <w:footnoteRef/>
      </w:r>
      <w:r>
        <w:t xml:space="preserve"> </w:t>
      </w:r>
      <w:r>
        <w:t xml:space="preserve">Gier 2012, PMID 22031513.</w:t>
      </w:r>
    </w:p>
  </w:footnote>
  <w:footnote w:id="2693">
    <w:p>
      <w:pPr>
        <w:pStyle w:val="FootnoteText"/>
      </w:pPr>
      <w:r>
        <w:rPr>
          <w:rStyle w:val="FootnoteReference"/>
        </w:rPr>
        <w:footnoteRef/>
      </w:r>
      <w:r>
        <w:t xml:space="preserve"> </w:t>
      </w:r>
      <w:r>
        <w:t xml:space="preserve">Hegedüs 2018, PMID 29279300.</w:t>
      </w:r>
    </w:p>
  </w:footnote>
  <w:footnote w:id="2694">
    <w:p>
      <w:pPr>
        <w:pStyle w:val="FootnoteText"/>
      </w:pPr>
      <w:r>
        <w:rPr>
          <w:rStyle w:val="FootnoteReference"/>
        </w:rPr>
        <w:footnoteRef/>
      </w:r>
      <w:r>
        <w:t xml:space="preserve"> </w:t>
      </w:r>
      <w:r>
        <w:t xml:space="preserve">Bezin 2023, PMID 36356111.</w:t>
      </w:r>
    </w:p>
  </w:footnote>
  <w:footnote w:id="2695">
    <w:p>
      <w:pPr>
        <w:pStyle w:val="FootnoteText"/>
      </w:pPr>
      <w:r>
        <w:rPr>
          <w:rStyle w:val="FootnoteReference"/>
        </w:rPr>
        <w:footnoteRef/>
      </w:r>
      <w:r>
        <w:t xml:space="preserve"> </w:t>
      </w:r>
      <w:r>
        <w:t xml:space="preserve">Pasternak 2024, PMID 38683947.</w:t>
      </w:r>
    </w:p>
  </w:footnote>
  <w:footnote w:id="2696">
    <w:p>
      <w:pPr>
        <w:pStyle w:val="FootnoteText"/>
      </w:pPr>
      <w:r>
        <w:rPr>
          <w:rStyle w:val="FootnoteReference"/>
        </w:rPr>
        <w:footnoteRef/>
      </w:r>
      <w:r>
        <w:t xml:space="preserve"> </w:t>
      </w:r>
      <w:r>
        <w:t xml:space="preserve">Silverii 2025, PMID 40437949.</w:t>
      </w:r>
    </w:p>
  </w:footnote>
  <w:footnote w:id="2698">
    <w:p>
      <w:pPr>
        <w:pStyle w:val="FootnoteText"/>
      </w:pPr>
      <w:r>
        <w:rPr>
          <w:rStyle w:val="FootnoteReference"/>
        </w:rPr>
        <w:footnoteRef/>
      </w:r>
      <w:r>
        <w:t xml:space="preserve"> </w:t>
      </w:r>
      <w:r>
        <w:t xml:space="preserve">Wen 2025, PMID 40988099.</w:t>
      </w:r>
    </w:p>
  </w:footnote>
  <w:footnote w:id="2699">
    <w:p>
      <w:pPr>
        <w:pStyle w:val="FootnoteText"/>
      </w:pPr>
      <w:r>
        <w:rPr>
          <w:rStyle w:val="FootnoteReference"/>
        </w:rPr>
        <w:footnoteRef/>
      </w:r>
      <w:r>
        <w:t xml:space="preserve"> </w:t>
      </w:r>
      <w:r>
        <w:t xml:space="preserve">Wang 2024, PMID 38967919.</w:t>
      </w:r>
    </w:p>
  </w:footnote>
  <w:footnote w:id="2700">
    <w:p>
      <w:pPr>
        <w:pStyle w:val="FootnoteText"/>
      </w:pPr>
      <w:r>
        <w:rPr>
          <w:rStyle w:val="FootnoteReference"/>
        </w:rPr>
        <w:footnoteRef/>
      </w:r>
      <w:r>
        <w:t xml:space="preserve"> </w:t>
      </w:r>
      <w:r>
        <w:t xml:space="preserve">Rajan 2026, PMID 42541759.</w:t>
      </w:r>
    </w:p>
  </w:footnote>
  <w:footnote w:id="2705">
    <w:p>
      <w:pPr>
        <w:pStyle w:val="FootnoteText"/>
      </w:pPr>
      <w:r>
        <w:rPr>
          <w:rStyle w:val="FootnoteReference"/>
        </w:rPr>
        <w:footnoteRef/>
      </w:r>
      <w:r>
        <w:t xml:space="preserve"> </w:t>
      </w:r>
      <w:r>
        <w:t xml:space="preserve">Shankar 2014, PMID 24764037.</w:t>
      </w:r>
    </w:p>
  </w:footnote>
  <w:footnote w:id="2707">
    <w:p>
      <w:pPr>
        <w:pStyle w:val="FootnoteText"/>
      </w:pPr>
      <w:r>
        <w:rPr>
          <w:rStyle w:val="FootnoteReference"/>
        </w:rPr>
        <w:footnoteRef/>
      </w:r>
      <w:r>
        <w:t xml:space="preserve"> </w:t>
      </w:r>
      <w:r>
        <w:t xml:space="preserve">Buse 2011, PMID 21450987.</w:t>
      </w:r>
    </w:p>
  </w:footnote>
  <w:footnote w:id="2708">
    <w:p>
      <w:pPr>
        <w:pStyle w:val="FootnoteText"/>
      </w:pPr>
      <w:r>
        <w:rPr>
          <w:rStyle w:val="FootnoteReference"/>
        </w:rPr>
        <w:footnoteRef/>
      </w:r>
      <w:r>
        <w:t xml:space="preserve"> </w:t>
      </w:r>
      <w:r>
        <w:t xml:space="preserve">Mullins 2024, PMID 37700637.</w:t>
      </w:r>
    </w:p>
  </w:footnote>
  <w:footnote w:id="2710">
    <w:p>
      <w:pPr>
        <w:pStyle w:val="FootnoteText"/>
      </w:pPr>
      <w:r>
        <w:rPr>
          <w:rStyle w:val="FootnoteReference"/>
        </w:rPr>
        <w:footnoteRef/>
      </w:r>
      <w:r>
        <w:t xml:space="preserve"> </w:t>
      </w:r>
      <w:r>
        <w:t xml:space="preserve">Taj 2026, PMID 41395692.</w:t>
      </w:r>
    </w:p>
  </w:footnote>
  <w:footnote w:id="2711">
    <w:p>
      <w:pPr>
        <w:pStyle w:val="FootnoteText"/>
      </w:pPr>
      <w:r>
        <w:rPr>
          <w:rStyle w:val="FootnoteReference"/>
        </w:rPr>
        <w:footnoteRef/>
      </w:r>
      <w:r>
        <w:t xml:space="preserve"> </w:t>
      </w:r>
      <w:r>
        <w:t xml:space="preserve">Wysham 2015, PMID 25744115.</w:t>
      </w:r>
    </w:p>
  </w:footnote>
  <w:footnote w:id="2712">
    <w:p>
      <w:pPr>
        <w:pStyle w:val="FootnoteText"/>
      </w:pPr>
      <w:r>
        <w:rPr>
          <w:rStyle w:val="FootnoteReference"/>
        </w:rPr>
        <w:footnoteRef/>
      </w:r>
      <w:r>
        <w:t xml:space="preserve"> </w:t>
      </w:r>
      <w:r>
        <w:t xml:space="preserve">Chen 2021, PMID 33748252.</w:t>
      </w:r>
    </w:p>
  </w:footnote>
  <w:footnote w:id="2714">
    <w:p>
      <w:pPr>
        <w:pStyle w:val="FootnoteText"/>
      </w:pPr>
      <w:r>
        <w:rPr>
          <w:rStyle w:val="FootnoteReference"/>
        </w:rPr>
        <w:footnoteRef/>
      </w:r>
      <w:r>
        <w:t xml:space="preserve"> </w:t>
      </w:r>
      <w:r>
        <w:t xml:space="preserve">Anthony 2024, PMID 38363873.</w:t>
      </w:r>
    </w:p>
  </w:footnote>
  <w:footnote w:id="2715">
    <w:p>
      <w:pPr>
        <w:pStyle w:val="FootnoteText"/>
      </w:pPr>
      <w:r>
        <w:rPr>
          <w:rStyle w:val="FootnoteReference"/>
        </w:rPr>
        <w:footnoteRef/>
      </w:r>
      <w:r>
        <w:t xml:space="preserve"> </w:t>
      </w:r>
      <w:r>
        <w:t xml:space="preserve">Pradhan 2022, PMID 35136902.</w:t>
      </w:r>
    </w:p>
  </w:footnote>
  <w:footnote w:id="2716">
    <w:p>
      <w:pPr>
        <w:pStyle w:val="FootnoteText"/>
      </w:pPr>
      <w:r>
        <w:rPr>
          <w:rStyle w:val="FootnoteReference"/>
        </w:rPr>
        <w:footnoteRef/>
      </w:r>
      <w:r>
        <w:t xml:space="preserve"> </w:t>
      </w:r>
      <w:r>
        <w:t xml:space="preserve">Ornelas 2018, PMID 30350785.</w:t>
      </w:r>
    </w:p>
  </w:footnote>
  <w:footnote w:id="2717">
    <w:p>
      <w:pPr>
        <w:pStyle w:val="FootnoteText"/>
      </w:pPr>
      <w:r>
        <w:rPr>
          <w:rStyle w:val="FootnoteReference"/>
        </w:rPr>
        <w:footnoteRef/>
      </w:r>
      <w:r>
        <w:t xml:space="preserve"> </w:t>
      </w:r>
      <w:r>
        <w:t xml:space="preserve">Shamriz 2019, PMID 31296642.</w:t>
      </w:r>
    </w:p>
  </w:footnote>
  <w:footnote w:id="2718">
    <w:p>
      <w:pPr>
        <w:pStyle w:val="FootnoteText"/>
      </w:pPr>
      <w:r>
        <w:rPr>
          <w:rStyle w:val="FootnoteReference"/>
        </w:rPr>
        <w:footnoteRef/>
      </w:r>
      <w:r>
        <w:t xml:space="preserve"> </w:t>
      </w:r>
      <w:r>
        <w:t xml:space="preserve">He 2023, PMID 38186543.</w:t>
      </w:r>
    </w:p>
  </w:footnote>
  <w:footnote w:id="2719">
    <w:p>
      <w:pPr>
        <w:pStyle w:val="FootnoteText"/>
      </w:pPr>
      <w:r>
        <w:rPr>
          <w:rStyle w:val="FootnoteReference"/>
        </w:rPr>
        <w:footnoteRef/>
      </w:r>
      <w:r>
        <w:t xml:space="preserve"> </w:t>
      </w:r>
      <w:r>
        <w:t xml:space="preserve">Kraft 2026, PMID 42194666.</w:t>
      </w:r>
    </w:p>
  </w:footnote>
  <w:footnote w:id="2720">
    <w:p>
      <w:pPr>
        <w:pStyle w:val="FootnoteText"/>
      </w:pPr>
      <w:r>
        <w:rPr>
          <w:rStyle w:val="FootnoteReference"/>
        </w:rPr>
        <w:footnoteRef/>
      </w:r>
      <w:r>
        <w:t xml:space="preserve"> </w:t>
      </w:r>
      <w:r>
        <w:t xml:space="preserve">Trimmel 2024, PMID 39055722.</w:t>
      </w:r>
    </w:p>
  </w:footnote>
  <w:footnote w:id="2721">
    <w:p>
      <w:pPr>
        <w:pStyle w:val="FootnoteText"/>
      </w:pPr>
      <w:r>
        <w:rPr>
          <w:rStyle w:val="FootnoteReference"/>
        </w:rPr>
        <w:footnoteRef/>
      </w:r>
      <w:r>
        <w:t xml:space="preserve"> </w:t>
      </w:r>
      <w:r>
        <w:t xml:space="preserve">Röper 2004, PMID 15127162.</w:t>
      </w:r>
    </w:p>
  </w:footnote>
  <w:footnote w:id="2723">
    <w:p>
      <w:pPr>
        <w:pStyle w:val="FootnoteText"/>
      </w:pPr>
      <w:r>
        <w:rPr>
          <w:rStyle w:val="FootnoteReference"/>
        </w:rPr>
        <w:footnoteRef/>
      </w:r>
      <w:r>
        <w:t xml:space="preserve"> </w:t>
      </w:r>
      <w:r>
        <w:t xml:space="preserve">Lande 2007, PMID 17873860.</w:t>
      </w:r>
    </w:p>
  </w:footnote>
  <w:footnote w:id="2724">
    <w:p>
      <w:pPr>
        <w:pStyle w:val="FootnoteText"/>
      </w:pPr>
      <w:r>
        <w:rPr>
          <w:rStyle w:val="FootnoteReference"/>
        </w:rPr>
        <w:footnoteRef/>
      </w:r>
      <w:r>
        <w:t xml:space="preserve"> </w:t>
      </w:r>
      <w:r>
        <w:t xml:space="preserve">Lande 2014, PMID 25470744.</w:t>
      </w:r>
    </w:p>
  </w:footnote>
  <w:footnote w:id="2725">
    <w:p>
      <w:pPr>
        <w:pStyle w:val="FootnoteText"/>
      </w:pPr>
      <w:r>
        <w:rPr>
          <w:rStyle w:val="FootnoteReference"/>
        </w:rPr>
        <w:footnoteRef/>
      </w:r>
      <w:r>
        <w:t xml:space="preserve"> </w:t>
      </w:r>
      <w:r>
        <w:t xml:space="preserve">Dolkar 2018, PMID 29665030.</w:t>
      </w:r>
    </w:p>
  </w:footnote>
  <w:footnote w:id="2726">
    <w:p>
      <w:pPr>
        <w:pStyle w:val="FootnoteText"/>
      </w:pPr>
      <w:r>
        <w:rPr>
          <w:rStyle w:val="FootnoteReference"/>
        </w:rPr>
        <w:footnoteRef/>
      </w:r>
      <w:r>
        <w:t xml:space="preserve"> </w:t>
      </w:r>
      <w:r>
        <w:t xml:space="preserve">Gupta 2026, PMID 42930571.</w:t>
      </w:r>
    </w:p>
  </w:footnote>
  <w:footnote w:id="2728">
    <w:p>
      <w:pPr>
        <w:pStyle w:val="FootnoteText"/>
      </w:pPr>
      <w:r>
        <w:rPr>
          <w:rStyle w:val="FootnoteReference"/>
        </w:rPr>
        <w:footnoteRef/>
      </w:r>
      <w:r>
        <w:t xml:space="preserve"> </w:t>
      </w:r>
      <w:r>
        <w:t xml:space="preserve">De Groot 2023, PMID 37467878.</w:t>
      </w:r>
    </w:p>
  </w:footnote>
  <w:footnote w:id="2729">
    <w:p>
      <w:pPr>
        <w:pStyle w:val="FootnoteText"/>
      </w:pPr>
      <w:r>
        <w:rPr>
          <w:rStyle w:val="FootnoteReference"/>
        </w:rPr>
        <w:footnoteRef/>
      </w:r>
      <w:r>
        <w:t xml:space="preserve"> </w:t>
      </w:r>
      <w:r>
        <w:t xml:space="preserve">Mattei 2025, PMID 41445733.</w:t>
      </w:r>
    </w:p>
  </w:footnote>
  <w:footnote w:id="2730">
    <w:p>
      <w:pPr>
        <w:pStyle w:val="FootnoteText"/>
      </w:pPr>
      <w:r>
        <w:rPr>
          <w:rStyle w:val="FootnoteReference"/>
        </w:rPr>
        <w:footnoteRef/>
      </w:r>
      <w:r>
        <w:t xml:space="preserve"> </w:t>
      </w:r>
      <w:r>
        <w:t xml:space="preserve">Hach 2024, PMID 39379664.</w:t>
      </w:r>
    </w:p>
  </w:footnote>
  <w:footnote w:id="2731">
    <w:p>
      <w:pPr>
        <w:pStyle w:val="FootnoteText"/>
      </w:pPr>
      <w:r>
        <w:rPr>
          <w:rStyle w:val="FootnoteReference"/>
        </w:rPr>
        <w:footnoteRef/>
      </w:r>
      <w:r>
        <w:t xml:space="preserve"> </w:t>
      </w:r>
      <w:r>
        <w:t xml:space="preserve">Tang 2025, PMID 40398094.</w:t>
      </w:r>
    </w:p>
  </w:footnote>
  <w:footnote w:id="2732">
    <w:p>
      <w:pPr>
        <w:pStyle w:val="FootnoteText"/>
      </w:pPr>
      <w:r>
        <w:rPr>
          <w:rStyle w:val="FootnoteReference"/>
        </w:rPr>
        <w:footnoteRef/>
      </w:r>
      <w:r>
        <w:t xml:space="preserve"> </w:t>
      </w:r>
      <w:r>
        <w:t xml:space="preserve">Janvier 2018, PMID 28941153.</w:t>
      </w:r>
    </w:p>
  </w:footnote>
  <w:footnote w:id="2736">
    <w:p>
      <w:pPr>
        <w:pStyle w:val="FootnoteText"/>
      </w:pPr>
      <w:r>
        <w:rPr>
          <w:rStyle w:val="FootnoteReference"/>
        </w:rPr>
        <w:footnoteRef/>
      </w:r>
      <w:r>
        <w:t xml:space="preserve"> </w:t>
      </w:r>
      <w:r>
        <w:t xml:space="preserve">Vanhee 2015, PMID 26003685.</w:t>
      </w:r>
    </w:p>
  </w:footnote>
  <w:footnote w:id="2738">
    <w:p>
      <w:pPr>
        <w:pStyle w:val="FootnoteText"/>
      </w:pPr>
      <w:r>
        <w:rPr>
          <w:rStyle w:val="FootnoteReference"/>
        </w:rPr>
        <w:footnoteRef/>
      </w:r>
      <w:r>
        <w:t xml:space="preserve"> </w:t>
      </w:r>
      <w:r>
        <w:t xml:space="preserve">Høj 2021, PMID 33686802.</w:t>
      </w:r>
    </w:p>
  </w:footnote>
  <w:footnote w:id="2739">
    <w:p>
      <w:pPr>
        <w:pStyle w:val="FootnoteText"/>
      </w:pPr>
      <w:r>
        <w:rPr>
          <w:rStyle w:val="FootnoteReference"/>
        </w:rPr>
        <w:footnoteRef/>
      </w:r>
      <w:r>
        <w:t xml:space="preserve"> </w:t>
      </w:r>
      <w:r>
        <w:t xml:space="preserve">Venhuis 2016, PMID 26456392.</w:t>
      </w:r>
    </w:p>
  </w:footnote>
  <w:footnote w:id="2740">
    <w:p>
      <w:pPr>
        <w:pStyle w:val="FootnoteText"/>
      </w:pPr>
      <w:r>
        <w:rPr>
          <w:rStyle w:val="FootnoteReference"/>
        </w:rPr>
        <w:footnoteRef/>
      </w:r>
      <w:r>
        <w:t xml:space="preserve"> </w:t>
      </w:r>
      <w:r>
        <w:t xml:space="preserve">Vanhee 2017, PMID 27390261.</w:t>
      </w:r>
    </w:p>
  </w:footnote>
  <w:footnote w:id="2741">
    <w:p>
      <w:pPr>
        <w:pStyle w:val="FootnoteText"/>
      </w:pPr>
      <w:r>
        <w:rPr>
          <w:rStyle w:val="FootnoteReference"/>
        </w:rPr>
        <w:footnoteRef/>
      </w:r>
      <w:r>
        <w:t xml:space="preserve"> </w:t>
      </w:r>
      <w:r>
        <w:t xml:space="preserve">Delcourt 2023, PMID 36482504.</w:t>
      </w:r>
    </w:p>
  </w:footnote>
  <w:footnote w:id="2742">
    <w:p>
      <w:pPr>
        <w:pStyle w:val="FootnoteText"/>
      </w:pPr>
      <w:r>
        <w:rPr>
          <w:rStyle w:val="FootnoteReference"/>
        </w:rPr>
        <w:footnoteRef/>
      </w:r>
      <w:r>
        <w:t xml:space="preserve"> </w:t>
      </w:r>
      <w:r>
        <w:t xml:space="preserve">Van Wagoner 2017, PMID 29183075.</w:t>
      </w:r>
    </w:p>
  </w:footnote>
  <w:footnote w:id="2744">
    <w:p>
      <w:pPr>
        <w:pStyle w:val="FootnoteText"/>
      </w:pPr>
      <w:r>
        <w:rPr>
          <w:rStyle w:val="FootnoteReference"/>
        </w:rPr>
        <w:footnoteRef/>
      </w:r>
      <w:r>
        <w:t xml:space="preserve"> </w:t>
      </w:r>
      <w:r>
        <w:t xml:space="preserve">Van Wagoner 2017, PMID 29183075.</w:t>
      </w:r>
    </w:p>
  </w:footnote>
  <w:footnote w:id="2745">
    <w:p>
      <w:pPr>
        <w:pStyle w:val="FootnoteText"/>
      </w:pPr>
      <w:r>
        <w:rPr>
          <w:rStyle w:val="FootnoteReference"/>
        </w:rPr>
        <w:footnoteRef/>
      </w:r>
      <w:r>
        <w:t xml:space="preserve"> </w:t>
      </w:r>
      <w:r>
        <w:t xml:space="preserve">Fabresse 2021, PMID 33838562.</w:t>
      </w:r>
    </w:p>
  </w:footnote>
  <w:footnote w:id="2746">
    <w:p>
      <w:pPr>
        <w:pStyle w:val="FootnoteText"/>
      </w:pPr>
      <w:r>
        <w:rPr>
          <w:rStyle w:val="FootnoteReference"/>
        </w:rPr>
        <w:footnoteRef/>
      </w:r>
      <w:r>
        <w:t xml:space="preserve"> </w:t>
      </w:r>
      <w:r>
        <w:t xml:space="preserve">Barrios 2025, PMID 40551438.</w:t>
      </w:r>
    </w:p>
  </w:footnote>
  <w:footnote w:id="2748">
    <w:p>
      <w:pPr>
        <w:pStyle w:val="FootnoteText"/>
      </w:pPr>
      <w:r>
        <w:rPr>
          <w:rStyle w:val="FootnoteReference"/>
        </w:rPr>
        <w:footnoteRef/>
      </w:r>
      <w:r>
        <w:t xml:space="preserve"> </w:t>
      </w:r>
      <w:r>
        <w:t xml:space="preserve">Janvier 2018, PMID 30029448.</w:t>
      </w:r>
    </w:p>
  </w:footnote>
  <w:footnote w:id="2749">
    <w:p>
      <w:pPr>
        <w:pStyle w:val="FootnoteText"/>
      </w:pPr>
      <w:r>
        <w:rPr>
          <w:rStyle w:val="FootnoteReference"/>
        </w:rPr>
        <w:footnoteRef/>
      </w:r>
      <w:r>
        <w:t xml:space="preserve"> </w:t>
      </w:r>
      <w:r>
        <w:t xml:space="preserve">Mongongu 2021, PMID 33587816.</w:t>
      </w:r>
    </w:p>
  </w:footnote>
  <w:footnote w:id="2750">
    <w:p>
      <w:pPr>
        <w:pStyle w:val="FootnoteText"/>
      </w:pPr>
      <w:r>
        <w:rPr>
          <w:rStyle w:val="FootnoteReference"/>
        </w:rPr>
        <w:footnoteRef/>
      </w:r>
      <w:r>
        <w:t xml:space="preserve"> </w:t>
      </w:r>
      <w:r>
        <w:t xml:space="preserve">Deville 2024, PMID 39302005.</w:t>
      </w:r>
    </w:p>
  </w:footnote>
  <w:footnote w:id="2751">
    <w:p>
      <w:pPr>
        <w:pStyle w:val="FootnoteText"/>
      </w:pPr>
      <w:r>
        <w:rPr>
          <w:rStyle w:val="FootnoteReference"/>
        </w:rPr>
        <w:footnoteRef/>
      </w:r>
      <w:r>
        <w:t xml:space="preserve"> </w:t>
      </w:r>
      <w:r>
        <w:t xml:space="preserve">Gajda 2019, PMID 30136411.</w:t>
      </w:r>
    </w:p>
  </w:footnote>
  <w:footnote w:id="2753">
    <w:p>
      <w:pPr>
        <w:pStyle w:val="FootnoteText"/>
      </w:pPr>
      <w:r>
        <w:rPr>
          <w:rStyle w:val="FootnoteReference"/>
        </w:rPr>
        <w:footnoteRef/>
      </w:r>
      <w:r>
        <w:t xml:space="preserve"> </w:t>
      </w:r>
      <w:r>
        <w:t xml:space="preserve">Janvier 2018, PMID 30029448.</w:t>
      </w:r>
    </w:p>
  </w:footnote>
  <w:footnote w:id="2754">
    <w:p>
      <w:pPr>
        <w:pStyle w:val="FootnoteText"/>
      </w:pPr>
      <w:r>
        <w:rPr>
          <w:rStyle w:val="FootnoteReference"/>
        </w:rPr>
        <w:footnoteRef/>
      </w:r>
      <w:r>
        <w:t xml:space="preserve"> </w:t>
      </w:r>
      <w:r>
        <w:t xml:space="preserve">Janvier 2018, PMID 28941153.</w:t>
      </w:r>
    </w:p>
  </w:footnote>
  <w:footnote w:id="2755">
    <w:p>
      <w:pPr>
        <w:pStyle w:val="FootnoteText"/>
      </w:pPr>
      <w:r>
        <w:rPr>
          <w:rStyle w:val="FootnoteReference"/>
        </w:rPr>
        <w:footnoteRef/>
      </w:r>
      <w:r>
        <w:t xml:space="preserve"> </w:t>
      </w:r>
      <w:r>
        <w:t xml:space="preserve">Ashraf 2024, PMID 39509151.</w:t>
      </w:r>
    </w:p>
  </w:footnote>
  <w:footnote w:id="2758">
    <w:p>
      <w:pPr>
        <w:pStyle w:val="FootnoteText"/>
      </w:pPr>
      <w:r>
        <w:rPr>
          <w:rStyle w:val="FootnoteReference"/>
        </w:rPr>
        <w:footnoteRef/>
      </w:r>
      <w:r>
        <w:t xml:space="preserve"> </w:t>
      </w:r>
      <w:r>
        <w:t xml:space="preserve">Deconinck 2021, PMID 33453144.</w:t>
      </w:r>
    </w:p>
  </w:footnote>
  <w:footnote w:id="2759">
    <w:p>
      <w:pPr>
        <w:pStyle w:val="FootnoteText"/>
      </w:pPr>
      <w:r>
        <w:rPr>
          <w:rStyle w:val="FootnoteReference"/>
        </w:rPr>
        <w:footnoteRef/>
      </w:r>
      <w:r>
        <w:t xml:space="preserve"> </w:t>
      </w:r>
      <w:r>
        <w:t xml:space="preserve">Vanhee 2015, PMID 25535022.</w:t>
      </w:r>
    </w:p>
  </w:footnote>
  <w:footnote w:id="2760">
    <w:p>
      <w:pPr>
        <w:pStyle w:val="FootnoteText"/>
      </w:pPr>
      <w:r>
        <w:rPr>
          <w:rStyle w:val="FootnoteReference"/>
        </w:rPr>
        <w:footnoteRef/>
      </w:r>
      <w:r>
        <w:t xml:space="preserve"> </w:t>
      </w:r>
      <w:r>
        <w:t xml:space="preserve">Vanhee 2020, PMID 31667971.</w:t>
      </w:r>
    </w:p>
  </w:footnote>
  <w:footnote w:id="2761">
    <w:p>
      <w:pPr>
        <w:pStyle w:val="FootnoteText"/>
      </w:pPr>
      <w:r>
        <w:rPr>
          <w:rStyle w:val="FootnoteReference"/>
        </w:rPr>
        <w:footnoteRef/>
      </w:r>
      <w:r>
        <w:t xml:space="preserve"> </w:t>
      </w:r>
      <w:r>
        <w:t xml:space="preserve">White 2026, PMID 41480958.</w:t>
      </w:r>
    </w:p>
  </w:footnote>
  <w:footnote w:id="2762">
    <w:p>
      <w:pPr>
        <w:pStyle w:val="FootnoteText"/>
      </w:pPr>
      <w:r>
        <w:rPr>
          <w:rStyle w:val="FootnoteReference"/>
        </w:rPr>
        <w:footnoteRef/>
      </w:r>
      <w:r>
        <w:t xml:space="preserve"> </w:t>
      </w:r>
      <w:r>
        <w:t xml:space="preserve">Barrios 2025, PMID 40551438.</w:t>
      </w:r>
    </w:p>
  </w:footnote>
  <w:footnote w:id="2765">
    <w:p>
      <w:pPr>
        <w:pStyle w:val="FootnoteText"/>
      </w:pPr>
      <w:r>
        <w:rPr>
          <w:rStyle w:val="FootnoteReference"/>
        </w:rPr>
        <w:footnoteRef/>
      </w:r>
      <w:r>
        <w:t xml:space="preserve"> </w:t>
      </w:r>
      <w:r>
        <w:t xml:space="preserve">Gaw 2024, PMID 38421490.</w:t>
      </w:r>
    </w:p>
  </w:footnote>
  <w:footnote w:id="2766">
    <w:p>
      <w:pPr>
        <w:pStyle w:val="FootnoteText"/>
      </w:pPr>
      <w:r>
        <w:rPr>
          <w:rStyle w:val="FootnoteReference"/>
        </w:rPr>
        <w:footnoteRef/>
      </w:r>
      <w:r>
        <w:t xml:space="preserve"> </w:t>
      </w:r>
      <w:r>
        <w:t xml:space="preserve">Senthilkumar 2026, PMID 41784916.</w:t>
      </w:r>
    </w:p>
  </w:footnote>
  <w:footnote w:id="2767">
    <w:p>
      <w:pPr>
        <w:pStyle w:val="FootnoteText"/>
      </w:pPr>
      <w:r>
        <w:rPr>
          <w:rStyle w:val="FootnoteReference"/>
        </w:rPr>
        <w:footnoteRef/>
      </w:r>
      <w:r>
        <w:t xml:space="preserve"> </w:t>
      </w:r>
      <w:r>
        <w:t xml:space="preserve">Gaw 2024, PMID 38421490; Ho 2025, PMID 40371098.</w:t>
      </w:r>
    </w:p>
  </w:footnote>
  <w:footnote w:id="2768">
    <w:p>
      <w:pPr>
        <w:pStyle w:val="FootnoteText"/>
      </w:pPr>
      <w:r>
        <w:rPr>
          <w:rStyle w:val="FootnoteReference"/>
        </w:rPr>
        <w:footnoteRef/>
      </w:r>
      <w:r>
        <w:t xml:space="preserve"> </w:t>
      </w:r>
      <w:r>
        <w:t xml:space="preserve">Marshall 2024, PMID 38861153.</w:t>
      </w:r>
    </w:p>
  </w:footnote>
  <w:footnote w:id="2769">
    <w:p>
      <w:pPr>
        <w:pStyle w:val="FootnoteText"/>
      </w:pPr>
      <w:r>
        <w:rPr>
          <w:rStyle w:val="FootnoteReference"/>
        </w:rPr>
        <w:footnoteRef/>
      </w:r>
      <w:r>
        <w:t xml:space="preserve"> </w:t>
      </w:r>
      <w:r>
        <w:t xml:space="preserve">Ho 2025, PMID 40371098.</w:t>
      </w:r>
    </w:p>
  </w:footnote>
  <w:footnote w:id="2770">
    <w:p>
      <w:pPr>
        <w:pStyle w:val="FootnoteText"/>
      </w:pPr>
      <w:r>
        <w:rPr>
          <w:rStyle w:val="FootnoteReference"/>
        </w:rPr>
        <w:footnoteRef/>
      </w:r>
      <w:r>
        <w:t xml:space="preserve"> </w:t>
      </w:r>
      <w:r>
        <w:t xml:space="preserve">Gaw 2024, PMID 38421490; Senthilkumar 2026, PMID 41784916.</w:t>
      </w:r>
    </w:p>
  </w:footnote>
  <w:footnote w:id="2771">
    <w:p>
      <w:pPr>
        <w:pStyle w:val="FootnoteText"/>
      </w:pPr>
      <w:r>
        <w:rPr>
          <w:rStyle w:val="FootnoteReference"/>
        </w:rPr>
        <w:footnoteRef/>
      </w:r>
      <w:r>
        <w:t xml:space="preserve"> </w:t>
      </w:r>
      <w:r>
        <w:t xml:space="preserve">Muschler 2025, PMID 39803696.</w:t>
      </w:r>
    </w:p>
  </w:footnote>
  <w:footnote w:id="2772">
    <w:p>
      <w:pPr>
        <w:pStyle w:val="FootnoteText"/>
      </w:pPr>
      <w:r>
        <w:rPr>
          <w:rStyle w:val="FootnoteReference"/>
        </w:rPr>
        <w:footnoteRef/>
      </w:r>
      <w:r>
        <w:t xml:space="preserve"> </w:t>
      </w:r>
      <w:r>
        <w:t xml:space="preserve">Ho 2025, PMID 40371098.</w:t>
      </w:r>
    </w:p>
  </w:footnote>
  <w:footnote w:id="2773">
    <w:p>
      <w:pPr>
        <w:pStyle w:val="FootnoteText"/>
      </w:pPr>
      <w:r>
        <w:rPr>
          <w:rStyle w:val="FootnoteReference"/>
        </w:rPr>
        <w:footnoteRef/>
      </w:r>
      <w:r>
        <w:t xml:space="preserve"> </w:t>
      </w:r>
      <w:r>
        <w:t xml:space="preserve">Marshall 2024, PMID 38861153.</w:t>
      </w:r>
    </w:p>
  </w:footnote>
  <w:footnote w:id="2774">
    <w:p>
      <w:pPr>
        <w:pStyle w:val="FootnoteText"/>
      </w:pPr>
      <w:r>
        <w:rPr>
          <w:rStyle w:val="FootnoteReference"/>
        </w:rPr>
        <w:footnoteRef/>
      </w:r>
      <w:r>
        <w:t xml:space="preserve"> </w:t>
      </w:r>
      <w:r>
        <w:t xml:space="preserve">Kraft 2026, PMID 42194666.</w:t>
      </w:r>
    </w:p>
  </w:footnote>
  <w:footnote w:id="2775">
    <w:p>
      <w:pPr>
        <w:pStyle w:val="FootnoteText"/>
      </w:pPr>
      <w:r>
        <w:rPr>
          <w:rStyle w:val="FootnoteReference"/>
        </w:rPr>
        <w:footnoteRef/>
      </w:r>
      <w:r>
        <w:t xml:space="preserve"> </w:t>
      </w:r>
      <w:r>
        <w:t xml:space="preserve">Senthilkumar 2026, PMID 41784916.</w:t>
      </w:r>
    </w:p>
  </w:footnote>
  <w:footnote w:id="2780">
    <w:p>
      <w:pPr>
        <w:pStyle w:val="FootnoteText"/>
      </w:pPr>
      <w:r>
        <w:rPr>
          <w:rStyle w:val="FootnoteReference"/>
        </w:rPr>
        <w:footnoteRef/>
      </w:r>
      <w:r>
        <w:t xml:space="preserve"> </w:t>
      </w:r>
      <w:r>
        <w:t xml:space="preserve">Cesta 2024, PMID 38079178.</w:t>
      </w:r>
    </w:p>
  </w:footnote>
  <w:footnote w:id="2781">
    <w:p>
      <w:pPr>
        <w:pStyle w:val="FootnoteText"/>
      </w:pPr>
      <w:r>
        <w:rPr>
          <w:rStyle w:val="FootnoteReference"/>
        </w:rPr>
        <w:footnoteRef/>
      </w:r>
      <w:r>
        <w:t xml:space="preserve"> </w:t>
      </w:r>
      <w:r>
        <w:t xml:space="preserve">Dao 2024, PMID 38663923.</w:t>
      </w:r>
    </w:p>
  </w:footnote>
  <w:footnote w:id="2782">
    <w:p>
      <w:pPr>
        <w:pStyle w:val="FootnoteText"/>
      </w:pPr>
      <w:r>
        <w:rPr>
          <w:rStyle w:val="FootnoteReference"/>
        </w:rPr>
        <w:footnoteRef/>
      </w:r>
      <w:r>
        <w:t xml:space="preserve"> </w:t>
      </w:r>
      <w:r>
        <w:t xml:space="preserve">Brown 2026, PMID 42258827.</w:t>
      </w:r>
    </w:p>
  </w:footnote>
  <w:footnote w:id="2783">
    <w:p>
      <w:pPr>
        <w:pStyle w:val="FootnoteText"/>
      </w:pPr>
      <w:r>
        <w:rPr>
          <w:rStyle w:val="FootnoteReference"/>
        </w:rPr>
        <w:footnoteRef/>
      </w:r>
      <w:r>
        <w:t xml:space="preserve"> </w:t>
      </w:r>
      <w:r>
        <w:t xml:space="preserve">Uysal 2026, PMID 42420519.</w:t>
      </w:r>
    </w:p>
  </w:footnote>
  <w:footnote w:id="2784">
    <w:p>
      <w:pPr>
        <w:pStyle w:val="FootnoteText"/>
      </w:pPr>
      <w:r>
        <w:rPr>
          <w:rStyle w:val="FootnoteReference"/>
        </w:rPr>
        <w:footnoteRef/>
      </w:r>
      <w:r>
        <w:t xml:space="preserve"> </w:t>
      </w:r>
      <w:r>
        <w:t xml:space="preserve">NCT06867835.</w:t>
      </w:r>
    </w:p>
  </w:footnote>
  <w:footnote w:id="2786">
    <w:p>
      <w:pPr>
        <w:pStyle w:val="FootnoteText"/>
      </w:pPr>
      <w:r>
        <w:rPr>
          <w:rStyle w:val="FootnoteReference"/>
        </w:rPr>
        <w:footnoteRef/>
      </w:r>
      <w:r>
        <w:t xml:space="preserve"> </w:t>
      </w:r>
      <w:r>
        <w:t xml:space="preserve">Kapitza 2015, PMID 25475122.</w:t>
      </w:r>
    </w:p>
  </w:footnote>
  <w:footnote w:id="2787">
    <w:p>
      <w:pPr>
        <w:pStyle w:val="FootnoteText"/>
      </w:pPr>
      <w:r>
        <w:rPr>
          <w:rStyle w:val="FootnoteReference"/>
        </w:rPr>
        <w:footnoteRef/>
      </w:r>
      <w:r>
        <w:t xml:space="preserve"> </w:t>
      </w:r>
      <w:r>
        <w:t xml:space="preserve">Skelley 2024, PMID 37940101.</w:t>
      </w:r>
    </w:p>
  </w:footnote>
  <w:footnote w:id="2788">
    <w:p>
      <w:pPr>
        <w:pStyle w:val="FootnoteText"/>
      </w:pPr>
      <w:r>
        <w:rPr>
          <w:rStyle w:val="FootnoteReference"/>
        </w:rPr>
        <w:footnoteRef/>
      </w:r>
      <w:r>
        <w:t xml:space="preserve"> </w:t>
      </w:r>
      <w:r>
        <w:t xml:space="preserve">Clayton 2022, PMID 35147466.</w:t>
      </w:r>
    </w:p>
  </w:footnote>
  <w:footnote w:id="2789">
    <w:p>
      <w:pPr>
        <w:pStyle w:val="FootnoteText"/>
      </w:pPr>
      <w:r>
        <w:rPr>
          <w:rStyle w:val="FootnoteReference"/>
        </w:rPr>
        <w:footnoteRef/>
      </w:r>
      <w:r>
        <w:t xml:space="preserve"> </w:t>
      </w:r>
      <w:r>
        <w:t xml:space="preserve">Lissy 2021, PMID 32961034.</w:t>
      </w:r>
    </w:p>
  </w:footnote>
  <w:footnote w:id="2791">
    <w:p>
      <w:pPr>
        <w:pStyle w:val="FootnoteText"/>
      </w:pPr>
      <w:r>
        <w:rPr>
          <w:rStyle w:val="FootnoteReference"/>
        </w:rPr>
        <w:footnoteRef/>
      </w:r>
      <w:r>
        <w:t xml:space="preserve"> </w:t>
      </w:r>
      <w:r>
        <w:t xml:space="preserve">Baig 2025, PMID 39694296.</w:t>
      </w:r>
    </w:p>
  </w:footnote>
  <w:footnote w:id="2792">
    <w:p>
      <w:pPr>
        <w:pStyle w:val="FootnoteText"/>
      </w:pPr>
      <w:r>
        <w:rPr>
          <w:rStyle w:val="FootnoteReference"/>
        </w:rPr>
        <w:footnoteRef/>
      </w:r>
      <w:r>
        <w:t xml:space="preserve"> </w:t>
      </w:r>
      <w:r>
        <w:t xml:space="preserve">Vlaeminck 2026, PMID 41631344.</w:t>
      </w:r>
    </w:p>
  </w:footnote>
  <w:footnote w:id="2793">
    <w:p>
      <w:pPr>
        <w:pStyle w:val="FootnoteText"/>
      </w:pPr>
      <w:r>
        <w:rPr>
          <w:rStyle w:val="FootnoteReference"/>
        </w:rPr>
        <w:footnoteRef/>
      </w:r>
      <w:r>
        <w:t xml:space="preserve"> </w:t>
      </w:r>
      <w:r>
        <w:t xml:space="preserve">Wu 2026, PMID 40940281.</w:t>
      </w:r>
    </w:p>
  </w:footnote>
  <w:footnote w:id="2794">
    <w:p>
      <w:pPr>
        <w:pStyle w:val="FootnoteText"/>
      </w:pPr>
      <w:r>
        <w:rPr>
          <w:rStyle w:val="FootnoteReference"/>
        </w:rPr>
        <w:footnoteRef/>
      </w:r>
      <w:r>
        <w:t xml:space="preserve"> </w:t>
      </w:r>
      <w:r>
        <w:t xml:space="preserve">NCT07276763.</w:t>
      </w:r>
    </w:p>
  </w:footnote>
  <w:footnote w:id="2796">
    <w:p>
      <w:pPr>
        <w:pStyle w:val="FootnoteText"/>
      </w:pPr>
      <w:r>
        <w:rPr>
          <w:rStyle w:val="FootnoteReference"/>
        </w:rPr>
        <w:footnoteRef/>
      </w:r>
      <w:r>
        <w:t xml:space="preserve"> </w:t>
      </w:r>
      <w:r>
        <w:t xml:space="preserve">Kendall 2005, PMID 15855571.</w:t>
      </w:r>
    </w:p>
  </w:footnote>
  <w:footnote w:id="2797">
    <w:p>
      <w:pPr>
        <w:pStyle w:val="FootnoteText"/>
      </w:pPr>
      <w:r>
        <w:rPr>
          <w:rStyle w:val="FootnoteReference"/>
        </w:rPr>
        <w:footnoteRef/>
      </w:r>
      <w:r>
        <w:t xml:space="preserve"> </w:t>
      </w:r>
      <w:r>
        <w:t xml:space="preserve">Edelman 2006, PMID 17003291.</w:t>
      </w:r>
    </w:p>
  </w:footnote>
  <w:footnote w:id="2799">
    <w:p>
      <w:pPr>
        <w:pStyle w:val="FootnoteText"/>
      </w:pPr>
      <w:r>
        <w:rPr>
          <w:rStyle w:val="FootnoteReference"/>
        </w:rPr>
        <w:footnoteRef/>
      </w:r>
      <w:r>
        <w:t xml:space="preserve"> </w:t>
      </w:r>
      <w:r>
        <w:t xml:space="preserve">Kelly 2020, PMID 32233338.</w:t>
      </w:r>
    </w:p>
  </w:footnote>
  <w:footnote w:id="2800">
    <w:p>
      <w:pPr>
        <w:pStyle w:val="FootnoteText"/>
      </w:pPr>
      <w:r>
        <w:rPr>
          <w:rStyle w:val="FootnoteReference"/>
        </w:rPr>
        <w:footnoteRef/>
      </w:r>
      <w:r>
        <w:t xml:space="preserve"> </w:t>
      </w:r>
      <w:r>
        <w:t xml:space="preserve">Silva 2026, PMID 42115753.</w:t>
      </w:r>
    </w:p>
  </w:footnote>
  <w:footnote w:id="2801">
    <w:p>
      <w:pPr>
        <w:pStyle w:val="FootnoteText"/>
      </w:pPr>
      <w:r>
        <w:rPr>
          <w:rStyle w:val="FootnoteReference"/>
        </w:rPr>
        <w:footnoteRef/>
      </w:r>
      <w:r>
        <w:t xml:space="preserve"> </w:t>
      </w:r>
      <w:r>
        <w:t xml:space="preserve">Senthilkumar 2026, PMID 41784916.</w:t>
      </w:r>
    </w:p>
  </w:footnote>
  <w:footnote w:id="2802">
    <w:p>
      <w:pPr>
        <w:pStyle w:val="FootnoteText"/>
      </w:pPr>
      <w:r>
        <w:rPr>
          <w:rStyle w:val="FootnoteReference"/>
        </w:rPr>
        <w:footnoteRef/>
      </w:r>
      <w:r>
        <w:t xml:space="preserve"> </w:t>
      </w:r>
      <w:r>
        <w:t xml:space="preserve">Coutinho 2026, PMID 41880199.</w:t>
      </w:r>
    </w:p>
  </w:footnote>
  <w:footnote w:id="2804">
    <w:p>
      <w:pPr>
        <w:pStyle w:val="FootnoteText"/>
      </w:pPr>
      <w:r>
        <w:rPr>
          <w:rStyle w:val="FootnoteReference"/>
        </w:rPr>
        <w:footnoteRef/>
      </w:r>
      <w:r>
        <w:t xml:space="preserve"> </w:t>
      </w:r>
      <w:r>
        <w:t xml:space="preserve">Liu 2007, PMID 17227934.</w:t>
      </w:r>
    </w:p>
  </w:footnote>
  <w:footnote w:id="2805">
    <w:p>
      <w:pPr>
        <w:pStyle w:val="FootnoteText"/>
      </w:pPr>
      <w:r>
        <w:rPr>
          <w:rStyle w:val="FootnoteReference"/>
        </w:rPr>
        <w:footnoteRef/>
      </w:r>
      <w:r>
        <w:t xml:space="preserve"> </w:t>
      </w:r>
      <w:r>
        <w:t xml:space="preserve">Adunsky 2011, PMID 21067829.</w:t>
      </w:r>
    </w:p>
  </w:footnote>
  <w:footnote w:id="2807">
    <w:p>
      <w:pPr>
        <w:pStyle w:val="FootnoteText"/>
      </w:pPr>
      <w:r>
        <w:rPr>
          <w:rStyle w:val="FootnoteReference"/>
        </w:rPr>
        <w:footnoteRef/>
      </w:r>
      <w:r>
        <w:t xml:space="preserve"> </w:t>
      </w:r>
      <w:r>
        <w:t xml:space="preserve">Look 2025, PMID 39996356.</w:t>
      </w:r>
    </w:p>
  </w:footnote>
  <w:footnote w:id="2808">
    <w:p>
      <w:pPr>
        <w:pStyle w:val="FootnoteText"/>
      </w:pPr>
      <w:r>
        <w:rPr>
          <w:rStyle w:val="FootnoteReference"/>
        </w:rPr>
        <w:footnoteRef/>
      </w:r>
      <w:r>
        <w:t xml:space="preserve"> </w:t>
      </w:r>
      <w:r>
        <w:t xml:space="preserve">Karakasis 2025, PMID 39719170.</w:t>
      </w:r>
    </w:p>
  </w:footnote>
  <w:footnote w:id="2809">
    <w:p>
      <w:pPr>
        <w:pStyle w:val="FootnoteText"/>
      </w:pPr>
      <w:r>
        <w:rPr>
          <w:rStyle w:val="FootnoteReference"/>
        </w:rPr>
        <w:footnoteRef/>
      </w:r>
      <w:r>
        <w:t xml:space="preserve"> </w:t>
      </w:r>
      <w:r>
        <w:t xml:space="preserve">Batsis 2026, PMID 41996180.</w:t>
      </w:r>
    </w:p>
  </w:footnote>
  <w:footnote w:id="2810">
    <w:p>
      <w:pPr>
        <w:pStyle w:val="FootnoteText"/>
      </w:pPr>
      <w:r>
        <w:rPr>
          <w:rStyle w:val="FootnoteReference"/>
        </w:rPr>
        <w:footnoteRef/>
      </w:r>
      <w:r>
        <w:t xml:space="preserve"> </w:t>
      </w:r>
      <w:r>
        <w:t xml:space="preserve">Laverde 2026, PMID 42321502.</w:t>
      </w:r>
    </w:p>
  </w:footnote>
  <w:footnote w:id="2812">
    <w:p>
      <w:pPr>
        <w:pStyle w:val="FootnoteText"/>
      </w:pPr>
      <w:r>
        <w:rPr>
          <w:rStyle w:val="FootnoteReference"/>
        </w:rPr>
        <w:footnoteRef/>
      </w:r>
      <w:r>
        <w:t xml:space="preserve"> </w:t>
      </w:r>
      <w:r>
        <w:t xml:space="preserve">Guerdjikova 2024, PMID 38329147.</w:t>
      </w:r>
    </w:p>
  </w:footnote>
  <w:footnote w:id="2813">
    <w:p>
      <w:pPr>
        <w:pStyle w:val="FootnoteText"/>
      </w:pPr>
      <w:r>
        <w:rPr>
          <w:rStyle w:val="FootnoteReference"/>
        </w:rPr>
        <w:footnoteRef/>
      </w:r>
      <w:r>
        <w:t xml:space="preserve"> </w:t>
      </w:r>
      <w:r>
        <w:t xml:space="preserve">Peiper 2026, PMID 42340738.</w:t>
      </w:r>
    </w:p>
  </w:footnote>
  <w:footnote w:id="2814">
    <w:p>
      <w:pPr>
        <w:pStyle w:val="FootnoteText"/>
      </w:pPr>
      <w:r>
        <w:rPr>
          <w:rStyle w:val="FootnoteReference"/>
        </w:rPr>
        <w:footnoteRef/>
      </w:r>
      <w:r>
        <w:t xml:space="preserve"> </w:t>
      </w:r>
      <w:r>
        <w:t xml:space="preserve">Keshen 2026, PMID 42742590.</w:t>
      </w:r>
    </w:p>
  </w:footnote>
  <w:footnote w:id="2815">
    <w:p>
      <w:pPr>
        <w:pStyle w:val="FootnoteText"/>
      </w:pPr>
      <w:r>
        <w:rPr>
          <w:rStyle w:val="FootnoteReference"/>
        </w:rPr>
        <w:footnoteRef/>
      </w:r>
      <w:r>
        <w:t xml:space="preserve"> </w:t>
      </w:r>
      <w:r>
        <w:t xml:space="preserve">Keshen 2026, PMID 42742590.</w:t>
      </w:r>
    </w:p>
  </w:footnote>
  <w:footnote w:id="2817">
    <w:p>
      <w:pPr>
        <w:pStyle w:val="FootnoteText"/>
      </w:pPr>
      <w:r>
        <w:rPr>
          <w:rStyle w:val="FootnoteReference"/>
        </w:rPr>
        <w:footnoteRef/>
      </w:r>
      <w:r>
        <w:t xml:space="preserve"> </w:t>
      </w:r>
      <w:r>
        <w:t xml:space="preserve">Borschel 2026, PMID 42874322.</w:t>
      </w:r>
    </w:p>
  </w:footnote>
  <w:footnote w:id="2818">
    <w:p>
      <w:pPr>
        <w:pStyle w:val="FootnoteText"/>
      </w:pPr>
      <w:r>
        <w:rPr>
          <w:rStyle w:val="FootnoteReference"/>
        </w:rPr>
        <w:footnoteRef/>
      </w:r>
      <w:r>
        <w:t xml:space="preserve"> </w:t>
      </w:r>
      <w:r>
        <w:t xml:space="preserve">Barrios 2025, PMID 40551438.</w:t>
      </w:r>
    </w:p>
  </w:footnote>
  <w:footnote w:id="2819">
    <w:p>
      <w:pPr>
        <w:pStyle w:val="FootnoteText"/>
      </w:pPr>
      <w:r>
        <w:rPr>
          <w:rStyle w:val="FootnoteReference"/>
        </w:rPr>
        <w:footnoteRef/>
      </w:r>
      <w:r>
        <w:t xml:space="preserve"> </w:t>
      </w:r>
      <w:r>
        <w:t xml:space="preserve">Gajda 2019, PMID 30136411.</w:t>
      </w:r>
    </w:p>
  </w:footnote>
  <w:footnote w:id="2820">
    <w:p>
      <w:pPr>
        <w:pStyle w:val="FootnoteText"/>
      </w:pPr>
      <w:r>
        <w:rPr>
          <w:rStyle w:val="FootnoteReference"/>
        </w:rPr>
        <w:footnoteRef/>
      </w:r>
      <w:r>
        <w:t xml:space="preserve"> </w:t>
      </w:r>
      <w:r>
        <w:t xml:space="preserve">La Vignera 2026, PMID 42511463.</w:t>
      </w:r>
    </w:p>
  </w:footnote>
  <w:footnote w:id="2821">
    <w:p>
      <w:pPr>
        <w:pStyle w:val="FootnoteText"/>
      </w:pPr>
      <w:r>
        <w:rPr>
          <w:rStyle w:val="FootnoteReference"/>
        </w:rPr>
        <w:footnoteRef/>
      </w:r>
      <w:r>
        <w:t xml:space="preserve"> </w:t>
      </w:r>
      <w:r>
        <w:t xml:space="preserve">Villegas Meza 2026, PMID 42160466.</w:t>
      </w:r>
    </w:p>
  </w:footnote>
  <w:footnote w:id="2826">
    <w:p>
      <w:pPr>
        <w:pStyle w:val="FootnoteText"/>
      </w:pPr>
      <w:r>
        <w:rPr>
          <w:rStyle w:val="FootnoteReference"/>
        </w:rPr>
        <w:footnoteRef/>
      </w:r>
      <w:r>
        <w:t xml:space="preserve"> </w:t>
      </w:r>
      <w:r>
        <w:t xml:space="preserve">NCT07543458.</w:t>
      </w:r>
    </w:p>
  </w:footnote>
  <w:footnote w:id="2827">
    <w:p>
      <w:pPr>
        <w:pStyle w:val="FootnoteText"/>
      </w:pPr>
      <w:r>
        <w:rPr>
          <w:rStyle w:val="FootnoteReference"/>
        </w:rPr>
        <w:footnoteRef/>
      </w:r>
      <w:r>
        <w:t xml:space="preserve"> </w:t>
      </w:r>
      <w:r>
        <w:t xml:space="preserve">NCT04020055, NCT06904261.</w:t>
      </w:r>
    </w:p>
  </w:footnote>
  <w:footnote w:id="2829">
    <w:p>
      <w:pPr>
        <w:pStyle w:val="FootnoteText"/>
      </w:pPr>
      <w:r>
        <w:rPr>
          <w:rStyle w:val="FootnoteReference"/>
        </w:rPr>
        <w:footnoteRef/>
      </w:r>
      <w:r>
        <w:t xml:space="preserve"> </w:t>
      </w:r>
      <w:r>
        <w:t xml:space="preserve">NCT05086614.</w:t>
      </w:r>
    </w:p>
  </w:footnote>
  <w:footnote w:id="2830">
    <w:p>
      <w:pPr>
        <w:pStyle w:val="FootnoteText"/>
      </w:pPr>
      <w:r>
        <w:rPr>
          <w:rStyle w:val="FootnoteReference"/>
        </w:rPr>
        <w:footnoteRef/>
      </w:r>
      <w:r>
        <w:t xml:space="preserve"> </w:t>
      </w:r>
      <w:r>
        <w:t xml:space="preserve">NCT05555589.</w:t>
      </w:r>
    </w:p>
  </w:footnote>
  <w:footnote w:id="2831">
    <w:p>
      <w:pPr>
        <w:pStyle w:val="FootnoteText"/>
      </w:pPr>
      <w:r>
        <w:rPr>
          <w:rStyle w:val="FootnoteReference"/>
        </w:rPr>
        <w:footnoteRef/>
      </w:r>
      <w:r>
        <w:t xml:space="preserve"> </w:t>
      </w:r>
      <w:r>
        <w:t xml:space="preserve">NCT06373731.</w:t>
      </w:r>
    </w:p>
  </w:footnote>
  <w:footnote w:id="2832">
    <w:p>
      <w:pPr>
        <w:pStyle w:val="FootnoteText"/>
      </w:pPr>
      <w:r>
        <w:rPr>
          <w:rStyle w:val="FootnoteReference"/>
        </w:rPr>
        <w:footnoteRef/>
      </w:r>
      <w:r>
        <w:t xml:space="preserve"> </w:t>
      </w:r>
      <w:r>
        <w:t xml:space="preserve">NCT06109649.</w:t>
      </w:r>
    </w:p>
  </w:footnote>
  <w:footnote w:id="2833">
    <w:p>
      <w:pPr>
        <w:pStyle w:val="FootnoteText"/>
      </w:pPr>
      <w:r>
        <w:rPr>
          <w:rStyle w:val="FootnoteReference"/>
        </w:rPr>
        <w:footnoteRef/>
      </w:r>
      <w:r>
        <w:t xml:space="preserve"> </w:t>
      </w:r>
      <w:r>
        <w:t xml:space="preserve">NCT06948214.</w:t>
      </w:r>
    </w:p>
  </w:footnote>
  <w:footnote w:id="2834">
    <w:p>
      <w:pPr>
        <w:pStyle w:val="FootnoteText"/>
      </w:pPr>
      <w:r>
        <w:rPr>
          <w:rStyle w:val="FootnoteReference"/>
        </w:rPr>
        <w:footnoteRef/>
      </w:r>
      <w:r>
        <w:t xml:space="preserve"> </w:t>
      </w:r>
      <w:r>
        <w:t xml:space="preserve">NCT04903002.</w:t>
      </w:r>
    </w:p>
  </w:footnote>
  <w:footnote w:id="2835">
    <w:p>
      <w:pPr>
        <w:pStyle w:val="FootnoteText"/>
      </w:pPr>
      <w:r>
        <w:rPr>
          <w:rStyle w:val="FootnoteReference"/>
        </w:rPr>
        <w:footnoteRef/>
      </w:r>
      <w:r>
        <w:t xml:space="preserve"> </w:t>
      </w:r>
      <w:r>
        <w:t xml:space="preserve">NCT07675980.</w:t>
      </w:r>
    </w:p>
  </w:footnote>
  <w:footnote w:id="2838">
    <w:p>
      <w:pPr>
        <w:pStyle w:val="FootnoteText"/>
      </w:pPr>
      <w:r>
        <w:rPr>
          <w:rStyle w:val="FootnoteReference"/>
        </w:rPr>
        <w:footnoteRef/>
      </w:r>
      <w:r>
        <w:t xml:space="preserve"> </w:t>
      </w:r>
      <w:r>
        <w:t xml:space="preserve">NCT06662383.</w:t>
      </w:r>
    </w:p>
  </w:footnote>
  <w:footnote w:id="2839">
    <w:p>
      <w:pPr>
        <w:pStyle w:val="FootnoteText"/>
      </w:pPr>
      <w:r>
        <w:rPr>
          <w:rStyle w:val="FootnoteReference"/>
        </w:rPr>
        <w:footnoteRef/>
      </w:r>
      <w:r>
        <w:t xml:space="preserve"> </w:t>
      </w:r>
      <w:r>
        <w:t xml:space="preserve">NCT07889648.</w:t>
      </w:r>
    </w:p>
  </w:footnote>
  <w:footnote w:id="2840">
    <w:p>
      <w:pPr>
        <w:pStyle w:val="FootnoteText"/>
      </w:pPr>
      <w:r>
        <w:rPr>
          <w:rStyle w:val="FootnoteReference"/>
        </w:rPr>
        <w:footnoteRef/>
      </w:r>
      <w:r>
        <w:t xml:space="preserve"> </w:t>
      </w:r>
      <w:r>
        <w:t xml:space="preserve">NCT06780449.</w:t>
      </w:r>
    </w:p>
  </w:footnote>
  <w:footnote w:id="2841">
    <w:p>
      <w:pPr>
        <w:pStyle w:val="FootnoteText"/>
      </w:pPr>
      <w:r>
        <w:rPr>
          <w:rStyle w:val="FootnoteReference"/>
        </w:rPr>
        <w:footnoteRef/>
      </w:r>
      <w:r>
        <w:t xml:space="preserve"> </w:t>
      </w:r>
      <w:r>
        <w:t xml:space="preserve">NCT07575399.</w:t>
      </w:r>
    </w:p>
  </w:footnote>
  <w:footnote w:id="2842">
    <w:p>
      <w:pPr>
        <w:pStyle w:val="FootnoteText"/>
      </w:pPr>
      <w:r>
        <w:rPr>
          <w:rStyle w:val="FootnoteReference"/>
        </w:rPr>
        <w:footnoteRef/>
      </w:r>
      <w:r>
        <w:t xml:space="preserve"> </w:t>
      </w:r>
      <w:r>
        <w:t xml:space="preserve">NCT07845500.</w:t>
      </w:r>
    </w:p>
  </w:footnote>
  <w:footnote w:id="2843">
    <w:p>
      <w:pPr>
        <w:pStyle w:val="FootnoteText"/>
      </w:pPr>
      <w:r>
        <w:rPr>
          <w:rStyle w:val="FootnoteReference"/>
        </w:rPr>
        <w:footnoteRef/>
      </w:r>
      <w:r>
        <w:t xml:space="preserve"> </w:t>
      </w:r>
      <w:r>
        <w:t xml:space="preserve">Aronne 2024, PMID 38078870.</w:t>
      </w:r>
    </w:p>
  </w:footnote>
  <w:footnote w:id="2844">
    <w:p>
      <w:pPr>
        <w:pStyle w:val="FootnoteText"/>
      </w:pPr>
      <w:r>
        <w:rPr>
          <w:rStyle w:val="FootnoteReference"/>
        </w:rPr>
        <w:footnoteRef/>
      </w:r>
      <w:r>
        <w:t xml:space="preserve"> </w:t>
      </w:r>
      <w:r>
        <w:t xml:space="preserve">NCT06257966.</w:t>
      </w:r>
    </w:p>
  </w:footnote>
  <w:footnote w:id="2845">
    <w:p>
      <w:pPr>
        <w:pStyle w:val="FootnoteText"/>
      </w:pPr>
      <w:r>
        <w:rPr>
          <w:rStyle w:val="FootnoteReference"/>
        </w:rPr>
        <w:footnoteRef/>
      </w:r>
      <w:r>
        <w:t xml:space="preserve"> </w:t>
      </w:r>
      <w:r>
        <w:t xml:space="preserve">NCT06439277, NCT07817875.</w:t>
      </w:r>
    </w:p>
  </w:footnote>
  <w:footnote w:id="2846">
    <w:p>
      <w:pPr>
        <w:pStyle w:val="FootnoteText"/>
      </w:pPr>
      <w:r>
        <w:rPr>
          <w:rStyle w:val="FootnoteReference"/>
        </w:rPr>
        <w:footnoteRef/>
      </w:r>
      <w:r>
        <w:t xml:space="preserve"> </w:t>
      </w:r>
      <w:r>
        <w:t xml:space="preserve">NCT06672939.</w:t>
      </w:r>
    </w:p>
  </w:footnote>
  <w:footnote w:id="2848">
    <w:p>
      <w:pPr>
        <w:pStyle w:val="FootnoteText"/>
      </w:pPr>
      <w:r>
        <w:rPr>
          <w:rStyle w:val="FootnoteReference"/>
        </w:rPr>
        <w:footnoteRef/>
      </w:r>
      <w:r>
        <w:t xml:space="preserve"> </w:t>
      </w:r>
      <w:r>
        <w:t xml:space="preserve">Jastreboff 2023, PMID 37366315.</w:t>
      </w:r>
    </w:p>
  </w:footnote>
  <w:footnote w:id="2849">
    <w:p>
      <w:pPr>
        <w:pStyle w:val="FootnoteText"/>
      </w:pPr>
      <w:r>
        <w:rPr>
          <w:rStyle w:val="FootnoteReference"/>
        </w:rPr>
        <w:footnoteRef/>
      </w:r>
      <w:r>
        <w:t xml:space="preserve"> </w:t>
      </w:r>
      <w:r>
        <w:t xml:space="preserve">Jastreboff 2026, PMID 42814954.</w:t>
      </w:r>
    </w:p>
  </w:footnote>
  <w:footnote w:id="2850">
    <w:p>
      <w:pPr>
        <w:pStyle w:val="FootnoteText"/>
      </w:pPr>
      <w:r>
        <w:rPr>
          <w:rStyle w:val="FootnoteReference"/>
        </w:rPr>
        <w:footnoteRef/>
      </w:r>
      <w:r>
        <w:t xml:space="preserve"> </w:t>
      </w:r>
      <w:r>
        <w:t xml:space="preserve">NCT06383390.</w:t>
      </w:r>
    </w:p>
  </w:footnote>
  <w:footnote w:id="2852">
    <w:p>
      <w:pPr>
        <w:pStyle w:val="FootnoteText"/>
      </w:pPr>
      <w:r>
        <w:rPr>
          <w:rStyle w:val="FootnoteReference"/>
        </w:rPr>
        <w:footnoteRef/>
      </w:r>
      <w:r>
        <w:t xml:space="preserve"> </w:t>
      </w:r>
      <w:r>
        <w:t xml:space="preserve">Garvey 2025, PMID 40544433.</w:t>
      </w:r>
    </w:p>
  </w:footnote>
  <w:footnote w:id="2853">
    <w:p>
      <w:pPr>
        <w:pStyle w:val="FootnoteText"/>
      </w:pPr>
      <w:r>
        <w:rPr>
          <w:rStyle w:val="FootnoteReference"/>
        </w:rPr>
        <w:footnoteRef/>
      </w:r>
      <w:r>
        <w:t xml:space="preserve"> </w:t>
      </w:r>
      <w:r>
        <w:t xml:space="preserve">Dahl 2025, PMID 40550231.</w:t>
      </w:r>
    </w:p>
  </w:footnote>
  <w:footnote w:id="2854">
    <w:p>
      <w:pPr>
        <w:pStyle w:val="FootnoteText"/>
      </w:pPr>
      <w:r>
        <w:rPr>
          <w:rStyle w:val="FootnoteReference"/>
        </w:rPr>
        <w:footnoteRef/>
      </w:r>
      <w:r>
        <w:t xml:space="preserve"> </w:t>
      </w:r>
      <w:r>
        <w:t xml:space="preserve">Billings 2025, PMID 41207310.</w:t>
      </w:r>
    </w:p>
  </w:footnote>
  <w:footnote w:id="2855">
    <w:p>
      <w:pPr>
        <w:pStyle w:val="FootnoteText"/>
      </w:pPr>
      <w:r>
        <w:rPr>
          <w:rStyle w:val="FootnoteReference"/>
        </w:rPr>
        <w:footnoteRef/>
      </w:r>
      <w:r>
        <w:t xml:space="preserve"> </w:t>
      </w:r>
      <w:r>
        <w:t xml:space="preserve">Garvey 2026, PMID 42810355.</w:t>
      </w:r>
    </w:p>
  </w:footnote>
  <w:footnote w:id="2857">
    <w:p>
      <w:pPr>
        <w:pStyle w:val="FootnoteText"/>
      </w:pPr>
      <w:r>
        <w:rPr>
          <w:rStyle w:val="FootnoteReference"/>
        </w:rPr>
        <w:footnoteRef/>
      </w:r>
      <w:r>
        <w:t xml:space="preserve"> </w:t>
      </w:r>
      <w:r>
        <w:t xml:space="preserve">Yie 2026, PMID 42592044.</w:t>
      </w:r>
    </w:p>
  </w:footnote>
  <w:footnote w:id="2858">
    <w:p>
      <w:pPr>
        <w:pStyle w:val="FootnoteText"/>
      </w:pPr>
      <w:r>
        <w:rPr>
          <w:rStyle w:val="FootnoteReference"/>
        </w:rPr>
        <w:footnoteRef/>
      </w:r>
      <w:r>
        <w:t xml:space="preserve"> </w:t>
      </w:r>
      <w:r>
        <w:t xml:space="preserve">Jastreboff 2025, PMID 40549887.</w:t>
      </w:r>
    </w:p>
  </w:footnote>
  <w:footnote w:id="2860">
    <w:p>
      <w:pPr>
        <w:pStyle w:val="FootnoteText"/>
      </w:pPr>
      <w:r>
        <w:rPr>
          <w:rStyle w:val="FootnoteReference"/>
        </w:rPr>
        <w:footnoteRef/>
      </w:r>
      <w:r>
        <w:t xml:space="preserve"> </w:t>
      </w:r>
      <w:r>
        <w:t xml:space="preserve">Heymsfield 2021, PMID 33439265.</w:t>
      </w:r>
    </w:p>
  </w:footnote>
  <w:footnote w:id="2861">
    <w:p>
      <w:pPr>
        <w:pStyle w:val="FootnoteText"/>
      </w:pPr>
      <w:r>
        <w:rPr>
          <w:rStyle w:val="FootnoteReference"/>
        </w:rPr>
        <w:footnoteRef/>
      </w:r>
      <w:r>
        <w:t xml:space="preserve"> </w:t>
      </w:r>
      <w:r>
        <w:t xml:space="preserve">Heymsfield 2026, PMID 41772149.</w:t>
      </w:r>
    </w:p>
  </w:footnote>
  <w:footnote w:id="2862">
    <w:p>
      <w:pPr>
        <w:pStyle w:val="FootnoteText"/>
      </w:pPr>
      <w:r>
        <w:rPr>
          <w:rStyle w:val="FootnoteReference"/>
        </w:rPr>
        <w:footnoteRef/>
      </w:r>
      <w:r>
        <w:t xml:space="preserve"> </w:t>
      </w:r>
      <w:r>
        <w:t xml:space="preserve">NCT05933499.</w:t>
      </w:r>
    </w:p>
  </w:footnote>
  <w:footnote w:id="2868">
    <w:p>
      <w:pPr>
        <w:pStyle w:val="FootnoteText"/>
      </w:pPr>
      <w:r>
        <w:rPr>
          <w:rStyle w:val="FootnoteReference"/>
        </w:rPr>
        <w:footnoteRef/>
      </w:r>
      <w:r>
        <w:t xml:space="preserve"> </w:t>
      </w:r>
      <w:r>
        <w:t xml:space="preserve">Drucker 2020, PMID 31848464.</w:t>
      </w:r>
    </w:p>
  </w:footnote>
  <w:footnote w:id="2869">
    <w:p>
      <w:pPr>
        <w:pStyle w:val="FootnoteText"/>
      </w:pPr>
      <w:r>
        <w:rPr>
          <w:rStyle w:val="FootnoteReference"/>
        </w:rPr>
        <w:footnoteRef/>
      </w:r>
      <w:r>
        <w:t xml:space="preserve"> </w:t>
      </w:r>
      <w:r>
        <w:t xml:space="preserve">Vahora 2026, PMID 42687069.</w:t>
      </w:r>
    </w:p>
  </w:footnote>
  <w:footnote w:id="2871">
    <w:p>
      <w:pPr>
        <w:pStyle w:val="FootnoteText"/>
      </w:pPr>
      <w:r>
        <w:rPr>
          <w:rStyle w:val="FootnoteReference"/>
        </w:rPr>
        <w:footnoteRef/>
      </w:r>
      <w:r>
        <w:t xml:space="preserve"> </w:t>
      </w:r>
      <w:r>
        <w:t xml:space="preserve">Levi 2026, PMID 42437874.</w:t>
      </w:r>
    </w:p>
  </w:footnote>
  <w:footnote w:id="2873">
    <w:p>
      <w:pPr>
        <w:pStyle w:val="FootnoteText"/>
      </w:pPr>
      <w:r>
        <w:rPr>
          <w:rStyle w:val="FootnoteReference"/>
        </w:rPr>
        <w:footnoteRef/>
      </w:r>
      <w:r>
        <w:t xml:space="preserve"> </w:t>
      </w:r>
      <w:r>
        <w:t xml:space="preserve">McGuire 2025, PMID 40162642.</w:t>
      </w:r>
    </w:p>
  </w:footnote>
  <w:footnote w:id="2875">
    <w:p>
      <w:pPr>
        <w:pStyle w:val="FootnoteText"/>
      </w:pPr>
      <w:r>
        <w:rPr>
          <w:rStyle w:val="FootnoteReference"/>
        </w:rPr>
        <w:footnoteRef/>
      </w:r>
      <w:r>
        <w:t xml:space="preserve"> </w:t>
      </w:r>
      <w:r>
        <w:t xml:space="preserve">Mora 2026, PMID 42532079.</w:t>
      </w:r>
    </w:p>
  </w:footnote>
  <w:footnote w:id="2876">
    <w:p>
      <w:pPr>
        <w:pStyle w:val="FootnoteText"/>
      </w:pPr>
      <w:r>
        <w:rPr>
          <w:rStyle w:val="FootnoteReference"/>
        </w:rPr>
        <w:footnoteRef/>
      </w:r>
      <w:r>
        <w:t xml:space="preserve"> </w:t>
      </w:r>
      <w:r>
        <w:t xml:space="preserve">NCT07815067.</w:t>
      </w:r>
    </w:p>
  </w:footnote>
  <w:footnote w:id="2878">
    <w:p>
      <w:pPr>
        <w:pStyle w:val="FootnoteText"/>
      </w:pPr>
      <w:r>
        <w:rPr>
          <w:rStyle w:val="FootnoteReference"/>
        </w:rPr>
        <w:footnoteRef/>
      </w:r>
      <w:r>
        <w:t xml:space="preserve"> </w:t>
      </w:r>
      <w:r>
        <w:t xml:space="preserve">Johns 2023, PMID 37125593.</w:t>
      </w:r>
    </w:p>
  </w:footnote>
  <w:footnote w:id="2879">
    <w:p>
      <w:pPr>
        <w:pStyle w:val="FootnoteText"/>
      </w:pPr>
      <w:r>
        <w:rPr>
          <w:rStyle w:val="FootnoteReference"/>
        </w:rPr>
        <w:footnoteRef/>
      </w:r>
      <w:r>
        <w:t xml:space="preserve"> </w:t>
      </w:r>
      <w:r>
        <w:t xml:space="preserve">Navar 2026, PMID 41879224.</w:t>
      </w:r>
    </w:p>
  </w:footnote>
  <w:footnote w:id="2880">
    <w:p>
      <w:pPr>
        <w:pStyle w:val="FootnoteText"/>
      </w:pPr>
      <w:r>
        <w:rPr>
          <w:rStyle w:val="FootnoteReference"/>
        </w:rPr>
        <w:footnoteRef/>
      </w:r>
      <w:r>
        <w:t xml:space="preserve"> </w:t>
      </w:r>
      <w:r>
        <w:t xml:space="preserve">Bissonnette 2025, PMID 41191940.</w:t>
      </w:r>
    </w:p>
  </w:footnote>
  <w:footnote w:id="2881">
    <w:p>
      <w:pPr>
        <w:pStyle w:val="FootnoteText"/>
      </w:pPr>
      <w:r>
        <w:rPr>
          <w:rStyle w:val="FootnoteReference"/>
        </w:rPr>
        <w:footnoteRef/>
      </w:r>
      <w:r>
        <w:t xml:space="preserve"> </w:t>
      </w:r>
      <w:r>
        <w:t xml:space="preserve">Knight 2025, PMID 40629250.</w:t>
      </w:r>
    </w:p>
  </w:footnote>
  <w:footnote w:id="2884">
    <w:p>
      <w:pPr>
        <w:pStyle w:val="FootnoteText"/>
      </w:pPr>
      <w:r>
        <w:rPr>
          <w:rStyle w:val="FootnoteReference"/>
        </w:rPr>
        <w:footnoteRef/>
      </w:r>
      <w:r>
        <w:t xml:space="preserve"> </w:t>
      </w:r>
      <w:r>
        <w:t xml:space="preserve">Rosenstock 2026, PMID 41765029.</w:t>
      </w:r>
    </w:p>
  </w:footnote>
  <w:footnote w:id="2885">
    <w:p>
      <w:pPr>
        <w:pStyle w:val="FootnoteText"/>
      </w:pPr>
      <w:r>
        <w:rPr>
          <w:rStyle w:val="FootnoteReference"/>
        </w:rPr>
        <w:footnoteRef/>
      </w:r>
      <w:r>
        <w:t xml:space="preserve"> </w:t>
      </w:r>
      <w:r>
        <w:t xml:space="preserve">Wharton 2025, PMID 40960239.</w:t>
      </w:r>
    </w:p>
  </w:footnote>
  <w:footnote w:id="2886">
    <w:p>
      <w:pPr>
        <w:pStyle w:val="FootnoteText"/>
      </w:pPr>
      <w:r>
        <w:rPr>
          <w:rStyle w:val="FootnoteReference"/>
        </w:rPr>
        <w:footnoteRef/>
      </w:r>
      <w:r>
        <w:t xml:space="preserve"> </w:t>
      </w:r>
      <w:r>
        <w:t xml:space="preserve">Rosenstock 2026, PMID 41765029.</w:t>
      </w:r>
    </w:p>
  </w:footnote>
  <w:footnote w:id="2887">
    <w:p>
      <w:pPr>
        <w:pStyle w:val="FootnoteText"/>
      </w:pPr>
      <w:r>
        <w:rPr>
          <w:rStyle w:val="FootnoteReference"/>
        </w:rPr>
        <w:footnoteRef/>
      </w:r>
      <w:r>
        <w:t xml:space="preserve"> </w:t>
      </w:r>
      <w:r>
        <w:t xml:space="preserve">Aronne 2026, PMID 42120723.</w:t>
      </w:r>
    </w:p>
  </w:footnote>
  <w:footnote w:id="2888">
    <w:p>
      <w:pPr>
        <w:pStyle w:val="FootnoteText"/>
      </w:pPr>
      <w:r>
        <w:rPr>
          <w:rStyle w:val="FootnoteReference"/>
        </w:rPr>
        <w:footnoteRef/>
      </w:r>
      <w:r>
        <w:t xml:space="preserve"> </w:t>
      </w:r>
      <w:r>
        <w:t xml:space="preserve">Wharton 2026, PMID 42338042.</w:t>
      </w:r>
    </w:p>
  </w:footnote>
  <w:footnote w:id="2890">
    <w:p>
      <w:pPr>
        <w:pStyle w:val="FootnoteText"/>
      </w:pPr>
      <w:r>
        <w:rPr>
          <w:rStyle w:val="FootnoteReference"/>
        </w:rPr>
        <w:footnoteRef/>
      </w:r>
      <w:r>
        <w:t xml:space="preserve"> </w:t>
      </w:r>
      <w:r>
        <w:t xml:space="preserve">Buckeridge 2025, PMID 40539310.</w:t>
      </w:r>
    </w:p>
  </w:footnote>
  <w:footnote w:id="2893">
    <w:p>
      <w:pPr>
        <w:pStyle w:val="FootnoteText"/>
      </w:pPr>
      <w:r>
        <w:rPr>
          <w:rStyle w:val="FootnoteReference"/>
        </w:rPr>
        <w:footnoteRef/>
      </w:r>
      <w:r>
        <w:t xml:space="preserve"> </w:t>
      </w:r>
      <w:r>
        <w:t xml:space="preserve">Michalak 2026, PMID 42225305.</w:t>
      </w:r>
    </w:p>
  </w:footnote>
  <w:footnote w:id="2895">
    <w:p>
      <w:pPr>
        <w:pStyle w:val="FootnoteText"/>
      </w:pPr>
      <w:r>
        <w:rPr>
          <w:rStyle w:val="FootnoteReference"/>
        </w:rPr>
        <w:footnoteRef/>
      </w:r>
      <w:r>
        <w:t xml:space="preserve"> </w:t>
      </w:r>
      <w:r>
        <w:t xml:space="preserve">Vahora 2026, PMID 42687069.</w:t>
      </w:r>
    </w:p>
  </w:footnote>
  <w:footnote w:id="2896">
    <w:p>
      <w:pPr>
        <w:pStyle w:val="FootnoteText"/>
      </w:pPr>
      <w:r>
        <w:rPr>
          <w:rStyle w:val="FootnoteReference"/>
        </w:rPr>
        <w:footnoteRef/>
      </w:r>
      <w:r>
        <w:t xml:space="preserve"> </w:t>
      </w:r>
      <w:r>
        <w:t xml:space="preserve">NCT07241390.</w:t>
      </w:r>
    </w:p>
  </w:footnote>
  <w:footnote w:id="2897">
    <w:p>
      <w:pPr>
        <w:pStyle w:val="FootnoteText"/>
      </w:pPr>
      <w:r>
        <w:rPr>
          <w:rStyle w:val="FootnoteReference"/>
        </w:rPr>
        <w:footnoteRef/>
      </w:r>
      <w:r>
        <w:t xml:space="preserve"> </w:t>
      </w:r>
      <w:r>
        <w:t xml:space="preserve">Levi 2026, PMID 42437874.</w:t>
      </w:r>
    </w:p>
  </w:footnote>
  <w:footnote w:id="2898">
    <w:p>
      <w:pPr>
        <w:pStyle w:val="FootnoteText"/>
      </w:pPr>
      <w:r>
        <w:rPr>
          <w:rStyle w:val="FootnoteReference"/>
        </w:rPr>
        <w:footnoteRef/>
      </w:r>
      <w:r>
        <w:t xml:space="preserve"> </w:t>
      </w:r>
      <w:r>
        <w:t xml:space="preserve">Belcourt 2026, PMID 41689811.</w:t>
      </w:r>
    </w:p>
  </w:footnote>
  <w:footnote w:id="2899">
    <w:p>
      <w:pPr>
        <w:pStyle w:val="FootnoteText"/>
      </w:pPr>
      <w:r>
        <w:rPr>
          <w:rStyle w:val="FootnoteReference"/>
        </w:rPr>
        <w:footnoteRef/>
      </w:r>
      <w:r>
        <w:t xml:space="preserve"> </w:t>
      </w:r>
      <w:r>
        <w:t xml:space="preserve">Hach 2024, PMID 39379664.</w:t>
      </w:r>
    </w:p>
  </w:footnote>
  <w:footnote w:id="2904">
    <w:p>
      <w:pPr>
        <w:pStyle w:val="FootnoteText"/>
      </w:pPr>
      <w:r>
        <w:rPr>
          <w:rStyle w:val="FootnoteReference"/>
        </w:rPr>
        <w:footnoteRef/>
      </w:r>
      <w:r>
        <w:t xml:space="preserve"> </w:t>
      </w:r>
      <w:r>
        <w:t xml:space="preserve">Hach 2024, PMID 39379664.</w:t>
      </w:r>
    </w:p>
  </w:footnote>
  <w:footnote w:id="2906">
    <w:p>
      <w:pPr>
        <w:pStyle w:val="FootnoteText"/>
      </w:pPr>
      <w:r>
        <w:rPr>
          <w:rStyle w:val="FootnoteReference"/>
        </w:rPr>
        <w:footnoteRef/>
      </w:r>
      <w:r>
        <w:t xml:space="preserve"> </w:t>
      </w:r>
      <w:r>
        <w:t xml:space="preserve">Rubino 2022, PMID 35015037.</w:t>
      </w:r>
    </w:p>
  </w:footnote>
  <w:footnote w:id="2908">
    <w:p>
      <w:pPr>
        <w:pStyle w:val="FootnoteText"/>
      </w:pPr>
      <w:r>
        <w:rPr>
          <w:rStyle w:val="FootnoteReference"/>
        </w:rPr>
        <w:footnoteRef/>
      </w:r>
      <w:r>
        <w:t xml:space="preserve"> </w:t>
      </w:r>
      <w:r>
        <w:t xml:space="preserve">Levi 2026, PMID 42437874.</w:t>
      </w:r>
    </w:p>
  </w:footnote>
  <w:footnote w:id="2909">
    <w:p>
      <w:pPr>
        <w:pStyle w:val="FootnoteText"/>
      </w:pPr>
      <w:r>
        <w:rPr>
          <w:rStyle w:val="FootnoteReference"/>
        </w:rPr>
        <w:footnoteRef/>
      </w:r>
      <w:r>
        <w:t xml:space="preserve"> </w:t>
      </w:r>
      <w:r>
        <w:t xml:space="preserve">Mohan 2026, PMID 42747945.</w:t>
      </w:r>
    </w:p>
  </w:footnote>
  <w:footnote w:id="2910">
    <w:p>
      <w:pPr>
        <w:pStyle w:val="FootnoteText"/>
      </w:pPr>
      <w:r>
        <w:rPr>
          <w:rStyle w:val="FootnoteReference"/>
        </w:rPr>
        <w:footnoteRef/>
      </w:r>
      <w:r>
        <w:t xml:space="preserve"> </w:t>
      </w:r>
      <w:r>
        <w:t xml:space="preserve">Mani 2025, PMID 41358329.</w:t>
      </w:r>
    </w:p>
  </w:footnote>
  <w:footnote w:id="2911">
    <w:p>
      <w:pPr>
        <w:pStyle w:val="FootnoteText"/>
      </w:pPr>
      <w:r>
        <w:rPr>
          <w:rStyle w:val="FootnoteReference"/>
        </w:rPr>
        <w:footnoteRef/>
      </w:r>
      <w:r>
        <w:t xml:space="preserve"> </w:t>
      </w:r>
      <w:r>
        <w:t xml:space="preserve">Celletti 2026, PMID 41324410.</w:t>
      </w:r>
    </w:p>
  </w:footnote>
  <w:footnote w:id="2914">
    <w:p>
      <w:pPr>
        <w:pStyle w:val="FootnoteText"/>
      </w:pPr>
      <w:r>
        <w:rPr>
          <w:rStyle w:val="FootnoteReference"/>
        </w:rPr>
        <w:footnoteRef/>
      </w:r>
      <w:r>
        <w:t xml:space="preserve"> </w:t>
      </w:r>
      <w:r>
        <w:t xml:space="preserve">DiStefano 2025, PMID 39776466.</w:t>
      </w:r>
    </w:p>
  </w:footnote>
  <w:footnote w:id="2915">
    <w:p>
      <w:pPr>
        <w:pStyle w:val="FootnoteText"/>
      </w:pPr>
      <w:r>
        <w:rPr>
          <w:rStyle w:val="FootnoteReference"/>
        </w:rPr>
        <w:footnoteRef/>
      </w:r>
      <w:r>
        <w:t xml:space="preserve"> </w:t>
      </w:r>
      <w:r>
        <w:t xml:space="preserve">Belcourt 2026, PMID 41689811.</w:t>
      </w:r>
    </w:p>
  </w:footnote>
  <w:footnote w:id="2916">
    <w:p>
      <w:pPr>
        <w:pStyle w:val="FootnoteText"/>
      </w:pPr>
      <w:r>
        <w:rPr>
          <w:rStyle w:val="FootnoteReference"/>
        </w:rPr>
        <w:footnoteRef/>
      </w:r>
      <w:r>
        <w:t xml:space="preserve"> </w:t>
      </w:r>
      <w:r>
        <w:t xml:space="preserve">Jordan 2026, PMID 42010938.</w:t>
      </w:r>
    </w:p>
  </w:footnote>
  <w:footnote w:id="2918">
    <w:p>
      <w:pPr>
        <w:pStyle w:val="FootnoteText"/>
      </w:pPr>
      <w:r>
        <w:rPr>
          <w:rStyle w:val="FootnoteReference"/>
        </w:rPr>
        <w:footnoteRef/>
      </w:r>
      <w:r>
        <w:t xml:space="preserve"> </w:t>
      </w:r>
      <w:r>
        <w:t xml:space="preserve">Mailhac 2024, PMID 38685990.</w:t>
      </w:r>
    </w:p>
  </w:footnote>
  <w:footnote w:id="2919">
    <w:p>
      <w:pPr>
        <w:pStyle w:val="FootnoteText"/>
      </w:pPr>
      <w:r>
        <w:rPr>
          <w:rStyle w:val="FootnoteReference"/>
        </w:rPr>
        <w:footnoteRef/>
      </w:r>
      <w:r>
        <w:t xml:space="preserve"> </w:t>
      </w:r>
      <w:r>
        <w:t xml:space="preserve">Gasoyan 2025, PMID 41039650.</w:t>
      </w:r>
    </w:p>
  </w:footnote>
  <w:footnote w:id="2921">
    <w:p>
      <w:pPr>
        <w:pStyle w:val="FootnoteText"/>
      </w:pPr>
      <w:r>
        <w:rPr>
          <w:rStyle w:val="FootnoteReference"/>
        </w:rPr>
        <w:footnoteRef/>
      </w:r>
      <w:r>
        <w:t xml:space="preserve"> </w:t>
      </w:r>
      <w:r>
        <w:t xml:space="preserve">Hwang 2025, PMID 40085108.</w:t>
      </w:r>
    </w:p>
  </w:footnote>
  <w:footnote w:id="2922">
    <w:p>
      <w:pPr>
        <w:pStyle w:val="FootnoteText"/>
      </w:pPr>
      <w:r>
        <w:rPr>
          <w:rStyle w:val="FootnoteReference"/>
        </w:rPr>
        <w:footnoteRef/>
      </w:r>
      <w:r>
        <w:t xml:space="preserve"> </w:t>
      </w:r>
      <w:r>
        <w:t xml:space="preserve">Dhippayom 2026, PMID 41365841.</w:t>
      </w:r>
    </w:p>
  </w:footnote>
  <w:footnote w:id="2923">
    <w:p>
      <w:pPr>
        <w:pStyle w:val="FootnoteText"/>
      </w:pPr>
      <w:r>
        <w:rPr>
          <w:rStyle w:val="FootnoteReference"/>
        </w:rPr>
        <w:footnoteRef/>
      </w:r>
      <w:r>
        <w:t xml:space="preserve"> </w:t>
      </w:r>
      <w:r>
        <w:t xml:space="preserve">Hennessy 2026, PMID 41637062.</w:t>
      </w:r>
    </w:p>
  </w:footnote>
  <w:footnote w:id="2924">
    <w:p>
      <w:pPr>
        <w:pStyle w:val="FootnoteText"/>
      </w:pPr>
      <w:r>
        <w:rPr>
          <w:rStyle w:val="FootnoteReference"/>
        </w:rPr>
        <w:footnoteRef/>
      </w:r>
      <w:r>
        <w:t xml:space="preserve"> </w:t>
      </w:r>
      <w:r>
        <w:t xml:space="preserve">Scannell 2026, PMID 42640207.</w:t>
      </w:r>
    </w:p>
  </w:footnote>
  <w:footnote w:id="2927">
    <w:p>
      <w:pPr>
        <w:pStyle w:val="FootnoteText"/>
      </w:pPr>
      <w:r>
        <w:rPr>
          <w:rStyle w:val="FootnoteReference"/>
        </w:rPr>
        <w:footnoteRef/>
      </w:r>
      <w:r>
        <w:t xml:space="preserve"> </w:t>
      </w:r>
      <w:r>
        <w:t xml:space="preserve">Wilding 2022, PMID 35441470.</w:t>
      </w:r>
    </w:p>
  </w:footnote>
  <w:footnote w:id="2931">
    <w:p>
      <w:pPr>
        <w:pStyle w:val="FootnoteText"/>
      </w:pPr>
      <w:r>
        <w:rPr>
          <w:rStyle w:val="FootnoteReference"/>
        </w:rPr>
        <w:footnoteRef/>
      </w:r>
      <w:r>
        <w:t xml:space="preserve"> </w:t>
      </w:r>
      <w:r>
        <w:t xml:space="preserve">Cummings 2026, PMID 41865758.</w:t>
      </w:r>
    </w:p>
  </w:footnote>
  <w:footnote w:id="2932">
    <w:p>
      <w:pPr>
        <w:pStyle w:val="FootnoteText"/>
      </w:pPr>
      <w:r>
        <w:rPr>
          <w:rStyle w:val="FootnoteReference"/>
        </w:rPr>
        <w:footnoteRef/>
      </w:r>
      <w:r>
        <w:t xml:space="preserve"> </w:t>
      </w:r>
      <w:r>
        <w:t xml:space="preserve">Vijiaratnam 2025, PMID 39919773.</w:t>
      </w:r>
    </w:p>
  </w:footnote>
  <w:footnote w:id="2933">
    <w:p>
      <w:pPr>
        <w:pStyle w:val="FootnoteText"/>
      </w:pPr>
      <w:r>
        <w:rPr>
          <w:rStyle w:val="FootnoteReference"/>
        </w:rPr>
        <w:footnoteRef/>
      </w:r>
      <w:r>
        <w:t xml:space="preserve"> </w:t>
      </w:r>
      <w:r>
        <w:t xml:space="preserve">NCT05556512.</w:t>
      </w:r>
    </w:p>
  </w:footnote>
  <w:footnote w:id="2934">
    <w:p>
      <w:pPr>
        <w:pStyle w:val="FootnoteText"/>
      </w:pPr>
      <w:r>
        <w:rPr>
          <w:rStyle w:val="FootnoteReference"/>
        </w:rPr>
        <w:footnoteRef/>
      </w:r>
      <w:r>
        <w:t xml:space="preserve"> </w:t>
      </w:r>
      <w:r>
        <w:t xml:space="preserve">NCT05669755.</w:t>
      </w:r>
    </w:p>
  </w:footnote>
  <w:footnote w:id="2935">
    <w:p>
      <w:pPr>
        <w:pStyle w:val="FootnoteText"/>
      </w:pPr>
      <w:r>
        <w:rPr>
          <w:rStyle w:val="FootnoteReference"/>
        </w:rPr>
        <w:footnoteRef/>
      </w:r>
      <w:r>
        <w:t xml:space="preserve"> </w:t>
      </w:r>
      <w:r>
        <w:t xml:space="preserve">NCT06383390.</w:t>
      </w:r>
    </w:p>
  </w:footnote>
  <w:footnote w:id="2936">
    <w:p>
      <w:pPr>
        <w:pStyle w:val="FootnoteText"/>
      </w:pPr>
      <w:r>
        <w:rPr>
          <w:rStyle w:val="FootnoteReference"/>
        </w:rPr>
        <w:footnoteRef/>
      </w:r>
      <w:r>
        <w:t xml:space="preserve"> </w:t>
      </w:r>
      <w:r>
        <w:t xml:space="preserve">NCT06632457.</w:t>
      </w:r>
    </w:p>
  </w:footnote>
  <w:footnote w:id="2937">
    <w:p>
      <w:pPr>
        <w:pStyle w:val="FootnoteText"/>
      </w:pPr>
      <w:r>
        <w:rPr>
          <w:rStyle w:val="FootnoteReference"/>
        </w:rPr>
        <w:footnoteRef/>
      </w:r>
      <w:r>
        <w:t xml:space="preserve"> </w:t>
      </w:r>
      <w:r>
        <w:t xml:space="preserve">NCT07037433, NCT07037459.</w:t>
      </w:r>
    </w:p>
  </w:footnote>
  <w:footnote w:id="2938">
    <w:p>
      <w:pPr>
        <w:pStyle w:val="FootnoteText"/>
      </w:pPr>
      <w:r>
        <w:rPr>
          <w:rStyle w:val="FootnoteReference"/>
        </w:rPr>
        <w:footnoteRef/>
      </w:r>
      <w:r>
        <w:t xml:space="preserve"> </w:t>
      </w:r>
      <w:r>
        <w:t xml:space="preserve">NCT07861100.</w:t>
      </w:r>
    </w:p>
  </w:footnote>
  <w:footnote w:id="2939">
    <w:p>
      <w:pPr>
        <w:pStyle w:val="FootnoteText"/>
      </w:pPr>
      <w:r>
        <w:rPr>
          <w:rStyle w:val="FootnoteReference"/>
        </w:rPr>
        <w:footnoteRef/>
      </w:r>
      <w:r>
        <w:t xml:space="preserve"> </w:t>
      </w:r>
      <w:r>
        <w:t xml:space="preserve">NCT07241390.</w:t>
      </w:r>
    </w:p>
  </w:footnote>
  <w:footnote w:id="2940">
    <w:p>
      <w:pPr>
        <w:pStyle w:val="FootnoteText"/>
      </w:pPr>
      <w:r>
        <w:rPr>
          <w:rStyle w:val="FootnoteReference"/>
        </w:rPr>
        <w:footnoteRef/>
      </w:r>
      <w:r>
        <w:t xml:space="preserve"> </w:t>
      </w:r>
      <w:r>
        <w:t xml:space="preserve">NCT07165028.</w:t>
      </w:r>
    </w:p>
  </w:footnote>
  <w:footnote w:id="2941">
    <w:p>
      <w:pPr>
        <w:pStyle w:val="FootnoteText"/>
      </w:pPr>
      <w:r>
        <w:rPr>
          <w:rStyle w:val="FootnoteReference"/>
        </w:rPr>
        <w:footnoteRef/>
      </w:r>
      <w:r>
        <w:t xml:space="preserve"> </w:t>
      </w:r>
      <w:r>
        <w:t xml:space="preserve">Levi 2026, PMID 42437874.</w:t>
      </w:r>
    </w:p>
  </w:footnote>
  <w:footnote w:id="2943">
    <w:p>
      <w:pPr>
        <w:pStyle w:val="FootnoteText"/>
      </w:pPr>
      <w:r>
        <w:rPr>
          <w:rStyle w:val="FootnoteReference"/>
        </w:rPr>
        <w:footnoteRef/>
      </w:r>
      <w:r>
        <w:t xml:space="preserve"> </w:t>
      </w:r>
      <w:r>
        <w:t xml:space="preserve">NCT05086614.</w:t>
      </w:r>
    </w:p>
  </w:footnote>
  <w:footnote w:id="2944">
    <w:p>
      <w:pPr>
        <w:pStyle w:val="FootnoteText"/>
      </w:pPr>
      <w:r>
        <w:rPr>
          <w:rStyle w:val="FootnoteReference"/>
        </w:rPr>
        <w:footnoteRef/>
      </w:r>
      <w:r>
        <w:t xml:space="preserve"> </w:t>
      </w:r>
      <w:r>
        <w:t xml:space="preserve">NCT05555589.</w:t>
      </w:r>
    </w:p>
  </w:footnote>
  <w:footnote w:id="2946">
    <w:p>
      <w:pPr>
        <w:pStyle w:val="FootnoteText"/>
      </w:pPr>
      <w:r>
        <w:rPr>
          <w:rStyle w:val="FootnoteReference"/>
        </w:rPr>
        <w:footnoteRef/>
      </w:r>
      <w:r>
        <w:t xml:space="preserve"> </w:t>
      </w:r>
      <w:r>
        <w:t xml:space="preserve">NCT00903110.</w:t>
      </w:r>
    </w:p>
  </w:footnote>
  <w:footnote w:id="2948">
    <w:p>
      <w:pPr>
        <w:pStyle w:val="FootnoteText"/>
      </w:pPr>
      <w:r>
        <w:rPr>
          <w:rStyle w:val="FootnoteReference"/>
        </w:rPr>
        <w:footnoteRef/>
      </w:r>
      <w:r>
        <w:t xml:space="preserve"> </w:t>
      </w:r>
      <w:r>
        <w:t xml:space="preserve">NCT06373731.</w:t>
      </w:r>
    </w:p>
  </w:footnote>
  <w:footnote w:id="2949">
    <w:p>
      <w:pPr>
        <w:pStyle w:val="FootnoteText"/>
      </w:pPr>
      <w:r>
        <w:rPr>
          <w:rStyle w:val="FootnoteReference"/>
        </w:rPr>
        <w:footnoteRef/>
      </w:r>
      <w:r>
        <w:t xml:space="preserve"> </w:t>
      </w:r>
      <w:r>
        <w:t xml:space="preserve">NCT05755997.</w:t>
      </w:r>
    </w:p>
  </w:footnote>
  <w:footnote w:id="2950">
    <w:p>
      <w:pPr>
        <w:pStyle w:val="FootnoteText"/>
      </w:pPr>
      <w:r>
        <w:rPr>
          <w:rStyle w:val="FootnoteReference"/>
        </w:rPr>
        <w:footnoteRef/>
      </w:r>
      <w:r>
        <w:t xml:space="preserve"> </w:t>
      </w:r>
      <w:r>
        <w:t xml:space="preserve">NCT07888595.</w:t>
      </w:r>
    </w:p>
  </w:footnote>
  <w:footnote w:id="2952">
    <w:p>
      <w:pPr>
        <w:pStyle w:val="FootnoteText"/>
      </w:pPr>
      <w:r>
        <w:rPr>
          <w:rStyle w:val="FootnoteReference"/>
        </w:rPr>
        <w:footnoteRef/>
      </w:r>
      <w:r>
        <w:t xml:space="preserve"> </w:t>
      </w:r>
      <w:r>
        <w:t xml:space="preserve">NCT06109649.</w:t>
      </w:r>
    </w:p>
  </w:footnote>
  <w:footnote w:id="2955">
    <w:p>
      <w:pPr>
        <w:pStyle w:val="FootnoteText"/>
      </w:pPr>
      <w:r>
        <w:rPr>
          <w:rStyle w:val="FootnoteReference"/>
        </w:rPr>
        <w:footnoteRef/>
      </w:r>
      <w:r>
        <w:t xml:space="preserve"> </w:t>
      </w:r>
      <w:r>
        <w:t xml:space="preserve">Celletti 2026, PMID 41324410.</w:t>
      </w:r>
    </w:p>
  </w:footnote>
  <w:footnote w:id="2957">
    <w:p>
      <w:pPr>
        <w:pStyle w:val="FootnoteText"/>
      </w:pPr>
      <w:r>
        <w:rPr>
          <w:rStyle w:val="FootnoteReference"/>
        </w:rPr>
        <w:footnoteRef/>
      </w:r>
      <w:r>
        <w:t xml:space="preserve"> </w:t>
      </w:r>
      <w:r>
        <w:t xml:space="preserve">Wilding 2022, PMID 35441470.</w:t>
      </w:r>
    </w:p>
  </w:footnote>
  <w:footnote w:id="2958">
    <w:p>
      <w:pPr>
        <w:pStyle w:val="FootnoteText"/>
      </w:pPr>
      <w:r>
        <w:rPr>
          <w:rStyle w:val="FootnoteReference"/>
        </w:rPr>
        <w:footnoteRef/>
      </w:r>
      <w:r>
        <w:t xml:space="preserve"> </w:t>
      </w:r>
      <w:r>
        <w:t xml:space="preserve">Aronne 2024, PMID 38078870.</w:t>
      </w:r>
    </w:p>
  </w:footnote>
  <w:footnote w:id="2959">
    <w:p>
      <w:pPr>
        <w:pStyle w:val="FootnoteText"/>
      </w:pPr>
      <w:r>
        <w:rPr>
          <w:rStyle w:val="FootnoteReference"/>
        </w:rPr>
        <w:footnoteRef/>
      </w:r>
      <w:r>
        <w:t xml:space="preserve"> </w:t>
      </w:r>
      <w:r>
        <w:t xml:space="preserve">Aronne 2026, PMID 42120723.</w:t>
      </w:r>
    </w:p>
  </w:footnote>
  <w:footnote w:id="2960">
    <w:p>
      <w:pPr>
        <w:pStyle w:val="FootnoteText"/>
      </w:pPr>
      <w:r>
        <w:rPr>
          <w:rStyle w:val="FootnoteReference"/>
        </w:rPr>
        <w:footnoteRef/>
      </w:r>
      <w:r>
        <w:t xml:space="preserve"> </w:t>
      </w:r>
      <w:r>
        <w:t xml:space="preserve">Cengiz 2025, PMID 39950222.</w:t>
      </w:r>
    </w:p>
  </w:footnote>
  <w:footnote w:id="2962">
    <w:p>
      <w:pPr>
        <w:pStyle w:val="FootnoteText"/>
      </w:pPr>
      <w:r>
        <w:rPr>
          <w:rStyle w:val="FootnoteReference"/>
        </w:rPr>
        <w:footnoteRef/>
      </w:r>
      <w:r>
        <w:t xml:space="preserve"> </w:t>
      </w:r>
      <w:r>
        <w:t xml:space="preserve">Celletti 2026, PMID 41324410.</w:t>
      </w:r>
    </w:p>
  </w:footnote>
  <w:footnote w:id="2964">
    <w:p>
      <w:pPr>
        <w:pStyle w:val="FootnoteText"/>
      </w:pPr>
      <w:r>
        <w:rPr>
          <w:rStyle w:val="FootnoteReference"/>
        </w:rPr>
        <w:footnoteRef/>
      </w:r>
      <w:r>
        <w:t xml:space="preserve"> </w:t>
      </w:r>
      <w:r>
        <w:t xml:space="preserve">Rubin 2026, PMID 42853576.</w:t>
      </w:r>
    </w:p>
  </w:footnote>
  <w:footnote w:id="2965">
    <w:p>
      <w:pPr>
        <w:pStyle w:val="FootnoteText"/>
      </w:pPr>
      <w:r>
        <w:rPr>
          <w:rStyle w:val="FootnoteReference"/>
        </w:rPr>
        <w:footnoteRef/>
      </w:r>
      <w:r>
        <w:t xml:space="preserve"> </w:t>
      </w:r>
      <w:r>
        <w:t xml:space="preserve">Belcourt 2026, PMID 41689811.</w:t>
      </w:r>
    </w:p>
  </w:footnote>
  <w:footnote w:id="2966">
    <w:p>
      <w:pPr>
        <w:pStyle w:val="FootnoteText"/>
      </w:pPr>
      <w:r>
        <w:rPr>
          <w:rStyle w:val="FootnoteReference"/>
        </w:rPr>
        <w:footnoteRef/>
      </w:r>
      <w:r>
        <w:t xml:space="preserve"> </w:t>
      </w:r>
      <w:r>
        <w:t xml:space="preserve">Willis 2026, PMID 42752426.</w:t>
      </w:r>
    </w:p>
  </w:footnote>
  <w:footnote w:id="2968">
    <w:p>
      <w:pPr>
        <w:pStyle w:val="FootnoteText"/>
      </w:pPr>
      <w:r>
        <w:rPr>
          <w:rStyle w:val="FootnoteReference"/>
        </w:rPr>
        <w:footnoteRef/>
      </w:r>
      <w:r>
        <w:t xml:space="preserve"> </w:t>
      </w:r>
      <w:r>
        <w:t xml:space="preserve">Wei 2025, PMID 40787887.</w:t>
      </w:r>
    </w:p>
  </w:footnote>
  <w:footnote w:id="2969">
    <w:p>
      <w:pPr>
        <w:pStyle w:val="FootnoteText"/>
      </w:pPr>
      <w:r>
        <w:rPr>
          <w:rStyle w:val="FootnoteReference"/>
        </w:rPr>
        <w:footnoteRef/>
      </w:r>
      <w:r>
        <w:t xml:space="preserve"> </w:t>
      </w:r>
      <w:r>
        <w:t xml:space="preserve">Rettie 2025, PMID 40542165.</w:t>
      </w:r>
    </w:p>
  </w:footnote>
  <w:footnote w:id="2970">
    <w:p>
      <w:pPr>
        <w:pStyle w:val="FootnoteText"/>
      </w:pPr>
      <w:r>
        <w:rPr>
          <w:rStyle w:val="FootnoteReference"/>
        </w:rPr>
        <w:footnoteRef/>
      </w:r>
      <w:r>
        <w:t xml:space="preserve"> </w:t>
      </w:r>
      <w:r>
        <w:t xml:space="preserve">Wang 2025, PMID 39825096.</w:t>
      </w:r>
    </w:p>
  </w:footnote>
  <w:footnote w:id="2971">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peptides from semaglutide to BPC-157: what human studies really show, which risks are known, what the legal situation is and where research is heading.</dc:description>
  <dc:language>en-US</dc:language>
  <dc:subject/>
  <cp:keywords/>
  <dcterms:created xsi:type="dcterms:W3CDTF">2026-10-30T18:46:16Z</dcterms:created>
  <dcterms:modified xsi:type="dcterms:W3CDTF">2026-10-30T18:46:16Z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All rights reserved.</vt:lpwstr>
  </property>
  <property fmtid="{D5CDD505-2E9C-101B-9397-08002B2CF9AE}" pid="5" name="toc-title">
    <vt:lpwstr>Contents</vt:lpwstr>
  </property>
</Properties>
</file>